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0154" w14:textId="77777777" w:rsidR="00E54394" w:rsidRPr="0009644F"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rPr>
      </w:pPr>
      <w:r w:rsidRPr="0009644F">
        <w:rPr>
          <w:rFonts w:ascii="Arial" w:hAnsi="Arial" w:cs="Arial"/>
          <w:b/>
          <w:bCs/>
        </w:rPr>
        <w:t xml:space="preserve">2. ZDRAVÍ </w:t>
      </w:r>
    </w:p>
    <w:p w14:paraId="0554B3BC" w14:textId="77777777" w:rsidR="00E54394" w:rsidRPr="0009644F"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09644F">
        <w:rPr>
          <w:rFonts w:ascii="Arial" w:hAnsi="Arial" w:cs="Arial"/>
          <w:sz w:val="20"/>
        </w:rPr>
        <w:tab/>
      </w:r>
    </w:p>
    <w:p w14:paraId="1D7FD9F6" w14:textId="77777777" w:rsidR="00E54394" w:rsidRPr="0009644F"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14:paraId="26A0FF51" w14:textId="066370D2" w:rsidR="0075314F" w:rsidRPr="002414B2" w:rsidRDefault="0075314F" w:rsidP="0075314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sz w:val="20"/>
          <w:szCs w:val="20"/>
        </w:rPr>
      </w:pPr>
      <w:r w:rsidRPr="0009644F">
        <w:rPr>
          <w:rFonts w:ascii="Arial" w:hAnsi="Arial" w:cs="Arial"/>
          <w:sz w:val="20"/>
          <w:szCs w:val="20"/>
        </w:rPr>
        <w:t xml:space="preserve">Údaje o zdravotním stavu </w:t>
      </w:r>
      <w:r w:rsidRPr="002414B2">
        <w:rPr>
          <w:rFonts w:ascii="Arial" w:hAnsi="Arial" w:cs="Arial"/>
          <w:sz w:val="20"/>
          <w:szCs w:val="20"/>
        </w:rPr>
        <w:t xml:space="preserve">obyvatelstva </w:t>
      </w:r>
      <w:r w:rsidR="001458D2" w:rsidRPr="002414B2">
        <w:rPr>
          <w:rFonts w:ascii="Arial" w:hAnsi="Arial" w:cs="Arial"/>
          <w:sz w:val="20"/>
          <w:szCs w:val="20"/>
        </w:rPr>
        <w:t>(tabulky 2-1</w:t>
      </w:r>
      <w:r w:rsidR="007B036B" w:rsidRPr="002414B2">
        <w:rPr>
          <w:rFonts w:ascii="Arial" w:hAnsi="Arial" w:cs="Arial"/>
          <w:sz w:val="20"/>
          <w:szCs w:val="20"/>
        </w:rPr>
        <w:t>.</w:t>
      </w:r>
      <w:r w:rsidR="001458D2" w:rsidRPr="002414B2">
        <w:rPr>
          <w:rFonts w:ascii="Arial" w:hAnsi="Arial" w:cs="Arial"/>
          <w:sz w:val="20"/>
          <w:szCs w:val="20"/>
        </w:rPr>
        <w:t xml:space="preserve"> až 2-1</w:t>
      </w:r>
      <w:r w:rsidR="00B9120B">
        <w:rPr>
          <w:rFonts w:ascii="Arial" w:hAnsi="Arial" w:cs="Arial"/>
          <w:sz w:val="20"/>
          <w:szCs w:val="20"/>
        </w:rPr>
        <w:t>7</w:t>
      </w:r>
      <w:r w:rsidR="007B036B" w:rsidRPr="002414B2">
        <w:rPr>
          <w:rFonts w:ascii="Arial" w:hAnsi="Arial" w:cs="Arial"/>
          <w:sz w:val="20"/>
          <w:szCs w:val="20"/>
        </w:rPr>
        <w:t>.</w:t>
      </w:r>
      <w:r w:rsidRPr="002414B2">
        <w:rPr>
          <w:rFonts w:ascii="Arial" w:hAnsi="Arial" w:cs="Arial"/>
          <w:sz w:val="20"/>
          <w:szCs w:val="20"/>
        </w:rPr>
        <w:t xml:space="preserve">) a o činnosti poskytovatelů zdravotních služeb jsou čerpány z Národního zdravotnického informačního systému (dále jen NZIS). NZIS je definován v zákoně o zdravotních službách a podmínkách jejich poskytování. NZIS je určený k vedení Národních zdravotních registrů a zpracování údajů v nich vedených. Na základě pověření Ministerstva zdravotnictví spravuje NZIS Ústav zdravotnických informací a statistiky České republiky (ÚZIS ČR). </w:t>
      </w:r>
      <w:r w:rsidR="00C67273" w:rsidRPr="002414B2">
        <w:rPr>
          <w:rFonts w:ascii="Arial" w:hAnsi="Arial" w:cs="Arial"/>
          <w:sz w:val="20"/>
          <w:szCs w:val="20"/>
        </w:rPr>
        <w:t xml:space="preserve">Data do tabulky </w:t>
      </w:r>
      <w:r w:rsidR="001458D2" w:rsidRPr="002414B2">
        <w:rPr>
          <w:rFonts w:ascii="Arial" w:hAnsi="Arial" w:cs="Arial"/>
          <w:sz w:val="20"/>
          <w:szCs w:val="20"/>
        </w:rPr>
        <w:t>2-22</w:t>
      </w:r>
      <w:r w:rsidR="007B036B" w:rsidRPr="002414B2">
        <w:rPr>
          <w:rFonts w:ascii="Arial" w:hAnsi="Arial" w:cs="Arial"/>
          <w:sz w:val="20"/>
          <w:szCs w:val="20"/>
        </w:rPr>
        <w:t>.</w:t>
      </w:r>
      <w:r w:rsidR="001458D2" w:rsidRPr="002414B2">
        <w:rPr>
          <w:rFonts w:ascii="Arial" w:hAnsi="Arial" w:cs="Arial"/>
          <w:sz w:val="20"/>
          <w:szCs w:val="20"/>
        </w:rPr>
        <w:t xml:space="preserve"> </w:t>
      </w:r>
      <w:r w:rsidR="00C67273" w:rsidRPr="002414B2">
        <w:rPr>
          <w:rFonts w:ascii="Arial" w:hAnsi="Arial" w:cs="Arial"/>
          <w:sz w:val="20"/>
          <w:szCs w:val="20"/>
        </w:rPr>
        <w:t>- Počty zdravotnických pracovníků - jsou sbírána prostřednictvím výkazů z Programu statistických zjišťování od poskytovatelů zdravotnických služeb. Data spravuje také ÚZIS ČR.</w:t>
      </w:r>
    </w:p>
    <w:p w14:paraId="3EB54BDB" w14:textId="071E3716" w:rsidR="0075314F" w:rsidRPr="002414B2" w:rsidRDefault="0075314F" w:rsidP="0075314F">
      <w:pPr>
        <w:ind w:firstLine="714"/>
        <w:jc w:val="both"/>
        <w:rPr>
          <w:rFonts w:ascii="Arial" w:hAnsi="Arial" w:cs="Arial"/>
          <w:sz w:val="20"/>
          <w:szCs w:val="20"/>
        </w:rPr>
      </w:pPr>
      <w:r w:rsidRPr="002414B2">
        <w:rPr>
          <w:rFonts w:ascii="Arial" w:hAnsi="Arial" w:cs="Arial"/>
          <w:sz w:val="20"/>
          <w:szCs w:val="20"/>
        </w:rPr>
        <w:t xml:space="preserve">Český statistický úřad ve spolupráci s Českou správou sociálního zabezpečení (ČSSZ) zajišťuje údaje o nově hlášených případech pracovní neschopnosti pro nemoc a úraz (PN) – </w:t>
      </w:r>
      <w:r w:rsidR="001458D2" w:rsidRPr="002414B2">
        <w:rPr>
          <w:rFonts w:ascii="Arial" w:hAnsi="Arial" w:cs="Arial"/>
          <w:sz w:val="20"/>
          <w:szCs w:val="20"/>
        </w:rPr>
        <w:t>tabulky 2-34</w:t>
      </w:r>
      <w:r w:rsidR="007B036B" w:rsidRPr="002414B2">
        <w:rPr>
          <w:rFonts w:ascii="Arial" w:hAnsi="Arial" w:cs="Arial"/>
          <w:sz w:val="20"/>
          <w:szCs w:val="20"/>
        </w:rPr>
        <w:t>.</w:t>
      </w:r>
      <w:r w:rsidR="001458D2" w:rsidRPr="002414B2">
        <w:rPr>
          <w:rFonts w:ascii="Arial" w:hAnsi="Arial" w:cs="Arial"/>
          <w:sz w:val="20"/>
          <w:szCs w:val="20"/>
        </w:rPr>
        <w:t xml:space="preserve"> až 2-4</w:t>
      </w:r>
      <w:r w:rsidR="00B9120B">
        <w:rPr>
          <w:rFonts w:ascii="Arial" w:hAnsi="Arial" w:cs="Arial"/>
          <w:sz w:val="20"/>
          <w:szCs w:val="20"/>
        </w:rPr>
        <w:t>0</w:t>
      </w:r>
      <w:r w:rsidRPr="002414B2">
        <w:rPr>
          <w:rFonts w:ascii="Arial" w:hAnsi="Arial" w:cs="Arial"/>
          <w:sz w:val="20"/>
          <w:szCs w:val="20"/>
        </w:rPr>
        <w:t>.</w:t>
      </w:r>
    </w:p>
    <w:p w14:paraId="771E50AE" w14:textId="401FE1C9" w:rsidR="0075314F" w:rsidRPr="002414B2" w:rsidRDefault="0075314F" w:rsidP="0075314F">
      <w:pPr>
        <w:ind w:firstLine="714"/>
        <w:jc w:val="both"/>
        <w:rPr>
          <w:rFonts w:ascii="Arial" w:hAnsi="Arial" w:cs="Arial"/>
          <w:sz w:val="20"/>
          <w:szCs w:val="20"/>
        </w:rPr>
      </w:pPr>
      <w:r w:rsidRPr="002414B2">
        <w:rPr>
          <w:rFonts w:ascii="Arial" w:hAnsi="Arial" w:cs="Arial"/>
          <w:sz w:val="20"/>
          <w:szCs w:val="20"/>
        </w:rPr>
        <w:t xml:space="preserve">Informace o výdajích na zdravotní péči podle systému zdravotnických účtů </w:t>
      </w:r>
      <w:r w:rsidR="001458D2" w:rsidRPr="002414B2">
        <w:rPr>
          <w:rFonts w:ascii="Arial" w:hAnsi="Arial" w:cs="Arial"/>
          <w:sz w:val="20"/>
          <w:szCs w:val="20"/>
        </w:rPr>
        <w:t>(tabulky 2-18</w:t>
      </w:r>
      <w:r w:rsidR="007B036B" w:rsidRPr="002414B2">
        <w:rPr>
          <w:rFonts w:ascii="Arial" w:hAnsi="Arial" w:cs="Arial"/>
          <w:sz w:val="20"/>
          <w:szCs w:val="20"/>
        </w:rPr>
        <w:t>.</w:t>
      </w:r>
      <w:r w:rsidR="001458D2" w:rsidRPr="002414B2">
        <w:rPr>
          <w:rFonts w:ascii="Arial" w:hAnsi="Arial" w:cs="Arial"/>
          <w:sz w:val="20"/>
          <w:szCs w:val="20"/>
        </w:rPr>
        <w:t xml:space="preserve"> až 2-21</w:t>
      </w:r>
      <w:r w:rsidR="007B036B" w:rsidRPr="002414B2">
        <w:rPr>
          <w:rFonts w:ascii="Arial" w:hAnsi="Arial" w:cs="Arial"/>
          <w:sz w:val="20"/>
          <w:szCs w:val="20"/>
        </w:rPr>
        <w:t>.</w:t>
      </w:r>
      <w:r w:rsidRPr="002414B2">
        <w:rPr>
          <w:rFonts w:ascii="Arial" w:hAnsi="Arial" w:cs="Arial"/>
          <w:sz w:val="20"/>
          <w:szCs w:val="20"/>
        </w:rPr>
        <w:t xml:space="preserve">) vycházejí z údajů Ministerstva zdravotnictví, Ministerstva financí, Ministerstva práce a sociálních věcí, Národního registru hrazených zdravotních služeb (NRHZS), který je součástí NZIS, a datových zdrojů ČSÚ. </w:t>
      </w:r>
    </w:p>
    <w:p w14:paraId="770F32DA" w14:textId="1A73F978" w:rsidR="0075314F" w:rsidRPr="002414B2" w:rsidRDefault="0075314F" w:rsidP="0075314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sz w:val="20"/>
          <w:szCs w:val="20"/>
        </w:rPr>
      </w:pPr>
      <w:r w:rsidRPr="002414B2">
        <w:rPr>
          <w:rFonts w:ascii="Arial" w:hAnsi="Arial" w:cs="Arial"/>
          <w:sz w:val="20"/>
          <w:szCs w:val="20"/>
        </w:rPr>
        <w:t>Kromě výše uvedených zdrojů využívá tato kapitola Strukturální mzdovou statistiku, a to v případě údajů o průměrné hrubé měsíční mzdě lékařů a zdravotních sester (t</w:t>
      </w:r>
      <w:r w:rsidR="001458D2" w:rsidRPr="002414B2">
        <w:rPr>
          <w:rFonts w:ascii="Arial" w:hAnsi="Arial" w:cs="Arial"/>
          <w:sz w:val="20"/>
          <w:szCs w:val="20"/>
        </w:rPr>
        <w:t>abulky 2-30</w:t>
      </w:r>
      <w:r w:rsidR="007B036B" w:rsidRPr="002414B2">
        <w:rPr>
          <w:rFonts w:ascii="Arial" w:hAnsi="Arial" w:cs="Arial"/>
          <w:sz w:val="20"/>
          <w:szCs w:val="20"/>
        </w:rPr>
        <w:t>.</w:t>
      </w:r>
      <w:r w:rsidRPr="002414B2">
        <w:rPr>
          <w:rFonts w:ascii="Arial" w:hAnsi="Arial" w:cs="Arial"/>
          <w:sz w:val="20"/>
          <w:szCs w:val="20"/>
        </w:rPr>
        <w:t xml:space="preserve"> a</w:t>
      </w:r>
      <w:r w:rsidR="001458D2" w:rsidRPr="002414B2">
        <w:rPr>
          <w:rFonts w:ascii="Arial" w:hAnsi="Arial" w:cs="Arial"/>
          <w:sz w:val="20"/>
          <w:szCs w:val="20"/>
        </w:rPr>
        <w:t>ž 2-33</w:t>
      </w:r>
      <w:r w:rsidR="007B036B" w:rsidRPr="002414B2">
        <w:rPr>
          <w:rFonts w:ascii="Arial" w:hAnsi="Arial" w:cs="Arial"/>
          <w:sz w:val="20"/>
          <w:szCs w:val="20"/>
        </w:rPr>
        <w:t>.</w:t>
      </w:r>
      <w:r w:rsidRPr="002414B2">
        <w:rPr>
          <w:rFonts w:ascii="Arial" w:hAnsi="Arial" w:cs="Arial"/>
          <w:sz w:val="20"/>
          <w:szCs w:val="20"/>
        </w:rPr>
        <w:t xml:space="preserve">) </w:t>
      </w:r>
    </w:p>
    <w:p w14:paraId="655FC8A3" w14:textId="3220FDF1" w:rsidR="0075314F" w:rsidRPr="002414B2" w:rsidRDefault="0075314F" w:rsidP="0009644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sz w:val="20"/>
          <w:szCs w:val="20"/>
        </w:rPr>
      </w:pPr>
      <w:r w:rsidRPr="002414B2">
        <w:rPr>
          <w:rFonts w:ascii="Arial" w:hAnsi="Arial" w:cs="Arial"/>
          <w:sz w:val="20"/>
          <w:szCs w:val="20"/>
        </w:rPr>
        <w:t xml:space="preserve">Údaje za studenty a absolventy zdravotní péče vysokých škol v Česku byly získány z datových zdrojů Ministerstva školství, mládeže a tělovýchovy, konkrétně ze systému Sdružených informací matrik studentů (SIMS) – </w:t>
      </w:r>
      <w:r w:rsidR="001458D2" w:rsidRPr="002414B2">
        <w:rPr>
          <w:rFonts w:ascii="Arial" w:hAnsi="Arial" w:cs="Arial"/>
          <w:sz w:val="20"/>
          <w:szCs w:val="20"/>
        </w:rPr>
        <w:t>tabulka 2-25</w:t>
      </w:r>
      <w:r w:rsidRPr="002414B2">
        <w:rPr>
          <w:rFonts w:ascii="Arial" w:hAnsi="Arial" w:cs="Arial"/>
          <w:sz w:val="20"/>
          <w:szCs w:val="20"/>
        </w:rPr>
        <w:t>.</w:t>
      </w:r>
    </w:p>
    <w:p w14:paraId="40514B09" w14:textId="7C888BF2" w:rsidR="007729A1" w:rsidRPr="0009644F" w:rsidRDefault="0075314F" w:rsidP="0009644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rPr>
      </w:pPr>
      <w:r w:rsidRPr="002414B2">
        <w:rPr>
          <w:rFonts w:ascii="Arial" w:hAnsi="Arial" w:cs="Arial"/>
          <w:sz w:val="20"/>
          <w:szCs w:val="20"/>
        </w:rPr>
        <w:t>D</w:t>
      </w:r>
      <w:r w:rsidR="00BF3A1C" w:rsidRPr="002414B2">
        <w:rPr>
          <w:rFonts w:ascii="Arial" w:hAnsi="Arial" w:cs="Arial"/>
          <w:sz w:val="20"/>
          <w:szCs w:val="20"/>
        </w:rPr>
        <w:t>ata za mezinárodní srovnání pocházejí z databáze Eurostatu</w:t>
      </w:r>
      <w:r w:rsidR="00C128D7" w:rsidRPr="002414B2">
        <w:rPr>
          <w:rFonts w:ascii="Arial" w:hAnsi="Arial" w:cs="Arial"/>
          <w:sz w:val="20"/>
          <w:szCs w:val="20"/>
        </w:rPr>
        <w:t xml:space="preserve"> (tabulky 2-26</w:t>
      </w:r>
      <w:r w:rsidR="007B036B" w:rsidRPr="002414B2">
        <w:rPr>
          <w:rFonts w:ascii="Arial" w:hAnsi="Arial" w:cs="Arial"/>
          <w:sz w:val="20"/>
          <w:szCs w:val="20"/>
        </w:rPr>
        <w:t>.</w:t>
      </w:r>
      <w:r w:rsidR="00C128D7" w:rsidRPr="002414B2">
        <w:rPr>
          <w:rFonts w:ascii="Arial" w:hAnsi="Arial" w:cs="Arial"/>
          <w:sz w:val="20"/>
          <w:szCs w:val="20"/>
        </w:rPr>
        <w:t xml:space="preserve"> až 2-29</w:t>
      </w:r>
      <w:r w:rsidR="007B036B" w:rsidRPr="002414B2">
        <w:rPr>
          <w:rFonts w:ascii="Arial" w:hAnsi="Arial" w:cs="Arial"/>
          <w:sz w:val="20"/>
          <w:szCs w:val="20"/>
        </w:rPr>
        <w:t>.</w:t>
      </w:r>
      <w:r w:rsidR="00C128D7" w:rsidRPr="002414B2">
        <w:rPr>
          <w:rFonts w:ascii="Arial" w:hAnsi="Arial" w:cs="Arial"/>
          <w:sz w:val="20"/>
          <w:szCs w:val="20"/>
        </w:rPr>
        <w:t xml:space="preserve"> a 2-41</w:t>
      </w:r>
      <w:r w:rsidR="007B036B" w:rsidRPr="002414B2">
        <w:rPr>
          <w:rFonts w:ascii="Arial" w:hAnsi="Arial" w:cs="Arial"/>
          <w:sz w:val="20"/>
          <w:szCs w:val="20"/>
        </w:rPr>
        <w:t>.</w:t>
      </w:r>
      <w:r w:rsidR="00C128D7" w:rsidRPr="002414B2">
        <w:rPr>
          <w:rFonts w:ascii="Arial" w:hAnsi="Arial" w:cs="Arial"/>
          <w:sz w:val="20"/>
          <w:szCs w:val="20"/>
        </w:rPr>
        <w:t>)</w:t>
      </w:r>
      <w:r w:rsidR="00BF3A1C" w:rsidRPr="002414B2">
        <w:rPr>
          <w:rFonts w:ascii="Arial" w:hAnsi="Arial" w:cs="Arial"/>
          <w:sz w:val="20"/>
          <w:szCs w:val="20"/>
        </w:rPr>
        <w:t xml:space="preserve">. V některých případech se mohou údaje za mezinárodní srovnání z metodických důvodů nepatrně lišit od údajů </w:t>
      </w:r>
      <w:r w:rsidR="00BF3A1C" w:rsidRPr="0009644F">
        <w:rPr>
          <w:rFonts w:ascii="Arial" w:hAnsi="Arial" w:cs="Arial"/>
          <w:sz w:val="20"/>
          <w:szCs w:val="20"/>
        </w:rPr>
        <w:t>prezentovaných v tabulkách pouze za Česko</w:t>
      </w:r>
      <w:r w:rsidR="007518FA" w:rsidRPr="0009644F">
        <w:rPr>
          <w:rFonts w:ascii="Arial" w:hAnsi="Arial" w:cs="Arial"/>
          <w:sz w:val="20"/>
          <w:szCs w:val="20"/>
        </w:rPr>
        <w:t>u republiku</w:t>
      </w:r>
      <w:r w:rsidR="00BF3A1C" w:rsidRPr="0009644F">
        <w:rPr>
          <w:rFonts w:ascii="Arial" w:hAnsi="Arial" w:cs="Arial"/>
          <w:sz w:val="20"/>
          <w:szCs w:val="20"/>
        </w:rPr>
        <w:t>.</w:t>
      </w:r>
    </w:p>
    <w:p w14:paraId="6ED3172B" w14:textId="2F96BEAE" w:rsidR="00E54394" w:rsidRPr="0009644F" w:rsidRDefault="00E54394">
      <w:pPr>
        <w:pStyle w:val="Zkladntextodsazen"/>
        <w:ind w:firstLine="0"/>
        <w:rPr>
          <w:color w:val="auto"/>
        </w:rPr>
      </w:pPr>
    </w:p>
    <w:p w14:paraId="0CA1D362" w14:textId="77777777" w:rsidR="0026095C" w:rsidRPr="0009644F" w:rsidRDefault="0026095C" w:rsidP="00881D4A">
      <w:pPr>
        <w:pStyle w:val="Zkladntextodsazen"/>
        <w:ind w:firstLine="720"/>
        <w:rPr>
          <w:b/>
          <w:bCs/>
          <w:color w:val="auto"/>
        </w:rPr>
      </w:pPr>
    </w:p>
    <w:p w14:paraId="53BDBBE5" w14:textId="1484A2DC" w:rsidR="00881D4A" w:rsidRPr="002414B2" w:rsidRDefault="00881D4A" w:rsidP="00881D4A">
      <w:pPr>
        <w:pStyle w:val="Zkladntextodsazen"/>
        <w:ind w:firstLine="720"/>
        <w:rPr>
          <w:b/>
          <w:bCs/>
          <w:color w:val="auto"/>
          <w:sz w:val="24"/>
          <w:szCs w:val="24"/>
          <w:u w:val="single"/>
        </w:rPr>
      </w:pPr>
      <w:r w:rsidRPr="0009644F">
        <w:rPr>
          <w:b/>
          <w:bCs/>
          <w:color w:val="auto"/>
          <w:sz w:val="24"/>
          <w:szCs w:val="24"/>
          <w:u w:val="single"/>
        </w:rPr>
        <w:t xml:space="preserve">Lůžková péče </w:t>
      </w:r>
      <w:r w:rsidR="001458D2" w:rsidRPr="002414B2">
        <w:rPr>
          <w:b/>
          <w:bCs/>
          <w:color w:val="auto"/>
          <w:sz w:val="24"/>
          <w:szCs w:val="24"/>
          <w:u w:val="single"/>
        </w:rPr>
        <w:t>(tabulky 2-1</w:t>
      </w:r>
      <w:r w:rsidR="007B036B" w:rsidRPr="002414B2">
        <w:rPr>
          <w:b/>
          <w:bCs/>
          <w:color w:val="auto"/>
          <w:sz w:val="24"/>
          <w:szCs w:val="24"/>
          <w:u w:val="single"/>
        </w:rPr>
        <w:t>.</w:t>
      </w:r>
      <w:r w:rsidR="001458D2" w:rsidRPr="002414B2">
        <w:rPr>
          <w:b/>
          <w:bCs/>
          <w:color w:val="auto"/>
          <w:sz w:val="24"/>
          <w:szCs w:val="24"/>
          <w:u w:val="single"/>
        </w:rPr>
        <w:t xml:space="preserve"> až 2-9</w:t>
      </w:r>
      <w:r w:rsidR="007B036B" w:rsidRPr="002414B2">
        <w:rPr>
          <w:b/>
          <w:bCs/>
          <w:color w:val="auto"/>
          <w:sz w:val="24"/>
          <w:szCs w:val="24"/>
          <w:u w:val="single"/>
        </w:rPr>
        <w:t>.</w:t>
      </w:r>
      <w:r w:rsidR="00CC7747" w:rsidRPr="002414B2">
        <w:rPr>
          <w:b/>
          <w:bCs/>
          <w:color w:val="auto"/>
          <w:sz w:val="24"/>
          <w:szCs w:val="24"/>
          <w:u w:val="single"/>
        </w:rPr>
        <w:t>)</w:t>
      </w:r>
    </w:p>
    <w:p w14:paraId="4C5B38CA" w14:textId="77777777" w:rsidR="00775657" w:rsidRPr="0009644F" w:rsidRDefault="00775657" w:rsidP="00E13012">
      <w:pPr>
        <w:pStyle w:val="Zkladntextodsazen"/>
        <w:ind w:firstLine="720"/>
        <w:rPr>
          <w:b/>
          <w:bCs/>
          <w:color w:val="auto"/>
        </w:rPr>
      </w:pPr>
    </w:p>
    <w:p w14:paraId="5479AC7D" w14:textId="753B60B1" w:rsidR="00881D4A" w:rsidRPr="0009644F" w:rsidRDefault="00775657" w:rsidP="00E13012">
      <w:pPr>
        <w:pStyle w:val="Zkladntextodsazen"/>
        <w:ind w:firstLine="720"/>
        <w:rPr>
          <w:b/>
          <w:bCs/>
          <w:color w:val="auto"/>
        </w:rPr>
      </w:pPr>
      <w:r w:rsidRPr="0009644F">
        <w:rPr>
          <w:color w:val="auto"/>
        </w:rPr>
        <w:t>Zdrojem dat je Národní registr hospitalizovaných (NRHOSP)</w:t>
      </w:r>
      <w:r w:rsidR="00867C73">
        <w:rPr>
          <w:color w:val="auto"/>
        </w:rPr>
        <w:t>.</w:t>
      </w:r>
    </w:p>
    <w:p w14:paraId="09B9EED3" w14:textId="77777777" w:rsidR="00C67273" w:rsidRDefault="00167B31" w:rsidP="00C67273">
      <w:pPr>
        <w:pStyle w:val="Textkomente"/>
      </w:pPr>
      <w:r w:rsidRPr="0009644F">
        <w:rPr>
          <w:rFonts w:ascii="Arial" w:hAnsi="Arial" w:cs="Arial"/>
        </w:rPr>
        <w:t xml:space="preserve">Za poskytovatele </w:t>
      </w:r>
      <w:r w:rsidRPr="0009644F">
        <w:rPr>
          <w:rFonts w:ascii="Arial" w:hAnsi="Arial" w:cs="Arial"/>
          <w:b/>
        </w:rPr>
        <w:t>lůžkové akutní péče</w:t>
      </w:r>
      <w:r w:rsidRPr="0009644F">
        <w:rPr>
          <w:rFonts w:ascii="Arial" w:hAnsi="Arial" w:cs="Arial"/>
        </w:rPr>
        <w:t xml:space="preserve"> se považují fakultní nemocnice, ostatní nemocnice poskytující akutní péči, specializované nemocnice a </w:t>
      </w:r>
      <w:r w:rsidR="00F32D8E" w:rsidRPr="0009644F">
        <w:rPr>
          <w:rFonts w:ascii="Arial" w:hAnsi="Arial" w:cs="Arial"/>
        </w:rPr>
        <w:t xml:space="preserve">některé </w:t>
      </w:r>
      <w:r w:rsidRPr="0009644F">
        <w:rPr>
          <w:rFonts w:ascii="Arial" w:hAnsi="Arial" w:cs="Arial"/>
        </w:rPr>
        <w:t>psychiatrické nemocnice.</w:t>
      </w:r>
      <w:r w:rsidR="00D2722F" w:rsidRPr="0009644F">
        <w:rPr>
          <w:rFonts w:ascii="Arial" w:hAnsi="Arial" w:cs="Arial"/>
        </w:rPr>
        <w:t xml:space="preserve"> Lůžková péče </w:t>
      </w:r>
      <w:r w:rsidR="00C67273" w:rsidRPr="00C67273">
        <w:rPr>
          <w:rFonts w:ascii="Arial" w:hAnsi="Arial" w:cs="Arial"/>
        </w:rPr>
        <w:t>zahrnuje formální přijetí pacienta do zdravotnického zařízení za účelem léčby a/nebo péče, u níž se předpokládá pobyt přes noc.</w:t>
      </w:r>
    </w:p>
    <w:p w14:paraId="6C952C03" w14:textId="3C4AF438" w:rsidR="00D2722F" w:rsidRPr="0009644F" w:rsidRDefault="00D2722F" w:rsidP="00E13012">
      <w:pPr>
        <w:spacing w:before="120"/>
        <w:ind w:firstLine="714"/>
        <w:jc w:val="both"/>
        <w:rPr>
          <w:rFonts w:ascii="Arial" w:hAnsi="Arial" w:cs="Arial"/>
          <w:sz w:val="20"/>
          <w:szCs w:val="20"/>
        </w:rPr>
      </w:pPr>
      <w:r w:rsidRPr="0009644F">
        <w:rPr>
          <w:rFonts w:ascii="Arial" w:hAnsi="Arial" w:cs="Arial"/>
          <w:b/>
          <w:sz w:val="20"/>
          <w:szCs w:val="20"/>
        </w:rPr>
        <w:t>Následná lůžková péče</w:t>
      </w:r>
      <w:r w:rsidR="00D659A3">
        <w:rPr>
          <w:rFonts w:ascii="Arial" w:hAnsi="Arial" w:cs="Arial"/>
          <w:sz w:val="20"/>
          <w:szCs w:val="20"/>
        </w:rPr>
        <w:t xml:space="preserve"> </w:t>
      </w:r>
      <w:r w:rsidRPr="0009644F">
        <w:rPr>
          <w:rFonts w:ascii="Arial" w:hAnsi="Arial" w:cs="Arial"/>
          <w:sz w:val="20"/>
          <w:szCs w:val="20"/>
        </w:rPr>
        <w:t>je poskytována pacientovi, u kterého byla stanovena základní diagnóza a</w:t>
      </w:r>
      <w:r w:rsidR="00B9120B">
        <w:rPr>
          <w:rFonts w:ascii="Arial" w:hAnsi="Arial" w:cs="Arial"/>
          <w:sz w:val="20"/>
          <w:szCs w:val="20"/>
        </w:rPr>
        <w:t> </w:t>
      </w:r>
      <w:r w:rsidRPr="0009644F">
        <w:rPr>
          <w:rFonts w:ascii="Arial" w:hAnsi="Arial" w:cs="Arial"/>
          <w:sz w:val="20"/>
          <w:szCs w:val="20"/>
        </w:rPr>
        <w:t>došlo ke stabilizaci jeho zdravotního stavu, zvládnutí náhlé nemoci nebo náhlého zhoršení chronické nemoci, a jehož zdravotní stav vyžaduje doléčení nebo poskytnutí zejména léčebn</w:t>
      </w:r>
      <w:r w:rsidR="00255415">
        <w:rPr>
          <w:rFonts w:ascii="Arial" w:hAnsi="Arial" w:cs="Arial"/>
          <w:sz w:val="20"/>
          <w:szCs w:val="20"/>
        </w:rPr>
        <w:t>é</w:t>
      </w:r>
      <w:r w:rsidRPr="0009644F">
        <w:rPr>
          <w:rFonts w:ascii="Arial" w:hAnsi="Arial" w:cs="Arial"/>
          <w:sz w:val="20"/>
          <w:szCs w:val="20"/>
        </w:rPr>
        <w:t xml:space="preserve"> rehabilitační péče</w:t>
      </w:r>
      <w:r w:rsidR="00255415">
        <w:rPr>
          <w:rFonts w:ascii="Arial" w:hAnsi="Arial" w:cs="Arial"/>
          <w:sz w:val="20"/>
          <w:szCs w:val="20"/>
        </w:rPr>
        <w:t>. V</w:t>
      </w:r>
      <w:r w:rsidRPr="0009644F">
        <w:rPr>
          <w:rFonts w:ascii="Arial" w:hAnsi="Arial" w:cs="Arial"/>
          <w:sz w:val="20"/>
          <w:szCs w:val="20"/>
        </w:rPr>
        <w:t xml:space="preserve"> rámci této lůžkové péče může být poskytována též následná intenzivní péče pacientům, kteří jsou částečně nebo úplně závislí na podpoře základních životních funkcí.</w:t>
      </w:r>
    </w:p>
    <w:p w14:paraId="4CBE0AA7" w14:textId="52D8A722" w:rsidR="0009644F" w:rsidRPr="00D92653" w:rsidRDefault="0009644F" w:rsidP="00E13012">
      <w:pPr>
        <w:spacing w:before="120"/>
        <w:ind w:firstLine="714"/>
        <w:jc w:val="both"/>
        <w:rPr>
          <w:rFonts w:ascii="Arial" w:hAnsi="Arial" w:cs="Arial"/>
          <w:sz w:val="20"/>
          <w:szCs w:val="20"/>
        </w:rPr>
      </w:pPr>
      <w:r w:rsidRPr="0009644F">
        <w:rPr>
          <w:rFonts w:ascii="Arial" w:hAnsi="Arial" w:cs="Arial"/>
          <w:b/>
          <w:sz w:val="20"/>
          <w:szCs w:val="20"/>
        </w:rPr>
        <w:t>Lůžková péče v psychiatrických nemocnicích a léčebnách</w:t>
      </w:r>
      <w:r w:rsidR="00D92653">
        <w:rPr>
          <w:rFonts w:ascii="Arial" w:hAnsi="Arial" w:cs="Arial"/>
          <w:b/>
          <w:sz w:val="20"/>
          <w:szCs w:val="20"/>
        </w:rPr>
        <w:t xml:space="preserve"> </w:t>
      </w:r>
      <w:r w:rsidR="00D92653" w:rsidRPr="00D92653">
        <w:rPr>
          <w:rFonts w:ascii="Arial" w:hAnsi="Arial" w:cs="Arial"/>
          <w:sz w:val="20"/>
          <w:szCs w:val="20"/>
        </w:rPr>
        <w:t>je poskytována pacientům s duševním onemocněním případně osobám závislým na toxických látkách.</w:t>
      </w:r>
      <w:r w:rsidR="00573E1D">
        <w:rPr>
          <w:rFonts w:ascii="Arial" w:hAnsi="Arial" w:cs="Arial"/>
          <w:sz w:val="20"/>
          <w:szCs w:val="20"/>
        </w:rPr>
        <w:t xml:space="preserve"> Jedná se o oba druhy poskytované péče </w:t>
      </w:r>
      <w:r w:rsidR="00B9120B">
        <w:t>-</w:t>
      </w:r>
      <w:r w:rsidR="00573E1D">
        <w:rPr>
          <w:rFonts w:ascii="Arial" w:hAnsi="Arial" w:cs="Arial"/>
          <w:sz w:val="20"/>
          <w:szCs w:val="20"/>
        </w:rPr>
        <w:t xml:space="preserve"> akutní i dlouhodobou péči.</w:t>
      </w:r>
    </w:p>
    <w:p w14:paraId="0E4545C4" w14:textId="77777777" w:rsidR="005D4DB7" w:rsidRPr="00D92653" w:rsidRDefault="005D4DB7"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p>
    <w:p w14:paraId="4DC2A677" w14:textId="2E99D18E" w:rsidR="005D4DB7" w:rsidRPr="00D659A3" w:rsidRDefault="00D92653"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r>
        <w:rPr>
          <w:b/>
          <w:i w:val="0"/>
          <w:lang w:val="cs-CZ"/>
        </w:rPr>
        <w:tab/>
      </w:r>
      <w:r w:rsidR="005D4DB7" w:rsidRPr="00D659A3">
        <w:rPr>
          <w:b/>
          <w:i w:val="0"/>
          <w:lang w:val="cs-CZ"/>
        </w:rPr>
        <w:t>Případy hospitalizace</w:t>
      </w:r>
      <w:r>
        <w:rPr>
          <w:i w:val="0"/>
          <w:lang w:val="cs-CZ"/>
        </w:rPr>
        <w:t xml:space="preserve"> - s</w:t>
      </w:r>
      <w:r w:rsidR="005D4DB7" w:rsidRPr="00D659A3">
        <w:rPr>
          <w:i w:val="0"/>
          <w:lang w:val="cs-CZ"/>
        </w:rPr>
        <w:t>tatistika hospitalizací vychází z jednotlivých hlášení o ukončených případech hospitalizace. Zpravodajskou jednotkou je každé lůžkové oddělení zdravotnických zařízení v ČR vyjma ozdravoven a lázeňských léčeben. Za jeden případ hospitalizace se považuje každé ukončení hospitalizace na jednom oddělení, ať již hospitalizace skončila propuštěním nebo úmrtím pacienta či jeho přeložením na jiné oddělení nebo do jiného zařízení.</w:t>
      </w:r>
    </w:p>
    <w:p w14:paraId="09AF3010" w14:textId="77777777" w:rsidR="005D4DB7" w:rsidRPr="00D659A3" w:rsidRDefault="005D4DB7"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p>
    <w:p w14:paraId="70267F1D" w14:textId="173B4E88" w:rsidR="00382A6F" w:rsidRPr="00A076DB" w:rsidRDefault="00D92653"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r>
        <w:rPr>
          <w:b/>
          <w:i w:val="0"/>
          <w:lang w:val="cs-CZ"/>
        </w:rPr>
        <w:tab/>
      </w:r>
      <w:r w:rsidR="005D4DB7" w:rsidRPr="00D659A3">
        <w:rPr>
          <w:b/>
          <w:i w:val="0"/>
          <w:lang w:val="cs-CZ"/>
        </w:rPr>
        <w:t>Hospitalizovaní</w:t>
      </w:r>
      <w:r>
        <w:rPr>
          <w:i w:val="0"/>
          <w:lang w:val="cs-CZ"/>
        </w:rPr>
        <w:t xml:space="preserve"> - p</w:t>
      </w:r>
      <w:r w:rsidR="005D4DB7" w:rsidRPr="00D659A3">
        <w:rPr>
          <w:i w:val="0"/>
          <w:lang w:val="cs-CZ"/>
        </w:rPr>
        <w:t>očet osob (každá zahrnuta jen jednou) hospitalizovaných v daném zdravotnickém zařízení nebo na daném oddělení, včetně cizinců a narozených dětí.</w:t>
      </w:r>
    </w:p>
    <w:p w14:paraId="13710EAA" w14:textId="77777777" w:rsidR="005D4DB7" w:rsidRPr="00D659A3" w:rsidRDefault="005D4DB7"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shd w:val="clear" w:color="auto" w:fill="FFFFFF"/>
          <w:lang w:val="cs-CZ"/>
        </w:rPr>
      </w:pPr>
    </w:p>
    <w:p w14:paraId="53681C2E" w14:textId="2BE4895E" w:rsidR="005D4DB7" w:rsidRPr="00D659A3" w:rsidRDefault="00D92653"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shd w:val="clear" w:color="auto" w:fill="FFFFFF"/>
          <w:lang w:val="cs-CZ"/>
        </w:rPr>
      </w:pPr>
      <w:r>
        <w:rPr>
          <w:b/>
          <w:i w:val="0"/>
          <w:shd w:val="clear" w:color="auto" w:fill="FFFFFF"/>
          <w:lang w:val="cs-CZ"/>
        </w:rPr>
        <w:tab/>
      </w:r>
      <w:r w:rsidR="005D4DB7" w:rsidRPr="00D659A3">
        <w:rPr>
          <w:b/>
          <w:i w:val="0"/>
          <w:shd w:val="clear" w:color="auto" w:fill="FFFFFF"/>
          <w:lang w:val="cs-CZ"/>
        </w:rPr>
        <w:t>Ošetřovací dny</w:t>
      </w:r>
      <w:r>
        <w:rPr>
          <w:i w:val="0"/>
          <w:shd w:val="clear" w:color="auto" w:fill="FFFFFF"/>
          <w:lang w:val="cs-CZ"/>
        </w:rPr>
        <w:t xml:space="preserve"> - j</w:t>
      </w:r>
      <w:r w:rsidR="005D4DB7" w:rsidRPr="00D659A3">
        <w:rPr>
          <w:i w:val="0"/>
          <w:shd w:val="clear" w:color="auto" w:fill="FFFFFF"/>
          <w:lang w:val="cs-CZ"/>
        </w:rPr>
        <w:t>edním ošetřovacím dnem</w:t>
      </w:r>
      <w:r w:rsidR="00C67273">
        <w:rPr>
          <w:i w:val="0"/>
          <w:shd w:val="clear" w:color="auto" w:fill="FFFFFF"/>
          <w:lang w:val="cs-CZ"/>
        </w:rPr>
        <w:t xml:space="preserve"> se rozumí</w:t>
      </w:r>
      <w:r w:rsidR="005D4DB7" w:rsidRPr="00D659A3">
        <w:rPr>
          <w:i w:val="0"/>
          <w:shd w:val="clear" w:color="auto" w:fill="FFFFFF"/>
          <w:lang w:val="cs-CZ"/>
        </w:rPr>
        <w:t xml:space="preserve"> celý kalendářní den, za který se pacientovi dostalo všech služeb, které poskytovatel lůžkové péče poskytuje, tj. včetně ubytování a stravování.</w:t>
      </w:r>
    </w:p>
    <w:p w14:paraId="5C0DE54E" w14:textId="77777777" w:rsidR="005D4DB7" w:rsidRPr="00D659A3" w:rsidRDefault="005D4DB7"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shd w:val="clear" w:color="auto" w:fill="FFFFFF"/>
          <w:lang w:val="cs-CZ"/>
        </w:rPr>
      </w:pPr>
    </w:p>
    <w:p w14:paraId="6104A7B5" w14:textId="09A206DC" w:rsidR="007B036B" w:rsidRDefault="00D92653" w:rsidP="007B036B">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r>
        <w:rPr>
          <w:b/>
          <w:i w:val="0"/>
          <w:shd w:val="clear" w:color="auto" w:fill="FFFFFF"/>
          <w:lang w:val="cs-CZ"/>
        </w:rPr>
        <w:tab/>
      </w:r>
      <w:r w:rsidR="005D4DB7" w:rsidRPr="00D659A3">
        <w:rPr>
          <w:b/>
          <w:i w:val="0"/>
          <w:shd w:val="clear" w:color="auto" w:fill="FFFFFF"/>
          <w:lang w:val="cs-CZ"/>
        </w:rPr>
        <w:t>Průměrná ošetřovací doba</w:t>
      </w:r>
      <w:r>
        <w:rPr>
          <w:i w:val="0"/>
          <w:lang w:val="cs-CZ"/>
        </w:rPr>
        <w:t xml:space="preserve"> - j</w:t>
      </w:r>
      <w:r w:rsidR="005D4DB7" w:rsidRPr="00D659A3">
        <w:rPr>
          <w:i w:val="0"/>
          <w:lang w:val="cs-CZ"/>
        </w:rPr>
        <w:t>edná se o průměrnou ošetřovací dobu hospitalizace na oddělení ve</w:t>
      </w:r>
      <w:r w:rsidR="00B9120B">
        <w:rPr>
          <w:i w:val="0"/>
          <w:lang w:val="cs-CZ"/>
        </w:rPr>
        <w:t> </w:t>
      </w:r>
      <w:r w:rsidR="005D4DB7" w:rsidRPr="00D659A3">
        <w:rPr>
          <w:i w:val="0"/>
          <w:lang w:val="cs-CZ"/>
        </w:rPr>
        <w:t>dnech. Je vypočítána jako průměrný počet ošetřovacích dnů připadajících na jeden případ hospitalizace na</w:t>
      </w:r>
      <w:r w:rsidR="00B9120B">
        <w:rPr>
          <w:i w:val="0"/>
          <w:lang w:val="cs-CZ"/>
        </w:rPr>
        <w:t> </w:t>
      </w:r>
      <w:r w:rsidR="005D4DB7" w:rsidRPr="00D659A3">
        <w:rPr>
          <w:i w:val="0"/>
          <w:lang w:val="cs-CZ"/>
        </w:rPr>
        <w:t>oddělení.</w:t>
      </w:r>
    </w:p>
    <w:p w14:paraId="27EDD248" w14:textId="77777777" w:rsidR="00B9120B" w:rsidRDefault="00B9120B" w:rsidP="007B036B">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p>
    <w:p w14:paraId="6E2F7ACF" w14:textId="528C8F3F" w:rsidR="0026095C" w:rsidRPr="00513136" w:rsidRDefault="007B036B" w:rsidP="007B036B">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i w:val="0"/>
          <w:szCs w:val="20"/>
          <w:lang w:val="cs-CZ"/>
        </w:rPr>
      </w:pPr>
      <w:r>
        <w:rPr>
          <w:i w:val="0"/>
          <w:lang w:val="cs-CZ"/>
        </w:rPr>
        <w:lastRenderedPageBreak/>
        <w:tab/>
      </w:r>
      <w:r w:rsidR="0026095C" w:rsidRPr="00513136">
        <w:rPr>
          <w:b/>
          <w:bCs/>
          <w:i w:val="0"/>
          <w:szCs w:val="20"/>
          <w:lang w:val="cs-CZ"/>
        </w:rPr>
        <w:t>Průměrný věk hospitalizovaných</w:t>
      </w:r>
      <w:r w:rsidR="00937DBF" w:rsidRPr="00513136">
        <w:rPr>
          <w:b/>
          <w:bCs/>
          <w:i w:val="0"/>
          <w:szCs w:val="20"/>
          <w:lang w:val="cs-CZ"/>
        </w:rPr>
        <w:t xml:space="preserve"> </w:t>
      </w:r>
      <w:r w:rsidR="00937DBF" w:rsidRPr="00513136">
        <w:rPr>
          <w:bCs/>
          <w:i w:val="0"/>
          <w:szCs w:val="20"/>
          <w:lang w:val="cs-CZ"/>
        </w:rPr>
        <w:t>– aritmetický průměr věku všech hospitalizovaných pacientů v průběhu kalendářního roku</w:t>
      </w:r>
      <w:r w:rsidR="00EC72E7" w:rsidRPr="00513136">
        <w:rPr>
          <w:bCs/>
          <w:i w:val="0"/>
          <w:szCs w:val="20"/>
          <w:lang w:val="cs-CZ"/>
        </w:rPr>
        <w:t xml:space="preserve"> pro danou diagnóz</w:t>
      </w:r>
      <w:r w:rsidR="00017100" w:rsidRPr="00513136">
        <w:rPr>
          <w:bCs/>
          <w:i w:val="0"/>
          <w:szCs w:val="20"/>
          <w:lang w:val="cs-CZ"/>
        </w:rPr>
        <w:t>u</w:t>
      </w:r>
      <w:r w:rsidR="00B3511A" w:rsidRPr="00513136">
        <w:rPr>
          <w:bCs/>
          <w:i w:val="0"/>
          <w:szCs w:val="20"/>
          <w:lang w:val="cs-CZ"/>
        </w:rPr>
        <w:t xml:space="preserve"> (</w:t>
      </w:r>
      <w:r w:rsidR="00017100" w:rsidRPr="00513136">
        <w:rPr>
          <w:bCs/>
          <w:i w:val="0"/>
          <w:szCs w:val="20"/>
          <w:lang w:val="cs-CZ"/>
        </w:rPr>
        <w:t>skupinu nemocí definovanou podle kapitol klasifikace MKN-10)</w:t>
      </w:r>
      <w:r w:rsidR="00F653FE" w:rsidRPr="00513136">
        <w:rPr>
          <w:bCs/>
          <w:i w:val="0"/>
          <w:szCs w:val="20"/>
          <w:lang w:val="cs-CZ"/>
        </w:rPr>
        <w:t>.</w:t>
      </w:r>
    </w:p>
    <w:p w14:paraId="451DF526" w14:textId="2B956067" w:rsidR="00881D4A" w:rsidRPr="002414B2" w:rsidRDefault="00937DBF" w:rsidP="00E13012">
      <w:pPr>
        <w:pStyle w:val="Zkladntextodsazen"/>
        <w:ind w:firstLine="720"/>
        <w:rPr>
          <w:b/>
          <w:color w:val="auto"/>
          <w:sz w:val="24"/>
          <w:szCs w:val="24"/>
          <w:u w:val="single"/>
        </w:rPr>
      </w:pPr>
      <w:r w:rsidRPr="0009644F">
        <w:rPr>
          <w:b/>
          <w:color w:val="auto"/>
          <w:sz w:val="24"/>
          <w:szCs w:val="24"/>
          <w:u w:val="single"/>
        </w:rPr>
        <w:t xml:space="preserve">Ambulantní </w:t>
      </w:r>
      <w:r w:rsidR="00BB43AF" w:rsidRPr="0009644F">
        <w:rPr>
          <w:b/>
          <w:color w:val="auto"/>
          <w:sz w:val="24"/>
          <w:szCs w:val="24"/>
          <w:u w:val="single"/>
        </w:rPr>
        <w:t>péče</w:t>
      </w:r>
      <w:r w:rsidR="00CC7747" w:rsidRPr="0009644F">
        <w:rPr>
          <w:b/>
          <w:color w:val="auto"/>
          <w:sz w:val="24"/>
          <w:szCs w:val="24"/>
          <w:u w:val="single"/>
        </w:rPr>
        <w:t xml:space="preserve"> </w:t>
      </w:r>
      <w:r w:rsidR="001458D2" w:rsidRPr="002414B2">
        <w:rPr>
          <w:b/>
          <w:color w:val="auto"/>
          <w:sz w:val="24"/>
          <w:szCs w:val="24"/>
          <w:u w:val="single"/>
        </w:rPr>
        <w:t>(tabulky 2-10</w:t>
      </w:r>
      <w:r w:rsidR="007B036B" w:rsidRPr="002414B2">
        <w:rPr>
          <w:b/>
          <w:color w:val="auto"/>
          <w:sz w:val="24"/>
          <w:szCs w:val="24"/>
          <w:u w:val="single"/>
        </w:rPr>
        <w:t>.</w:t>
      </w:r>
      <w:r w:rsidR="001458D2" w:rsidRPr="002414B2">
        <w:rPr>
          <w:b/>
          <w:color w:val="auto"/>
          <w:sz w:val="24"/>
          <w:szCs w:val="24"/>
          <w:u w:val="single"/>
        </w:rPr>
        <w:t xml:space="preserve"> až 2-13</w:t>
      </w:r>
      <w:r w:rsidR="007B036B" w:rsidRPr="002414B2">
        <w:rPr>
          <w:b/>
          <w:color w:val="auto"/>
          <w:sz w:val="24"/>
          <w:szCs w:val="24"/>
          <w:u w:val="single"/>
        </w:rPr>
        <w:t>.</w:t>
      </w:r>
      <w:r w:rsidR="00CC7747" w:rsidRPr="002414B2">
        <w:rPr>
          <w:b/>
          <w:color w:val="auto"/>
          <w:sz w:val="24"/>
          <w:szCs w:val="24"/>
          <w:u w:val="single"/>
        </w:rPr>
        <w:t>)</w:t>
      </w:r>
    </w:p>
    <w:p w14:paraId="0D152FAD" w14:textId="0E0D405A" w:rsidR="005D4DB7" w:rsidRDefault="00775657"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09644F">
        <w:rPr>
          <w:rFonts w:ascii="Arial" w:hAnsi="Arial" w:cs="Arial"/>
          <w:sz w:val="20"/>
          <w:szCs w:val="20"/>
        </w:rPr>
        <w:t>Zdrojem informací je Národní registr hrazených zdravotních služeb (NRHZS), který shromažďuje data vykázaná všemi poskytovateli zdravotních služeb zdravotním pojišťovnám. Zpravodajskými jednotkami jsou všechny zdravotní pojišťovny České republiky, které hradí zdravotní služby poskytované svým pojištěncům z</w:t>
      </w:r>
      <w:r w:rsidR="00B9120B">
        <w:rPr>
          <w:rFonts w:ascii="Arial" w:hAnsi="Arial" w:cs="Arial"/>
          <w:sz w:val="20"/>
          <w:szCs w:val="20"/>
        </w:rPr>
        <w:t> </w:t>
      </w:r>
      <w:r w:rsidRPr="0009644F">
        <w:rPr>
          <w:rFonts w:ascii="Arial" w:hAnsi="Arial" w:cs="Arial"/>
          <w:sz w:val="20"/>
          <w:szCs w:val="20"/>
        </w:rPr>
        <w:t>prostředků veřejného zdravotního pojištění.</w:t>
      </w:r>
    </w:p>
    <w:p w14:paraId="6E91D4C1" w14:textId="77777777" w:rsidR="00E13012" w:rsidRPr="0009644F" w:rsidRDefault="00E13012"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p>
    <w:p w14:paraId="5D19894D" w14:textId="660AE8EA" w:rsidR="005D4DB7" w:rsidRPr="0009644F" w:rsidRDefault="005D4DB7"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 w:val="0"/>
          <w:lang w:val="cs-CZ"/>
        </w:rPr>
      </w:pPr>
      <w:r w:rsidRPr="0009644F">
        <w:rPr>
          <w:b/>
          <w:i w:val="0"/>
          <w:lang w:val="cs-CZ"/>
        </w:rPr>
        <w:tab/>
        <w:t>Zařízení ambulantní péče</w:t>
      </w:r>
      <w:r w:rsidR="00E13012">
        <w:rPr>
          <w:i w:val="0"/>
          <w:lang w:val="cs-CZ"/>
        </w:rPr>
        <w:t xml:space="preserve"> - z</w:t>
      </w:r>
      <w:r w:rsidRPr="0009644F">
        <w:rPr>
          <w:i w:val="0"/>
          <w:lang w:val="cs-CZ"/>
        </w:rPr>
        <w:t>ahrnují ordinace praktického lékaře pro dospělé, praktického lékaře pro</w:t>
      </w:r>
      <w:r w:rsidR="00B9120B">
        <w:rPr>
          <w:i w:val="0"/>
          <w:lang w:val="cs-CZ"/>
        </w:rPr>
        <w:t> </w:t>
      </w:r>
      <w:r w:rsidRPr="0009644F">
        <w:rPr>
          <w:i w:val="0"/>
          <w:lang w:val="cs-CZ"/>
        </w:rPr>
        <w:t xml:space="preserve">děti a dorost, ordinace stomatologů, gynekologů a dalších odborných lékařů specialistů (oční, ORL, gastroenterolog atd.) i </w:t>
      </w:r>
      <w:r w:rsidR="00E13012">
        <w:rPr>
          <w:i w:val="0"/>
          <w:lang w:val="cs-CZ"/>
        </w:rPr>
        <w:t>ne</w:t>
      </w:r>
      <w:r w:rsidR="00E13012" w:rsidRPr="0009644F">
        <w:rPr>
          <w:i w:val="0"/>
          <w:lang w:val="cs-CZ"/>
        </w:rPr>
        <w:t>lékařů</w:t>
      </w:r>
      <w:r w:rsidR="00E13012">
        <w:rPr>
          <w:i w:val="0"/>
          <w:lang w:val="cs-CZ"/>
        </w:rPr>
        <w:t xml:space="preserve"> </w:t>
      </w:r>
      <w:r w:rsidRPr="0009644F">
        <w:rPr>
          <w:i w:val="0"/>
          <w:lang w:val="cs-CZ"/>
        </w:rPr>
        <w:t xml:space="preserve">(psycholog, logoped, fyzioterapeut atd.), kde nedochází k přenocování pacienta. </w:t>
      </w:r>
    </w:p>
    <w:p w14:paraId="4B96E044" w14:textId="023CEA09" w:rsidR="00775657" w:rsidRPr="0009644F" w:rsidRDefault="00775657"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09644F">
        <w:rPr>
          <w:rFonts w:ascii="Arial" w:hAnsi="Arial" w:cs="Arial"/>
          <w:b/>
          <w:sz w:val="20"/>
          <w:szCs w:val="20"/>
        </w:rPr>
        <w:t>Návštěvy (kontakty) v zařízeních ambulantní péče</w:t>
      </w:r>
      <w:r w:rsidRPr="0009644F">
        <w:rPr>
          <w:rFonts w:ascii="Arial" w:hAnsi="Arial" w:cs="Arial"/>
          <w:sz w:val="20"/>
          <w:szCs w:val="20"/>
        </w:rPr>
        <w:t xml:space="preserve"> </w:t>
      </w:r>
      <w:r w:rsidR="00B9120B">
        <w:t>-</w:t>
      </w:r>
      <w:r w:rsidRPr="0009644F">
        <w:rPr>
          <w:rFonts w:ascii="Arial" w:hAnsi="Arial" w:cs="Arial"/>
          <w:sz w:val="20"/>
          <w:szCs w:val="20"/>
        </w:rPr>
        <w:t xml:space="preserve"> za návštěvu (kontakt) se považuje soubor všech výkonů provedených při ošetřování fyzické osoby v ambulantním zařízení při jedné návštěvě pacienta. Za návštěvu (kontakt) se pova</w:t>
      </w:r>
      <w:r w:rsidRPr="00073DFF">
        <w:rPr>
          <w:rFonts w:ascii="Arial" w:hAnsi="Arial" w:cs="Arial"/>
          <w:sz w:val="20"/>
          <w:szCs w:val="20"/>
        </w:rPr>
        <w:t>žuje také kontakt s pacientem za účelem administrativním (předepsání receptu, potvrzení průkazu apod.). Výkony provádí lékař nebo zdravotní sestra podle pokynů lékaře.</w:t>
      </w:r>
      <w:r w:rsidR="00EC72E7" w:rsidRPr="00073DFF">
        <w:rPr>
          <w:rFonts w:ascii="Arial" w:hAnsi="Arial" w:cs="Arial"/>
          <w:sz w:val="20"/>
          <w:szCs w:val="20"/>
        </w:rPr>
        <w:t xml:space="preserve"> Do počtu kontaktů se počítají i telefonické konzultace</w:t>
      </w:r>
      <w:r w:rsidR="00810F30" w:rsidRPr="0009644F">
        <w:rPr>
          <w:rFonts w:ascii="Arial" w:hAnsi="Arial" w:cs="Arial"/>
          <w:sz w:val="20"/>
          <w:szCs w:val="20"/>
        </w:rPr>
        <w:t>, které výrazně vzrostly v roce 2020</w:t>
      </w:r>
      <w:r w:rsidR="005D4DB7" w:rsidRPr="0009644F">
        <w:rPr>
          <w:rFonts w:ascii="Arial" w:hAnsi="Arial" w:cs="Arial"/>
          <w:sz w:val="20"/>
          <w:szCs w:val="20"/>
        </w:rPr>
        <w:t xml:space="preserve"> a 2021</w:t>
      </w:r>
      <w:r w:rsidR="00810F30" w:rsidRPr="0009644F">
        <w:rPr>
          <w:rFonts w:ascii="Arial" w:hAnsi="Arial" w:cs="Arial"/>
          <w:sz w:val="20"/>
          <w:szCs w:val="20"/>
        </w:rPr>
        <w:t xml:space="preserve"> z důvody onemocnění COVID-19</w:t>
      </w:r>
      <w:r w:rsidR="00EC72E7" w:rsidRPr="0009644F">
        <w:rPr>
          <w:rFonts w:ascii="Arial" w:hAnsi="Arial" w:cs="Arial"/>
          <w:sz w:val="20"/>
          <w:szCs w:val="20"/>
        </w:rPr>
        <w:t>.</w:t>
      </w:r>
    </w:p>
    <w:p w14:paraId="5F1D4BF7" w14:textId="1A352547" w:rsidR="00810F30" w:rsidRDefault="00775657"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09644F">
        <w:rPr>
          <w:rFonts w:ascii="Arial" w:hAnsi="Arial" w:cs="Arial"/>
          <w:b/>
          <w:sz w:val="20"/>
          <w:szCs w:val="20"/>
        </w:rPr>
        <w:t>Pacienti v ambulantní péči</w:t>
      </w:r>
      <w:r w:rsidRPr="0009644F">
        <w:rPr>
          <w:rFonts w:ascii="Arial" w:hAnsi="Arial" w:cs="Arial"/>
          <w:sz w:val="20"/>
          <w:szCs w:val="20"/>
        </w:rPr>
        <w:t xml:space="preserve"> představují počet osob, které pro danou skupinu diagnóz alespoň jednou ve sledovaném roce čerpaly ambulantní zdravotní péči hrazenou zdravotní pojišťovnou.</w:t>
      </w:r>
      <w:r w:rsidR="00810F30" w:rsidRPr="0009644F">
        <w:rPr>
          <w:rFonts w:ascii="Arial" w:hAnsi="Arial" w:cs="Arial"/>
          <w:sz w:val="20"/>
          <w:szCs w:val="20"/>
        </w:rPr>
        <w:t xml:space="preserve"> </w:t>
      </w:r>
    </w:p>
    <w:p w14:paraId="3E23B3CA" w14:textId="77777777" w:rsidR="004F0DF0" w:rsidRDefault="004F0DF0" w:rsidP="004F0DF0">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b/>
          <w:sz w:val="20"/>
          <w:szCs w:val="20"/>
        </w:rPr>
      </w:pPr>
    </w:p>
    <w:p w14:paraId="01701614" w14:textId="343E6337" w:rsidR="001458D2" w:rsidRPr="002414B2" w:rsidRDefault="001458D2" w:rsidP="001458D2">
      <w:pPr>
        <w:pStyle w:val="Zkladntextodsazen"/>
        <w:ind w:firstLine="720"/>
        <w:rPr>
          <w:b/>
          <w:color w:val="auto"/>
          <w:sz w:val="24"/>
          <w:szCs w:val="24"/>
          <w:u w:val="single"/>
        </w:rPr>
      </w:pPr>
      <w:r>
        <w:rPr>
          <w:b/>
          <w:color w:val="auto"/>
          <w:sz w:val="24"/>
          <w:szCs w:val="24"/>
          <w:u w:val="single"/>
        </w:rPr>
        <w:t>Léčení diabetici</w:t>
      </w:r>
      <w:r w:rsidRPr="0009644F">
        <w:rPr>
          <w:b/>
          <w:color w:val="auto"/>
          <w:sz w:val="24"/>
          <w:szCs w:val="24"/>
          <w:u w:val="single"/>
        </w:rPr>
        <w:t xml:space="preserve"> </w:t>
      </w:r>
      <w:r w:rsidRPr="002414B2">
        <w:rPr>
          <w:b/>
          <w:color w:val="auto"/>
          <w:sz w:val="24"/>
          <w:szCs w:val="24"/>
          <w:u w:val="single"/>
        </w:rPr>
        <w:t>(tabulky 2-14</w:t>
      </w:r>
      <w:r w:rsidR="007B036B" w:rsidRPr="002414B2">
        <w:rPr>
          <w:b/>
          <w:color w:val="auto"/>
          <w:sz w:val="24"/>
          <w:szCs w:val="24"/>
          <w:u w:val="single"/>
        </w:rPr>
        <w:t>.</w:t>
      </w:r>
      <w:r w:rsidRPr="002414B2">
        <w:rPr>
          <w:b/>
          <w:color w:val="auto"/>
          <w:sz w:val="24"/>
          <w:szCs w:val="24"/>
          <w:u w:val="single"/>
        </w:rPr>
        <w:t xml:space="preserve"> a 2-15</w:t>
      </w:r>
      <w:r w:rsidR="007B036B" w:rsidRPr="002414B2">
        <w:rPr>
          <w:b/>
          <w:color w:val="auto"/>
          <w:sz w:val="24"/>
          <w:szCs w:val="24"/>
          <w:u w:val="single"/>
        </w:rPr>
        <w:t>.</w:t>
      </w:r>
      <w:r w:rsidRPr="002414B2">
        <w:rPr>
          <w:b/>
          <w:color w:val="auto"/>
          <w:sz w:val="24"/>
          <w:szCs w:val="24"/>
          <w:u w:val="single"/>
        </w:rPr>
        <w:t>)</w:t>
      </w:r>
    </w:p>
    <w:p w14:paraId="2DC76059" w14:textId="1F30CD86" w:rsidR="004973D0" w:rsidRDefault="001458D2" w:rsidP="009474AC">
      <w:pPr>
        <w:spacing w:before="120" w:after="120"/>
        <w:ind w:firstLine="708"/>
        <w:jc w:val="both"/>
        <w:rPr>
          <w:rFonts w:ascii="Arial" w:hAnsi="Arial" w:cs="Arial"/>
          <w:sz w:val="20"/>
          <w:szCs w:val="20"/>
        </w:rPr>
      </w:pPr>
      <w:r>
        <w:rPr>
          <w:rFonts w:ascii="Arial" w:hAnsi="Arial" w:cs="Arial"/>
          <w:sz w:val="20"/>
          <w:szCs w:val="20"/>
        </w:rPr>
        <w:t>J</w:t>
      </w:r>
      <w:r w:rsidR="004973D0" w:rsidRPr="00073DFF">
        <w:rPr>
          <w:rFonts w:ascii="Arial" w:hAnsi="Arial" w:cs="Arial"/>
          <w:sz w:val="20"/>
          <w:szCs w:val="20"/>
        </w:rPr>
        <w:t>edná se o pacienty léčené pomocí antidiabetik (ATC skupina A10) pro diabetes mellitus I.a II. typu, bez ohledu na to, zda jsou léčeni v diabetologické ordi</w:t>
      </w:r>
      <w:r w:rsidR="004973D0" w:rsidRPr="0009644F">
        <w:rPr>
          <w:rFonts w:ascii="Arial" w:hAnsi="Arial" w:cs="Arial"/>
          <w:sz w:val="20"/>
          <w:szCs w:val="20"/>
        </w:rPr>
        <w:t>naci (včetně ambulantních částí nemocnic) nebo</w:t>
      </w:r>
      <w:r w:rsidR="00666A1D">
        <w:rPr>
          <w:rFonts w:ascii="Arial" w:hAnsi="Arial" w:cs="Arial"/>
          <w:sz w:val="20"/>
          <w:szCs w:val="20"/>
        </w:rPr>
        <w:t> </w:t>
      </w:r>
      <w:r w:rsidR="004973D0" w:rsidRPr="0009644F">
        <w:rPr>
          <w:rFonts w:ascii="Arial" w:hAnsi="Arial" w:cs="Arial"/>
          <w:sz w:val="20"/>
          <w:szCs w:val="20"/>
        </w:rPr>
        <w:t>v ordinaci praktického lékaře pro dospělé.</w:t>
      </w:r>
      <w:r w:rsidR="0074297D" w:rsidRPr="0009644F">
        <w:rPr>
          <w:rFonts w:ascii="Arial" w:hAnsi="Arial" w:cs="Arial"/>
          <w:sz w:val="20"/>
          <w:szCs w:val="20"/>
        </w:rPr>
        <w:t xml:space="preserve"> </w:t>
      </w:r>
      <w:r w:rsidR="005D4DB7" w:rsidRPr="0009644F">
        <w:rPr>
          <w:rFonts w:ascii="Arial" w:hAnsi="Arial" w:cs="Arial"/>
          <w:sz w:val="20"/>
          <w:szCs w:val="20"/>
        </w:rPr>
        <w:t>Uveden je stav k 31. 12. sledovaného roku. Diabetičtí pacienti léčení pouze dietou zde nejsou zahrnuti.</w:t>
      </w:r>
    </w:p>
    <w:p w14:paraId="1D538E92" w14:textId="2991451E" w:rsidR="001458D2" w:rsidRDefault="001458D2" w:rsidP="001458D2">
      <w:pPr>
        <w:spacing w:before="120" w:after="120"/>
        <w:jc w:val="both"/>
        <w:rPr>
          <w:rFonts w:ascii="Arial" w:hAnsi="Arial" w:cs="Arial"/>
          <w:sz w:val="20"/>
          <w:szCs w:val="20"/>
        </w:rPr>
      </w:pPr>
    </w:p>
    <w:p w14:paraId="5D5339B3" w14:textId="223BEA18" w:rsidR="001458D2" w:rsidRPr="002414B2" w:rsidRDefault="001458D2" w:rsidP="001458D2">
      <w:pPr>
        <w:pStyle w:val="Zkladntextodsazen"/>
        <w:ind w:firstLine="720"/>
        <w:rPr>
          <w:b/>
          <w:color w:val="auto"/>
          <w:sz w:val="24"/>
          <w:szCs w:val="24"/>
          <w:u w:val="single"/>
        </w:rPr>
      </w:pPr>
      <w:r>
        <w:rPr>
          <w:b/>
          <w:color w:val="auto"/>
          <w:sz w:val="24"/>
          <w:szCs w:val="24"/>
          <w:u w:val="single"/>
        </w:rPr>
        <w:t>Nově hlášená onemocnění zhoubnými novotvary</w:t>
      </w:r>
      <w:r w:rsidRPr="0009644F">
        <w:rPr>
          <w:b/>
          <w:color w:val="auto"/>
          <w:sz w:val="24"/>
          <w:szCs w:val="24"/>
          <w:u w:val="single"/>
        </w:rPr>
        <w:t xml:space="preserve"> </w:t>
      </w:r>
      <w:r w:rsidRPr="002414B2">
        <w:rPr>
          <w:b/>
          <w:color w:val="auto"/>
          <w:sz w:val="24"/>
          <w:szCs w:val="24"/>
          <w:u w:val="single"/>
        </w:rPr>
        <w:t>(tabulky 2-16</w:t>
      </w:r>
      <w:r w:rsidR="007B036B" w:rsidRPr="002414B2">
        <w:rPr>
          <w:b/>
          <w:color w:val="auto"/>
          <w:sz w:val="24"/>
          <w:szCs w:val="24"/>
          <w:u w:val="single"/>
        </w:rPr>
        <w:t>.</w:t>
      </w:r>
      <w:r w:rsidRPr="002414B2">
        <w:rPr>
          <w:b/>
          <w:color w:val="auto"/>
          <w:sz w:val="24"/>
          <w:szCs w:val="24"/>
          <w:u w:val="single"/>
        </w:rPr>
        <w:t xml:space="preserve"> a 2-17</w:t>
      </w:r>
      <w:r w:rsidR="007B036B" w:rsidRPr="002414B2">
        <w:rPr>
          <w:b/>
          <w:color w:val="auto"/>
          <w:sz w:val="24"/>
          <w:szCs w:val="24"/>
          <w:u w:val="single"/>
        </w:rPr>
        <w:t>.</w:t>
      </w:r>
      <w:r w:rsidRPr="002414B2">
        <w:rPr>
          <w:b/>
          <w:color w:val="auto"/>
          <w:sz w:val="24"/>
          <w:szCs w:val="24"/>
          <w:u w:val="single"/>
        </w:rPr>
        <w:t>)</w:t>
      </w:r>
    </w:p>
    <w:p w14:paraId="68A96DDD" w14:textId="6DA742F0" w:rsidR="006D0432" w:rsidRPr="001458D2" w:rsidRDefault="001458D2" w:rsidP="009474AC">
      <w:pPr>
        <w:keepNext/>
        <w:spacing w:before="120" w:after="120"/>
        <w:ind w:firstLine="708"/>
        <w:jc w:val="both"/>
        <w:rPr>
          <w:rFonts w:ascii="Arial" w:hAnsi="Arial" w:cs="Arial"/>
          <w:bCs/>
          <w:sz w:val="20"/>
          <w:szCs w:val="20"/>
        </w:rPr>
      </w:pPr>
      <w:r>
        <w:rPr>
          <w:rFonts w:ascii="Arial" w:hAnsi="Arial" w:cs="Arial"/>
          <w:sz w:val="20"/>
          <w:szCs w:val="20"/>
        </w:rPr>
        <w:t>Ú</w:t>
      </w:r>
      <w:r w:rsidR="0074297D" w:rsidRPr="0009644F">
        <w:rPr>
          <w:rFonts w:ascii="Arial" w:hAnsi="Arial" w:cs="Arial"/>
          <w:sz w:val="20"/>
          <w:szCs w:val="20"/>
        </w:rPr>
        <w:t>daje</w:t>
      </w:r>
      <w:r w:rsidR="0074297D" w:rsidRPr="0009644F">
        <w:rPr>
          <w:rFonts w:ascii="Arial" w:hAnsi="Arial" w:cs="Arial"/>
          <w:bCs/>
          <w:sz w:val="20"/>
          <w:szCs w:val="20"/>
        </w:rPr>
        <w:t xml:space="preserve"> </w:t>
      </w:r>
      <w:r w:rsidR="0074297D" w:rsidRPr="0009644F">
        <w:rPr>
          <w:rFonts w:ascii="Arial" w:hAnsi="Arial" w:cs="Arial"/>
          <w:color w:val="0A0A0A"/>
          <w:sz w:val="20"/>
          <w:szCs w:val="20"/>
          <w:shd w:val="clear" w:color="auto" w:fill="FFFFFF"/>
        </w:rPr>
        <w:t>vycházejí z dat Národního onkologického registru (NOR) ČR,</w:t>
      </w:r>
      <w:r w:rsidR="0074297D" w:rsidRPr="0009644F">
        <w:rPr>
          <w:rFonts w:ascii="Arial" w:hAnsi="Arial" w:cs="Arial"/>
          <w:sz w:val="20"/>
          <w:szCs w:val="20"/>
        </w:rPr>
        <w:t xml:space="preserve"> který je součástí Národního zdravotnického informačního systému (NZIS). NOR je celoplošným populačním registrem, který funguje od roku 1976 a jehož účelem je registrace onkologických onemocnění a periodické sledování jejich dalšího vývoje. V tabulce jsou započítány všechny zhoubné novotvary </w:t>
      </w:r>
      <w:r w:rsidR="0074297D" w:rsidRPr="0009644F">
        <w:rPr>
          <w:rFonts w:ascii="Arial" w:hAnsi="Arial" w:cs="Arial"/>
          <w:b/>
          <w:sz w:val="20"/>
          <w:szCs w:val="20"/>
        </w:rPr>
        <w:t>vyjma jiných zhoubných novotvarů kůže, tj. C00–97 bez C44</w:t>
      </w:r>
      <w:r w:rsidR="0074297D" w:rsidRPr="0009644F">
        <w:rPr>
          <w:rFonts w:ascii="Arial" w:hAnsi="Arial" w:cs="Arial"/>
          <w:sz w:val="20"/>
          <w:szCs w:val="20"/>
        </w:rPr>
        <w:t xml:space="preserve"> dle Mezinárodní statistické klasifikace přidružených zdravotních problémů, 10. revize (MKN-10).</w:t>
      </w:r>
    </w:p>
    <w:p w14:paraId="535178B9" w14:textId="6F9062F2" w:rsidR="006D0432" w:rsidRPr="002414B2" w:rsidRDefault="006D0432" w:rsidP="00E13012">
      <w:pPr>
        <w:pStyle w:val="Nadpis1"/>
        <w:ind w:firstLine="708"/>
        <w:jc w:val="both"/>
        <w:rPr>
          <w:rFonts w:ascii="Arial" w:hAnsi="Arial" w:cs="Arial"/>
          <w:b/>
          <w:bCs/>
        </w:rPr>
      </w:pPr>
      <w:r w:rsidRPr="0009644F">
        <w:rPr>
          <w:rFonts w:ascii="Arial" w:hAnsi="Arial" w:cs="Arial"/>
          <w:b/>
          <w:bCs/>
        </w:rPr>
        <w:t xml:space="preserve">Pracovníci ve zdravotnictví </w:t>
      </w:r>
      <w:r w:rsidRPr="002414B2">
        <w:rPr>
          <w:rFonts w:ascii="Arial" w:hAnsi="Arial" w:cs="Arial"/>
          <w:b/>
          <w:bCs/>
        </w:rPr>
        <w:t>(</w:t>
      </w:r>
      <w:r w:rsidR="001458D2" w:rsidRPr="002414B2">
        <w:rPr>
          <w:rFonts w:ascii="Arial" w:hAnsi="Arial" w:cs="Arial"/>
          <w:b/>
          <w:bCs/>
        </w:rPr>
        <w:t>tabulka 2-22</w:t>
      </w:r>
      <w:r w:rsidR="007B036B" w:rsidRPr="002414B2">
        <w:rPr>
          <w:rFonts w:ascii="Arial" w:hAnsi="Arial" w:cs="Arial"/>
          <w:b/>
          <w:bCs/>
        </w:rPr>
        <w:t>.</w:t>
      </w:r>
      <w:r w:rsidRPr="002414B2">
        <w:rPr>
          <w:rFonts w:ascii="Arial" w:hAnsi="Arial" w:cs="Arial"/>
          <w:b/>
          <w:bCs/>
        </w:rPr>
        <w:t>)</w:t>
      </w:r>
    </w:p>
    <w:p w14:paraId="779132D6" w14:textId="77777777" w:rsidR="006D0432" w:rsidRPr="00073DFF" w:rsidRDefault="006D0432" w:rsidP="00E13012">
      <w:pPr>
        <w:pStyle w:val="Nadpis1"/>
        <w:jc w:val="both"/>
      </w:pPr>
    </w:p>
    <w:p w14:paraId="18582F96" w14:textId="77777777" w:rsidR="006D0432" w:rsidRPr="00FB15A5" w:rsidRDefault="006D0432" w:rsidP="00E13012">
      <w:pPr>
        <w:pStyle w:val="Nadpis1"/>
        <w:ind w:firstLine="708"/>
        <w:jc w:val="both"/>
        <w:rPr>
          <w:rFonts w:ascii="Arial" w:hAnsi="Arial" w:cs="Arial"/>
          <w:sz w:val="20"/>
          <w:szCs w:val="20"/>
          <w:u w:val="none"/>
        </w:rPr>
      </w:pPr>
      <w:r w:rsidRPr="00FB15A5">
        <w:rPr>
          <w:rFonts w:ascii="Arial" w:hAnsi="Arial" w:cs="Arial"/>
          <w:sz w:val="20"/>
          <w:szCs w:val="20"/>
          <w:u w:val="none"/>
        </w:rPr>
        <w:t xml:space="preserve">Zdrojem dat je Roční výkaz o zaměstnavatelích, evidenčním počtu zaměstnanců a smluvních pracovnících E (MZ) 4-01 a výkazy o složkách platu/mezd, personálním a provozním vybavení poskytovatele zdravotních služeb E (MZ) 2-01 a 3-01. Tyto údaje byly doplněny o data o všeobecných praktických lékařích, praktických lékařích pro děti a dorost (pediatr) a praktických gynekolozích z Národního registru hrazených zdravotních služeb. </w:t>
      </w:r>
    </w:p>
    <w:p w14:paraId="0A263A14" w14:textId="77777777" w:rsidR="006D0432" w:rsidRPr="00FB15A5" w:rsidRDefault="006D0432" w:rsidP="00E13012">
      <w:pPr>
        <w:jc w:val="both"/>
        <w:rPr>
          <w:rFonts w:ascii="Arial" w:hAnsi="Arial" w:cs="Arial"/>
          <w:sz w:val="20"/>
          <w:szCs w:val="20"/>
        </w:rPr>
      </w:pPr>
      <w:r w:rsidRPr="00FB15A5">
        <w:tab/>
      </w:r>
    </w:p>
    <w:p w14:paraId="18412C1B" w14:textId="1E0B46C8" w:rsidR="00C128D7" w:rsidRDefault="007B036B" w:rsidP="00EC0789">
      <w:pPr>
        <w:pStyle w:val="Nadpis1"/>
        <w:ind w:firstLine="708"/>
        <w:jc w:val="both"/>
        <w:rPr>
          <w:rFonts w:ascii="Arial" w:hAnsi="Arial" w:cs="Arial"/>
          <w:b/>
          <w:bCs/>
        </w:rPr>
      </w:pPr>
      <w:r>
        <w:rPr>
          <w:rFonts w:ascii="Arial" w:hAnsi="Arial" w:cs="Arial"/>
          <w:sz w:val="20"/>
          <w:szCs w:val="20"/>
          <w:u w:val="none"/>
        </w:rPr>
        <w:t>Údaje uvedené v tabulce 2-22.</w:t>
      </w:r>
      <w:r w:rsidR="006D0432" w:rsidRPr="00FB15A5">
        <w:rPr>
          <w:rFonts w:ascii="Arial" w:hAnsi="Arial" w:cs="Arial"/>
          <w:sz w:val="20"/>
          <w:szCs w:val="20"/>
          <w:u w:val="none"/>
        </w:rPr>
        <w:t xml:space="preserve"> </w:t>
      </w:r>
      <w:r w:rsidR="00EC0789">
        <w:rPr>
          <w:rFonts w:ascii="Arial" w:hAnsi="Arial" w:cs="Arial"/>
          <w:sz w:val="20"/>
          <w:szCs w:val="20"/>
          <w:u w:val="none"/>
        </w:rPr>
        <w:t xml:space="preserve">jsou </w:t>
      </w:r>
      <w:r w:rsidR="00EC0789" w:rsidRPr="00C43AB0">
        <w:rPr>
          <w:rFonts w:ascii="Arial" w:hAnsi="Arial" w:cs="Arial"/>
          <w:b/>
          <w:sz w:val="20"/>
          <w:szCs w:val="20"/>
          <w:u w:val="none"/>
        </w:rPr>
        <w:t>počty fyzických osob pracovníků</w:t>
      </w:r>
      <w:r w:rsidR="00EC0789">
        <w:rPr>
          <w:rFonts w:ascii="Arial" w:hAnsi="Arial" w:cs="Arial"/>
          <w:sz w:val="20"/>
          <w:szCs w:val="20"/>
          <w:u w:val="none"/>
        </w:rPr>
        <w:t xml:space="preserve"> ve zdravotnictví. Jedná </w:t>
      </w:r>
      <w:r w:rsidR="00C43AB0">
        <w:rPr>
          <w:rFonts w:ascii="Arial" w:hAnsi="Arial" w:cs="Arial"/>
          <w:sz w:val="20"/>
          <w:szCs w:val="20"/>
          <w:u w:val="none"/>
        </w:rPr>
        <w:t>se</w:t>
      </w:r>
      <w:r w:rsidR="00B9120B">
        <w:rPr>
          <w:rFonts w:ascii="Arial" w:hAnsi="Arial" w:cs="Arial"/>
          <w:sz w:val="20"/>
          <w:szCs w:val="20"/>
          <w:u w:val="none"/>
        </w:rPr>
        <w:t> </w:t>
      </w:r>
      <w:r w:rsidR="00C43AB0">
        <w:rPr>
          <w:rFonts w:ascii="Arial" w:hAnsi="Arial" w:cs="Arial"/>
          <w:sz w:val="20"/>
          <w:szCs w:val="20"/>
          <w:u w:val="none"/>
        </w:rPr>
        <w:t>o</w:t>
      </w:r>
      <w:r w:rsidR="00B9120B">
        <w:rPr>
          <w:rFonts w:ascii="Arial" w:hAnsi="Arial" w:cs="Arial"/>
          <w:sz w:val="20"/>
          <w:szCs w:val="20"/>
          <w:u w:val="none"/>
        </w:rPr>
        <w:t> </w:t>
      </w:r>
      <w:r w:rsidR="00EC0789">
        <w:rPr>
          <w:rFonts w:ascii="Arial" w:hAnsi="Arial" w:cs="Arial"/>
          <w:sz w:val="20"/>
          <w:szCs w:val="20"/>
          <w:u w:val="none"/>
        </w:rPr>
        <w:t xml:space="preserve">údaj </w:t>
      </w:r>
      <w:r w:rsidR="006D0432" w:rsidRPr="00FB15A5">
        <w:rPr>
          <w:rFonts w:ascii="Arial" w:hAnsi="Arial" w:cs="Arial"/>
          <w:sz w:val="20"/>
          <w:szCs w:val="20"/>
          <w:u w:val="none"/>
        </w:rPr>
        <w:t>k 31. 12. sledovaného roku</w:t>
      </w:r>
      <w:r w:rsidR="00EC0789">
        <w:rPr>
          <w:rFonts w:ascii="Arial" w:hAnsi="Arial" w:cs="Arial"/>
          <w:sz w:val="20"/>
          <w:szCs w:val="20"/>
          <w:u w:val="none"/>
        </w:rPr>
        <w:t>.</w:t>
      </w:r>
    </w:p>
    <w:p w14:paraId="257EE366" w14:textId="1B5B6FEC" w:rsidR="00C128D7" w:rsidRPr="002414B2"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b/>
          <w:u w:val="single"/>
        </w:rPr>
      </w:pPr>
      <w:r w:rsidRPr="00C128D7">
        <w:rPr>
          <w:rFonts w:ascii="Arial" w:hAnsi="Arial" w:cs="Arial"/>
          <w:b/>
          <w:u w:val="single"/>
        </w:rPr>
        <w:t xml:space="preserve">Výdaje zdravotních pojišťoven </w:t>
      </w:r>
      <w:r w:rsidRPr="002414B2">
        <w:rPr>
          <w:rFonts w:ascii="Arial" w:hAnsi="Arial" w:cs="Arial"/>
          <w:b/>
          <w:u w:val="single"/>
        </w:rPr>
        <w:t>(tabulky 2-18</w:t>
      </w:r>
      <w:r w:rsidR="007B036B" w:rsidRPr="002414B2">
        <w:rPr>
          <w:rFonts w:ascii="Arial" w:hAnsi="Arial" w:cs="Arial"/>
          <w:b/>
          <w:u w:val="single"/>
        </w:rPr>
        <w:t>.</w:t>
      </w:r>
      <w:r w:rsidRPr="002414B2">
        <w:rPr>
          <w:rFonts w:ascii="Arial" w:hAnsi="Arial" w:cs="Arial"/>
          <w:b/>
          <w:u w:val="single"/>
        </w:rPr>
        <w:t xml:space="preserve"> až 2-21</w:t>
      </w:r>
      <w:r w:rsidR="007B036B" w:rsidRPr="002414B2">
        <w:rPr>
          <w:rFonts w:ascii="Arial" w:hAnsi="Arial" w:cs="Arial"/>
          <w:b/>
          <w:u w:val="single"/>
        </w:rPr>
        <w:t>.</w:t>
      </w:r>
      <w:r w:rsidRPr="002414B2">
        <w:rPr>
          <w:rFonts w:ascii="Arial" w:hAnsi="Arial" w:cs="Arial"/>
          <w:b/>
          <w:u w:val="single"/>
        </w:rPr>
        <w:t>)</w:t>
      </w:r>
    </w:p>
    <w:p w14:paraId="0FE693C1" w14:textId="77777777" w:rsidR="00C128D7"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rPr>
      </w:pPr>
      <w:r w:rsidRPr="0009644F">
        <w:rPr>
          <w:rFonts w:ascii="Arial" w:eastAsia="Calibri" w:hAnsi="Arial" w:cs="Arial"/>
          <w:sz w:val="20"/>
          <w:szCs w:val="20"/>
          <w:lang w:eastAsia="en-US"/>
        </w:rPr>
        <w:t>Hlavním zdrojem dat o výdajích zdravotních pojišťoven jsou údaje o zdravotní péči vykázané zdravotnickými zařízeními a uznané zdravotními pojišťovnami.</w:t>
      </w:r>
      <w:r w:rsidRPr="00442AA9">
        <w:rPr>
          <w:sz w:val="20"/>
        </w:rPr>
        <w:t xml:space="preserve"> </w:t>
      </w:r>
    </w:p>
    <w:p w14:paraId="1BBF0278" w14:textId="4D7794A1" w:rsidR="00C128D7" w:rsidRPr="00E13012"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eastAsia="Calibri"/>
        </w:rPr>
      </w:pPr>
      <w:r w:rsidRPr="00E13012">
        <w:rPr>
          <w:rFonts w:ascii="Arial" w:hAnsi="Arial" w:cs="Arial"/>
          <w:sz w:val="20"/>
        </w:rPr>
        <w:t>V roce 2022 došlo k </w:t>
      </w:r>
      <w:r w:rsidRPr="00E13012">
        <w:rPr>
          <w:rFonts w:ascii="Arial" w:hAnsi="Arial" w:cs="Arial"/>
          <w:b/>
          <w:sz w:val="20"/>
        </w:rPr>
        <w:t>revizi dat za roky 2017–2019 a zpracování dat za rok 2020</w:t>
      </w:r>
      <w:r w:rsidRPr="00E13012">
        <w:rPr>
          <w:rFonts w:ascii="Arial" w:hAnsi="Arial" w:cs="Arial"/>
          <w:sz w:val="20"/>
        </w:rPr>
        <w:t xml:space="preserve"> s využitím </w:t>
      </w:r>
      <w:r w:rsidRPr="00E13012">
        <w:rPr>
          <w:rFonts w:ascii="Arial" w:hAnsi="Arial" w:cs="Arial"/>
          <w:b/>
          <w:sz w:val="20"/>
        </w:rPr>
        <w:t>nového datového zdroje</w:t>
      </w:r>
      <w:r w:rsidRPr="00E13012">
        <w:rPr>
          <w:rFonts w:ascii="Arial" w:hAnsi="Arial" w:cs="Arial"/>
          <w:sz w:val="20"/>
        </w:rPr>
        <w:t>. ČSÚ poprvé pro analýzu výdajů na zdravotní péči</w:t>
      </w:r>
      <w:r w:rsidR="007B036B">
        <w:rPr>
          <w:rFonts w:ascii="Arial" w:hAnsi="Arial" w:cs="Arial"/>
          <w:sz w:val="20"/>
        </w:rPr>
        <w:t xml:space="preserve"> nepoužil data předaná přímo od </w:t>
      </w:r>
      <w:r w:rsidRPr="00E13012">
        <w:rPr>
          <w:rFonts w:ascii="Arial" w:hAnsi="Arial" w:cs="Arial"/>
          <w:sz w:val="20"/>
        </w:rPr>
        <w:t>jednotlivých zdravotních pojišťoven, ale data, která pojišťovny posílají v průběhu roku do NRHZS a</w:t>
      </w:r>
      <w:r w:rsidR="00666A1D">
        <w:rPr>
          <w:rFonts w:ascii="Arial" w:hAnsi="Arial" w:cs="Arial"/>
          <w:sz w:val="20"/>
        </w:rPr>
        <w:t> </w:t>
      </w:r>
      <w:r w:rsidRPr="00E13012">
        <w:rPr>
          <w:rFonts w:ascii="Arial" w:hAnsi="Arial" w:cs="Arial"/>
          <w:sz w:val="20"/>
        </w:rPr>
        <w:t>Ministerstvu zdravotnictví České republiky (MZ ČR). Hlavním důvodem revize byla snaha o snížení administrativní zátěže jednotlivých zdravotních pojišťoven a sjednocení vstupního zdroje.</w:t>
      </w:r>
    </w:p>
    <w:p w14:paraId="09CE87A5" w14:textId="77777777" w:rsidR="00C128D7"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14:paraId="53367472" w14:textId="77777777" w:rsidR="00C128D7" w:rsidRPr="0009644F"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sz w:val="20"/>
          <w:szCs w:val="20"/>
        </w:rPr>
      </w:pPr>
      <w:r>
        <w:rPr>
          <w:rFonts w:ascii="Arial" w:hAnsi="Arial" w:cs="Arial"/>
          <w:sz w:val="20"/>
          <w:szCs w:val="20"/>
        </w:rPr>
        <w:tab/>
      </w:r>
      <w:r w:rsidRPr="0009644F">
        <w:rPr>
          <w:rFonts w:ascii="Arial" w:hAnsi="Arial" w:cs="Arial"/>
          <w:b/>
          <w:bCs/>
          <w:sz w:val="20"/>
          <w:szCs w:val="20"/>
        </w:rPr>
        <w:t>Výdaje zdravotních pojišťoven na 1 obyvatele podle pohlaví a věkových skupin</w:t>
      </w:r>
    </w:p>
    <w:p w14:paraId="6B1E1965" w14:textId="7F8DD481" w:rsidR="00C128D7" w:rsidRDefault="00C128D7" w:rsidP="00C128D7">
      <w:pPr>
        <w:pStyle w:val="Zkladntextodsazen3"/>
        <w:ind w:left="0"/>
        <w:jc w:val="both"/>
        <w:rPr>
          <w:rFonts w:ascii="Arial" w:hAnsi="Arial" w:cs="Arial"/>
          <w:sz w:val="20"/>
          <w:szCs w:val="20"/>
        </w:rPr>
      </w:pPr>
      <w:r w:rsidRPr="00E13012">
        <w:rPr>
          <w:rFonts w:ascii="Arial" w:hAnsi="Arial" w:cs="Arial"/>
          <w:sz w:val="20"/>
          <w:szCs w:val="20"/>
        </w:rPr>
        <w:t>Údaje v tabulce vycházejí ze systému zdravotnických účtů České republiky. Do celkového ukazatele výdajů na jednoho obyvatele daného pohlaví jsou započítávány i výdaje, které nelze rozdělit podle věku</w:t>
      </w:r>
      <w:r w:rsidR="00666A1D">
        <w:rPr>
          <w:rFonts w:ascii="Arial" w:hAnsi="Arial" w:cs="Arial"/>
          <w:sz w:val="20"/>
          <w:szCs w:val="20"/>
        </w:rPr>
        <w:t>.</w:t>
      </w:r>
    </w:p>
    <w:p w14:paraId="7CC12BAD" w14:textId="77777777" w:rsidR="00C128D7"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rPr>
          <w:rFonts w:ascii="Arial" w:hAnsi="Arial" w:cs="Arial"/>
          <w:sz w:val="20"/>
          <w:szCs w:val="20"/>
        </w:rPr>
      </w:pPr>
      <w:r>
        <w:rPr>
          <w:rFonts w:ascii="Arial" w:hAnsi="Arial" w:cs="Arial"/>
          <w:sz w:val="20"/>
          <w:szCs w:val="20"/>
        </w:rPr>
        <w:tab/>
      </w:r>
      <w:r w:rsidRPr="00E13012">
        <w:rPr>
          <w:rFonts w:ascii="Arial" w:hAnsi="Arial" w:cs="Arial"/>
          <w:b/>
          <w:sz w:val="20"/>
          <w:szCs w:val="20"/>
        </w:rPr>
        <w:t>Výdaje zdravotních pojišťoven na zdravotní péči podle vybraných diagnóz, pohlaví a věkových</w:t>
      </w:r>
      <w:r>
        <w:rPr>
          <w:rFonts w:ascii="Arial" w:hAnsi="Arial" w:cs="Arial"/>
          <w:b/>
          <w:sz w:val="20"/>
          <w:szCs w:val="20"/>
        </w:rPr>
        <w:t xml:space="preserve"> </w:t>
      </w:r>
      <w:r w:rsidRPr="00E13012">
        <w:rPr>
          <w:rFonts w:ascii="Arial" w:hAnsi="Arial" w:cs="Arial"/>
          <w:b/>
          <w:sz w:val="20"/>
          <w:szCs w:val="20"/>
        </w:rPr>
        <w:t>skupin</w:t>
      </w:r>
    </w:p>
    <w:p w14:paraId="19B592F2" w14:textId="5FA1C1C5" w:rsidR="00C128D7" w:rsidRDefault="00C128D7" w:rsidP="00C128D7">
      <w:pPr>
        <w:pStyle w:val="Zkladntextodsazen3"/>
        <w:ind w:left="0"/>
        <w:jc w:val="both"/>
        <w:rPr>
          <w:rFonts w:ascii="Arial" w:hAnsi="Arial" w:cs="Arial"/>
          <w:sz w:val="20"/>
          <w:szCs w:val="20"/>
        </w:rPr>
      </w:pPr>
      <w:r>
        <w:rPr>
          <w:rFonts w:ascii="Arial" w:hAnsi="Arial" w:cs="Arial"/>
          <w:sz w:val="20"/>
          <w:szCs w:val="20"/>
        </w:rPr>
        <w:t>V</w:t>
      </w:r>
      <w:r w:rsidRPr="00E13012">
        <w:rPr>
          <w:rFonts w:ascii="Arial" w:hAnsi="Arial" w:cs="Arial"/>
          <w:sz w:val="20"/>
          <w:szCs w:val="20"/>
        </w:rPr>
        <w:t> tabulce jsou vybrány diagnózy, respektive kapitoly MKN-10, které pro z</w:t>
      </w:r>
      <w:r w:rsidRPr="0009644F">
        <w:rPr>
          <w:rFonts w:ascii="Arial" w:hAnsi="Arial" w:cs="Arial"/>
          <w:sz w:val="20"/>
          <w:szCs w:val="20"/>
        </w:rPr>
        <w:t>dravotní pojišťovny</w:t>
      </w:r>
      <w:r>
        <w:rPr>
          <w:rFonts w:ascii="Arial" w:hAnsi="Arial" w:cs="Arial"/>
          <w:sz w:val="20"/>
          <w:szCs w:val="20"/>
        </w:rPr>
        <w:t xml:space="preserve"> </w:t>
      </w:r>
      <w:r w:rsidRPr="0009644F">
        <w:rPr>
          <w:rFonts w:ascii="Arial" w:hAnsi="Arial" w:cs="Arial"/>
          <w:sz w:val="20"/>
          <w:szCs w:val="20"/>
        </w:rPr>
        <w:t>představuj</w:t>
      </w:r>
      <w:r>
        <w:rPr>
          <w:rFonts w:ascii="Arial" w:hAnsi="Arial" w:cs="Arial"/>
          <w:sz w:val="20"/>
          <w:szCs w:val="20"/>
        </w:rPr>
        <w:t xml:space="preserve">í </w:t>
      </w:r>
      <w:r w:rsidRPr="00E13012">
        <w:rPr>
          <w:rFonts w:ascii="Arial" w:hAnsi="Arial" w:cs="Arial"/>
          <w:sz w:val="20"/>
          <w:szCs w:val="20"/>
        </w:rPr>
        <w:t>největší výdajové skupiny</w:t>
      </w:r>
      <w:r>
        <w:rPr>
          <w:rFonts w:ascii="Arial" w:hAnsi="Arial" w:cs="Arial"/>
          <w:sz w:val="20"/>
          <w:szCs w:val="20"/>
        </w:rPr>
        <w:t>.</w:t>
      </w:r>
    </w:p>
    <w:p w14:paraId="6A7F020F" w14:textId="5B939CFF" w:rsidR="00C128D7" w:rsidRDefault="00C128D7"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u w:val="single"/>
        </w:rPr>
      </w:pPr>
    </w:p>
    <w:p w14:paraId="5AB7F0F8" w14:textId="1DE17A9E" w:rsidR="00C128D7" w:rsidRPr="002414B2" w:rsidRDefault="00C128D7" w:rsidP="00C128D7">
      <w:pPr>
        <w:ind w:firstLine="708"/>
        <w:jc w:val="both"/>
        <w:rPr>
          <w:rFonts w:ascii="Arial" w:hAnsi="Arial" w:cs="Arial"/>
          <w:b/>
          <w:bCs/>
          <w:u w:val="single"/>
          <w:lang w:eastAsia="en-US"/>
        </w:rPr>
      </w:pPr>
      <w:r w:rsidRPr="0009644F">
        <w:rPr>
          <w:rFonts w:ascii="Arial" w:hAnsi="Arial" w:cs="Arial"/>
          <w:b/>
          <w:bCs/>
          <w:color w:val="000000"/>
          <w:u w:val="single"/>
          <w:lang w:eastAsia="en-US"/>
        </w:rPr>
        <w:t xml:space="preserve">Studenti a absolventi zdravotní péče na vysokých školách </w:t>
      </w:r>
      <w:r w:rsidRPr="002414B2">
        <w:rPr>
          <w:rFonts w:ascii="Arial" w:hAnsi="Arial" w:cs="Arial"/>
          <w:b/>
          <w:bCs/>
          <w:u w:val="single"/>
          <w:lang w:eastAsia="en-US"/>
        </w:rPr>
        <w:t>(tabulka 2-25</w:t>
      </w:r>
      <w:r w:rsidR="007B036B" w:rsidRPr="002414B2">
        <w:rPr>
          <w:rFonts w:ascii="Arial" w:hAnsi="Arial" w:cs="Arial"/>
          <w:b/>
          <w:bCs/>
          <w:u w:val="single"/>
          <w:lang w:eastAsia="en-US"/>
        </w:rPr>
        <w:t>.</w:t>
      </w:r>
      <w:r w:rsidRPr="002414B2">
        <w:rPr>
          <w:rFonts w:ascii="Arial" w:hAnsi="Arial" w:cs="Arial"/>
          <w:b/>
          <w:bCs/>
          <w:u w:val="single"/>
          <w:lang w:eastAsia="en-US"/>
        </w:rPr>
        <w:t>)</w:t>
      </w:r>
    </w:p>
    <w:p w14:paraId="5DA431D5" w14:textId="77777777" w:rsidR="00C128D7" w:rsidRPr="00E13012" w:rsidRDefault="00C128D7" w:rsidP="00C128D7">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 xml:space="preserve">Údaje za studenty a absolventy zdravotní péče byly získány ze systému Sdružených informací matrik studentů (SIMS). Zdrojová databáze SIMS je trvale doplňována a aktualizována, včetně zpětných oprav; údaje publikované v této publikaci odpovídají stavu zpracování ke dni 20. ledna 2022. Data za studenty vysokých škol se vztahují vždy k 31. prosinci příslušného roku, data za absolventy pak k celému kalendářnímu roku. </w:t>
      </w:r>
    </w:p>
    <w:p w14:paraId="7F18AD1D" w14:textId="77777777" w:rsidR="00C128D7" w:rsidRPr="00E13012" w:rsidRDefault="00C128D7" w:rsidP="00C128D7">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 xml:space="preserve">Studium zdravotní péče je vymezeno na základě Klasifikace oborů vzdělání CZ-ISCED-F 2013, a to pomocí úzce vymezeného oboru 091 </w:t>
      </w:r>
      <w:r w:rsidRPr="00E13012">
        <w:rPr>
          <w:rFonts w:ascii="Arial" w:hAnsi="Arial" w:cs="Arial"/>
          <w:i/>
          <w:color w:val="000000"/>
          <w:sz w:val="20"/>
          <w:szCs w:val="20"/>
          <w:lang w:eastAsia="en-US"/>
        </w:rPr>
        <w:t>Zdravotní péče</w:t>
      </w:r>
      <w:r w:rsidRPr="00E13012">
        <w:rPr>
          <w:rFonts w:ascii="Arial" w:hAnsi="Arial" w:cs="Arial"/>
          <w:color w:val="000000"/>
          <w:sz w:val="20"/>
          <w:szCs w:val="20"/>
          <w:lang w:eastAsia="en-US"/>
        </w:rPr>
        <w:t xml:space="preserve"> zahrnující následující podrobně vymezené obory vzdělání:</w:t>
      </w:r>
    </w:p>
    <w:p w14:paraId="70B63196" w14:textId="77777777" w:rsidR="00C128D7" w:rsidRPr="00262290" w:rsidRDefault="00C128D7" w:rsidP="00262290">
      <w:pPr>
        <w:pStyle w:val="Odstavecseseznamem"/>
        <w:numPr>
          <w:ilvl w:val="0"/>
          <w:numId w:val="4"/>
        </w:numPr>
        <w:jc w:val="both"/>
        <w:rPr>
          <w:rFonts w:ascii="Arial" w:hAnsi="Arial" w:cs="Arial"/>
          <w:color w:val="000000"/>
          <w:sz w:val="20"/>
          <w:szCs w:val="20"/>
          <w:lang w:eastAsia="en-US"/>
        </w:rPr>
      </w:pPr>
      <w:r w:rsidRPr="00262290">
        <w:rPr>
          <w:rFonts w:ascii="Arial" w:hAnsi="Arial" w:cs="Arial"/>
          <w:color w:val="000000"/>
          <w:sz w:val="20"/>
          <w:szCs w:val="20"/>
          <w:lang w:eastAsia="en-US"/>
        </w:rPr>
        <w:t>Stomatologie (0911);</w:t>
      </w:r>
    </w:p>
    <w:p w14:paraId="189931AB" w14:textId="77777777" w:rsidR="00C128D7" w:rsidRPr="00262290" w:rsidRDefault="00C128D7" w:rsidP="00262290">
      <w:pPr>
        <w:pStyle w:val="Odstavecseseznamem"/>
        <w:numPr>
          <w:ilvl w:val="0"/>
          <w:numId w:val="4"/>
        </w:numPr>
        <w:jc w:val="both"/>
        <w:rPr>
          <w:rFonts w:ascii="Arial" w:hAnsi="Arial" w:cs="Arial"/>
          <w:color w:val="000000"/>
          <w:sz w:val="20"/>
          <w:szCs w:val="20"/>
          <w:lang w:eastAsia="en-US"/>
        </w:rPr>
      </w:pPr>
      <w:r w:rsidRPr="00262290">
        <w:rPr>
          <w:rFonts w:ascii="Arial" w:hAnsi="Arial" w:cs="Arial"/>
          <w:color w:val="000000"/>
          <w:sz w:val="20"/>
          <w:szCs w:val="20"/>
          <w:lang w:eastAsia="en-US"/>
        </w:rPr>
        <w:t>Humánní medicína (0912) – skládá se zejména z přípravy lékařů;</w:t>
      </w:r>
    </w:p>
    <w:p w14:paraId="48132F6F" w14:textId="77777777" w:rsidR="00C128D7" w:rsidRPr="00262290" w:rsidRDefault="00C128D7" w:rsidP="00262290">
      <w:pPr>
        <w:pStyle w:val="Odstavecseseznamem"/>
        <w:numPr>
          <w:ilvl w:val="0"/>
          <w:numId w:val="4"/>
        </w:numPr>
        <w:jc w:val="both"/>
        <w:rPr>
          <w:rFonts w:ascii="Arial" w:hAnsi="Arial" w:cs="Arial"/>
          <w:color w:val="000000"/>
          <w:sz w:val="20"/>
          <w:szCs w:val="20"/>
          <w:lang w:eastAsia="en-US"/>
        </w:rPr>
      </w:pPr>
      <w:r w:rsidRPr="00262290">
        <w:rPr>
          <w:rFonts w:ascii="Arial" w:hAnsi="Arial" w:cs="Arial"/>
          <w:color w:val="000000"/>
          <w:sz w:val="20"/>
          <w:szCs w:val="20"/>
          <w:lang w:eastAsia="en-US"/>
        </w:rPr>
        <w:t>Ošetřovatelství a porodní asistentství (0913);</w:t>
      </w:r>
    </w:p>
    <w:p w14:paraId="230F85A6" w14:textId="77777777" w:rsidR="00C128D7" w:rsidRPr="00262290" w:rsidRDefault="00C128D7" w:rsidP="00262290">
      <w:pPr>
        <w:pStyle w:val="Odstavecseseznamem"/>
        <w:numPr>
          <w:ilvl w:val="0"/>
          <w:numId w:val="4"/>
        </w:numPr>
        <w:jc w:val="both"/>
        <w:rPr>
          <w:rFonts w:ascii="Arial" w:hAnsi="Arial" w:cs="Arial"/>
          <w:color w:val="000000"/>
          <w:sz w:val="20"/>
          <w:szCs w:val="20"/>
          <w:lang w:eastAsia="en-US"/>
        </w:rPr>
      </w:pPr>
      <w:r w:rsidRPr="00262290">
        <w:rPr>
          <w:rFonts w:ascii="Arial" w:hAnsi="Arial" w:cs="Arial"/>
          <w:color w:val="000000"/>
          <w:sz w:val="20"/>
          <w:szCs w:val="20"/>
          <w:lang w:eastAsia="en-US"/>
        </w:rPr>
        <w:t>Lékařská diagnostika a léčebné techniky (0914);</w:t>
      </w:r>
    </w:p>
    <w:p w14:paraId="2587005B" w14:textId="77777777" w:rsidR="00C128D7" w:rsidRPr="00262290" w:rsidRDefault="00C128D7" w:rsidP="00262290">
      <w:pPr>
        <w:pStyle w:val="Odstavecseseznamem"/>
        <w:numPr>
          <w:ilvl w:val="0"/>
          <w:numId w:val="4"/>
        </w:numPr>
        <w:jc w:val="both"/>
        <w:rPr>
          <w:rFonts w:ascii="Arial" w:hAnsi="Arial" w:cs="Arial"/>
          <w:sz w:val="20"/>
          <w:szCs w:val="20"/>
          <w:lang w:eastAsia="en-US"/>
        </w:rPr>
      </w:pPr>
      <w:r w:rsidRPr="00262290">
        <w:rPr>
          <w:rFonts w:ascii="Arial" w:hAnsi="Arial" w:cs="Arial"/>
          <w:sz w:val="20"/>
          <w:szCs w:val="20"/>
          <w:lang w:eastAsia="en-US"/>
        </w:rPr>
        <w:t>Terapie a rehabilitace (0915);</w:t>
      </w:r>
    </w:p>
    <w:p w14:paraId="47256EBC" w14:textId="77777777" w:rsidR="00C128D7" w:rsidRPr="00262290" w:rsidRDefault="00C128D7" w:rsidP="00262290">
      <w:pPr>
        <w:pStyle w:val="Odstavecseseznamem"/>
        <w:numPr>
          <w:ilvl w:val="0"/>
          <w:numId w:val="4"/>
        </w:numPr>
        <w:jc w:val="both"/>
        <w:rPr>
          <w:rFonts w:ascii="Arial" w:hAnsi="Arial" w:cs="Arial"/>
          <w:sz w:val="20"/>
          <w:szCs w:val="20"/>
          <w:lang w:eastAsia="en-US"/>
        </w:rPr>
      </w:pPr>
      <w:r w:rsidRPr="00262290">
        <w:rPr>
          <w:rFonts w:ascii="Arial" w:hAnsi="Arial" w:cs="Arial"/>
          <w:sz w:val="20"/>
          <w:szCs w:val="20"/>
          <w:lang w:eastAsia="en-US"/>
        </w:rPr>
        <w:t>Farmacie (0916);</w:t>
      </w:r>
    </w:p>
    <w:p w14:paraId="02160DAC" w14:textId="77777777" w:rsidR="00C128D7" w:rsidRPr="00262290" w:rsidRDefault="00C128D7" w:rsidP="00262290">
      <w:pPr>
        <w:pStyle w:val="Odstavecseseznamem"/>
        <w:numPr>
          <w:ilvl w:val="0"/>
          <w:numId w:val="4"/>
        </w:numPr>
        <w:jc w:val="both"/>
        <w:rPr>
          <w:rFonts w:ascii="Arial" w:hAnsi="Arial" w:cs="Arial"/>
          <w:sz w:val="20"/>
          <w:szCs w:val="20"/>
          <w:lang w:eastAsia="en-US"/>
        </w:rPr>
      </w:pPr>
      <w:r w:rsidRPr="00262290">
        <w:rPr>
          <w:rFonts w:ascii="Arial" w:hAnsi="Arial" w:cs="Arial"/>
          <w:sz w:val="20"/>
          <w:szCs w:val="20"/>
          <w:lang w:eastAsia="en-US"/>
        </w:rPr>
        <w:t>Tradiční a alternativní medicína a terapie (0917).</w:t>
      </w:r>
    </w:p>
    <w:p w14:paraId="23173E20" w14:textId="77777777" w:rsidR="00C128D7" w:rsidRPr="0009644F" w:rsidRDefault="00C128D7" w:rsidP="00C128D7">
      <w:pPr>
        <w:ind w:firstLine="709"/>
        <w:jc w:val="both"/>
        <w:rPr>
          <w:rFonts w:ascii="Arial" w:hAnsi="Arial" w:cs="Arial"/>
          <w:sz w:val="20"/>
          <w:szCs w:val="20"/>
        </w:rPr>
      </w:pPr>
      <w:r w:rsidRPr="00E13012">
        <w:rPr>
          <w:rFonts w:ascii="Arial" w:hAnsi="Arial" w:cs="Arial"/>
          <w:sz w:val="20"/>
          <w:szCs w:val="20"/>
          <w:lang w:eastAsia="en-US"/>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14:paraId="4DB725C5" w14:textId="693552ED" w:rsidR="00C128D7" w:rsidRDefault="00C128D7" w:rsidP="00C128D7">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31CCFA6" w14:textId="514FC694" w:rsidR="00C128D7" w:rsidRPr="002414B2" w:rsidRDefault="00C128D7" w:rsidP="00C128D7">
      <w:pPr>
        <w:ind w:firstLine="708"/>
        <w:jc w:val="both"/>
        <w:rPr>
          <w:rFonts w:ascii="Arial" w:hAnsi="Arial" w:cs="Arial"/>
          <w:b/>
          <w:bCs/>
          <w:u w:val="single"/>
          <w:lang w:eastAsia="en-US"/>
        </w:rPr>
      </w:pPr>
      <w:r w:rsidRPr="00073DFF">
        <w:rPr>
          <w:rFonts w:ascii="Arial" w:hAnsi="Arial" w:cs="Arial"/>
          <w:b/>
          <w:bCs/>
          <w:color w:val="000000"/>
          <w:u w:val="single"/>
          <w:lang w:eastAsia="en-US"/>
        </w:rPr>
        <w:t xml:space="preserve">Mzdy zdravotnických pracovníků </w:t>
      </w:r>
      <w:r w:rsidRPr="002414B2">
        <w:rPr>
          <w:rFonts w:ascii="Arial" w:hAnsi="Arial" w:cs="Arial"/>
          <w:b/>
          <w:bCs/>
          <w:u w:val="single"/>
          <w:lang w:eastAsia="en-US"/>
        </w:rPr>
        <w:t>(tab 2-30</w:t>
      </w:r>
      <w:r w:rsidR="007B036B" w:rsidRPr="002414B2">
        <w:rPr>
          <w:rFonts w:ascii="Arial" w:hAnsi="Arial" w:cs="Arial"/>
          <w:b/>
          <w:bCs/>
          <w:u w:val="single"/>
          <w:lang w:eastAsia="en-US"/>
        </w:rPr>
        <w:t>.</w:t>
      </w:r>
      <w:r w:rsidRPr="002414B2">
        <w:rPr>
          <w:rFonts w:ascii="Arial" w:hAnsi="Arial" w:cs="Arial"/>
          <w:b/>
          <w:bCs/>
          <w:u w:val="single"/>
          <w:lang w:eastAsia="en-US"/>
        </w:rPr>
        <w:t xml:space="preserve"> až 2-33</w:t>
      </w:r>
      <w:r w:rsidR="007B036B" w:rsidRPr="002414B2">
        <w:rPr>
          <w:rFonts w:ascii="Arial" w:hAnsi="Arial" w:cs="Arial"/>
          <w:b/>
          <w:bCs/>
          <w:u w:val="single"/>
          <w:lang w:eastAsia="en-US"/>
        </w:rPr>
        <w:t>.</w:t>
      </w:r>
      <w:r w:rsidRPr="002414B2">
        <w:rPr>
          <w:rFonts w:ascii="Arial" w:hAnsi="Arial" w:cs="Arial"/>
          <w:b/>
          <w:bCs/>
          <w:u w:val="single"/>
          <w:lang w:eastAsia="en-US"/>
        </w:rPr>
        <w:t>)</w:t>
      </w:r>
    </w:p>
    <w:p w14:paraId="1356E9B3" w14:textId="77777777" w:rsidR="00C128D7" w:rsidRPr="001458D2" w:rsidRDefault="00C128D7" w:rsidP="00C128D7">
      <w:pPr>
        <w:ind w:firstLine="708"/>
        <w:jc w:val="both"/>
        <w:rPr>
          <w:rFonts w:ascii="Arial" w:hAnsi="Arial" w:cs="Arial"/>
          <w:b/>
          <w:bCs/>
          <w:color w:val="FF0000"/>
          <w:u w:val="single"/>
          <w:lang w:eastAsia="en-US"/>
        </w:rPr>
      </w:pPr>
    </w:p>
    <w:p w14:paraId="08503C11" w14:textId="77777777" w:rsidR="00C128D7" w:rsidRPr="00E13012" w:rsidRDefault="00C128D7" w:rsidP="00C128D7">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Pro vymezení vybraných skupin zdravotnických pracovníků byla využita</w:t>
      </w:r>
      <w:r w:rsidRPr="00E13012">
        <w:rPr>
          <w:rFonts w:ascii="Arial" w:hAnsi="Arial" w:cs="Arial"/>
          <w:bCs/>
          <w:color w:val="000000"/>
          <w:sz w:val="20"/>
          <w:szCs w:val="20"/>
          <w:lang w:eastAsia="en-US"/>
        </w:rPr>
        <w:t xml:space="preserve"> </w:t>
      </w:r>
      <w:r w:rsidRPr="00E13012">
        <w:rPr>
          <w:rFonts w:ascii="Arial" w:hAnsi="Arial" w:cs="Arial"/>
          <w:b/>
          <w:bCs/>
          <w:color w:val="000000"/>
          <w:sz w:val="20"/>
          <w:szCs w:val="20"/>
          <w:lang w:eastAsia="en-US"/>
        </w:rPr>
        <w:t>Klasifikace zaměstnání (CZ-ISCO)</w:t>
      </w:r>
      <w:r w:rsidRPr="00E13012">
        <w:rPr>
          <w:rFonts w:ascii="Arial" w:hAnsi="Arial" w:cs="Arial"/>
          <w:bCs/>
          <w:color w:val="000000"/>
          <w:sz w:val="20"/>
          <w:szCs w:val="20"/>
          <w:lang w:eastAsia="en-US"/>
        </w:rPr>
        <w:t xml:space="preserve">. </w:t>
      </w:r>
      <w:r w:rsidRPr="00E13012">
        <w:rPr>
          <w:rFonts w:ascii="Arial" w:hAnsi="Arial" w:cs="Arial"/>
          <w:color w:val="000000"/>
          <w:sz w:val="20"/>
          <w:szCs w:val="20"/>
          <w:lang w:eastAsia="en-US"/>
        </w:rPr>
        <w:t>Prostřednictvím této klasifikace byly vybrány následující dvě kategorie zaměstnanců ve zdravotnictví:</w:t>
      </w:r>
    </w:p>
    <w:p w14:paraId="091D08F5" w14:textId="77777777" w:rsidR="00C128D7" w:rsidRPr="00EB5D83" w:rsidRDefault="00C128D7" w:rsidP="00EB5D83">
      <w:pPr>
        <w:pStyle w:val="Odstavecseseznamem"/>
        <w:numPr>
          <w:ilvl w:val="0"/>
          <w:numId w:val="5"/>
        </w:numPr>
        <w:jc w:val="both"/>
        <w:rPr>
          <w:rFonts w:ascii="Arial" w:hAnsi="Arial" w:cs="Arial"/>
          <w:color w:val="000000"/>
          <w:sz w:val="20"/>
          <w:szCs w:val="20"/>
          <w:lang w:eastAsia="en-US"/>
        </w:rPr>
      </w:pPr>
      <w:r w:rsidRPr="00EB5D83">
        <w:rPr>
          <w:rFonts w:ascii="Arial" w:hAnsi="Arial" w:cs="Arial"/>
          <w:color w:val="000000"/>
          <w:sz w:val="20"/>
          <w:szCs w:val="20"/>
          <w:lang w:eastAsia="en-US"/>
        </w:rPr>
        <w:t>221 Lékaři (kromě zubních lékařů);</w:t>
      </w:r>
    </w:p>
    <w:p w14:paraId="39ED5BFF" w14:textId="77777777" w:rsidR="00C128D7" w:rsidRPr="00EB5D83" w:rsidRDefault="00C128D7" w:rsidP="00EB5D83">
      <w:pPr>
        <w:pStyle w:val="Odstavecseseznamem"/>
        <w:numPr>
          <w:ilvl w:val="0"/>
          <w:numId w:val="5"/>
        </w:numPr>
        <w:jc w:val="both"/>
        <w:rPr>
          <w:rFonts w:ascii="Arial" w:hAnsi="Arial" w:cs="Arial"/>
          <w:color w:val="000000"/>
          <w:sz w:val="20"/>
          <w:szCs w:val="20"/>
          <w:lang w:eastAsia="en-US"/>
        </w:rPr>
      </w:pPr>
      <w:r w:rsidRPr="00EB5D83">
        <w:rPr>
          <w:rFonts w:ascii="Arial" w:hAnsi="Arial" w:cs="Arial"/>
          <w:color w:val="000000"/>
          <w:sz w:val="20"/>
          <w:szCs w:val="20"/>
          <w:lang w:eastAsia="en-US"/>
        </w:rPr>
        <w:t>222+322 Všeobecné sestry a porodní asistentky, které se dále člení na:</w:t>
      </w:r>
    </w:p>
    <w:p w14:paraId="61EF19EE" w14:textId="20ED39E7" w:rsidR="00C128D7" w:rsidRPr="00EB5D83" w:rsidRDefault="002125A8" w:rsidP="002125A8">
      <w:pPr>
        <w:pStyle w:val="Odstavecseseznamem"/>
        <w:ind w:left="1429"/>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128D7" w:rsidRPr="00EB5D83">
        <w:rPr>
          <w:rFonts w:ascii="Arial" w:hAnsi="Arial" w:cs="Arial"/>
          <w:color w:val="000000"/>
          <w:sz w:val="20"/>
          <w:szCs w:val="20"/>
          <w:lang w:eastAsia="en-US"/>
        </w:rPr>
        <w:t>222 Všeobecné sestry a porodní asistentky se specializací;</w:t>
      </w:r>
    </w:p>
    <w:p w14:paraId="2CC2A690" w14:textId="1F36D432" w:rsidR="00C128D7" w:rsidRPr="00EB5D83" w:rsidRDefault="002125A8" w:rsidP="002125A8">
      <w:pPr>
        <w:pStyle w:val="Odstavecseseznamem"/>
        <w:spacing w:after="120"/>
        <w:ind w:left="1429"/>
        <w:jc w:val="both"/>
        <w:rPr>
          <w:rFonts w:ascii="Arial" w:hAnsi="Arial" w:cs="Arial"/>
          <w:color w:val="000000"/>
          <w:sz w:val="20"/>
          <w:szCs w:val="20"/>
          <w:lang w:eastAsia="en-US"/>
        </w:rPr>
      </w:pPr>
      <w:r>
        <w:rPr>
          <w:rFonts w:ascii="Arial" w:hAnsi="Arial" w:cs="Arial"/>
          <w:color w:val="000000"/>
          <w:sz w:val="20"/>
          <w:szCs w:val="20"/>
          <w:lang w:eastAsia="en-US"/>
        </w:rPr>
        <w:t xml:space="preserve">        </w:t>
      </w:r>
      <w:r w:rsidR="00C128D7" w:rsidRPr="00EB5D83">
        <w:rPr>
          <w:rFonts w:ascii="Arial" w:hAnsi="Arial" w:cs="Arial"/>
          <w:color w:val="000000"/>
          <w:sz w:val="20"/>
          <w:szCs w:val="20"/>
          <w:lang w:eastAsia="en-US"/>
        </w:rPr>
        <w:t>322 Všeobecné sestry a porodní asistentky bez specializace.</w:t>
      </w:r>
    </w:p>
    <w:p w14:paraId="427CB9C1" w14:textId="41477C41" w:rsidR="00C128D7" w:rsidRPr="00E13012" w:rsidRDefault="00C128D7" w:rsidP="00C128D7">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Rozdíl mezi všeobecnými sestrami a porodními asistentkami se specializací a mezi všeobecnými sestrami a porodními asistentkami bez specializace by měl stanovit charakt</w:t>
      </w:r>
      <w:r w:rsidR="007B036B">
        <w:rPr>
          <w:rFonts w:ascii="Arial" w:hAnsi="Arial" w:cs="Arial"/>
          <w:color w:val="000000"/>
          <w:sz w:val="20"/>
          <w:szCs w:val="20"/>
          <w:lang w:eastAsia="en-US"/>
        </w:rPr>
        <w:t>er vykonávané práce. Dokladem o </w:t>
      </w:r>
      <w:r w:rsidRPr="00E13012">
        <w:rPr>
          <w:rFonts w:ascii="Arial" w:hAnsi="Arial" w:cs="Arial"/>
          <w:color w:val="000000"/>
          <w:sz w:val="20"/>
          <w:szCs w:val="20"/>
          <w:lang w:eastAsia="en-US"/>
        </w:rPr>
        <w:t>specializované způsobilosti je diplom o specializaci v příslušném oboru, který zdravotní sestra získá na</w:t>
      </w:r>
      <w:r w:rsidR="00B9120B">
        <w:rPr>
          <w:rFonts w:ascii="Arial" w:hAnsi="Arial" w:cs="Arial"/>
          <w:color w:val="000000"/>
          <w:sz w:val="20"/>
          <w:szCs w:val="20"/>
          <w:lang w:eastAsia="en-US"/>
        </w:rPr>
        <w:t> </w:t>
      </w:r>
      <w:r w:rsidRPr="00E13012">
        <w:rPr>
          <w:rFonts w:ascii="Arial" w:hAnsi="Arial" w:cs="Arial"/>
          <w:color w:val="000000"/>
          <w:sz w:val="20"/>
          <w:szCs w:val="20"/>
          <w:lang w:eastAsia="en-US"/>
        </w:rPr>
        <w:t xml:space="preserve">základě složení atestační zkoušky před oborovou atestační komisí. Mezi všeobecné sestry a porodní asistentky </w:t>
      </w:r>
      <w:r w:rsidRPr="00E13012">
        <w:rPr>
          <w:rFonts w:ascii="Arial" w:hAnsi="Arial" w:cs="Arial"/>
          <w:b/>
          <w:color w:val="000000"/>
          <w:sz w:val="20"/>
          <w:szCs w:val="20"/>
          <w:lang w:eastAsia="en-US"/>
        </w:rPr>
        <w:t>se specializací</w:t>
      </w:r>
      <w:r w:rsidRPr="00E13012">
        <w:rPr>
          <w:rFonts w:ascii="Arial" w:hAnsi="Arial" w:cs="Arial"/>
          <w:color w:val="000000"/>
          <w:sz w:val="20"/>
          <w:szCs w:val="20"/>
          <w:lang w:eastAsia="en-US"/>
        </w:rPr>
        <w:t xml:space="preserve"> se řadí například staniční sestry, sestry a porodní asistentky pro intenzivní a</w:t>
      </w:r>
      <w:r w:rsidR="00B9120B">
        <w:rPr>
          <w:rFonts w:ascii="Arial" w:hAnsi="Arial" w:cs="Arial"/>
          <w:color w:val="000000"/>
          <w:sz w:val="20"/>
          <w:szCs w:val="20"/>
          <w:lang w:eastAsia="en-US"/>
        </w:rPr>
        <w:t> </w:t>
      </w:r>
      <w:r w:rsidRPr="00E13012">
        <w:rPr>
          <w:rFonts w:ascii="Arial" w:hAnsi="Arial" w:cs="Arial"/>
          <w:color w:val="000000"/>
          <w:sz w:val="20"/>
          <w:szCs w:val="20"/>
          <w:lang w:eastAsia="en-US"/>
        </w:rPr>
        <w:t xml:space="preserve">perioperační péči a dále např. sestry pro pediatrii, interní a chirurgické obory. Sestry </w:t>
      </w:r>
      <w:r w:rsidRPr="00E13012">
        <w:rPr>
          <w:rFonts w:ascii="Arial" w:hAnsi="Arial" w:cs="Arial"/>
          <w:b/>
          <w:color w:val="000000"/>
          <w:sz w:val="20"/>
          <w:szCs w:val="20"/>
          <w:lang w:eastAsia="en-US"/>
        </w:rPr>
        <w:t>bez specializace</w:t>
      </w:r>
      <w:r w:rsidRPr="00E13012">
        <w:rPr>
          <w:rFonts w:ascii="Arial" w:hAnsi="Arial" w:cs="Arial"/>
          <w:color w:val="000000"/>
          <w:sz w:val="20"/>
          <w:szCs w:val="20"/>
          <w:lang w:eastAsia="en-US"/>
        </w:rPr>
        <w:t xml:space="preserve"> zahrnují sestry praktických a zubních lékařů a dalších ambulantních specialistů. Kromě těchto kategorií sester ve zdravotnictví působí i vrchní sestry (ISCO 13424) a praktické sestry (ISCO 3256), které nejsou součástí výše uvedených všeobecných sester.</w:t>
      </w:r>
    </w:p>
    <w:p w14:paraId="45EEF9FA" w14:textId="22164D8A" w:rsidR="00C128D7" w:rsidRPr="00E13012" w:rsidRDefault="00C128D7" w:rsidP="00C128D7">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 xml:space="preserve">Data za </w:t>
      </w:r>
      <w:r w:rsidRPr="00E13012">
        <w:rPr>
          <w:rFonts w:ascii="Arial" w:hAnsi="Arial" w:cs="Arial"/>
          <w:b/>
          <w:bCs/>
          <w:color w:val="000000"/>
          <w:sz w:val="20"/>
          <w:szCs w:val="20"/>
          <w:lang w:eastAsia="en-US"/>
        </w:rPr>
        <w:t>mzdy</w:t>
      </w:r>
      <w:r w:rsidRPr="00E13012">
        <w:rPr>
          <w:rFonts w:ascii="Arial" w:hAnsi="Arial" w:cs="Arial"/>
          <w:color w:val="000000"/>
          <w:sz w:val="20"/>
          <w:szCs w:val="20"/>
          <w:lang w:eastAsia="en-US"/>
        </w:rPr>
        <w:t xml:space="preserve"> lékařů (tab. </w:t>
      </w:r>
      <w:r w:rsidRPr="00262F2F">
        <w:rPr>
          <w:rFonts w:ascii="Arial" w:hAnsi="Arial" w:cs="Arial"/>
          <w:b/>
          <w:bCs/>
          <w:color w:val="000000"/>
          <w:sz w:val="20"/>
          <w:szCs w:val="20"/>
          <w:lang w:eastAsia="en-US"/>
        </w:rPr>
        <w:t>2</w:t>
      </w:r>
      <w:r w:rsidR="00262F2F" w:rsidRPr="00262F2F">
        <w:rPr>
          <w:rFonts w:ascii="Arial" w:hAnsi="Arial" w:cs="Arial"/>
          <w:b/>
          <w:bCs/>
          <w:color w:val="000000"/>
          <w:sz w:val="20"/>
          <w:szCs w:val="20"/>
          <w:lang w:eastAsia="en-US"/>
        </w:rPr>
        <w:t>-30. a 2</w:t>
      </w:r>
      <w:r w:rsidRPr="00262F2F">
        <w:rPr>
          <w:rFonts w:ascii="Arial" w:hAnsi="Arial" w:cs="Arial"/>
          <w:b/>
          <w:color w:val="000000"/>
          <w:sz w:val="20"/>
          <w:szCs w:val="20"/>
          <w:lang w:eastAsia="en-US"/>
        </w:rPr>
        <w:t>-</w:t>
      </w:r>
      <w:r w:rsidR="00262F2F" w:rsidRPr="00262F2F">
        <w:rPr>
          <w:rFonts w:ascii="Arial" w:hAnsi="Arial" w:cs="Arial"/>
          <w:b/>
          <w:color w:val="000000"/>
          <w:sz w:val="20"/>
          <w:szCs w:val="20"/>
          <w:lang w:eastAsia="en-US"/>
        </w:rPr>
        <w:t>31</w:t>
      </w:r>
      <w:r w:rsidRPr="00E13012">
        <w:rPr>
          <w:rFonts w:ascii="Arial" w:hAnsi="Arial" w:cs="Arial"/>
          <w:color w:val="000000"/>
          <w:sz w:val="20"/>
          <w:szCs w:val="20"/>
          <w:lang w:eastAsia="en-US"/>
        </w:rPr>
        <w:t>.) a všeobecných sester a porodních asistentek</w:t>
      </w:r>
      <w:r w:rsidR="00262F2F">
        <w:rPr>
          <w:rFonts w:ascii="Arial" w:hAnsi="Arial" w:cs="Arial"/>
          <w:color w:val="000000"/>
          <w:sz w:val="20"/>
          <w:szCs w:val="20"/>
          <w:lang w:eastAsia="en-US"/>
        </w:rPr>
        <w:t xml:space="preserve"> a dalších vybraných profesí</w:t>
      </w:r>
      <w:r w:rsidRPr="00E13012">
        <w:rPr>
          <w:rFonts w:ascii="Arial" w:hAnsi="Arial" w:cs="Arial"/>
          <w:color w:val="000000"/>
          <w:sz w:val="20"/>
          <w:szCs w:val="20"/>
          <w:lang w:eastAsia="en-US"/>
        </w:rPr>
        <w:t xml:space="preserve"> (tab. </w:t>
      </w:r>
      <w:r w:rsidRPr="00E13012">
        <w:rPr>
          <w:rFonts w:ascii="Arial" w:hAnsi="Arial" w:cs="Arial"/>
          <w:b/>
          <w:bCs/>
          <w:color w:val="000000"/>
          <w:sz w:val="20"/>
          <w:szCs w:val="20"/>
          <w:lang w:eastAsia="en-US"/>
        </w:rPr>
        <w:t>2</w:t>
      </w:r>
      <w:r w:rsidR="00262F2F">
        <w:rPr>
          <w:rFonts w:ascii="Arial" w:hAnsi="Arial" w:cs="Arial"/>
          <w:b/>
          <w:bCs/>
          <w:color w:val="000000"/>
          <w:sz w:val="20"/>
          <w:szCs w:val="20"/>
          <w:lang w:eastAsia="en-US"/>
        </w:rPr>
        <w:t>-</w:t>
      </w:r>
      <w:r w:rsidR="00262F2F" w:rsidRPr="00262F2F">
        <w:rPr>
          <w:rFonts w:ascii="Arial" w:hAnsi="Arial" w:cs="Arial"/>
          <w:b/>
          <w:bCs/>
          <w:color w:val="000000"/>
          <w:sz w:val="20"/>
          <w:szCs w:val="20"/>
          <w:lang w:eastAsia="en-US"/>
        </w:rPr>
        <w:t>3</w:t>
      </w:r>
      <w:r w:rsidR="00262F2F">
        <w:rPr>
          <w:rFonts w:ascii="Arial" w:hAnsi="Arial" w:cs="Arial"/>
          <w:b/>
          <w:bCs/>
          <w:color w:val="000000"/>
          <w:sz w:val="20"/>
          <w:szCs w:val="20"/>
          <w:lang w:eastAsia="en-US"/>
        </w:rPr>
        <w:t>2</w:t>
      </w:r>
      <w:r w:rsidR="00262F2F" w:rsidRPr="00262F2F">
        <w:rPr>
          <w:rFonts w:ascii="Arial" w:hAnsi="Arial" w:cs="Arial"/>
          <w:b/>
          <w:bCs/>
          <w:color w:val="000000"/>
          <w:sz w:val="20"/>
          <w:szCs w:val="20"/>
          <w:lang w:eastAsia="en-US"/>
        </w:rPr>
        <w:t>.</w:t>
      </w:r>
      <w:r w:rsidRPr="00262F2F">
        <w:rPr>
          <w:rFonts w:ascii="Arial" w:hAnsi="Arial" w:cs="Arial"/>
          <w:b/>
          <w:color w:val="000000"/>
          <w:sz w:val="20"/>
          <w:szCs w:val="20"/>
          <w:lang w:eastAsia="en-US"/>
        </w:rPr>
        <w:t>-2</w:t>
      </w:r>
      <w:r w:rsidR="00262F2F" w:rsidRPr="00262F2F">
        <w:rPr>
          <w:rFonts w:ascii="Arial" w:hAnsi="Arial" w:cs="Arial"/>
          <w:b/>
          <w:color w:val="000000"/>
          <w:sz w:val="20"/>
          <w:szCs w:val="20"/>
          <w:lang w:eastAsia="en-US"/>
        </w:rPr>
        <w:t>-33</w:t>
      </w:r>
      <w:r w:rsidRPr="00E13012">
        <w:rPr>
          <w:rFonts w:ascii="Arial" w:hAnsi="Arial" w:cs="Arial"/>
          <w:color w:val="000000"/>
          <w:sz w:val="20"/>
          <w:szCs w:val="20"/>
          <w:lang w:eastAsia="en-US"/>
        </w:rPr>
        <w:t xml:space="preserve">.) pocházejí ze </w:t>
      </w:r>
      <w:r w:rsidRPr="00E13012">
        <w:rPr>
          <w:rFonts w:ascii="Arial" w:hAnsi="Arial" w:cs="Arial"/>
          <w:b/>
          <w:color w:val="000000"/>
          <w:sz w:val="20"/>
          <w:szCs w:val="20"/>
          <w:lang w:eastAsia="en-US"/>
        </w:rPr>
        <w:t>strukturální mzdové statistiky zaměstnanců</w:t>
      </w:r>
      <w:r w:rsidRPr="00E13012">
        <w:rPr>
          <w:rFonts w:ascii="Arial" w:hAnsi="Arial" w:cs="Arial"/>
          <w:color w:val="000000"/>
          <w:sz w:val="20"/>
          <w:szCs w:val="20"/>
          <w:lang w:eastAsia="en-US"/>
        </w:rPr>
        <w:t>.</w:t>
      </w:r>
      <w:r w:rsidRPr="00E13012">
        <w:rPr>
          <w:rFonts w:ascii="Arial" w:hAnsi="Arial" w:cs="Arial"/>
          <w:bCs/>
          <w:color w:val="000000"/>
          <w:sz w:val="20"/>
          <w:szCs w:val="20"/>
          <w:lang w:eastAsia="en-US"/>
        </w:rPr>
        <w:t xml:space="preserve"> </w:t>
      </w:r>
      <w:r w:rsidRPr="00E13012">
        <w:rPr>
          <w:rFonts w:ascii="Arial" w:hAnsi="Arial" w:cs="Arial"/>
          <w:color w:val="000000"/>
          <w:sz w:val="20"/>
          <w:szCs w:val="20"/>
          <w:lang w:eastAsia="en-US"/>
        </w:rPr>
        <w:t>Strukturální mzdová statistika vzniká sloučením údajů z </w:t>
      </w:r>
      <w:r w:rsidRPr="00E13012">
        <w:rPr>
          <w:rFonts w:ascii="Arial" w:hAnsi="Arial" w:cs="Arial"/>
          <w:b/>
          <w:color w:val="000000"/>
          <w:sz w:val="20"/>
          <w:szCs w:val="20"/>
          <w:lang w:eastAsia="en-US"/>
        </w:rPr>
        <w:t>Informačního systému o průměrném výdělku</w:t>
      </w:r>
      <w:r w:rsidRPr="00E13012">
        <w:rPr>
          <w:rFonts w:ascii="Arial" w:hAnsi="Arial" w:cs="Arial"/>
          <w:color w:val="000000"/>
          <w:sz w:val="20"/>
          <w:szCs w:val="20"/>
          <w:lang w:eastAsia="en-US"/>
        </w:rPr>
        <w:t xml:space="preserve"> Ministerstva práce a sociálních věcí, který na základě výběrového souboru pokrývá mzdovou sféru, a z </w:t>
      </w:r>
      <w:r w:rsidRPr="00E13012">
        <w:rPr>
          <w:rFonts w:ascii="Arial" w:hAnsi="Arial" w:cs="Arial"/>
          <w:b/>
          <w:color w:val="000000"/>
          <w:sz w:val="20"/>
          <w:szCs w:val="20"/>
          <w:lang w:eastAsia="en-US"/>
        </w:rPr>
        <w:t>Informačního systému o platu a služebním příjmu Ministerstva financí</w:t>
      </w:r>
      <w:r w:rsidRPr="00E13012">
        <w:rPr>
          <w:rFonts w:ascii="Arial" w:hAnsi="Arial" w:cs="Arial"/>
          <w:color w:val="000000"/>
          <w:sz w:val="20"/>
          <w:szCs w:val="20"/>
          <w:lang w:eastAsia="en-US"/>
        </w:rPr>
        <w:t>, který plošně pokrývá platovou sféru.</w:t>
      </w:r>
    </w:p>
    <w:p w14:paraId="7BF8D5FE" w14:textId="77777777" w:rsidR="00C128D7" w:rsidRPr="00E13012" w:rsidRDefault="00C128D7" w:rsidP="00C128D7">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 xml:space="preserve">Do </w:t>
      </w:r>
      <w:r w:rsidRPr="00E13012">
        <w:rPr>
          <w:rFonts w:ascii="Arial" w:hAnsi="Arial" w:cs="Arial"/>
          <w:b/>
          <w:color w:val="000000"/>
          <w:sz w:val="20"/>
          <w:szCs w:val="20"/>
          <w:lang w:eastAsia="en-US"/>
        </w:rPr>
        <w:t>mzdové sféry</w:t>
      </w:r>
      <w:r w:rsidRPr="00E13012">
        <w:rPr>
          <w:rFonts w:ascii="Arial" w:hAnsi="Arial" w:cs="Arial"/>
          <w:color w:val="000000"/>
          <w:sz w:val="20"/>
          <w:szCs w:val="20"/>
          <w:lang w:eastAsia="en-US"/>
        </w:rPr>
        <w:t xml:space="preserve"> spadají všechna soukromá zdravotnická zařízení, a to včetně krajských a městských nemocnic (akciové společnosti).</w:t>
      </w:r>
    </w:p>
    <w:p w14:paraId="3DBB3CEB" w14:textId="1191DF72" w:rsidR="00C128D7" w:rsidRPr="007B036B" w:rsidRDefault="00C128D7" w:rsidP="007B036B">
      <w:pPr>
        <w:ind w:firstLine="709"/>
        <w:jc w:val="both"/>
        <w:rPr>
          <w:rFonts w:ascii="Arial" w:hAnsi="Arial" w:cs="Arial"/>
          <w:color w:val="000000"/>
          <w:sz w:val="20"/>
          <w:szCs w:val="20"/>
          <w:lang w:eastAsia="en-US"/>
        </w:rPr>
      </w:pPr>
      <w:r w:rsidRPr="00E13012">
        <w:rPr>
          <w:rFonts w:ascii="Arial" w:hAnsi="Arial" w:cs="Arial"/>
          <w:color w:val="000000"/>
          <w:sz w:val="20"/>
          <w:szCs w:val="20"/>
          <w:lang w:eastAsia="en-US"/>
        </w:rPr>
        <w:t xml:space="preserve">Do </w:t>
      </w:r>
      <w:r w:rsidRPr="00E13012">
        <w:rPr>
          <w:rFonts w:ascii="Arial" w:hAnsi="Arial" w:cs="Arial"/>
          <w:b/>
          <w:color w:val="000000"/>
          <w:sz w:val="20"/>
          <w:szCs w:val="20"/>
          <w:lang w:eastAsia="en-US"/>
        </w:rPr>
        <w:t>platové sféry</w:t>
      </w:r>
      <w:r w:rsidRPr="00E13012">
        <w:rPr>
          <w:rFonts w:ascii="Arial" w:hAnsi="Arial" w:cs="Arial"/>
          <w:color w:val="000000"/>
          <w:sz w:val="20"/>
          <w:szCs w:val="20"/>
          <w:lang w:eastAsia="en-US"/>
        </w:rPr>
        <w:t xml:space="preserve"> se zařazují zdravotnická zařízení přímo řízená ministerstvem zdravotnictví (např. fakultní nemocnice a specializované zdravotnické ústavy) nebo příspěvkové organizace krajů. </w:t>
      </w:r>
    </w:p>
    <w:p w14:paraId="48FADB32" w14:textId="77777777" w:rsidR="00C128D7" w:rsidRDefault="00C128D7"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u w:val="single"/>
        </w:rPr>
      </w:pPr>
    </w:p>
    <w:p w14:paraId="6972E036" w14:textId="77777777" w:rsidR="00262F2F" w:rsidRDefault="00262F2F"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p>
    <w:p w14:paraId="714397CA" w14:textId="26F6E9C5" w:rsidR="007B036B" w:rsidRDefault="00C128D7"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rPr>
      </w:pPr>
      <w:r w:rsidRPr="00C128D7">
        <w:rPr>
          <w:rFonts w:ascii="Arial" w:hAnsi="Arial" w:cs="Arial"/>
          <w:bCs/>
        </w:rPr>
        <w:tab/>
      </w:r>
    </w:p>
    <w:p w14:paraId="6B262CF7" w14:textId="3995C4BF" w:rsidR="00442AA9" w:rsidRDefault="00442AA9" w:rsidP="00262F2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u w:val="single"/>
        </w:rPr>
      </w:pPr>
      <w:r w:rsidRPr="00EC72E7">
        <w:rPr>
          <w:rFonts w:ascii="Arial" w:hAnsi="Arial" w:cs="Arial"/>
          <w:b/>
          <w:bCs/>
          <w:u w:val="single"/>
        </w:rPr>
        <w:lastRenderedPageBreak/>
        <w:t>Pracovní neschopnost pro nemoc a úraz</w:t>
      </w:r>
      <w:r>
        <w:rPr>
          <w:rFonts w:ascii="Arial" w:hAnsi="Arial" w:cs="Arial"/>
          <w:b/>
          <w:bCs/>
          <w:u w:val="single"/>
        </w:rPr>
        <w:t xml:space="preserve"> </w:t>
      </w:r>
      <w:r w:rsidR="001458D2" w:rsidRPr="002414B2">
        <w:rPr>
          <w:rFonts w:ascii="Arial" w:hAnsi="Arial" w:cs="Arial"/>
          <w:b/>
          <w:bCs/>
          <w:u w:val="single"/>
        </w:rPr>
        <w:t>(tabulky 2-34</w:t>
      </w:r>
      <w:r w:rsidR="007B036B" w:rsidRPr="002414B2">
        <w:rPr>
          <w:rFonts w:ascii="Arial" w:hAnsi="Arial" w:cs="Arial"/>
          <w:b/>
          <w:bCs/>
          <w:u w:val="single"/>
        </w:rPr>
        <w:t>.</w:t>
      </w:r>
      <w:r w:rsidR="001458D2" w:rsidRPr="002414B2">
        <w:rPr>
          <w:rFonts w:ascii="Arial" w:hAnsi="Arial" w:cs="Arial"/>
          <w:b/>
          <w:bCs/>
          <w:u w:val="single"/>
        </w:rPr>
        <w:t xml:space="preserve"> až 2-41</w:t>
      </w:r>
      <w:r w:rsidR="007B036B" w:rsidRPr="002414B2">
        <w:rPr>
          <w:rFonts w:ascii="Arial" w:hAnsi="Arial" w:cs="Arial"/>
          <w:b/>
          <w:bCs/>
          <w:u w:val="single"/>
        </w:rPr>
        <w:t>.</w:t>
      </w:r>
      <w:r w:rsidR="001458D2" w:rsidRPr="002414B2">
        <w:rPr>
          <w:rFonts w:ascii="Arial" w:hAnsi="Arial" w:cs="Arial"/>
          <w:b/>
          <w:bCs/>
          <w:u w:val="single"/>
        </w:rPr>
        <w:t>)</w:t>
      </w:r>
    </w:p>
    <w:p w14:paraId="41A9B7A4" w14:textId="77777777" w:rsidR="00262F2F" w:rsidRPr="00262F2F" w:rsidRDefault="00262F2F" w:rsidP="00262F2F">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u w:val="single"/>
        </w:rPr>
      </w:pPr>
    </w:p>
    <w:p w14:paraId="7FCDAC42" w14:textId="33F5738F" w:rsidR="00442AA9" w:rsidRPr="001458D2" w:rsidRDefault="00442AA9" w:rsidP="001458D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rPr>
      </w:pPr>
      <w:r w:rsidRPr="004927A1">
        <w:rPr>
          <w:b/>
          <w:i w:val="0"/>
          <w:szCs w:val="20"/>
        </w:rPr>
        <w:t xml:space="preserve">Nově hlášené případy </w:t>
      </w:r>
    </w:p>
    <w:p w14:paraId="5EAE7FB2" w14:textId="669E14E4" w:rsidR="00442AA9" w:rsidRPr="004927A1" w:rsidRDefault="00322E40" w:rsidP="00E13012">
      <w:pPr>
        <w:spacing w:before="120"/>
        <w:ind w:firstLine="714"/>
        <w:jc w:val="both"/>
        <w:rPr>
          <w:rFonts w:ascii="Arial" w:hAnsi="Arial" w:cs="Arial"/>
          <w:sz w:val="20"/>
          <w:szCs w:val="20"/>
        </w:rPr>
      </w:pPr>
      <w:r w:rsidRPr="004927A1">
        <w:rPr>
          <w:rFonts w:ascii="Arial" w:hAnsi="Arial" w:cs="Arial"/>
          <w:sz w:val="20"/>
          <w:szCs w:val="20"/>
        </w:rPr>
        <w:t>Do roku 2011 byly statistické údaje o dočasné pracovní neschopnosti pro nemoc a úraz zjišťovány prostřednictvím státního statistického výkazu Nem Úr 1–02. V důsledku snižování administrativní náročnosti a zátěže zpravodajských jednotek byl Výkaz o pracovní neschopnosti pro nemoc a úraz Nem Úr 1–02 nahrazen údaji dostupnými z administrativních zdrojů. Údaje od roku 2012 ne</w:t>
      </w:r>
      <w:r w:rsidR="007B036B">
        <w:rPr>
          <w:rFonts w:ascii="Arial" w:hAnsi="Arial" w:cs="Arial"/>
          <w:sz w:val="20"/>
          <w:szCs w:val="20"/>
        </w:rPr>
        <w:t>jsou plně srovnatelné s údaji z </w:t>
      </w:r>
      <w:r w:rsidRPr="004927A1">
        <w:rPr>
          <w:rFonts w:ascii="Arial" w:hAnsi="Arial" w:cs="Arial"/>
          <w:sz w:val="20"/>
          <w:szCs w:val="20"/>
        </w:rPr>
        <w:t>předchozích let.</w:t>
      </w:r>
      <w:r w:rsidR="00FB15A5">
        <w:rPr>
          <w:rFonts w:ascii="Arial" w:hAnsi="Arial" w:cs="Arial"/>
          <w:sz w:val="20"/>
          <w:szCs w:val="20"/>
        </w:rPr>
        <w:t xml:space="preserve"> </w:t>
      </w:r>
      <w:r w:rsidR="00442AA9" w:rsidRPr="004927A1">
        <w:rPr>
          <w:rFonts w:ascii="Arial" w:hAnsi="Arial" w:cs="Arial"/>
          <w:sz w:val="20"/>
          <w:szCs w:val="20"/>
        </w:rPr>
        <w:t xml:space="preserve">Od roku 2012 ČSÚ zajišťuje tyto údaje zpracováním dat z administrativního zdroje Informačního systému České správy sociálního zabezpečení (ČSSZ). Informační systém ČSSZ eviduje případy dočasné pracovní neschopnosti v České republice, které byly ošetřujícím lékařem elektronicky hlášeny přes aplikaci eNeschopenka (do roku 2020 pomocí tiskopisu „Rozhodnutí o dočasné pracovní neschopnosti“). Statistika dočasné pracovní neschopnosti zachycuje veškerá onemocnění a úrazy, které zapříčinily alespoň jednodenní pracovní neschopnost u nemocensky pojištěných osob. Administrativní data Informačního systému ČSSZ </w:t>
      </w:r>
      <w:r w:rsidRPr="004927A1">
        <w:rPr>
          <w:rFonts w:ascii="Arial" w:hAnsi="Arial" w:cs="Arial"/>
          <w:sz w:val="20"/>
          <w:szCs w:val="20"/>
        </w:rPr>
        <w:t xml:space="preserve">obsahují údaje </w:t>
      </w:r>
      <w:r w:rsidR="00442AA9" w:rsidRPr="004927A1">
        <w:rPr>
          <w:rFonts w:ascii="Arial" w:hAnsi="Arial" w:cs="Arial"/>
          <w:sz w:val="20"/>
          <w:szCs w:val="20"/>
        </w:rPr>
        <w:t>za všechny zaměstnance</w:t>
      </w:r>
      <w:r w:rsidRPr="004927A1">
        <w:rPr>
          <w:rFonts w:ascii="Arial" w:hAnsi="Arial" w:cs="Arial"/>
          <w:sz w:val="20"/>
          <w:szCs w:val="20"/>
        </w:rPr>
        <w:t>, ať již zaměstnané právnickou či</w:t>
      </w:r>
      <w:r w:rsidR="00262F2F">
        <w:rPr>
          <w:rFonts w:ascii="Arial" w:hAnsi="Arial" w:cs="Arial"/>
          <w:sz w:val="20"/>
          <w:szCs w:val="20"/>
        </w:rPr>
        <w:t> </w:t>
      </w:r>
      <w:bookmarkStart w:id="0" w:name="_GoBack"/>
      <w:bookmarkEnd w:id="0"/>
      <w:r w:rsidRPr="004927A1">
        <w:rPr>
          <w:rFonts w:ascii="Arial" w:hAnsi="Arial" w:cs="Arial"/>
          <w:sz w:val="20"/>
          <w:szCs w:val="20"/>
        </w:rPr>
        <w:t xml:space="preserve">fyzickou osobou, i data </w:t>
      </w:r>
      <w:r w:rsidR="00442AA9" w:rsidRPr="004927A1">
        <w:rPr>
          <w:rFonts w:ascii="Arial" w:hAnsi="Arial" w:cs="Arial"/>
          <w:sz w:val="20"/>
          <w:szCs w:val="20"/>
        </w:rPr>
        <w:t xml:space="preserve">za osoby samostatně výdělečně činné (OSVČ). V údajích ČSSZ nejsou zahrnuti příslušníci Policie ČR, Hasičského záchranného sboru ČR, Celní správy ČR, Vězeňské služby ČR, Generální inspekce bezpečnostních sborů, Bezpečnostní informační služby, Úřadu pro zahraniční styky a informace, vojáci z povolání, odsouzení ve výkonu trestu, kteří vykonávají práci ve výkonu trestu, a osoby obviněné vykonávající práci ve vazbě (§ 5 písm. a) body 2 a 14 zákona č.187/2006 Sb.). </w:t>
      </w:r>
    </w:p>
    <w:p w14:paraId="6765B39E" w14:textId="77777777" w:rsidR="00442AA9" w:rsidRPr="004927A1" w:rsidRDefault="00442AA9" w:rsidP="00E13012">
      <w:pPr>
        <w:spacing w:before="120"/>
        <w:ind w:firstLine="714"/>
        <w:jc w:val="both"/>
        <w:rPr>
          <w:rFonts w:ascii="Arial" w:hAnsi="Arial" w:cs="Arial"/>
          <w:sz w:val="20"/>
          <w:szCs w:val="20"/>
        </w:rPr>
      </w:pPr>
      <w:r w:rsidRPr="004927A1">
        <w:rPr>
          <w:rFonts w:ascii="Arial" w:hAnsi="Arial" w:cs="Arial"/>
          <w:b/>
          <w:bCs/>
          <w:sz w:val="20"/>
          <w:szCs w:val="20"/>
        </w:rPr>
        <w:t xml:space="preserve">Nově hlášené případy pracovní neschopnosti </w:t>
      </w:r>
      <w:r w:rsidRPr="004927A1">
        <w:rPr>
          <w:rFonts w:ascii="Arial" w:hAnsi="Arial" w:cs="Arial"/>
          <w:bCs/>
          <w:sz w:val="20"/>
          <w:szCs w:val="20"/>
        </w:rPr>
        <w:t>jsou evidovány</w:t>
      </w:r>
      <w:r w:rsidRPr="004927A1">
        <w:rPr>
          <w:rFonts w:ascii="Arial" w:hAnsi="Arial" w:cs="Arial"/>
          <w:sz w:val="20"/>
          <w:szCs w:val="20"/>
        </w:rPr>
        <w:t xml:space="preserve"> na základě hlášení o vzniku pracovní neschopnosti nemocensky pojištěných osob. Do počtu případů pro nemoc jsou kromě nemocí jako takových započteny i karantény. A sice karantény osoby, která splňuje nárok na dávku nemocenské, podá žádost a ta je ze strany ošetřujícího lékaře či hygienické stanice uznána.</w:t>
      </w:r>
    </w:p>
    <w:p w14:paraId="43A89A14" w14:textId="77777777" w:rsidR="00442AA9" w:rsidRPr="004927A1" w:rsidRDefault="00442AA9" w:rsidP="00E13012">
      <w:pPr>
        <w:spacing w:before="120"/>
        <w:ind w:firstLine="714"/>
        <w:jc w:val="both"/>
        <w:rPr>
          <w:rFonts w:ascii="Arial" w:hAnsi="Arial" w:cs="Arial"/>
          <w:sz w:val="20"/>
          <w:szCs w:val="20"/>
        </w:rPr>
      </w:pPr>
      <w:r w:rsidRPr="004927A1">
        <w:rPr>
          <w:rFonts w:ascii="Arial" w:hAnsi="Arial" w:cs="Arial"/>
          <w:b/>
          <w:bCs/>
          <w:sz w:val="20"/>
          <w:szCs w:val="20"/>
        </w:rPr>
        <w:t xml:space="preserve">Počet dnů pracovní neschopnosti </w:t>
      </w:r>
      <w:r w:rsidRPr="004927A1">
        <w:rPr>
          <w:rFonts w:ascii="Arial" w:hAnsi="Arial" w:cs="Arial"/>
          <w:sz w:val="20"/>
          <w:szCs w:val="20"/>
        </w:rPr>
        <w:t>představuje součet kalendářních dnů, po které byli nemocensky pojištění zaměstnanci práce neschopní (na základě hlášení o vzniku a ukončení pracovní neschopnosti).</w:t>
      </w:r>
    </w:p>
    <w:p w14:paraId="362BB766" w14:textId="77777777" w:rsidR="00442AA9" w:rsidRPr="004927A1" w:rsidRDefault="00442AA9" w:rsidP="00E13012">
      <w:pPr>
        <w:spacing w:before="120"/>
        <w:ind w:firstLine="714"/>
        <w:jc w:val="both"/>
        <w:rPr>
          <w:rFonts w:ascii="Arial" w:hAnsi="Arial" w:cs="Arial"/>
          <w:sz w:val="20"/>
          <w:szCs w:val="20"/>
        </w:rPr>
      </w:pPr>
      <w:r w:rsidRPr="004927A1">
        <w:rPr>
          <w:rFonts w:ascii="Arial" w:hAnsi="Arial" w:cs="Arial"/>
          <w:b/>
          <w:sz w:val="20"/>
          <w:szCs w:val="20"/>
        </w:rPr>
        <w:t>Průměrná doba trvání 1 případu pracovní neschopnosti</w:t>
      </w:r>
      <w:r w:rsidRPr="004927A1">
        <w:rPr>
          <w:rFonts w:ascii="Arial" w:hAnsi="Arial" w:cs="Arial"/>
          <w:sz w:val="20"/>
          <w:szCs w:val="20"/>
        </w:rPr>
        <w:t xml:space="preserve"> – ukazatel vyjadřuje, kolik kalendářních dnů pracovní neschopnosti v průměru připadá na jeden nově hlášený případ pracovní neschopnosti.</w:t>
      </w:r>
    </w:p>
    <w:p w14:paraId="46279E7E" w14:textId="5C251488" w:rsidR="00442AA9" w:rsidRPr="004927A1" w:rsidRDefault="00442AA9" w:rsidP="00E13012">
      <w:pPr>
        <w:spacing w:before="120"/>
        <w:ind w:firstLine="714"/>
        <w:jc w:val="both"/>
        <w:rPr>
          <w:rFonts w:ascii="Arial" w:hAnsi="Arial" w:cs="Arial"/>
          <w:sz w:val="20"/>
          <w:szCs w:val="20"/>
        </w:rPr>
      </w:pPr>
      <w:r w:rsidRPr="004927A1">
        <w:rPr>
          <w:rFonts w:ascii="Arial" w:hAnsi="Arial" w:cs="Arial"/>
          <w:b/>
          <w:sz w:val="20"/>
          <w:szCs w:val="20"/>
        </w:rPr>
        <w:t>Průměrný denní stav dočasně práce neschopných pro nemoc a úraz</w:t>
      </w:r>
      <w:r w:rsidRPr="004927A1">
        <w:rPr>
          <w:rFonts w:ascii="Arial" w:hAnsi="Arial" w:cs="Arial"/>
          <w:sz w:val="20"/>
          <w:szCs w:val="20"/>
        </w:rPr>
        <w:t xml:space="preserve"> se vypočítá jako podíl kalendářních dnů dočasné pracovní neschopnosti na počtu kalendářních dnů ve sledovaném období. Ukazatel představuje počet nemocensky pojištěných, kteří byli </w:t>
      </w:r>
      <w:r w:rsidR="00322E40" w:rsidRPr="004927A1">
        <w:rPr>
          <w:rFonts w:ascii="Arial" w:hAnsi="Arial" w:cs="Arial"/>
          <w:sz w:val="20"/>
          <w:szCs w:val="20"/>
        </w:rPr>
        <w:t xml:space="preserve">v daném roce </w:t>
      </w:r>
      <w:r w:rsidRPr="004927A1">
        <w:rPr>
          <w:rFonts w:ascii="Arial" w:hAnsi="Arial" w:cs="Arial"/>
          <w:sz w:val="20"/>
          <w:szCs w:val="20"/>
        </w:rPr>
        <w:t>průměrně denně nepřítomni v práci z důvodů pracovní neschopnosti.</w:t>
      </w:r>
    </w:p>
    <w:p w14:paraId="78F82AD3" w14:textId="77777777" w:rsidR="00442AA9" w:rsidRPr="004927A1" w:rsidRDefault="00442AA9" w:rsidP="00E13012">
      <w:pPr>
        <w:spacing w:before="120"/>
        <w:ind w:firstLine="714"/>
        <w:jc w:val="both"/>
        <w:rPr>
          <w:rFonts w:ascii="Arial" w:hAnsi="Arial" w:cs="Arial"/>
          <w:sz w:val="20"/>
          <w:szCs w:val="20"/>
        </w:rPr>
      </w:pPr>
      <w:r w:rsidRPr="004927A1">
        <w:rPr>
          <w:rFonts w:ascii="Arial" w:hAnsi="Arial" w:cs="Arial"/>
          <w:b/>
          <w:sz w:val="20"/>
          <w:szCs w:val="20"/>
        </w:rPr>
        <w:t>Průměrné procento dočasné pracovní neschopnosti</w:t>
      </w:r>
      <w:r w:rsidRPr="004927A1">
        <w:rPr>
          <w:rFonts w:ascii="Arial" w:hAnsi="Arial" w:cs="Arial"/>
          <w:sz w:val="20"/>
          <w:szCs w:val="20"/>
        </w:rPr>
        <w:t xml:space="preserve"> –</w:t>
      </w:r>
      <w:r w:rsidRPr="004927A1">
        <w:t xml:space="preserve"> </w:t>
      </w:r>
      <w:r w:rsidRPr="004927A1">
        <w:rPr>
          <w:rFonts w:ascii="Arial" w:hAnsi="Arial" w:cs="Arial"/>
          <w:sz w:val="20"/>
          <w:szCs w:val="20"/>
        </w:rPr>
        <w:t>ukazatel udává, kolik ze 100 nemocensky pojištěných osob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w:t>
      </w:r>
    </w:p>
    <w:p w14:paraId="638FE5CC" w14:textId="656FB5E5" w:rsidR="00442AA9" w:rsidRPr="004927A1" w:rsidRDefault="00442AA9" w:rsidP="00322E40">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4927A1">
        <w:rPr>
          <w:rFonts w:ascii="Arial" w:hAnsi="Arial" w:cs="Arial"/>
          <w:b/>
          <w:sz w:val="20"/>
          <w:szCs w:val="20"/>
        </w:rPr>
        <w:t>Nově hlášené případy dočasné pracovní neschopnosti pro pracovní úraz</w:t>
      </w:r>
      <w:r w:rsidRPr="004927A1">
        <w:rPr>
          <w:rFonts w:ascii="Arial" w:hAnsi="Arial" w:cs="Arial"/>
          <w:sz w:val="20"/>
          <w:szCs w:val="20"/>
        </w:rPr>
        <w:t xml:space="preserve"> </w:t>
      </w:r>
      <w:r w:rsidRPr="004927A1">
        <w:rPr>
          <w:rFonts w:ascii="Arial" w:hAnsi="Arial" w:cs="Arial"/>
          <w:bCs/>
          <w:sz w:val="20"/>
          <w:szCs w:val="20"/>
        </w:rPr>
        <w:t>jsou evidovány</w:t>
      </w:r>
      <w:r w:rsidRPr="004927A1">
        <w:rPr>
          <w:rFonts w:ascii="Arial" w:hAnsi="Arial" w:cs="Arial"/>
          <w:sz w:val="20"/>
          <w:szCs w:val="20"/>
        </w:rPr>
        <w:t xml:space="preserve"> na</w:t>
      </w:r>
      <w:r w:rsidR="00B9120B">
        <w:rPr>
          <w:rFonts w:ascii="Arial" w:hAnsi="Arial" w:cs="Arial"/>
          <w:sz w:val="20"/>
          <w:szCs w:val="20"/>
        </w:rPr>
        <w:t> </w:t>
      </w:r>
      <w:r w:rsidRPr="004927A1">
        <w:rPr>
          <w:rFonts w:ascii="Arial" w:hAnsi="Arial" w:cs="Arial"/>
          <w:sz w:val="20"/>
          <w:szCs w:val="20"/>
        </w:rPr>
        <w:t>základě hlášení o vzniku pracovní neschopnosti nemocensky pojištěných osob</w:t>
      </w:r>
      <w:r w:rsidRPr="004927A1">
        <w:rPr>
          <w:rFonts w:ascii="Arial" w:hAnsi="Arial" w:cs="Arial"/>
        </w:rPr>
        <w:t xml:space="preserve">. </w:t>
      </w:r>
      <w:r w:rsidR="00322E40" w:rsidRPr="004927A1">
        <w:rPr>
          <w:rFonts w:ascii="Arial" w:hAnsi="Arial" w:cs="Arial"/>
          <w:b/>
          <w:sz w:val="20"/>
          <w:szCs w:val="20"/>
        </w:rPr>
        <w:t>Pracovním úrazem</w:t>
      </w:r>
      <w:r w:rsidR="00322E40" w:rsidRPr="004927A1">
        <w:rPr>
          <w:rFonts w:ascii="Arial" w:hAnsi="Arial" w:cs="Arial"/>
          <w:sz w:val="20"/>
          <w:szCs w:val="20"/>
        </w:rPr>
        <w:t xml:space="preserve"> se</w:t>
      </w:r>
      <w:r w:rsidR="00B9120B">
        <w:rPr>
          <w:rFonts w:ascii="Arial" w:hAnsi="Arial" w:cs="Arial"/>
          <w:sz w:val="20"/>
          <w:szCs w:val="20"/>
        </w:rPr>
        <w:t> </w:t>
      </w:r>
      <w:r w:rsidR="00322E40" w:rsidRPr="004927A1">
        <w:rPr>
          <w:rFonts w:ascii="Arial" w:hAnsi="Arial" w:cs="Arial"/>
          <w:sz w:val="20"/>
          <w:szCs w:val="20"/>
        </w:rPr>
        <w:t xml:space="preserve">rozumí poškození zdraví nebo smrt zaměstnance, došlo-li k nim nezávisle na jeho vůli krátkodobým, náhlým a násilným působením zevních vlivů při plnění pracovních úkolů nebo v přímé souvislosti s ním. </w:t>
      </w:r>
    </w:p>
    <w:p w14:paraId="226FBAC6" w14:textId="77777777" w:rsidR="00442AA9" w:rsidRPr="004927A1" w:rsidRDefault="00442AA9"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4927A1">
        <w:rPr>
          <w:rFonts w:ascii="Arial" w:hAnsi="Arial" w:cs="Arial"/>
          <w:b/>
          <w:sz w:val="20"/>
          <w:szCs w:val="20"/>
        </w:rPr>
        <w:t>Smrtelný pracovní úraz</w:t>
      </w:r>
      <w:r w:rsidRPr="004927A1">
        <w:rPr>
          <w:rFonts w:ascii="Arial" w:hAnsi="Arial" w:cs="Arial"/>
          <w:sz w:val="20"/>
          <w:szCs w:val="20"/>
        </w:rPr>
        <w:t xml:space="preserve"> je takové poškození zdraví při plnění pracovních úkolů nebo v přímé souvislosti s nimi, na jehož následky úrazem postižený zaměstnanec nejpozději do jednoho roku zemře. Zdrojem dat je Státní úřad inspekce práce (SÚIP).</w:t>
      </w:r>
    </w:p>
    <w:p w14:paraId="335CF47B" w14:textId="5F2DDAAF" w:rsidR="00442AA9" w:rsidRPr="004927A1" w:rsidRDefault="00442AA9" w:rsidP="00E13012">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rPr>
      </w:pPr>
      <w:r w:rsidRPr="004927A1">
        <w:rPr>
          <w:rFonts w:ascii="Arial" w:hAnsi="Arial" w:cs="Arial"/>
          <w:b/>
          <w:sz w:val="20"/>
          <w:szCs w:val="20"/>
        </w:rPr>
        <w:t>Pozn. ke kartogramu 2-3 a 2-4:</w:t>
      </w:r>
      <w:r w:rsidRPr="004927A1">
        <w:rPr>
          <w:rFonts w:ascii="Arial" w:hAnsi="Arial" w:cs="Arial"/>
          <w:sz w:val="20"/>
          <w:szCs w:val="20"/>
        </w:rPr>
        <w:t xml:space="preserve"> Rozlišení dle krajů a okresů vychází z údaje o sídle útvaru, </w:t>
      </w:r>
      <w:r w:rsidR="00E13966" w:rsidRPr="004927A1">
        <w:rPr>
          <w:rFonts w:ascii="Arial" w:hAnsi="Arial" w:cs="Arial"/>
          <w:sz w:val="20"/>
          <w:szCs w:val="20"/>
        </w:rPr>
        <w:t>kde je vedena evidence</w:t>
      </w:r>
      <w:r w:rsidRPr="004927A1">
        <w:rPr>
          <w:rFonts w:ascii="Arial" w:hAnsi="Arial" w:cs="Arial"/>
          <w:sz w:val="20"/>
          <w:szCs w:val="20"/>
        </w:rPr>
        <w:t xml:space="preserve"> mezd zaměstnavateli osoby, která je v pracovní neschopnosti. V Jeseníku se nachází referát účtárny pěstounské péče pro profesionální pěstouny v ČR. Profesionální pěstouni zpravidla na neschopenku nechodí, protože i po dobu pracovní neschopnosti musí pečovat o svěř</w:t>
      </w:r>
      <w:r w:rsidR="007B036B">
        <w:rPr>
          <w:rFonts w:ascii="Arial" w:hAnsi="Arial" w:cs="Arial"/>
          <w:sz w:val="20"/>
          <w:szCs w:val="20"/>
        </w:rPr>
        <w:t>ené dítě. Jsou však zahrnuti do </w:t>
      </w:r>
      <w:r w:rsidRPr="004927A1">
        <w:rPr>
          <w:rFonts w:ascii="Arial" w:hAnsi="Arial" w:cs="Arial"/>
          <w:sz w:val="20"/>
          <w:szCs w:val="20"/>
        </w:rPr>
        <w:t>jmenovatele ukazatele průměrného procenta pracovní neschopnosti v rámci počtu pojištěnců v okrese.</w:t>
      </w:r>
    </w:p>
    <w:p w14:paraId="101BCF27" w14:textId="77777777" w:rsidR="00442AA9" w:rsidRPr="004927A1" w:rsidRDefault="00442AA9" w:rsidP="00E1301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rPr>
      </w:pPr>
    </w:p>
    <w:p w14:paraId="53880AF2" w14:textId="577D1E75" w:rsidR="00442AA9" w:rsidRPr="004927A1" w:rsidRDefault="00442AA9" w:rsidP="001458D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b/>
          <w:i w:val="0"/>
          <w:szCs w:val="20"/>
        </w:rPr>
      </w:pPr>
      <w:r w:rsidRPr="004927A1">
        <w:rPr>
          <w:b/>
          <w:i w:val="0"/>
          <w:szCs w:val="20"/>
        </w:rPr>
        <w:t xml:space="preserve">Ukončené případy </w:t>
      </w:r>
    </w:p>
    <w:p w14:paraId="275D3DB5" w14:textId="55D892F4" w:rsidR="00442AA9" w:rsidRDefault="00442AA9" w:rsidP="001458D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 w:val="0"/>
          <w:szCs w:val="20"/>
        </w:rPr>
      </w:pPr>
      <w:r w:rsidRPr="004927A1">
        <w:rPr>
          <w:i w:val="0"/>
          <w:szCs w:val="20"/>
        </w:rPr>
        <w:t xml:space="preserve">ČSSZ eviduje, zpracovává a publikuje také údaje o ukončených případech pracovní neschopnosti za jednotlivá čtvrtletí, viz </w:t>
      </w:r>
      <w:hyperlink r:id="rId8" w:history="1">
        <w:r w:rsidRPr="004927A1">
          <w:rPr>
            <w:rStyle w:val="Hypertextovodkaz"/>
            <w:i w:val="0"/>
            <w:szCs w:val="20"/>
          </w:rPr>
          <w:t>https://www.cssz.cz/web/cz/nemocenska-statistika</w:t>
        </w:r>
      </w:hyperlink>
      <w:r w:rsidRPr="004927A1">
        <w:rPr>
          <w:i w:val="0"/>
          <w:szCs w:val="20"/>
        </w:rPr>
        <w:t>. Rozdíly v počtech nově hlášených a ukončených případů dočasné pracovní neschopnosti jsou dány odlišnou metodikou sběru dat.</w:t>
      </w:r>
    </w:p>
    <w:p w14:paraId="708A7334" w14:textId="77777777" w:rsidR="001458D2" w:rsidRPr="001458D2" w:rsidRDefault="001458D2" w:rsidP="001458D2">
      <w:pPr>
        <w:pStyle w:val="Zkladnt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i w:val="0"/>
          <w:szCs w:val="20"/>
        </w:rPr>
      </w:pPr>
    </w:p>
    <w:p w14:paraId="6323C4D9" w14:textId="49230CA7" w:rsidR="00357D33" w:rsidRPr="0009644F" w:rsidRDefault="00357D33" w:rsidP="00E13012">
      <w:pPr>
        <w:spacing w:before="120"/>
        <w:ind w:firstLine="714"/>
        <w:jc w:val="both"/>
        <w:rPr>
          <w:rFonts w:ascii="Arial" w:hAnsi="Arial" w:cs="Arial"/>
          <w:sz w:val="20"/>
          <w:szCs w:val="20"/>
        </w:rPr>
      </w:pPr>
    </w:p>
    <w:p w14:paraId="52B5CCA1" w14:textId="2B88DA11" w:rsidR="009F43E3" w:rsidRDefault="009F43E3" w:rsidP="00E13012">
      <w:pPr>
        <w:spacing w:before="120"/>
        <w:ind w:firstLine="714"/>
        <w:jc w:val="both"/>
        <w:rPr>
          <w:rFonts w:ascii="Arial" w:hAnsi="Arial" w:cs="Arial"/>
          <w:sz w:val="20"/>
          <w:szCs w:val="20"/>
        </w:rPr>
      </w:pPr>
    </w:p>
    <w:p w14:paraId="3C227AA5" w14:textId="11C7D5D3" w:rsidR="002414B2" w:rsidRDefault="002414B2" w:rsidP="00E13012">
      <w:pPr>
        <w:spacing w:before="120"/>
        <w:ind w:firstLine="714"/>
        <w:jc w:val="both"/>
        <w:rPr>
          <w:rFonts w:ascii="Arial" w:hAnsi="Arial" w:cs="Arial"/>
          <w:sz w:val="20"/>
          <w:szCs w:val="20"/>
        </w:rPr>
      </w:pPr>
    </w:p>
    <w:p w14:paraId="3A62B6E0" w14:textId="780E8431" w:rsidR="002414B2" w:rsidRDefault="002414B2" w:rsidP="00E13012">
      <w:pPr>
        <w:spacing w:before="120"/>
        <w:ind w:firstLine="714"/>
        <w:jc w:val="both"/>
        <w:rPr>
          <w:rFonts w:ascii="Arial" w:hAnsi="Arial" w:cs="Arial"/>
          <w:sz w:val="20"/>
          <w:szCs w:val="20"/>
        </w:rPr>
      </w:pPr>
    </w:p>
    <w:p w14:paraId="5FF23D51" w14:textId="6B272D75" w:rsidR="002414B2" w:rsidRDefault="002414B2" w:rsidP="00E13012">
      <w:pPr>
        <w:spacing w:before="120"/>
        <w:ind w:firstLine="714"/>
        <w:jc w:val="both"/>
        <w:rPr>
          <w:rFonts w:ascii="Arial" w:hAnsi="Arial" w:cs="Arial"/>
          <w:sz w:val="20"/>
          <w:szCs w:val="20"/>
        </w:rPr>
      </w:pPr>
    </w:p>
    <w:p w14:paraId="43DE0975" w14:textId="27692E60" w:rsidR="002414B2" w:rsidRDefault="002414B2" w:rsidP="002414B2">
      <w:pPr>
        <w:spacing w:before="120"/>
        <w:jc w:val="both"/>
        <w:rPr>
          <w:rFonts w:ascii="Arial" w:hAnsi="Arial" w:cs="Arial"/>
          <w:sz w:val="20"/>
          <w:szCs w:val="20"/>
        </w:rPr>
      </w:pPr>
    </w:p>
    <w:p w14:paraId="6E299C2E" w14:textId="77777777" w:rsidR="002414B2" w:rsidRDefault="002414B2" w:rsidP="002414B2">
      <w:pPr>
        <w:pStyle w:val="Zkladntext"/>
        <w:ind w:firstLine="709"/>
        <w:jc w:val="both"/>
        <w:rPr>
          <w:b/>
          <w:bCs/>
          <w:i w:val="0"/>
          <w:sz w:val="24"/>
          <w:lang w:eastAsia="en-US"/>
        </w:rPr>
      </w:pPr>
      <w:r w:rsidRPr="001C6D1D">
        <w:rPr>
          <w:b/>
          <w:i w:val="0"/>
          <w:sz w:val="24"/>
          <w:lang w:val="cs-CZ"/>
        </w:rPr>
        <w:t>Zemřelí a úmrtnost</w:t>
      </w:r>
      <w:r w:rsidRPr="001C6D1D">
        <w:rPr>
          <w:b/>
          <w:i w:val="0"/>
          <w:sz w:val="24"/>
        </w:rPr>
        <w:t xml:space="preserve"> </w:t>
      </w:r>
      <w:r w:rsidRPr="001C6D1D">
        <w:rPr>
          <w:b/>
          <w:bCs/>
          <w:i w:val="0"/>
          <w:sz w:val="24"/>
          <w:lang w:eastAsia="en-US"/>
        </w:rPr>
        <w:t>(tab. 2-</w:t>
      </w:r>
      <w:r>
        <w:rPr>
          <w:b/>
          <w:bCs/>
          <w:i w:val="0"/>
          <w:sz w:val="24"/>
          <w:lang w:eastAsia="en-US"/>
        </w:rPr>
        <w:t>42 až 2-46</w:t>
      </w:r>
      <w:r w:rsidRPr="001C6D1D">
        <w:rPr>
          <w:b/>
          <w:bCs/>
          <w:i w:val="0"/>
          <w:sz w:val="24"/>
          <w:lang w:eastAsia="en-US"/>
        </w:rPr>
        <w:t>)</w:t>
      </w:r>
    </w:p>
    <w:p w14:paraId="4D5992F0" w14:textId="77777777" w:rsidR="002414B2" w:rsidRPr="001C6D1D" w:rsidRDefault="002414B2" w:rsidP="002414B2">
      <w:pPr>
        <w:pStyle w:val="Zkladntext"/>
        <w:ind w:firstLine="709"/>
        <w:jc w:val="both"/>
        <w:rPr>
          <w:i w:val="0"/>
          <w:sz w:val="24"/>
          <w:lang w:val="cs-CZ"/>
        </w:rPr>
      </w:pPr>
    </w:p>
    <w:p w14:paraId="0066CF58" w14:textId="77777777" w:rsidR="002414B2" w:rsidRPr="009806B6" w:rsidRDefault="002414B2" w:rsidP="002414B2">
      <w:pPr>
        <w:pStyle w:val="Zkladntext"/>
        <w:ind w:firstLine="709"/>
        <w:jc w:val="both"/>
        <w:rPr>
          <w:i w:val="0"/>
          <w:lang w:val="cs-CZ"/>
        </w:rPr>
      </w:pPr>
      <w:r w:rsidRPr="009806B6">
        <w:rPr>
          <w:b/>
          <w:i w:val="0"/>
          <w:lang w:val="cs-CZ"/>
        </w:rPr>
        <w:t xml:space="preserve">Míry úmrtnosti podle věku: </w:t>
      </w:r>
      <w:r w:rsidRPr="009806B6">
        <w:rPr>
          <w:i w:val="0"/>
          <w:lang w:val="cs-CZ"/>
        </w:rPr>
        <w:t>počet zemřelých osob (žen, resp. mužů) v daném věku na 1 000 osob středního stavu téhož věku.</w:t>
      </w:r>
    </w:p>
    <w:p w14:paraId="032D0165" w14:textId="77777777" w:rsidR="002414B2" w:rsidRPr="009806B6" w:rsidRDefault="002414B2" w:rsidP="002414B2">
      <w:pPr>
        <w:pStyle w:val="Zkladntext"/>
        <w:spacing w:before="60"/>
        <w:ind w:firstLine="709"/>
        <w:jc w:val="both"/>
        <w:rPr>
          <w:i w:val="0"/>
          <w:lang w:val="cs-CZ"/>
        </w:rPr>
      </w:pPr>
      <w:r w:rsidRPr="009806B6">
        <w:rPr>
          <w:b/>
          <w:i w:val="0"/>
          <w:lang w:val="cs-CZ"/>
        </w:rPr>
        <w:t>Index nadúmrtnosti mužů</w:t>
      </w:r>
      <w:r w:rsidRPr="009806B6">
        <w:rPr>
          <w:i w:val="0"/>
          <w:lang w:val="cs-CZ"/>
        </w:rPr>
        <w:t xml:space="preserve"> </w:t>
      </w:r>
      <w:r w:rsidRPr="00F0249B">
        <w:rPr>
          <w:i w:val="0"/>
          <w:lang w:val="cs-CZ"/>
        </w:rPr>
        <w:t>(v grafu 2-39)</w:t>
      </w:r>
      <w:r w:rsidRPr="00512D8F">
        <w:rPr>
          <w:i w:val="0"/>
          <w:lang w:val="cs-CZ"/>
        </w:rPr>
        <w:t xml:space="preserve"> vyjadřuje </w:t>
      </w:r>
      <w:r w:rsidRPr="009806B6">
        <w:rPr>
          <w:i w:val="0"/>
          <w:lang w:val="cs-CZ"/>
        </w:rPr>
        <w:t>poměr mezi mírou úmrtnosti mužů a mírou úmrtnosti žen v daném věku.</w:t>
      </w:r>
    </w:p>
    <w:p w14:paraId="709B296D" w14:textId="77777777" w:rsidR="002414B2" w:rsidRDefault="002414B2" w:rsidP="002414B2">
      <w:pPr>
        <w:pStyle w:val="Zkladntext"/>
        <w:spacing w:before="60"/>
        <w:ind w:firstLine="709"/>
        <w:jc w:val="both"/>
        <w:rPr>
          <w:i w:val="0"/>
          <w:lang w:val="cs-CZ"/>
        </w:rPr>
      </w:pPr>
      <w:r w:rsidRPr="009806B6">
        <w:rPr>
          <w:b/>
          <w:i w:val="0"/>
          <w:lang w:val="cs-CZ"/>
        </w:rPr>
        <w:t>Naděje dožití v daném věku</w:t>
      </w:r>
      <w:r w:rsidRPr="009806B6">
        <w:rPr>
          <w:i w:val="0"/>
          <w:lang w:val="cs-CZ"/>
        </w:rPr>
        <w:t>: průměrný počet let, který ještě prožije osoba právě dožívající se daného věku při zachování úmrtnostních poměrů v jednotlivých věcích daného kalendářního roku. Je výsledným ukazatelem tzv. úmrtnostních tabulek.</w:t>
      </w:r>
    </w:p>
    <w:p w14:paraId="0B91297C" w14:textId="77777777" w:rsidR="002414B2" w:rsidRPr="009806B6" w:rsidRDefault="002414B2" w:rsidP="002414B2">
      <w:pPr>
        <w:pStyle w:val="Zkladntext"/>
        <w:spacing w:before="60"/>
        <w:ind w:firstLine="709"/>
        <w:jc w:val="both"/>
        <w:rPr>
          <w:i w:val="0"/>
          <w:lang w:val="cs-CZ"/>
        </w:rPr>
      </w:pPr>
    </w:p>
    <w:p w14:paraId="5AF12714" w14:textId="730DA92E" w:rsidR="002414B2" w:rsidRPr="009806B6" w:rsidRDefault="002414B2" w:rsidP="002414B2">
      <w:pPr>
        <w:pStyle w:val="Zkladntext"/>
        <w:ind w:firstLine="709"/>
        <w:jc w:val="both"/>
        <w:rPr>
          <w:i w:val="0"/>
          <w:lang w:val="cs-CZ"/>
        </w:rPr>
      </w:pPr>
      <w:r w:rsidRPr="009806B6">
        <w:rPr>
          <w:i w:val="0"/>
          <w:lang w:val="cs-CZ"/>
        </w:rPr>
        <w:t xml:space="preserve">Počet </w:t>
      </w:r>
      <w:r w:rsidRPr="009806B6">
        <w:rPr>
          <w:b/>
          <w:bCs/>
          <w:i w:val="0"/>
          <w:lang w:val="cs-CZ"/>
        </w:rPr>
        <w:t>zemřelých podle příčin smrti</w:t>
      </w:r>
      <w:r w:rsidRPr="009806B6">
        <w:rPr>
          <w:b/>
          <w:bCs/>
          <w:lang w:val="cs-CZ"/>
        </w:rPr>
        <w:t xml:space="preserve"> </w:t>
      </w:r>
      <w:r w:rsidRPr="009806B6">
        <w:rPr>
          <w:i w:val="0"/>
          <w:lang w:val="cs-CZ"/>
        </w:rPr>
        <w:t>vychází ze zpracování údajů o příčinách smrti, resp. o</w:t>
      </w:r>
      <w:r w:rsidR="00262F2F">
        <w:rPr>
          <w:i w:val="0"/>
          <w:lang w:val="cs-CZ"/>
        </w:rPr>
        <w:t> </w:t>
      </w:r>
      <w:r w:rsidRPr="009806B6">
        <w:rPr>
          <w:i w:val="0"/>
          <w:lang w:val="cs-CZ"/>
        </w:rPr>
        <w:t>onemocněních, stavech, případných dalších lékařských či jiných charakteristikách souvisejících s úmrtím, uvedených v Listu o prohlídce zemřelého (LPZ), do roku 2012 prostřednictvím hlášení o úmrtí. Základem statistického třídění je základní příčina smrti, která je Světovou zdravotnickou organizací definována jako (a) onemocnění nebo zranění, které iniciovalo řetězec chorobných stavů přímo vedoucích ke smrti, nebo (b) okolnosti nehody či násilí, jež způsobily smrtelné poranění. Příčina smrti je (od roku 1994) kódována dle Mezinárodní statistické klasifikace nemocí a přidružených zdravotních problémů ve znění 10. decenální revize (MKN-10) a následných, v ČR přijatých, aktualizací. V roce 2020 bylo do klasifikace nemocí nově zařazeno onemocnění COVID-19, kterému byl přiřazen kód U07 z kapitoly Kódy pro speciální účely.</w:t>
      </w:r>
      <w:r>
        <w:rPr>
          <w:i w:val="0"/>
          <w:lang w:val="cs-CZ"/>
        </w:rPr>
        <w:t xml:space="preserve"> Od roku 2021 je možno jako základní příčinu smrti určit také multisystémový zánětlivý syndrom související s onemocněním </w:t>
      </w:r>
      <w:r w:rsidR="00262F2F">
        <w:rPr>
          <w:i w:val="0"/>
          <w:lang w:val="cs-CZ"/>
        </w:rPr>
        <w:t>COVID</w:t>
      </w:r>
      <w:r>
        <w:rPr>
          <w:i w:val="0"/>
          <w:lang w:val="cs-CZ"/>
        </w:rPr>
        <w:t>-19 (kód U10).</w:t>
      </w:r>
    </w:p>
    <w:p w14:paraId="70750A79" w14:textId="77777777" w:rsidR="002414B2" w:rsidRPr="00521E14" w:rsidRDefault="002414B2" w:rsidP="002414B2">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sz w:val="20"/>
        </w:rPr>
      </w:pPr>
    </w:p>
    <w:p w14:paraId="551FA67D" w14:textId="77777777" w:rsidR="002414B2" w:rsidRPr="004F4E90" w:rsidRDefault="002414B2" w:rsidP="002414B2">
      <w:pPr>
        <w:pStyle w:val="Zkladntextodsazen"/>
        <w:tabs>
          <w:tab w:val="left" w:pos="708"/>
        </w:tabs>
        <w:rPr>
          <w:b/>
          <w:color w:val="auto"/>
        </w:rPr>
      </w:pPr>
      <w:r w:rsidRPr="004F4E90">
        <w:rPr>
          <w:b/>
          <w:color w:val="auto"/>
        </w:rPr>
        <w:t xml:space="preserve">Další informace, data a analýzy </w:t>
      </w:r>
      <w:r>
        <w:rPr>
          <w:b/>
          <w:color w:val="auto"/>
        </w:rPr>
        <w:t xml:space="preserve">ČSÚ </w:t>
      </w:r>
      <w:r w:rsidRPr="004F4E90">
        <w:rPr>
          <w:b/>
          <w:color w:val="auto"/>
        </w:rPr>
        <w:t>najdete na níže uvedených stránkách:</w:t>
      </w:r>
    </w:p>
    <w:p w14:paraId="3A42DDDB" w14:textId="77777777" w:rsidR="002414B2" w:rsidRDefault="002414B2" w:rsidP="002414B2">
      <w:pPr>
        <w:pStyle w:val="Zkladntextodsazen"/>
        <w:ind w:firstLine="0"/>
        <w:rPr>
          <w:color w:val="auto"/>
        </w:rPr>
      </w:pPr>
    </w:p>
    <w:p w14:paraId="3245E93C" w14:textId="77777777" w:rsidR="002414B2" w:rsidRDefault="002414B2" w:rsidP="002414B2">
      <w:pPr>
        <w:pStyle w:val="Zkladntextodsazen"/>
        <w:tabs>
          <w:tab w:val="left" w:pos="708"/>
        </w:tabs>
        <w:spacing w:after="40"/>
        <w:ind w:firstLine="0"/>
        <w:jc w:val="left"/>
        <w:rPr>
          <w:color w:val="auto"/>
        </w:rPr>
      </w:pPr>
      <w:r>
        <w:rPr>
          <w:color w:val="auto"/>
        </w:rPr>
        <w:t xml:space="preserve">Publikace věnované zdravotnictví: </w:t>
      </w:r>
      <w:hyperlink r:id="rId9" w:history="1">
        <w:r w:rsidRPr="00AC507B">
          <w:rPr>
            <w:rStyle w:val="Hypertextovodkaz"/>
          </w:rPr>
          <w:t>https://www.czso.cz/csu/czso/zdravotnictvi</w:t>
        </w:r>
      </w:hyperlink>
    </w:p>
    <w:p w14:paraId="3F1171FF" w14:textId="77777777" w:rsidR="002414B2" w:rsidRDefault="002414B2" w:rsidP="002414B2">
      <w:pPr>
        <w:pStyle w:val="Zkladntextodsazen"/>
        <w:spacing w:after="40"/>
        <w:ind w:firstLine="0"/>
        <w:rPr>
          <w:rStyle w:val="Hypertextovodkaz"/>
        </w:rPr>
      </w:pPr>
      <w:r>
        <w:rPr>
          <w:color w:val="auto"/>
        </w:rPr>
        <w:t xml:space="preserve">Statistická ročenka ČR: </w:t>
      </w:r>
      <w:hyperlink r:id="rId10" w:history="1">
        <w:r>
          <w:rPr>
            <w:rStyle w:val="Hypertextovodkaz"/>
          </w:rPr>
          <w:t>Statistická ročenka České republiky - 2022 | ČSÚ (czso.cz)</w:t>
        </w:r>
      </w:hyperlink>
    </w:p>
    <w:p w14:paraId="1B4F1D41" w14:textId="77777777" w:rsidR="002414B2" w:rsidRDefault="002414B2" w:rsidP="002414B2">
      <w:pPr>
        <w:pStyle w:val="Zkladntextodsazen"/>
        <w:spacing w:after="40"/>
        <w:ind w:firstLine="0"/>
        <w:rPr>
          <w:rStyle w:val="Hypertextovodkaz"/>
        </w:rPr>
      </w:pPr>
      <w:r>
        <w:rPr>
          <w:color w:val="auto"/>
        </w:rPr>
        <w:t xml:space="preserve">Krajské ročenky: </w:t>
      </w:r>
      <w:hyperlink r:id="rId11" w:anchor="10a" w:history="1">
        <w:r w:rsidRPr="0047065D">
          <w:rPr>
            <w:rStyle w:val="Hypertextovodkaz"/>
          </w:rPr>
          <w:t>https://www.czso.cz/csu/czso/krajske-rocenky#10a</w:t>
        </w:r>
      </w:hyperlink>
    </w:p>
    <w:p w14:paraId="45220361" w14:textId="77777777" w:rsidR="002414B2" w:rsidRPr="00802464" w:rsidRDefault="002414B2" w:rsidP="002414B2">
      <w:pPr>
        <w:pStyle w:val="Zkladntextodsazen"/>
        <w:ind w:firstLine="0"/>
        <w:rPr>
          <w:color w:val="auto"/>
        </w:rPr>
      </w:pPr>
    </w:p>
    <w:p w14:paraId="63EBF52D" w14:textId="77777777" w:rsidR="002414B2" w:rsidRPr="0009644F" w:rsidRDefault="002414B2" w:rsidP="00E13012">
      <w:pPr>
        <w:spacing w:before="120"/>
        <w:ind w:firstLine="714"/>
        <w:jc w:val="both"/>
        <w:rPr>
          <w:rFonts w:ascii="Arial" w:hAnsi="Arial" w:cs="Arial"/>
          <w:sz w:val="20"/>
          <w:szCs w:val="20"/>
        </w:rPr>
      </w:pPr>
    </w:p>
    <w:sectPr w:rsidR="002414B2" w:rsidRPr="0009644F" w:rsidSect="00BD1DBD">
      <w:footerReference w:type="even" r:id="rId12"/>
      <w:pgSz w:w="11906" w:h="16838"/>
      <w:pgMar w:top="1134" w:right="1134" w:bottom="1418"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6F46" w14:textId="77777777" w:rsidR="001734D7" w:rsidRDefault="001734D7">
      <w:r>
        <w:separator/>
      </w:r>
    </w:p>
  </w:endnote>
  <w:endnote w:type="continuationSeparator" w:id="0">
    <w:p w14:paraId="07A73A94" w14:textId="77777777" w:rsidR="001734D7" w:rsidRDefault="001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6454" w14:textId="77777777" w:rsidR="00E54394" w:rsidRDefault="00FA3B84">
    <w:pPr>
      <w:pStyle w:val="Zpat"/>
      <w:framePr w:wrap="around" w:vAnchor="text" w:hAnchor="margin" w:xAlign="center" w:y="1"/>
      <w:rPr>
        <w:rStyle w:val="slostrnky"/>
      </w:rPr>
    </w:pPr>
    <w:r>
      <w:rPr>
        <w:rStyle w:val="slostrnky"/>
      </w:rPr>
      <w:fldChar w:fldCharType="begin"/>
    </w:r>
    <w:r w:rsidR="00E54394">
      <w:rPr>
        <w:rStyle w:val="slostrnky"/>
      </w:rPr>
      <w:instrText xml:space="preserve">PAGE  </w:instrText>
    </w:r>
    <w:r>
      <w:rPr>
        <w:rStyle w:val="slostrnky"/>
      </w:rPr>
      <w:fldChar w:fldCharType="end"/>
    </w:r>
  </w:p>
  <w:p w14:paraId="374C9D9F" w14:textId="77777777" w:rsidR="00E54394" w:rsidRDefault="00E543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C14B" w14:textId="77777777" w:rsidR="001734D7" w:rsidRDefault="001734D7">
      <w:r>
        <w:separator/>
      </w:r>
    </w:p>
  </w:footnote>
  <w:footnote w:type="continuationSeparator" w:id="0">
    <w:p w14:paraId="330CC388" w14:textId="77777777" w:rsidR="001734D7" w:rsidRDefault="00173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5470C2"/>
    <w:multiLevelType w:val="hybridMultilevel"/>
    <w:tmpl w:val="FEF83C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38A5519A"/>
    <w:multiLevelType w:val="hybridMultilevel"/>
    <w:tmpl w:val="72DA7C0E"/>
    <w:lvl w:ilvl="0" w:tplc="04050001">
      <w:start w:val="1"/>
      <w:numFmt w:val="bullet"/>
      <w:lvlText w:val=""/>
      <w:lvlJc w:val="left"/>
      <w:pPr>
        <w:ind w:left="2142" w:hanging="360"/>
      </w:pPr>
      <w:rPr>
        <w:rFonts w:ascii="Symbol" w:hAnsi="Symbol" w:hint="default"/>
      </w:rPr>
    </w:lvl>
    <w:lvl w:ilvl="1" w:tplc="04050003" w:tentative="1">
      <w:start w:val="1"/>
      <w:numFmt w:val="bullet"/>
      <w:lvlText w:val="o"/>
      <w:lvlJc w:val="left"/>
      <w:pPr>
        <w:ind w:left="2862" w:hanging="360"/>
      </w:pPr>
      <w:rPr>
        <w:rFonts w:ascii="Courier New" w:hAnsi="Courier New" w:cs="Courier New" w:hint="default"/>
      </w:rPr>
    </w:lvl>
    <w:lvl w:ilvl="2" w:tplc="04050005" w:tentative="1">
      <w:start w:val="1"/>
      <w:numFmt w:val="bullet"/>
      <w:lvlText w:val=""/>
      <w:lvlJc w:val="left"/>
      <w:pPr>
        <w:ind w:left="3582" w:hanging="360"/>
      </w:pPr>
      <w:rPr>
        <w:rFonts w:ascii="Wingdings" w:hAnsi="Wingdings" w:hint="default"/>
      </w:rPr>
    </w:lvl>
    <w:lvl w:ilvl="3" w:tplc="04050001" w:tentative="1">
      <w:start w:val="1"/>
      <w:numFmt w:val="bullet"/>
      <w:lvlText w:val=""/>
      <w:lvlJc w:val="left"/>
      <w:pPr>
        <w:ind w:left="4302" w:hanging="360"/>
      </w:pPr>
      <w:rPr>
        <w:rFonts w:ascii="Symbol" w:hAnsi="Symbol" w:hint="default"/>
      </w:rPr>
    </w:lvl>
    <w:lvl w:ilvl="4" w:tplc="04050003" w:tentative="1">
      <w:start w:val="1"/>
      <w:numFmt w:val="bullet"/>
      <w:lvlText w:val="o"/>
      <w:lvlJc w:val="left"/>
      <w:pPr>
        <w:ind w:left="5022" w:hanging="360"/>
      </w:pPr>
      <w:rPr>
        <w:rFonts w:ascii="Courier New" w:hAnsi="Courier New" w:cs="Courier New" w:hint="default"/>
      </w:rPr>
    </w:lvl>
    <w:lvl w:ilvl="5" w:tplc="04050005" w:tentative="1">
      <w:start w:val="1"/>
      <w:numFmt w:val="bullet"/>
      <w:lvlText w:val=""/>
      <w:lvlJc w:val="left"/>
      <w:pPr>
        <w:ind w:left="5742" w:hanging="360"/>
      </w:pPr>
      <w:rPr>
        <w:rFonts w:ascii="Wingdings" w:hAnsi="Wingdings" w:hint="default"/>
      </w:rPr>
    </w:lvl>
    <w:lvl w:ilvl="6" w:tplc="04050001" w:tentative="1">
      <w:start w:val="1"/>
      <w:numFmt w:val="bullet"/>
      <w:lvlText w:val=""/>
      <w:lvlJc w:val="left"/>
      <w:pPr>
        <w:ind w:left="6462" w:hanging="360"/>
      </w:pPr>
      <w:rPr>
        <w:rFonts w:ascii="Symbol" w:hAnsi="Symbol" w:hint="default"/>
      </w:rPr>
    </w:lvl>
    <w:lvl w:ilvl="7" w:tplc="04050003" w:tentative="1">
      <w:start w:val="1"/>
      <w:numFmt w:val="bullet"/>
      <w:lvlText w:val="o"/>
      <w:lvlJc w:val="left"/>
      <w:pPr>
        <w:ind w:left="7182" w:hanging="360"/>
      </w:pPr>
      <w:rPr>
        <w:rFonts w:ascii="Courier New" w:hAnsi="Courier New" w:cs="Courier New" w:hint="default"/>
      </w:rPr>
    </w:lvl>
    <w:lvl w:ilvl="8" w:tplc="04050005" w:tentative="1">
      <w:start w:val="1"/>
      <w:numFmt w:val="bullet"/>
      <w:lvlText w:val=""/>
      <w:lvlJc w:val="left"/>
      <w:pPr>
        <w:ind w:left="7902" w:hanging="360"/>
      </w:pPr>
      <w:rPr>
        <w:rFonts w:ascii="Wingdings" w:hAnsi="Wingdings" w:hint="default"/>
      </w:rPr>
    </w:lvl>
  </w:abstractNum>
  <w:abstractNum w:abstractNumId="3" w15:restartNumberingAfterBreak="0">
    <w:nsid w:val="65AD6FB7"/>
    <w:multiLevelType w:val="hybridMultilevel"/>
    <w:tmpl w:val="61EE6F9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E5"/>
    <w:rsid w:val="00001D63"/>
    <w:rsid w:val="00002A27"/>
    <w:rsid w:val="000102D6"/>
    <w:rsid w:val="0001403D"/>
    <w:rsid w:val="00017100"/>
    <w:rsid w:val="00017494"/>
    <w:rsid w:val="00031768"/>
    <w:rsid w:val="000536ED"/>
    <w:rsid w:val="000545D9"/>
    <w:rsid w:val="000648CF"/>
    <w:rsid w:val="00073DFF"/>
    <w:rsid w:val="000816A4"/>
    <w:rsid w:val="0009644F"/>
    <w:rsid w:val="000A2924"/>
    <w:rsid w:val="000A4A2C"/>
    <w:rsid w:val="000B6A8F"/>
    <w:rsid w:val="000B7D7B"/>
    <w:rsid w:val="000D25D1"/>
    <w:rsid w:val="000D7753"/>
    <w:rsid w:val="000E4823"/>
    <w:rsid w:val="00107B15"/>
    <w:rsid w:val="00111041"/>
    <w:rsid w:val="001112E5"/>
    <w:rsid w:val="001116E9"/>
    <w:rsid w:val="001428AD"/>
    <w:rsid w:val="00142CA5"/>
    <w:rsid w:val="001458D2"/>
    <w:rsid w:val="001529C3"/>
    <w:rsid w:val="0015704D"/>
    <w:rsid w:val="00160684"/>
    <w:rsid w:val="00164DA7"/>
    <w:rsid w:val="00167B31"/>
    <w:rsid w:val="00170E00"/>
    <w:rsid w:val="001734D7"/>
    <w:rsid w:val="00187CF6"/>
    <w:rsid w:val="001F3F7B"/>
    <w:rsid w:val="002125A8"/>
    <w:rsid w:val="002154E2"/>
    <w:rsid w:val="002244CB"/>
    <w:rsid w:val="002414B2"/>
    <w:rsid w:val="00242E80"/>
    <w:rsid w:val="00255415"/>
    <w:rsid w:val="0026095C"/>
    <w:rsid w:val="00262290"/>
    <w:rsid w:val="00262F2F"/>
    <w:rsid w:val="00273348"/>
    <w:rsid w:val="00274033"/>
    <w:rsid w:val="00294B51"/>
    <w:rsid w:val="002A182A"/>
    <w:rsid w:val="002B3092"/>
    <w:rsid w:val="002B5290"/>
    <w:rsid w:val="002C3CA7"/>
    <w:rsid w:val="002E1466"/>
    <w:rsid w:val="0031775A"/>
    <w:rsid w:val="00317DF7"/>
    <w:rsid w:val="0032226C"/>
    <w:rsid w:val="00322E40"/>
    <w:rsid w:val="003276F2"/>
    <w:rsid w:val="00327E1B"/>
    <w:rsid w:val="00334D67"/>
    <w:rsid w:val="003512AA"/>
    <w:rsid w:val="00352C25"/>
    <w:rsid w:val="003550A8"/>
    <w:rsid w:val="00357D33"/>
    <w:rsid w:val="00382A6F"/>
    <w:rsid w:val="003863D4"/>
    <w:rsid w:val="003A119C"/>
    <w:rsid w:val="003F3CBD"/>
    <w:rsid w:val="00410308"/>
    <w:rsid w:val="00414274"/>
    <w:rsid w:val="00415816"/>
    <w:rsid w:val="00430586"/>
    <w:rsid w:val="00442AA9"/>
    <w:rsid w:val="00472642"/>
    <w:rsid w:val="004927A1"/>
    <w:rsid w:val="004973D0"/>
    <w:rsid w:val="004A7E20"/>
    <w:rsid w:val="004B35F2"/>
    <w:rsid w:val="004B4278"/>
    <w:rsid w:val="004D6C6C"/>
    <w:rsid w:val="004E23A3"/>
    <w:rsid w:val="004F0DF0"/>
    <w:rsid w:val="00513136"/>
    <w:rsid w:val="00513369"/>
    <w:rsid w:val="00524703"/>
    <w:rsid w:val="00530542"/>
    <w:rsid w:val="00537BB6"/>
    <w:rsid w:val="005454C5"/>
    <w:rsid w:val="00563ACE"/>
    <w:rsid w:val="00570B9F"/>
    <w:rsid w:val="00573E1D"/>
    <w:rsid w:val="005C58F1"/>
    <w:rsid w:val="005C7978"/>
    <w:rsid w:val="005D4DB7"/>
    <w:rsid w:val="005D6C48"/>
    <w:rsid w:val="005E27EB"/>
    <w:rsid w:val="005E7455"/>
    <w:rsid w:val="00613457"/>
    <w:rsid w:val="00637038"/>
    <w:rsid w:val="00646C44"/>
    <w:rsid w:val="00656AD7"/>
    <w:rsid w:val="00666A1D"/>
    <w:rsid w:val="00685DA0"/>
    <w:rsid w:val="006A5301"/>
    <w:rsid w:val="006C26EF"/>
    <w:rsid w:val="006C4CA8"/>
    <w:rsid w:val="006D0432"/>
    <w:rsid w:val="006F4CBD"/>
    <w:rsid w:val="00702279"/>
    <w:rsid w:val="00725C7C"/>
    <w:rsid w:val="00735CE8"/>
    <w:rsid w:val="0074128E"/>
    <w:rsid w:val="0074272E"/>
    <w:rsid w:val="0074297D"/>
    <w:rsid w:val="00743405"/>
    <w:rsid w:val="007447EC"/>
    <w:rsid w:val="007518FA"/>
    <w:rsid w:val="0075314F"/>
    <w:rsid w:val="0075647D"/>
    <w:rsid w:val="007612F6"/>
    <w:rsid w:val="00771BAA"/>
    <w:rsid w:val="007729A1"/>
    <w:rsid w:val="00775184"/>
    <w:rsid w:val="00775657"/>
    <w:rsid w:val="00786CE3"/>
    <w:rsid w:val="007B036B"/>
    <w:rsid w:val="007B1125"/>
    <w:rsid w:val="007B4794"/>
    <w:rsid w:val="007C0088"/>
    <w:rsid w:val="007C6B6B"/>
    <w:rsid w:val="007D2AEF"/>
    <w:rsid w:val="007D3BEE"/>
    <w:rsid w:val="007F2CE6"/>
    <w:rsid w:val="00810F30"/>
    <w:rsid w:val="00857CCD"/>
    <w:rsid w:val="00867C73"/>
    <w:rsid w:val="00881D4A"/>
    <w:rsid w:val="008C4F01"/>
    <w:rsid w:val="008F0CEC"/>
    <w:rsid w:val="00907B73"/>
    <w:rsid w:val="00911977"/>
    <w:rsid w:val="00917F8F"/>
    <w:rsid w:val="009263B9"/>
    <w:rsid w:val="009351A0"/>
    <w:rsid w:val="00937DBF"/>
    <w:rsid w:val="00944321"/>
    <w:rsid w:val="009474AC"/>
    <w:rsid w:val="0095407E"/>
    <w:rsid w:val="00961072"/>
    <w:rsid w:val="009726FB"/>
    <w:rsid w:val="0098202E"/>
    <w:rsid w:val="00984214"/>
    <w:rsid w:val="0099127E"/>
    <w:rsid w:val="009A6158"/>
    <w:rsid w:val="009A65C9"/>
    <w:rsid w:val="009B0BA9"/>
    <w:rsid w:val="009B7A6D"/>
    <w:rsid w:val="009C2DC5"/>
    <w:rsid w:val="009D12CB"/>
    <w:rsid w:val="009F3735"/>
    <w:rsid w:val="009F43E3"/>
    <w:rsid w:val="00A076DB"/>
    <w:rsid w:val="00A2470C"/>
    <w:rsid w:val="00A569C5"/>
    <w:rsid w:val="00A6305E"/>
    <w:rsid w:val="00A700C6"/>
    <w:rsid w:val="00A87070"/>
    <w:rsid w:val="00A918A9"/>
    <w:rsid w:val="00A956D0"/>
    <w:rsid w:val="00AA3D38"/>
    <w:rsid w:val="00AB571B"/>
    <w:rsid w:val="00AC76F2"/>
    <w:rsid w:val="00AD1C79"/>
    <w:rsid w:val="00AD4C8E"/>
    <w:rsid w:val="00AE29EA"/>
    <w:rsid w:val="00AF64C0"/>
    <w:rsid w:val="00B13CFB"/>
    <w:rsid w:val="00B3511A"/>
    <w:rsid w:val="00B40082"/>
    <w:rsid w:val="00B4022E"/>
    <w:rsid w:val="00B4046B"/>
    <w:rsid w:val="00B42A8C"/>
    <w:rsid w:val="00B52F3B"/>
    <w:rsid w:val="00B54440"/>
    <w:rsid w:val="00B54B78"/>
    <w:rsid w:val="00B82890"/>
    <w:rsid w:val="00B9120B"/>
    <w:rsid w:val="00BA00C9"/>
    <w:rsid w:val="00BB25DC"/>
    <w:rsid w:val="00BB43AF"/>
    <w:rsid w:val="00BC1382"/>
    <w:rsid w:val="00BC40D1"/>
    <w:rsid w:val="00BD1DBD"/>
    <w:rsid w:val="00BF3A1C"/>
    <w:rsid w:val="00C07E89"/>
    <w:rsid w:val="00C128D7"/>
    <w:rsid w:val="00C166E6"/>
    <w:rsid w:val="00C17776"/>
    <w:rsid w:val="00C302AA"/>
    <w:rsid w:val="00C376C5"/>
    <w:rsid w:val="00C43AB0"/>
    <w:rsid w:val="00C67273"/>
    <w:rsid w:val="00C67C54"/>
    <w:rsid w:val="00C70FAC"/>
    <w:rsid w:val="00C7165B"/>
    <w:rsid w:val="00C838F2"/>
    <w:rsid w:val="00C86226"/>
    <w:rsid w:val="00CA5E9E"/>
    <w:rsid w:val="00CC7747"/>
    <w:rsid w:val="00CD0832"/>
    <w:rsid w:val="00CD4057"/>
    <w:rsid w:val="00CE22E9"/>
    <w:rsid w:val="00D0055E"/>
    <w:rsid w:val="00D113EC"/>
    <w:rsid w:val="00D12634"/>
    <w:rsid w:val="00D2722F"/>
    <w:rsid w:val="00D332AC"/>
    <w:rsid w:val="00D45656"/>
    <w:rsid w:val="00D611F0"/>
    <w:rsid w:val="00D659A3"/>
    <w:rsid w:val="00D707CD"/>
    <w:rsid w:val="00D70B4F"/>
    <w:rsid w:val="00D85E5C"/>
    <w:rsid w:val="00D92653"/>
    <w:rsid w:val="00D93548"/>
    <w:rsid w:val="00D94A07"/>
    <w:rsid w:val="00DC03D2"/>
    <w:rsid w:val="00DE6B9A"/>
    <w:rsid w:val="00DF6FB1"/>
    <w:rsid w:val="00E04CCF"/>
    <w:rsid w:val="00E07CBE"/>
    <w:rsid w:val="00E13012"/>
    <w:rsid w:val="00E13481"/>
    <w:rsid w:val="00E13966"/>
    <w:rsid w:val="00E330D3"/>
    <w:rsid w:val="00E34CDF"/>
    <w:rsid w:val="00E412CD"/>
    <w:rsid w:val="00E47FBE"/>
    <w:rsid w:val="00E54394"/>
    <w:rsid w:val="00E83D26"/>
    <w:rsid w:val="00E85153"/>
    <w:rsid w:val="00E852AD"/>
    <w:rsid w:val="00EA6211"/>
    <w:rsid w:val="00EB5D83"/>
    <w:rsid w:val="00EC0789"/>
    <w:rsid w:val="00EC72E7"/>
    <w:rsid w:val="00F20234"/>
    <w:rsid w:val="00F32D8E"/>
    <w:rsid w:val="00F3385F"/>
    <w:rsid w:val="00F55F3F"/>
    <w:rsid w:val="00F61476"/>
    <w:rsid w:val="00F653FE"/>
    <w:rsid w:val="00F67CAB"/>
    <w:rsid w:val="00F83D35"/>
    <w:rsid w:val="00FA3B84"/>
    <w:rsid w:val="00FB15A5"/>
    <w:rsid w:val="00FC438F"/>
    <w:rsid w:val="00FC4F49"/>
    <w:rsid w:val="00FD0493"/>
    <w:rsid w:val="00FD4856"/>
    <w:rsid w:val="00FD6320"/>
    <w:rsid w:val="00FF24F1"/>
    <w:rsid w:val="00FF2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27677"/>
  <w15:docId w15:val="{E229D499-BE0A-49A9-841D-F5BC449C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3E3"/>
    <w:rPr>
      <w:sz w:val="24"/>
      <w:szCs w:val="24"/>
    </w:rPr>
  </w:style>
  <w:style w:type="paragraph" w:styleId="Nadpis1">
    <w:name w:val="heading 1"/>
    <w:basedOn w:val="Normln"/>
    <w:next w:val="Normln"/>
    <w:qFormat/>
    <w:rsid w:val="00FC4F49"/>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C4F49"/>
    <w:rPr>
      <w:rFonts w:ascii="Arial" w:hAnsi="Arial" w:cs="Arial"/>
      <w:i/>
      <w:iCs/>
      <w:sz w:val="20"/>
      <w:lang w:val="en-GB"/>
    </w:rPr>
  </w:style>
  <w:style w:type="paragraph" w:styleId="Zkladntextodsazen">
    <w:name w:val="Body Text Indent"/>
    <w:basedOn w:val="Normln"/>
    <w:link w:val="ZkladntextodsazenChar"/>
    <w:rsid w:val="00FC4F49"/>
    <w:pPr>
      <w:ind w:firstLine="567"/>
      <w:jc w:val="both"/>
    </w:pPr>
    <w:rPr>
      <w:rFonts w:ascii="Arial" w:hAnsi="Arial" w:cs="Arial"/>
      <w:color w:val="FF0000"/>
      <w:sz w:val="20"/>
      <w:szCs w:val="20"/>
    </w:rPr>
  </w:style>
  <w:style w:type="paragraph" w:styleId="Zpat">
    <w:name w:val="footer"/>
    <w:basedOn w:val="Normln"/>
    <w:semiHidden/>
    <w:rsid w:val="00FC4F49"/>
    <w:pPr>
      <w:tabs>
        <w:tab w:val="center" w:pos="4536"/>
        <w:tab w:val="right" w:pos="9072"/>
      </w:tabs>
    </w:pPr>
  </w:style>
  <w:style w:type="character" w:styleId="slostrnky">
    <w:name w:val="page number"/>
    <w:basedOn w:val="Standardnpsmoodstavce"/>
    <w:semiHidden/>
    <w:rsid w:val="00FC4F49"/>
  </w:style>
  <w:style w:type="paragraph" w:styleId="Zhlav">
    <w:name w:val="header"/>
    <w:basedOn w:val="Normln"/>
    <w:semiHidden/>
    <w:rsid w:val="00FC4F49"/>
    <w:pPr>
      <w:tabs>
        <w:tab w:val="center" w:pos="4536"/>
        <w:tab w:val="right" w:pos="9072"/>
      </w:tabs>
    </w:pPr>
  </w:style>
  <w:style w:type="paragraph" w:styleId="Textbubliny">
    <w:name w:val="Balloon Text"/>
    <w:basedOn w:val="Normln"/>
    <w:semiHidden/>
    <w:rsid w:val="00FC4F49"/>
    <w:rPr>
      <w:rFonts w:ascii="Tahoma" w:hAnsi="Tahoma" w:cs="Tahoma"/>
      <w:sz w:val="16"/>
      <w:szCs w:val="16"/>
    </w:rPr>
  </w:style>
  <w:style w:type="character" w:styleId="Odkaznakoment">
    <w:name w:val="annotation reference"/>
    <w:semiHidden/>
    <w:rsid w:val="00FC4F49"/>
    <w:rPr>
      <w:sz w:val="16"/>
      <w:szCs w:val="16"/>
    </w:rPr>
  </w:style>
  <w:style w:type="paragraph" w:styleId="Textkomente">
    <w:name w:val="annotation text"/>
    <w:basedOn w:val="Normln"/>
    <w:link w:val="TextkomenteChar"/>
    <w:semiHidden/>
    <w:rsid w:val="00FC4F49"/>
    <w:rPr>
      <w:sz w:val="20"/>
      <w:szCs w:val="20"/>
    </w:rPr>
  </w:style>
  <w:style w:type="paragraph" w:styleId="Pedmtkomente">
    <w:name w:val="annotation subject"/>
    <w:basedOn w:val="Textkomente"/>
    <w:next w:val="Textkomente"/>
    <w:semiHidden/>
    <w:rsid w:val="00FC4F49"/>
    <w:rPr>
      <w:b/>
      <w:bCs/>
    </w:rPr>
  </w:style>
  <w:style w:type="paragraph" w:styleId="Zkladntext2">
    <w:name w:val="Body Text 2"/>
    <w:basedOn w:val="Normln"/>
    <w:semiHidden/>
    <w:rsid w:val="00FC4F49"/>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 w:type="character" w:styleId="Hypertextovodkaz">
    <w:name w:val="Hyperlink"/>
    <w:unhideWhenUsed/>
    <w:rsid w:val="00BC40D1"/>
    <w:rPr>
      <w:color w:val="0000FF"/>
      <w:u w:val="single"/>
    </w:rPr>
  </w:style>
  <w:style w:type="paragraph" w:styleId="Textvysvtlivek">
    <w:name w:val="endnote text"/>
    <w:basedOn w:val="Normln"/>
    <w:link w:val="TextvysvtlivekChar"/>
    <w:uiPriority w:val="99"/>
    <w:semiHidden/>
    <w:unhideWhenUsed/>
    <w:rsid w:val="00DF6FB1"/>
    <w:rPr>
      <w:sz w:val="20"/>
      <w:szCs w:val="20"/>
    </w:rPr>
  </w:style>
  <w:style w:type="character" w:customStyle="1" w:styleId="TextvysvtlivekChar">
    <w:name w:val="Text vysvětlivek Char"/>
    <w:basedOn w:val="Standardnpsmoodstavce"/>
    <w:link w:val="Textvysvtlivek"/>
    <w:uiPriority w:val="99"/>
    <w:semiHidden/>
    <w:rsid w:val="00DF6FB1"/>
  </w:style>
  <w:style w:type="character" w:styleId="Odkaznavysvtlivky">
    <w:name w:val="endnote reference"/>
    <w:basedOn w:val="Standardnpsmoodstavce"/>
    <w:uiPriority w:val="99"/>
    <w:semiHidden/>
    <w:unhideWhenUsed/>
    <w:rsid w:val="00DF6FB1"/>
    <w:rPr>
      <w:vertAlign w:val="superscript"/>
    </w:rPr>
  </w:style>
  <w:style w:type="character" w:customStyle="1" w:styleId="TextkomenteChar">
    <w:name w:val="Text komentáře Char"/>
    <w:basedOn w:val="Standardnpsmoodstavce"/>
    <w:link w:val="Textkomente"/>
    <w:semiHidden/>
    <w:rsid w:val="00164DA7"/>
  </w:style>
  <w:style w:type="paragraph" w:styleId="Zkladntextodsazen3">
    <w:name w:val="Body Text Indent 3"/>
    <w:basedOn w:val="Normln"/>
    <w:link w:val="Zkladntextodsazen3Char"/>
    <w:uiPriority w:val="99"/>
    <w:unhideWhenUsed/>
    <w:rsid w:val="000816A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816A4"/>
    <w:rPr>
      <w:sz w:val="16"/>
      <w:szCs w:val="16"/>
    </w:rPr>
  </w:style>
  <w:style w:type="character" w:customStyle="1" w:styleId="ZkladntextodsazenChar">
    <w:name w:val="Základní text odsazený Char"/>
    <w:basedOn w:val="Standardnpsmoodstavce"/>
    <w:link w:val="Zkladntextodsazen"/>
    <w:rsid w:val="00810F30"/>
    <w:rPr>
      <w:rFonts w:ascii="Arial" w:hAnsi="Arial" w:cs="Arial"/>
      <w:color w:val="FF0000"/>
    </w:rPr>
  </w:style>
  <w:style w:type="paragraph" w:styleId="Odstavecseseznamem">
    <w:name w:val="List Paragraph"/>
    <w:basedOn w:val="Normln"/>
    <w:uiPriority w:val="34"/>
    <w:qFormat/>
    <w:rsid w:val="00917F8F"/>
    <w:pPr>
      <w:ind w:left="720"/>
      <w:contextualSpacing/>
    </w:pPr>
  </w:style>
  <w:style w:type="character" w:styleId="Sledovanodkaz">
    <w:name w:val="FollowedHyperlink"/>
    <w:basedOn w:val="Standardnpsmoodstavce"/>
    <w:uiPriority w:val="99"/>
    <w:semiHidden/>
    <w:unhideWhenUsed/>
    <w:rsid w:val="00327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nemocenska-statis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krajske-rocenky" TargetMode="External"/><Relationship Id="rId5" Type="http://schemas.openxmlformats.org/officeDocument/2006/relationships/webSettings" Target="webSettings.xml"/><Relationship Id="rId10" Type="http://schemas.openxmlformats.org/officeDocument/2006/relationships/hyperlink" Target="https://www.czso.cz/csu/czso/statisticka-rocenka-ceske-republiky-2022" TargetMode="External"/><Relationship Id="rId4" Type="http://schemas.openxmlformats.org/officeDocument/2006/relationships/settings" Target="settings.xml"/><Relationship Id="rId9" Type="http://schemas.openxmlformats.org/officeDocument/2006/relationships/hyperlink" Target="https://www.czso.cz/csu/czso/zdravotnictvi"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8DBD-473C-457D-9B27-8490ACA4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2482</Words>
  <Characters>16136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jileckova</dc:creator>
  <cp:keywords/>
  <dc:description/>
  <cp:lastModifiedBy>Vojtěch Řezanka Marek</cp:lastModifiedBy>
  <cp:revision>8</cp:revision>
  <cp:lastPrinted>2019-01-22T09:25:00Z</cp:lastPrinted>
  <dcterms:created xsi:type="dcterms:W3CDTF">2022-12-19T08:24:00Z</dcterms:created>
  <dcterms:modified xsi:type="dcterms:W3CDTF">2023-01-02T06:56:00Z</dcterms:modified>
</cp:coreProperties>
</file>