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3FD" w:rsidRPr="00E40ABE" w:rsidRDefault="005E53FD" w:rsidP="005E53FD">
      <w:pPr>
        <w:pStyle w:val="Nadpis1"/>
      </w:pPr>
      <w:bookmarkStart w:id="0" w:name="_Toc71535740"/>
      <w:bookmarkStart w:id="1" w:name="_Toc471197183"/>
      <w:r w:rsidRPr="00E40ABE">
        <w:t>Analýza</w:t>
      </w:r>
      <w:r w:rsidR="00F77929">
        <w:t xml:space="preserve">, </w:t>
      </w:r>
      <w:r>
        <w:t>část</w:t>
      </w:r>
      <w:r w:rsidR="00F77929">
        <w:t xml:space="preserve"> A</w:t>
      </w:r>
      <w:bookmarkStart w:id="2" w:name="_GoBack"/>
      <w:bookmarkEnd w:id="2"/>
      <w:r>
        <w:t>: studenti vysokých škol v ČR</w:t>
      </w:r>
      <w:bookmarkEnd w:id="0"/>
    </w:p>
    <w:p w:rsidR="005E53FD" w:rsidRDefault="005E53FD" w:rsidP="005E53FD">
      <w:pPr>
        <w:spacing w:after="120"/>
        <w:ind w:firstLine="284"/>
        <w:jc w:val="both"/>
      </w:pPr>
      <w:r>
        <w:t xml:space="preserve">V první části analýzy se budeme věnovat zejména statistikám, které se týkají </w:t>
      </w:r>
      <w:r w:rsidRPr="00B13471">
        <w:rPr>
          <w:b/>
        </w:rPr>
        <w:t xml:space="preserve">studentů </w:t>
      </w:r>
      <w:r>
        <w:t xml:space="preserve">veřejných a soukromých vysokých škol. Absolventům je věnována již podstatně stručnější druhá část analytické zprávy. Jak již bylo řečeno v úvodu této publikace, vedle studentů veřejných a soukromých vysokých škol patří do vysokoškolského vzdělávání v České republice také studenti dvou státních vysokých škol. Tito studenti jsou však vykazováni odděleně od studentů veřejných a soukromých vysokých škol a v roce 2020 tvořili jen 1,3% podíl všech vysokoškolských studentů. Dále proto budeme studenty </w:t>
      </w:r>
      <w:r w:rsidRPr="00225215">
        <w:t>veřejných a soukromých vysokých škol</w:t>
      </w:r>
      <w:r>
        <w:t xml:space="preserve"> nazývat pro zjednodušení obecně </w:t>
      </w:r>
      <w:r w:rsidRPr="00817845">
        <w:rPr>
          <w:i/>
        </w:rPr>
        <w:t>studenty vysokých škol</w:t>
      </w:r>
      <w:r>
        <w:t>.</w:t>
      </w:r>
    </w:p>
    <w:p w:rsidR="005E53FD" w:rsidRDefault="005E53FD" w:rsidP="005E53FD">
      <w:pPr>
        <w:spacing w:after="120"/>
        <w:ind w:firstLine="284"/>
        <w:jc w:val="both"/>
      </w:pPr>
      <w:r>
        <w:t xml:space="preserve">V této kapitole představíme </w:t>
      </w:r>
      <w:r w:rsidRPr="007C44D1">
        <w:t xml:space="preserve">základní přehled </w:t>
      </w:r>
      <w:r>
        <w:rPr>
          <w:b/>
        </w:rPr>
        <w:t xml:space="preserve">o vývoji </w:t>
      </w:r>
      <w:r w:rsidRPr="005A51CF">
        <w:rPr>
          <w:b/>
        </w:rPr>
        <w:t xml:space="preserve">počtu </w:t>
      </w:r>
      <w:r>
        <w:rPr>
          <w:b/>
        </w:rPr>
        <w:t xml:space="preserve">studentů </w:t>
      </w:r>
      <w:r w:rsidRPr="005A51CF">
        <w:rPr>
          <w:b/>
        </w:rPr>
        <w:t>celkem</w:t>
      </w:r>
      <w:r>
        <w:rPr>
          <w:b/>
        </w:rPr>
        <w:t>,</w:t>
      </w:r>
      <w:r>
        <w:t xml:space="preserve"> jakož i podílu studentů ve věku 20-29 let majících bydliště na území České republiky z celkové populace ČR ve věku 20-29 let v čase. Dále ukážeme vývoj podílu studentů v jednotlivých studijních programech. Představíme rozdíly v závislosti na pohlaví, státní příslušnosti, formy studia a věku. Poté se zaměříme na vývoj počtu studentů </w:t>
      </w:r>
      <w:r w:rsidRPr="005A51CF">
        <w:rPr>
          <w:b/>
        </w:rPr>
        <w:t xml:space="preserve">v jednotlivých skupinách oborů </w:t>
      </w:r>
      <w:r>
        <w:t xml:space="preserve">vzdělávání. Představíme, jaké skupiny oborů preferovali v letech 2001 až 2020 muži a jaké ženy či studenti cizí státní příslušnosti a jaký byl v uvedených letech podíl studentů doktorského studia a studentů s distanční či kombinovanou formou v jednotlivých skupinách oborů vzdělávání. </w:t>
      </w:r>
    </w:p>
    <w:p w:rsidR="005E53FD" w:rsidRDefault="005E53FD" w:rsidP="005E53FD">
      <w:pPr>
        <w:spacing w:after="120"/>
        <w:ind w:firstLine="284"/>
        <w:jc w:val="both"/>
      </w:pPr>
      <w:r>
        <w:t xml:space="preserve">Nakonec porovnáme údaje o studentech </w:t>
      </w:r>
      <w:r w:rsidRPr="005A51CF">
        <w:rPr>
          <w:b/>
        </w:rPr>
        <w:t>s trvalým bydlištěm v jednotlivých krajích České republiky</w:t>
      </w:r>
      <w:r>
        <w:rPr>
          <w:b/>
        </w:rPr>
        <w:t>, jakož i</w:t>
      </w:r>
      <w:r>
        <w:t xml:space="preserve"> </w:t>
      </w:r>
      <w:r>
        <w:rPr>
          <w:b/>
        </w:rPr>
        <w:t>bydlících</w:t>
      </w:r>
      <w:r w:rsidRPr="005A51CF">
        <w:rPr>
          <w:b/>
        </w:rPr>
        <w:t xml:space="preserve"> v</w:t>
      </w:r>
      <w:r>
        <w:rPr>
          <w:b/>
        </w:rPr>
        <w:t> </w:t>
      </w:r>
      <w:r w:rsidRPr="005A51CF">
        <w:rPr>
          <w:b/>
        </w:rPr>
        <w:t>zahraničí</w:t>
      </w:r>
      <w:r>
        <w:rPr>
          <w:b/>
        </w:rPr>
        <w:t xml:space="preserve"> </w:t>
      </w:r>
      <w:r w:rsidRPr="00473CA9">
        <w:t>(tj. bez trvalého pobytu v ČR)</w:t>
      </w:r>
      <w:r>
        <w:t>. Ukážeme, jaký podíl</w:t>
      </w:r>
      <w:r w:rsidRPr="00F214D1">
        <w:t xml:space="preserve"> </w:t>
      </w:r>
      <w:r>
        <w:t>ze všech obyvatel ve věku 20-29 let tvořili v roce 2020 v jednotlivých krajích studenti.</w:t>
      </w:r>
      <w:r w:rsidRPr="00B043F7">
        <w:t xml:space="preserve"> Po</w:t>
      </w:r>
      <w:r>
        <w:t>té uvedeme po</w:t>
      </w:r>
      <w:r w:rsidRPr="00B043F7">
        <w:t xml:space="preserve">díl studentů doktorského studia ze všech studentů, studentů </w:t>
      </w:r>
      <w:r>
        <w:t>s trvalým bydlištěm v </w:t>
      </w:r>
      <w:r w:rsidRPr="00B043F7">
        <w:t xml:space="preserve">jednotlivých krajích a </w:t>
      </w:r>
      <w:r>
        <w:t xml:space="preserve">studentů bydlících </w:t>
      </w:r>
      <w:r w:rsidRPr="00B043F7">
        <w:t>v</w:t>
      </w:r>
      <w:r>
        <w:t> </w:t>
      </w:r>
      <w:r w:rsidRPr="00B043F7">
        <w:t>zahraničí</w:t>
      </w:r>
      <w:r>
        <w:t xml:space="preserve"> v roce 2020. Nakonec nabídneme pohled na p</w:t>
      </w:r>
      <w:r w:rsidRPr="00B043F7">
        <w:t>rocentuá</w:t>
      </w:r>
      <w:r>
        <w:t>lní rozložení studentů, kteří v roce 2020 bydleli</w:t>
      </w:r>
      <w:r w:rsidRPr="00B043F7">
        <w:t xml:space="preserve"> v jednotlivých krajích </w:t>
      </w:r>
      <w:r>
        <w:t>České republiky a v </w:t>
      </w:r>
      <w:r w:rsidRPr="00B043F7">
        <w:t>zahraničí</w:t>
      </w:r>
      <w:r>
        <w:t>,</w:t>
      </w:r>
      <w:r w:rsidRPr="00B043F7">
        <w:t xml:space="preserve"> do skupin oborů vzdělávání</w:t>
      </w:r>
      <w:r>
        <w:t>.</w:t>
      </w:r>
      <w:r w:rsidRPr="00954833">
        <w:t xml:space="preserve"> </w:t>
      </w:r>
    </w:p>
    <w:p w:rsidR="005E53FD" w:rsidRPr="00A9180F" w:rsidRDefault="005E53FD" w:rsidP="005E53FD">
      <w:pPr>
        <w:spacing w:after="120"/>
        <w:ind w:firstLine="284"/>
        <w:jc w:val="both"/>
      </w:pPr>
      <w:r>
        <w:t xml:space="preserve">Pro podrobnější data odkazujeme na tabulkovou část této publikace, příp. na databázi </w:t>
      </w:r>
      <w:r>
        <w:rPr>
          <w:rFonts w:eastAsia="Calibri" w:cs="Arial"/>
          <w:color w:val="000000"/>
          <w:szCs w:val="20"/>
          <w:lang w:eastAsia="en-US"/>
        </w:rPr>
        <w:t>MŠMT (pro odkaz viz úvod této publikace).</w:t>
      </w:r>
    </w:p>
    <w:p w:rsidR="005E53FD" w:rsidRPr="00A9180F" w:rsidRDefault="005E53FD" w:rsidP="005E53FD"/>
    <w:p w:rsidR="005E53FD" w:rsidRDefault="005E53FD" w:rsidP="005E53FD">
      <w:pPr>
        <w:pStyle w:val="Nadpis2"/>
      </w:pPr>
      <w:bookmarkStart w:id="3" w:name="_Toc71535741"/>
      <w:r w:rsidRPr="00E40ABE">
        <w:t xml:space="preserve">Studenti </w:t>
      </w:r>
      <w:bookmarkEnd w:id="1"/>
      <w:r w:rsidRPr="00E40ABE">
        <w:t>celkem</w:t>
      </w:r>
      <w:bookmarkEnd w:id="3"/>
    </w:p>
    <w:p w:rsidR="005E53FD" w:rsidRPr="00E00549" w:rsidRDefault="005E53FD" w:rsidP="005E53FD"/>
    <w:p w:rsidR="005E53FD" w:rsidRDefault="005E53FD" w:rsidP="005E53FD">
      <w:pPr>
        <w:spacing w:after="120"/>
        <w:ind w:firstLine="284"/>
        <w:jc w:val="both"/>
      </w:pPr>
      <w:r>
        <w:t xml:space="preserve">V letech 2001 až 2010 postupně a výrazně stoupal </w:t>
      </w:r>
      <w:r w:rsidRPr="00662604">
        <w:t>počet</w:t>
      </w:r>
      <w:r w:rsidRPr="00662604">
        <w:rPr>
          <w:b/>
        </w:rPr>
        <w:t xml:space="preserve"> </w:t>
      </w:r>
      <w:r>
        <w:rPr>
          <w:b/>
        </w:rPr>
        <w:t xml:space="preserve">studentů </w:t>
      </w:r>
      <w:r w:rsidRPr="005A21B5">
        <w:t>vysokých škol</w:t>
      </w:r>
      <w:r>
        <w:t xml:space="preserve"> v České republice, a sice z 203,4 tisíce v roce 2001 na 396</w:t>
      </w:r>
      <w:r w:rsidRPr="000C78B0">
        <w:t xml:space="preserve"> </w:t>
      </w:r>
      <w:r>
        <w:t xml:space="preserve">tisíc v roce 2010. Celkově se tedy téměř zdvojnásobil. Poté začal </w:t>
      </w:r>
      <w:r w:rsidRPr="008172AD">
        <w:t xml:space="preserve">klesat až na </w:t>
      </w:r>
      <w:r>
        <w:t xml:space="preserve">288,6 tisíce v roce 2019. Celkově tak mezi lety 2010 a 2019 poklesl o 27 %. V posledním roce pak stoupl na počet 299,4 tisíc – viz graf č. 1. </w:t>
      </w:r>
    </w:p>
    <w:p w:rsidR="005E53FD" w:rsidRDefault="005E53FD" w:rsidP="005E53FD">
      <w:pPr>
        <w:keepNext/>
        <w:spacing w:after="120"/>
        <w:jc w:val="both"/>
        <w:rPr>
          <w:noProof/>
        </w:rPr>
      </w:pPr>
      <w:r>
        <w:rPr>
          <w:b/>
        </w:rPr>
        <w:t>Graf č. 1</w:t>
      </w:r>
      <w:r w:rsidRPr="00455F81">
        <w:rPr>
          <w:b/>
        </w:rPr>
        <w:t xml:space="preserve"> </w:t>
      </w:r>
      <w:r>
        <w:rPr>
          <w:b/>
        </w:rPr>
        <w:t>Studenti</w:t>
      </w:r>
      <w:r w:rsidRPr="00455F81">
        <w:rPr>
          <w:b/>
        </w:rPr>
        <w:t xml:space="preserve"> </w:t>
      </w:r>
      <w:r>
        <w:rPr>
          <w:b/>
        </w:rPr>
        <w:t xml:space="preserve">VŠ v ČR – celkový počet a </w:t>
      </w:r>
      <w:r w:rsidRPr="005B66A5">
        <w:rPr>
          <w:b/>
        </w:rPr>
        <w:t>podíl studentů m</w:t>
      </w:r>
      <w:r>
        <w:rPr>
          <w:b/>
        </w:rPr>
        <w:t>ezi obyvateli ČR věku 20-29 let</w:t>
      </w:r>
    </w:p>
    <w:p w:rsidR="005E53FD" w:rsidRPr="00EE04E0" w:rsidRDefault="005E53FD" w:rsidP="005E53FD">
      <w:pPr>
        <w:keepNext/>
        <w:spacing w:after="120"/>
        <w:jc w:val="both"/>
        <w:rPr>
          <w:noProof/>
        </w:rPr>
      </w:pPr>
      <w:r>
        <w:rPr>
          <w:noProof/>
        </w:rPr>
        <w:drawing>
          <wp:inline distT="0" distB="0" distL="0" distR="0" wp14:anchorId="7E8B721A" wp14:editId="46A552A5">
            <wp:extent cx="6120130" cy="2209800"/>
            <wp:effectExtent l="0" t="0" r="1397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E53FD" w:rsidRPr="008705B8" w:rsidRDefault="005E53FD" w:rsidP="005E53FD">
      <w:pPr>
        <w:spacing w:after="120"/>
        <w:jc w:val="right"/>
        <w:rPr>
          <w:b/>
          <w:sz w:val="18"/>
          <w:szCs w:val="18"/>
        </w:rPr>
      </w:pPr>
      <w:r w:rsidRPr="00C709E0">
        <w:rPr>
          <w:sz w:val="18"/>
          <w:szCs w:val="18"/>
        </w:rPr>
        <w:t>Zdroj dat: MŠMT (data o studentech), ČSÚ (data o populaci)</w:t>
      </w:r>
    </w:p>
    <w:p w:rsidR="005E53FD" w:rsidRDefault="005E53FD" w:rsidP="005E53FD">
      <w:pPr>
        <w:spacing w:after="120"/>
        <w:ind w:firstLine="284"/>
        <w:jc w:val="both"/>
      </w:pPr>
      <w:r>
        <w:lastRenderedPageBreak/>
        <w:t xml:space="preserve">V uvedených letech se rovněž měnil počet obyvatel České republiky. Graf č. 1 proto také ukazuje, jaký podíl obyvatel ČR ve věku 20-29 let, tedy ve věku obvyklém pro studium vysoké školy, v posledních 20 letech studoval na některé z vysokých škol v České republice. </w:t>
      </w:r>
    </w:p>
    <w:p w:rsidR="005E53FD" w:rsidRDefault="005E53FD" w:rsidP="005E53FD">
      <w:pPr>
        <w:spacing w:after="120"/>
        <w:ind w:firstLine="284"/>
        <w:jc w:val="both"/>
      </w:pPr>
      <w:r>
        <w:t>Aby bylo zřejmé, jak velkou skupinu studentů vysokých škol v ČR zahrnujeme do tohoto ukazatele, jsou v tabulce č. 1 podíly studentů, kteří v uvedených letech bydleli v ČR a byli ve věku 20-29 let, ze všech studentů (tj. včetně studentů bydlících v zahraničí, studentů mladších než 20 let a starších než 29 let):</w:t>
      </w:r>
    </w:p>
    <w:p w:rsidR="005E53FD" w:rsidRPr="00D8678C" w:rsidRDefault="005E53FD" w:rsidP="005E53FD">
      <w:pPr>
        <w:spacing w:after="120"/>
        <w:jc w:val="both"/>
        <w:rPr>
          <w:b/>
        </w:rPr>
      </w:pPr>
      <w:r w:rsidRPr="00D8678C">
        <w:rPr>
          <w:b/>
        </w:rPr>
        <w:t>Tabulka č. 1</w:t>
      </w:r>
      <w:r>
        <w:t xml:space="preserve"> </w:t>
      </w:r>
      <w:r w:rsidRPr="00005792">
        <w:rPr>
          <w:b/>
        </w:rPr>
        <w:t>Studenti VŠ v ČR</w:t>
      </w:r>
      <w:r>
        <w:t xml:space="preserve"> - </w:t>
      </w:r>
      <w:r>
        <w:rPr>
          <w:b/>
        </w:rPr>
        <w:t>p</w:t>
      </w:r>
      <w:r w:rsidRPr="00D8678C">
        <w:rPr>
          <w:b/>
        </w:rPr>
        <w:t xml:space="preserve">odíl </w:t>
      </w:r>
      <w:r>
        <w:rPr>
          <w:b/>
        </w:rPr>
        <w:t xml:space="preserve">studentů </w:t>
      </w:r>
      <w:r w:rsidRPr="00D8678C">
        <w:rPr>
          <w:b/>
        </w:rPr>
        <w:t xml:space="preserve">ve věku 20-29 let </w:t>
      </w:r>
      <w:r>
        <w:rPr>
          <w:b/>
        </w:rPr>
        <w:t>s trvalým bydlištěm</w:t>
      </w:r>
      <w:r w:rsidRPr="00D8678C">
        <w:rPr>
          <w:b/>
        </w:rPr>
        <w:t xml:space="preserve"> v ČR </w:t>
      </w:r>
      <w:r>
        <w:rPr>
          <w:b/>
        </w:rPr>
        <w:t xml:space="preserve">z celku (v %) </w:t>
      </w:r>
    </w:p>
    <w:tbl>
      <w:tblPr>
        <w:tblW w:w="8340" w:type="dxa"/>
        <w:tblCellMar>
          <w:left w:w="70" w:type="dxa"/>
          <w:right w:w="70" w:type="dxa"/>
        </w:tblCellMar>
        <w:tblLook w:val="04A0" w:firstRow="1" w:lastRow="0" w:firstColumn="1" w:lastColumn="0" w:noHBand="0" w:noVBand="1"/>
      </w:tblPr>
      <w:tblGrid>
        <w:gridCol w:w="960"/>
        <w:gridCol w:w="820"/>
        <w:gridCol w:w="820"/>
        <w:gridCol w:w="820"/>
        <w:gridCol w:w="820"/>
        <w:gridCol w:w="820"/>
        <w:gridCol w:w="820"/>
        <w:gridCol w:w="820"/>
        <w:gridCol w:w="820"/>
        <w:gridCol w:w="820"/>
      </w:tblGrid>
      <w:tr w:rsidR="005E53FD" w:rsidRPr="00D8678C" w:rsidTr="008B6CE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rPr>
                <w:rFonts w:cs="Arial"/>
                <w:b/>
                <w:bCs/>
                <w:color w:val="FFFFFF" w:themeColor="background1"/>
                <w:sz w:val="18"/>
                <w:szCs w:val="18"/>
              </w:rPr>
            </w:pP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2001</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2005</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2010</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2015</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2016</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2017</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2018</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2019</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5E53FD" w:rsidRPr="00D8678C" w:rsidRDefault="005E53FD" w:rsidP="008B6CE2">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2020</w:t>
            </w:r>
          </w:p>
        </w:tc>
      </w:tr>
      <w:tr w:rsidR="005E53FD" w:rsidRPr="00D8678C" w:rsidTr="008B6C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rPr>
                <w:rFonts w:cs="Arial"/>
                <w:color w:val="000000"/>
                <w:sz w:val="18"/>
                <w:szCs w:val="18"/>
              </w:rPr>
            </w:pPr>
            <w:r w:rsidRPr="00D8678C">
              <w:rPr>
                <w:rFonts w:cs="Arial"/>
                <w:color w:val="000000"/>
                <w:sz w:val="18"/>
                <w:szCs w:val="18"/>
              </w:rPr>
              <w:t>celkem</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74,9</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73,4</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68,6</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69,7</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68,4</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67,5</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66,6</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65,7</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64,9</w:t>
            </w:r>
          </w:p>
        </w:tc>
      </w:tr>
      <w:tr w:rsidR="005E53FD" w:rsidRPr="00D8678C" w:rsidTr="008B6C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rPr>
                <w:rFonts w:cs="Arial"/>
                <w:color w:val="000000"/>
                <w:sz w:val="18"/>
                <w:szCs w:val="18"/>
              </w:rPr>
            </w:pPr>
            <w:r w:rsidRPr="00D8678C">
              <w:rPr>
                <w:rFonts w:cs="Arial"/>
                <w:color w:val="000000"/>
                <w:sz w:val="18"/>
                <w:szCs w:val="18"/>
              </w:rPr>
              <w:t>ženy</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74,2</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73,4</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sidRPr="00D8678C">
              <w:rPr>
                <w:rFonts w:cs="Arial"/>
                <w:color w:val="000000"/>
                <w:sz w:val="18"/>
                <w:szCs w:val="18"/>
              </w:rPr>
              <w:t>68,</w:t>
            </w:r>
            <w:r>
              <w:rPr>
                <w:rFonts w:cs="Arial"/>
                <w:color w:val="000000"/>
                <w:sz w:val="18"/>
                <w:szCs w:val="18"/>
              </w:rPr>
              <w:t>3</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69,8</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68,5</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67,7</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67,1</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66,0</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65,2</w:t>
            </w:r>
          </w:p>
        </w:tc>
      </w:tr>
      <w:tr w:rsidR="005E53FD" w:rsidRPr="00D8678C" w:rsidTr="008B6C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rPr>
                <w:rFonts w:cs="Arial"/>
                <w:color w:val="000000"/>
                <w:sz w:val="18"/>
                <w:szCs w:val="18"/>
              </w:rPr>
            </w:pPr>
            <w:r w:rsidRPr="00D8678C">
              <w:rPr>
                <w:rFonts w:cs="Arial"/>
                <w:color w:val="000000"/>
                <w:sz w:val="18"/>
                <w:szCs w:val="18"/>
              </w:rPr>
              <w:t>muži</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75,7</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73,4</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69,0</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69,6</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68,2</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67,1</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66,1</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65,3</w:t>
            </w:r>
          </w:p>
        </w:tc>
        <w:tc>
          <w:tcPr>
            <w:tcW w:w="820" w:type="dxa"/>
            <w:tcBorders>
              <w:top w:val="nil"/>
              <w:left w:val="nil"/>
              <w:bottom w:val="single" w:sz="4" w:space="0" w:color="auto"/>
              <w:right w:val="single" w:sz="4" w:space="0" w:color="auto"/>
            </w:tcBorders>
            <w:shd w:val="clear" w:color="auto" w:fill="auto"/>
            <w:noWrap/>
            <w:vAlign w:val="center"/>
            <w:hideMark/>
          </w:tcPr>
          <w:p w:rsidR="005E53FD" w:rsidRPr="00D8678C" w:rsidRDefault="005E53FD" w:rsidP="008B6CE2">
            <w:pPr>
              <w:spacing w:after="0" w:line="240" w:lineRule="auto"/>
              <w:jc w:val="center"/>
              <w:rPr>
                <w:rFonts w:cs="Arial"/>
                <w:color w:val="000000"/>
                <w:sz w:val="18"/>
                <w:szCs w:val="18"/>
              </w:rPr>
            </w:pPr>
            <w:r>
              <w:rPr>
                <w:rFonts w:cs="Arial"/>
                <w:color w:val="000000"/>
                <w:sz w:val="18"/>
                <w:szCs w:val="18"/>
              </w:rPr>
              <w:t>64,5</w:t>
            </w:r>
          </w:p>
        </w:tc>
      </w:tr>
    </w:tbl>
    <w:p w:rsidR="005E53FD" w:rsidRDefault="005E53FD" w:rsidP="005E53FD">
      <w:pPr>
        <w:spacing w:after="0" w:line="240" w:lineRule="auto"/>
        <w:jc w:val="both"/>
      </w:pPr>
    </w:p>
    <w:p w:rsidR="005E53FD" w:rsidRDefault="005E53FD" w:rsidP="005E53FD">
      <w:pPr>
        <w:spacing w:after="120"/>
        <w:ind w:firstLine="284"/>
        <w:jc w:val="both"/>
      </w:pPr>
      <w:r>
        <w:t>Jak je zřejmé, v posledních letech tito studenti tvořili cca dvě třetiny všech studentů. Přitom</w:t>
      </w:r>
      <w:r w:rsidRPr="00ED74FD">
        <w:t xml:space="preserve"> je možné poznamenat, že spolu s růstem počtu studentů vysokých škol v první dekádě 21. století rostl též podíl studentů vysokých škol ve věku 20-29 let bydlících v České republice z celkového počtu obyvatel ČR ve věku 20-29 let, a sice z 9 % v roce 2001 na 19,5 % v roce 2011. Poté se do roku 2018 tento podíl mírně snížil na 16,5 % a do roku 2020 naopak zvýšil na 17,7 %</w:t>
      </w:r>
      <w:r>
        <w:t xml:space="preserve"> - viz graf č. 1</w:t>
      </w:r>
      <w:r w:rsidRPr="00ED74FD">
        <w:t>.</w:t>
      </w:r>
      <w:r>
        <w:t xml:space="preserve"> Je však zřejmé, že úbytek počtu studentů vysokých škol v druhé dekádě 21. století měl na svědomí zejména celkový úbytek obyvatel ČR ve věku 20-29 let. Mezi lety 2010 a 2020 poklesl o 23,6 %.  </w:t>
      </w:r>
    </w:p>
    <w:p w:rsidR="005E53FD" w:rsidRPr="00015DB2" w:rsidRDefault="005E53FD" w:rsidP="005E53FD">
      <w:pPr>
        <w:spacing w:after="120"/>
        <w:ind w:firstLine="284"/>
        <w:jc w:val="both"/>
      </w:pPr>
      <w:r w:rsidRPr="00662604">
        <w:t xml:space="preserve">Podíl </w:t>
      </w:r>
      <w:r w:rsidRPr="00662604">
        <w:rPr>
          <w:b/>
        </w:rPr>
        <w:t>žen ze všech studentů</w:t>
      </w:r>
      <w:r>
        <w:t xml:space="preserve"> vysokých škol v ČR se mezi lety 2001 a 2012 postupně zvyšoval, konkrétně ze 48,3 % na 56,2 %, poté vykázal víceméně setrvalý stav (v roce 2020 činil 55,5 %). Podíl žen ve věku 20-29 let studujících vysokou školu v ČR</w:t>
      </w:r>
      <w:r w:rsidRPr="00A7127A">
        <w:t xml:space="preserve"> </w:t>
      </w:r>
      <w:r>
        <w:t>ze všech žen ve věku 20-29 let bydlících v ČR činil v roce 2020 pětinu (20,3 %), zatímco u mužů byl tento podíl jen 15,2 %. Přitom v roce 2001 se muži a ženy v tomto podílu téměř nelišili (u žen tvořil 8,8 %, u mužů 9,2 %). Maximální hodnoty tohoto podílu pak byly u mužů i žen zaznamenány v roce 2011 (22,4 %, resp. 16,8 %). Více o počtu/podílu žen a mužů studujících vysokou</w:t>
      </w:r>
      <w:r w:rsidRPr="00A7127A">
        <w:t xml:space="preserve"> škol</w:t>
      </w:r>
      <w:r>
        <w:t>u v ČR viz graf č. 2 a tabulku č. 2.</w:t>
      </w:r>
    </w:p>
    <w:p w:rsidR="005E53FD" w:rsidRDefault="005E53FD" w:rsidP="005E53FD">
      <w:pPr>
        <w:keepNext/>
        <w:spacing w:after="120"/>
        <w:jc w:val="both"/>
        <w:rPr>
          <w:b/>
        </w:rPr>
      </w:pPr>
      <w:r>
        <w:rPr>
          <w:b/>
        </w:rPr>
        <w:t xml:space="preserve">Graf č. 2 Studenti VŠ v ČR dle pohlaví – celkový počet a </w:t>
      </w:r>
      <w:r w:rsidRPr="005B66A5">
        <w:rPr>
          <w:b/>
        </w:rPr>
        <w:t>podíl studentů m</w:t>
      </w:r>
      <w:r>
        <w:rPr>
          <w:b/>
        </w:rPr>
        <w:t>ezi obyvateli ČR věku 20-29 let</w:t>
      </w:r>
    </w:p>
    <w:p w:rsidR="005E53FD" w:rsidRPr="00502CFD" w:rsidRDefault="005E53FD" w:rsidP="005E53FD">
      <w:pPr>
        <w:keepNext/>
        <w:spacing w:after="120"/>
        <w:jc w:val="both"/>
        <w:rPr>
          <w:b/>
        </w:rPr>
      </w:pPr>
      <w:r>
        <w:rPr>
          <w:noProof/>
        </w:rPr>
        <w:drawing>
          <wp:inline distT="0" distB="0" distL="0" distR="0" wp14:anchorId="4F605FE1" wp14:editId="3F4B0FB5">
            <wp:extent cx="6120130" cy="2705100"/>
            <wp:effectExtent l="0" t="0" r="1397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E53FD" w:rsidRPr="00005792" w:rsidRDefault="005E53FD" w:rsidP="005E53FD">
      <w:pPr>
        <w:keepNext/>
        <w:jc w:val="right"/>
        <w:rPr>
          <w:sz w:val="18"/>
          <w:szCs w:val="18"/>
        </w:rPr>
      </w:pPr>
      <w:r w:rsidRPr="00C709E0">
        <w:rPr>
          <w:sz w:val="18"/>
          <w:szCs w:val="18"/>
        </w:rPr>
        <w:t>Zdroj dat: MŠMT (data o studentech), ČSÚ (data o populaci)</w:t>
      </w:r>
    </w:p>
    <w:p w:rsidR="005E53FD" w:rsidRPr="00A06502" w:rsidRDefault="005E53FD" w:rsidP="005E53FD">
      <w:pPr>
        <w:ind w:firstLine="284"/>
        <w:jc w:val="both"/>
      </w:pPr>
      <w:r>
        <w:t xml:space="preserve">Na vysokých školách je možné studovat bakalářský, magisterský, navazující magisterský a doktorský studijní program. V tomto ohledu lze konstatovat, že v roce 2020 studovaly tři pětiny studentů vysokých škol v ČR bakalářské studijní programy, desetina magisterské navazující programy, necelá čtvrtina magisterské </w:t>
      </w:r>
      <w:r>
        <w:lastRenderedPageBreak/>
        <w:t xml:space="preserve">nenavazující programy a 7,2 % doktorské programy – viz graf č. 3. Oproti rokům 2001 a 2005 se výrazně snížil podíl studentů magisterských nenavazujících programů ve prospěch zejména studentů bakalářského a magisterského navazujícího programu. To souvisí s proměnou nabídky studijních programů. </w:t>
      </w:r>
    </w:p>
    <w:p w:rsidR="005E53FD" w:rsidRDefault="005E53FD" w:rsidP="005E53FD">
      <w:pPr>
        <w:spacing w:after="120" w:line="240" w:lineRule="auto"/>
        <w:rPr>
          <w:b/>
        </w:rPr>
      </w:pPr>
      <w:r w:rsidRPr="005A3A08">
        <w:rPr>
          <w:b/>
        </w:rPr>
        <w:t xml:space="preserve">Graf č. 3 </w:t>
      </w:r>
      <w:r>
        <w:rPr>
          <w:b/>
        </w:rPr>
        <w:t xml:space="preserve">Studenti VŠ v ČR – podíly studentů </w:t>
      </w:r>
      <w:r w:rsidRPr="005A3A08">
        <w:rPr>
          <w:b/>
        </w:rPr>
        <w:t xml:space="preserve">v jednotlivých studijních programech </w:t>
      </w:r>
      <w:r>
        <w:rPr>
          <w:b/>
        </w:rPr>
        <w:t>ze všech studentů</w:t>
      </w:r>
    </w:p>
    <w:p w:rsidR="005E53FD" w:rsidRPr="005A3A08" w:rsidRDefault="005E53FD" w:rsidP="005E53FD">
      <w:pPr>
        <w:spacing w:after="120" w:line="240" w:lineRule="auto"/>
        <w:rPr>
          <w:b/>
        </w:rPr>
      </w:pPr>
      <w:r>
        <w:rPr>
          <w:noProof/>
        </w:rPr>
        <w:drawing>
          <wp:inline distT="0" distB="0" distL="0" distR="0" wp14:anchorId="3DA66BD8" wp14:editId="3484162F">
            <wp:extent cx="6120130" cy="1790700"/>
            <wp:effectExtent l="0" t="0" r="1397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53FD" w:rsidRPr="00A2545E" w:rsidRDefault="005E53FD" w:rsidP="005E53FD">
      <w:pPr>
        <w:spacing w:after="120" w:line="240" w:lineRule="auto"/>
        <w:jc w:val="right"/>
        <w:rPr>
          <w:sz w:val="18"/>
          <w:szCs w:val="18"/>
        </w:rPr>
      </w:pPr>
      <w:r w:rsidRPr="00A2545E">
        <w:rPr>
          <w:sz w:val="18"/>
          <w:szCs w:val="18"/>
        </w:rPr>
        <w:t>Zdroj dat: MŠMT</w:t>
      </w:r>
    </w:p>
    <w:p w:rsidR="005E53FD" w:rsidRDefault="005E53FD" w:rsidP="005E53FD">
      <w:pPr>
        <w:ind w:firstLine="284"/>
        <w:jc w:val="both"/>
      </w:pPr>
      <w:r>
        <w:t xml:space="preserve">Výše bylo uvedeno, že vysoké školy studuje vyšší podíl žen než mužů. Z grafu č. 4 je však zřejmé, že muži častěji než ženy pokračují ve studiu na doktorské úrovni. Zde je třeba vzít v úvahu, že obvyklý věk, ve kterém se studenti vzdělávají v doktorském programu, spadá u žen do obvyklého věkového rozmezí pro zakládání rodiny. To navíc pro ženy (až na vzácné výjimky na rozdíl od mužů) představuje minimálně půl roku soustavné péče o dítě na mateřské dovolené. Ženy tak častěji musí řešit dilema, zda pokračovat ve studiu, nebo založit rodinu, příp. získat před založením rodiny jistotu stálého zaměstnání. Častější inklinace žen pro studium v magisterském nenavazujícím programu je dále dána především tím, že takový program studia je zahrnut v oborech, které jsou atraktivnější pro ženy (především skupiny oborů Vzdělávání a výchova a </w:t>
      </w:r>
      <w:r w:rsidRPr="00160BE7">
        <w:t>Zdravotní a sociální péče, péče o příznivé životní podmínky</w:t>
      </w:r>
      <w:r>
        <w:t>).</w:t>
      </w:r>
    </w:p>
    <w:p w:rsidR="005E53FD" w:rsidRDefault="005E53FD" w:rsidP="005E53FD">
      <w:pPr>
        <w:keepNext/>
        <w:spacing w:after="120" w:line="240" w:lineRule="auto"/>
        <w:rPr>
          <w:b/>
        </w:rPr>
      </w:pPr>
      <w:r>
        <w:rPr>
          <w:b/>
        </w:rPr>
        <w:t>Graf č. 4</w:t>
      </w:r>
      <w:r w:rsidRPr="00B81E9A">
        <w:rPr>
          <w:b/>
        </w:rPr>
        <w:t xml:space="preserve"> </w:t>
      </w:r>
      <w:r>
        <w:rPr>
          <w:b/>
        </w:rPr>
        <w:t>Studenti VŠ v ČR dle pohlaví -</w:t>
      </w:r>
      <w:r w:rsidRPr="00B81E9A">
        <w:rPr>
          <w:b/>
        </w:rPr>
        <w:t xml:space="preserve"> </w:t>
      </w:r>
      <w:r>
        <w:rPr>
          <w:b/>
        </w:rPr>
        <w:t xml:space="preserve">podíly mužů/žen </w:t>
      </w:r>
      <w:r w:rsidRPr="005A3A08">
        <w:rPr>
          <w:b/>
        </w:rPr>
        <w:t xml:space="preserve">v jednotlivých studijních programech </w:t>
      </w:r>
      <w:r>
        <w:rPr>
          <w:b/>
        </w:rPr>
        <w:t>ze všech studujících mužů/žen</w:t>
      </w:r>
    </w:p>
    <w:p w:rsidR="005E53FD" w:rsidRPr="007D3CE1" w:rsidRDefault="005E53FD" w:rsidP="005E53FD">
      <w:pPr>
        <w:keepNext/>
        <w:spacing w:after="120" w:line="240" w:lineRule="auto"/>
        <w:rPr>
          <w:b/>
        </w:rPr>
      </w:pPr>
      <w:r>
        <w:rPr>
          <w:noProof/>
        </w:rPr>
        <w:drawing>
          <wp:inline distT="0" distB="0" distL="0" distR="0" wp14:anchorId="4A53E550" wp14:editId="0F90F88B">
            <wp:extent cx="6010275" cy="2286000"/>
            <wp:effectExtent l="0" t="0" r="9525"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53FD" w:rsidRPr="00EE338E" w:rsidRDefault="005E53FD" w:rsidP="005E53FD">
      <w:pPr>
        <w:spacing w:after="120" w:line="240" w:lineRule="auto"/>
        <w:jc w:val="right"/>
        <w:rPr>
          <w:sz w:val="18"/>
          <w:szCs w:val="18"/>
        </w:rPr>
      </w:pPr>
      <w:r w:rsidRPr="00EE338E">
        <w:rPr>
          <w:sz w:val="18"/>
          <w:szCs w:val="18"/>
        </w:rPr>
        <w:t>Zdroj dat: MŠMT</w:t>
      </w:r>
    </w:p>
    <w:p w:rsidR="005E53FD" w:rsidRPr="007D7055" w:rsidRDefault="005E53FD" w:rsidP="005E53FD">
      <w:pPr>
        <w:ind w:firstLine="284"/>
        <w:jc w:val="both"/>
      </w:pPr>
      <w:r w:rsidRPr="00662604">
        <w:t xml:space="preserve">Podíl </w:t>
      </w:r>
      <w:r w:rsidRPr="00662604">
        <w:rPr>
          <w:b/>
        </w:rPr>
        <w:t>studentů cizí státní příslušnosti</w:t>
      </w:r>
      <w:r>
        <w:t xml:space="preserve"> se v celém sledovaném období postupně zvyšoval, tj. ze 4,3 % v roce 2001 na 16,7 % v roce 2020. Celkově se tak za posledních 20 let téměř zčtyřnásobil. Podíl </w:t>
      </w:r>
      <w:r w:rsidRPr="00662604">
        <w:rPr>
          <w:b/>
        </w:rPr>
        <w:t xml:space="preserve">studentů </w:t>
      </w:r>
      <w:r>
        <w:rPr>
          <w:b/>
        </w:rPr>
        <w:t>ve věku</w:t>
      </w:r>
      <w:r w:rsidRPr="00662604">
        <w:rPr>
          <w:b/>
        </w:rPr>
        <w:t xml:space="preserve"> 25 le</w:t>
      </w:r>
      <w:r w:rsidRPr="004A7384">
        <w:rPr>
          <w:b/>
        </w:rPr>
        <w:t>t</w:t>
      </w:r>
      <w:r>
        <w:rPr>
          <w:b/>
        </w:rPr>
        <w:t xml:space="preserve"> a více</w:t>
      </w:r>
      <w:r>
        <w:t xml:space="preserve"> stoupl mezi lety 2001 a 2009 z 24,6 % na 35,7 % a v dalších letech činil cca jednu třetinu (v roce 2020 celkem 32,4 %). Obdobně podíl </w:t>
      </w:r>
      <w:r w:rsidRPr="00662604">
        <w:rPr>
          <w:b/>
        </w:rPr>
        <w:t xml:space="preserve">studentů </w:t>
      </w:r>
      <w:r>
        <w:rPr>
          <w:b/>
        </w:rPr>
        <w:t>v jiném než denním studiu</w:t>
      </w:r>
      <w:r>
        <w:t xml:space="preserve"> stoupal mezi lety 2001 a 2009, konkrétně z 18 % na 29,9 %, a poté do roku 2020 klesl na 22 %. Podíl </w:t>
      </w:r>
      <w:r w:rsidRPr="00662604">
        <w:rPr>
          <w:b/>
        </w:rPr>
        <w:t>studentů</w:t>
      </w:r>
      <w:r>
        <w:t xml:space="preserve"> </w:t>
      </w:r>
      <w:r w:rsidRPr="00662604">
        <w:rPr>
          <w:b/>
        </w:rPr>
        <w:t>doktorského studia</w:t>
      </w:r>
      <w:r>
        <w:t xml:space="preserve"> měl kolísavou tendenci a pohyboval se mezi 6,5 % (v letech 2010 až 2012) a 8,2 % (v letech 2002 a 2003). Více viz tabulku č. 2.</w:t>
      </w:r>
    </w:p>
    <w:p w:rsidR="005E53FD" w:rsidRDefault="005E53FD" w:rsidP="005E53FD">
      <w:pPr>
        <w:keepNext/>
        <w:spacing w:after="120"/>
        <w:jc w:val="both"/>
        <w:rPr>
          <w:b/>
        </w:rPr>
      </w:pPr>
      <w:r>
        <w:rPr>
          <w:b/>
        </w:rPr>
        <w:lastRenderedPageBreak/>
        <w:t>Tabulka č. 2 Studenti VŠ v ČR - vývoj počtu studentů v třídění dle pohlaví, státní příslušnosti, studijního programu, formy studia a věku</w:t>
      </w:r>
    </w:p>
    <w:tbl>
      <w:tblPr>
        <w:tblW w:w="9493" w:type="dxa"/>
        <w:tblCellMar>
          <w:left w:w="70" w:type="dxa"/>
          <w:right w:w="70" w:type="dxa"/>
        </w:tblCellMar>
        <w:tblLook w:val="04A0" w:firstRow="1" w:lastRow="0" w:firstColumn="1" w:lastColumn="0" w:noHBand="0" w:noVBand="1"/>
      </w:tblPr>
      <w:tblGrid>
        <w:gridCol w:w="1049"/>
        <w:gridCol w:w="1386"/>
        <w:gridCol w:w="1050"/>
        <w:gridCol w:w="1050"/>
        <w:gridCol w:w="1274"/>
        <w:gridCol w:w="1274"/>
        <w:gridCol w:w="1134"/>
        <w:gridCol w:w="1276"/>
      </w:tblGrid>
      <w:tr w:rsidR="005E53FD" w:rsidRPr="00A91178" w:rsidTr="008B6CE2">
        <w:trPr>
          <w:trHeight w:hRule="exact" w:val="344"/>
        </w:trPr>
        <w:tc>
          <w:tcPr>
            <w:tcW w:w="1049" w:type="dxa"/>
            <w:vMerge w:val="restart"/>
            <w:tcBorders>
              <w:top w:val="single" w:sz="4" w:space="0" w:color="auto"/>
              <w:left w:val="single" w:sz="4" w:space="0" w:color="auto"/>
              <w:right w:val="single" w:sz="4" w:space="0" w:color="auto"/>
            </w:tcBorders>
            <w:shd w:val="clear" w:color="000000" w:fill="2A8D9A"/>
            <w:vAlign w:val="center"/>
            <w:hideMark/>
          </w:tcPr>
          <w:p w:rsidR="005E53FD" w:rsidRPr="00A91178" w:rsidRDefault="005E53FD" w:rsidP="008B6CE2">
            <w:pPr>
              <w:keepNext/>
              <w:spacing w:after="0" w:line="240" w:lineRule="auto"/>
              <w:jc w:val="center"/>
              <w:rPr>
                <w:rFonts w:cs="Arial"/>
                <w:b/>
                <w:bCs/>
                <w:color w:val="FFFFFF"/>
                <w:sz w:val="16"/>
                <w:szCs w:val="16"/>
              </w:rPr>
            </w:pPr>
            <w:r w:rsidRPr="00A91178">
              <w:rPr>
                <w:rFonts w:cs="Arial"/>
                <w:b/>
                <w:bCs/>
                <w:color w:val="FFFFFF"/>
                <w:sz w:val="16"/>
                <w:szCs w:val="16"/>
              </w:rPr>
              <w:t>rok</w:t>
            </w:r>
          </w:p>
        </w:tc>
        <w:tc>
          <w:tcPr>
            <w:tcW w:w="1386" w:type="dxa"/>
            <w:vMerge w:val="restart"/>
            <w:tcBorders>
              <w:top w:val="single" w:sz="4" w:space="0" w:color="auto"/>
              <w:left w:val="nil"/>
              <w:right w:val="single" w:sz="4" w:space="0" w:color="auto"/>
            </w:tcBorders>
            <w:shd w:val="clear" w:color="000000" w:fill="2A8D9A"/>
            <w:vAlign w:val="center"/>
            <w:hideMark/>
          </w:tcPr>
          <w:p w:rsidR="005E53FD" w:rsidRPr="00A91178" w:rsidRDefault="005E53FD" w:rsidP="008B6CE2">
            <w:pPr>
              <w:keepNext/>
              <w:spacing w:after="0" w:line="240" w:lineRule="auto"/>
              <w:jc w:val="center"/>
              <w:rPr>
                <w:rFonts w:cs="Arial"/>
                <w:b/>
                <w:bCs/>
                <w:color w:val="FFFFFF"/>
                <w:sz w:val="16"/>
                <w:szCs w:val="16"/>
              </w:rPr>
            </w:pPr>
            <w:r w:rsidRPr="00A91178">
              <w:rPr>
                <w:rFonts w:cs="Arial"/>
                <w:b/>
                <w:bCs/>
                <w:color w:val="FFFFFF"/>
                <w:sz w:val="16"/>
                <w:szCs w:val="16"/>
              </w:rPr>
              <w:t xml:space="preserve">vysokoškolští studenti celkem </w:t>
            </w:r>
            <w:r w:rsidRPr="00A91178">
              <w:rPr>
                <w:rFonts w:cs="Arial"/>
                <w:b/>
                <w:bCs/>
                <w:color w:val="FFFFFF"/>
                <w:sz w:val="16"/>
                <w:szCs w:val="16"/>
              </w:rPr>
              <w:br/>
              <w:t>(v tis. osob)</w:t>
            </w:r>
          </w:p>
        </w:tc>
        <w:tc>
          <w:tcPr>
            <w:tcW w:w="5782" w:type="dxa"/>
            <w:gridSpan w:val="5"/>
            <w:tcBorders>
              <w:top w:val="single" w:sz="4" w:space="0" w:color="auto"/>
              <w:left w:val="single" w:sz="4" w:space="0" w:color="auto"/>
              <w:bottom w:val="single" w:sz="4" w:space="0" w:color="auto"/>
              <w:right w:val="single" w:sz="4" w:space="0" w:color="auto"/>
            </w:tcBorders>
            <w:shd w:val="clear" w:color="000000" w:fill="2A8D9A"/>
            <w:vAlign w:val="center"/>
            <w:hideMark/>
          </w:tcPr>
          <w:p w:rsidR="005E53FD" w:rsidRPr="00A91178" w:rsidRDefault="005E53FD" w:rsidP="008B6CE2">
            <w:pPr>
              <w:keepNext/>
              <w:spacing w:after="0" w:line="240" w:lineRule="auto"/>
              <w:jc w:val="center"/>
              <w:rPr>
                <w:rFonts w:cs="Arial"/>
                <w:b/>
                <w:bCs/>
                <w:color w:val="FFFFFF"/>
                <w:sz w:val="16"/>
                <w:szCs w:val="16"/>
              </w:rPr>
            </w:pPr>
            <w:r>
              <w:rPr>
                <w:rFonts w:cs="Arial"/>
                <w:b/>
                <w:bCs/>
                <w:color w:val="FFFFFF"/>
                <w:sz w:val="16"/>
                <w:szCs w:val="16"/>
              </w:rPr>
              <w:t>z toho podíl (v %)</w:t>
            </w:r>
          </w:p>
        </w:tc>
        <w:tc>
          <w:tcPr>
            <w:tcW w:w="1276" w:type="dxa"/>
            <w:vMerge w:val="restart"/>
            <w:tcBorders>
              <w:top w:val="single" w:sz="4" w:space="0" w:color="auto"/>
              <w:left w:val="single" w:sz="4" w:space="0" w:color="auto"/>
              <w:right w:val="single" w:sz="4" w:space="0" w:color="auto"/>
            </w:tcBorders>
            <w:shd w:val="clear" w:color="000000" w:fill="2A8D9A"/>
            <w:vAlign w:val="center"/>
          </w:tcPr>
          <w:p w:rsidR="005E53FD" w:rsidRPr="00A91178" w:rsidRDefault="005E53FD" w:rsidP="008B6CE2">
            <w:pPr>
              <w:keepNext/>
              <w:spacing w:after="0" w:line="240" w:lineRule="auto"/>
              <w:jc w:val="center"/>
              <w:rPr>
                <w:rFonts w:cs="Arial"/>
                <w:b/>
                <w:bCs/>
                <w:color w:val="FFFFFF"/>
                <w:sz w:val="16"/>
                <w:szCs w:val="16"/>
              </w:rPr>
            </w:pPr>
            <w:r w:rsidRPr="00A91178">
              <w:rPr>
                <w:rFonts w:cs="Arial"/>
                <w:b/>
                <w:bCs/>
                <w:color w:val="FFFFFF"/>
                <w:sz w:val="16"/>
                <w:szCs w:val="16"/>
              </w:rPr>
              <w:t>podíl studentů ve věkové kohortě 20-29 let (v %)</w:t>
            </w:r>
          </w:p>
        </w:tc>
      </w:tr>
      <w:tr w:rsidR="005E53FD" w:rsidRPr="00A91178" w:rsidTr="008B6CE2">
        <w:trPr>
          <w:trHeight w:hRule="exact" w:val="703"/>
        </w:trPr>
        <w:tc>
          <w:tcPr>
            <w:tcW w:w="1049" w:type="dxa"/>
            <w:vMerge/>
            <w:tcBorders>
              <w:left w:val="single" w:sz="4" w:space="0" w:color="auto"/>
              <w:bottom w:val="single" w:sz="4" w:space="0" w:color="auto"/>
              <w:right w:val="single" w:sz="4" w:space="0" w:color="auto"/>
            </w:tcBorders>
            <w:shd w:val="clear" w:color="auto" w:fill="auto"/>
            <w:noWrap/>
            <w:vAlign w:val="center"/>
          </w:tcPr>
          <w:p w:rsidR="005E53FD" w:rsidRPr="00A91178" w:rsidRDefault="005E53FD" w:rsidP="008B6CE2">
            <w:pPr>
              <w:keepNext/>
              <w:spacing w:after="0" w:line="240" w:lineRule="auto"/>
              <w:jc w:val="center"/>
              <w:rPr>
                <w:rFonts w:cs="Arial"/>
                <w:b/>
                <w:bCs/>
                <w:sz w:val="16"/>
                <w:szCs w:val="16"/>
              </w:rPr>
            </w:pPr>
          </w:p>
        </w:tc>
        <w:tc>
          <w:tcPr>
            <w:tcW w:w="1386" w:type="dxa"/>
            <w:vMerge/>
            <w:tcBorders>
              <w:left w:val="nil"/>
              <w:bottom w:val="single" w:sz="4" w:space="0" w:color="auto"/>
              <w:right w:val="single" w:sz="4" w:space="0" w:color="auto"/>
            </w:tcBorders>
            <w:shd w:val="clear" w:color="auto" w:fill="auto"/>
            <w:vAlign w:val="center"/>
          </w:tcPr>
          <w:p w:rsidR="005E53FD" w:rsidRPr="00A91178" w:rsidRDefault="005E53FD" w:rsidP="008B6CE2">
            <w:pPr>
              <w:keepNext/>
              <w:spacing w:after="0" w:line="240" w:lineRule="auto"/>
              <w:jc w:val="right"/>
              <w:rPr>
                <w:rFonts w:cs="Arial"/>
                <w:color w:val="000000"/>
                <w:sz w:val="16"/>
                <w:szCs w:val="16"/>
              </w:rPr>
            </w:pPr>
          </w:p>
        </w:tc>
        <w:tc>
          <w:tcPr>
            <w:tcW w:w="1050" w:type="dxa"/>
            <w:tcBorders>
              <w:top w:val="single" w:sz="4" w:space="0" w:color="auto"/>
              <w:left w:val="single" w:sz="4" w:space="0" w:color="auto"/>
              <w:bottom w:val="single" w:sz="4" w:space="0" w:color="auto"/>
              <w:right w:val="single" w:sz="4" w:space="0" w:color="auto"/>
            </w:tcBorders>
            <w:shd w:val="clear" w:color="auto" w:fill="2A8D9A"/>
            <w:vAlign w:val="center"/>
          </w:tcPr>
          <w:p w:rsidR="005E53FD" w:rsidRPr="00F07C76" w:rsidRDefault="005E53FD" w:rsidP="008B6CE2">
            <w:pPr>
              <w:keepNext/>
              <w:spacing w:after="0" w:line="240" w:lineRule="auto"/>
              <w:jc w:val="center"/>
              <w:rPr>
                <w:rFonts w:cs="Arial"/>
                <w:b/>
                <w:bCs/>
                <w:color w:val="FFFFFF"/>
                <w:sz w:val="16"/>
                <w:szCs w:val="16"/>
              </w:rPr>
            </w:pPr>
            <w:r>
              <w:rPr>
                <w:rFonts w:cs="Arial"/>
                <w:b/>
                <w:bCs/>
                <w:color w:val="FFFFFF"/>
                <w:sz w:val="16"/>
                <w:szCs w:val="16"/>
              </w:rPr>
              <w:t>žen</w:t>
            </w:r>
          </w:p>
        </w:tc>
        <w:tc>
          <w:tcPr>
            <w:tcW w:w="1050" w:type="dxa"/>
            <w:tcBorders>
              <w:top w:val="single" w:sz="4" w:space="0" w:color="auto"/>
              <w:left w:val="single" w:sz="4" w:space="0" w:color="auto"/>
              <w:bottom w:val="single" w:sz="4" w:space="0" w:color="auto"/>
              <w:right w:val="single" w:sz="4" w:space="0" w:color="auto"/>
            </w:tcBorders>
            <w:shd w:val="clear" w:color="auto" w:fill="2A8D9A"/>
            <w:vAlign w:val="center"/>
          </w:tcPr>
          <w:p w:rsidR="005E53FD" w:rsidRPr="00F07C76" w:rsidRDefault="005E53FD" w:rsidP="008B6CE2">
            <w:pPr>
              <w:keepNext/>
              <w:spacing w:after="0" w:line="240" w:lineRule="auto"/>
              <w:jc w:val="center"/>
              <w:rPr>
                <w:rFonts w:cs="Arial"/>
                <w:b/>
                <w:bCs/>
                <w:color w:val="FFFFFF"/>
                <w:sz w:val="16"/>
                <w:szCs w:val="16"/>
              </w:rPr>
            </w:pPr>
            <w:r w:rsidRPr="00F07C76">
              <w:rPr>
                <w:rFonts w:cs="Arial"/>
                <w:b/>
                <w:bCs/>
                <w:color w:val="FFFFFF"/>
                <w:sz w:val="16"/>
                <w:szCs w:val="16"/>
              </w:rPr>
              <w:t xml:space="preserve">cizinců </w:t>
            </w:r>
          </w:p>
        </w:tc>
        <w:tc>
          <w:tcPr>
            <w:tcW w:w="1274" w:type="dxa"/>
            <w:tcBorders>
              <w:top w:val="single" w:sz="4" w:space="0" w:color="auto"/>
              <w:left w:val="single" w:sz="4" w:space="0" w:color="auto"/>
              <w:bottom w:val="single" w:sz="4" w:space="0" w:color="auto"/>
              <w:right w:val="single" w:sz="4" w:space="0" w:color="auto"/>
            </w:tcBorders>
            <w:shd w:val="clear" w:color="auto" w:fill="2A8D9A"/>
            <w:vAlign w:val="center"/>
          </w:tcPr>
          <w:p w:rsidR="005E53FD" w:rsidRPr="00F07C76" w:rsidRDefault="005E53FD" w:rsidP="008B6CE2">
            <w:pPr>
              <w:keepNext/>
              <w:spacing w:after="0" w:line="240" w:lineRule="auto"/>
              <w:jc w:val="center"/>
              <w:rPr>
                <w:rFonts w:cs="Arial"/>
                <w:b/>
                <w:bCs/>
                <w:color w:val="FFFFFF"/>
                <w:sz w:val="16"/>
                <w:szCs w:val="16"/>
              </w:rPr>
            </w:pPr>
            <w:r w:rsidRPr="00F07C76">
              <w:rPr>
                <w:rFonts w:cs="Arial"/>
                <w:b/>
                <w:bCs/>
                <w:color w:val="FFFFFF"/>
                <w:sz w:val="16"/>
                <w:szCs w:val="16"/>
              </w:rPr>
              <w:t xml:space="preserve">studentů doktorského studia </w:t>
            </w:r>
          </w:p>
        </w:tc>
        <w:tc>
          <w:tcPr>
            <w:tcW w:w="1274" w:type="dxa"/>
            <w:tcBorders>
              <w:top w:val="single" w:sz="4" w:space="0" w:color="auto"/>
              <w:left w:val="single" w:sz="4" w:space="0" w:color="auto"/>
              <w:bottom w:val="single" w:sz="4" w:space="0" w:color="auto"/>
              <w:right w:val="single" w:sz="4" w:space="0" w:color="auto"/>
            </w:tcBorders>
            <w:shd w:val="clear" w:color="auto" w:fill="2A8D9A"/>
            <w:vAlign w:val="center"/>
          </w:tcPr>
          <w:p w:rsidR="005E53FD" w:rsidRPr="00F07C76" w:rsidRDefault="005E53FD" w:rsidP="008B6CE2">
            <w:pPr>
              <w:keepNext/>
              <w:spacing w:after="0" w:line="240" w:lineRule="auto"/>
              <w:jc w:val="center"/>
              <w:rPr>
                <w:rFonts w:cs="Arial"/>
                <w:b/>
                <w:bCs/>
                <w:color w:val="FFFFFF"/>
                <w:sz w:val="16"/>
                <w:szCs w:val="16"/>
              </w:rPr>
            </w:pPr>
            <w:r>
              <w:rPr>
                <w:rFonts w:cs="Arial"/>
                <w:b/>
                <w:bCs/>
                <w:color w:val="FFFFFF"/>
                <w:sz w:val="16"/>
                <w:szCs w:val="16"/>
              </w:rPr>
              <w:t>studentů v </w:t>
            </w:r>
            <w:r w:rsidRPr="00F07C76">
              <w:rPr>
                <w:rFonts w:cs="Arial"/>
                <w:b/>
                <w:bCs/>
                <w:color w:val="FFFFFF"/>
                <w:sz w:val="16"/>
                <w:szCs w:val="16"/>
              </w:rPr>
              <w:t xml:space="preserve">jiném než denním studiu </w:t>
            </w:r>
          </w:p>
        </w:tc>
        <w:tc>
          <w:tcPr>
            <w:tcW w:w="1134" w:type="dxa"/>
            <w:tcBorders>
              <w:top w:val="single" w:sz="4" w:space="0" w:color="auto"/>
              <w:left w:val="single" w:sz="4" w:space="0" w:color="auto"/>
              <w:bottom w:val="single" w:sz="4" w:space="0" w:color="auto"/>
              <w:right w:val="single" w:sz="4" w:space="0" w:color="auto"/>
            </w:tcBorders>
            <w:shd w:val="clear" w:color="auto" w:fill="2A8D9A"/>
            <w:vAlign w:val="center"/>
          </w:tcPr>
          <w:p w:rsidR="005E53FD" w:rsidRPr="00F07C76" w:rsidRDefault="005E53FD" w:rsidP="008B6CE2">
            <w:pPr>
              <w:keepNext/>
              <w:spacing w:after="0" w:line="240" w:lineRule="auto"/>
              <w:jc w:val="center"/>
              <w:rPr>
                <w:rFonts w:cs="Arial"/>
                <w:b/>
                <w:bCs/>
                <w:color w:val="FFFFFF"/>
                <w:sz w:val="16"/>
                <w:szCs w:val="16"/>
              </w:rPr>
            </w:pPr>
            <w:r>
              <w:rPr>
                <w:rFonts w:cs="Arial"/>
                <w:b/>
                <w:bCs/>
                <w:color w:val="FFFFFF"/>
                <w:sz w:val="16"/>
                <w:szCs w:val="16"/>
              </w:rPr>
              <w:t>studentů ve </w:t>
            </w:r>
            <w:r w:rsidRPr="00F07C76">
              <w:rPr>
                <w:rFonts w:cs="Arial"/>
                <w:b/>
                <w:bCs/>
                <w:color w:val="FFFFFF"/>
                <w:sz w:val="16"/>
                <w:szCs w:val="16"/>
              </w:rPr>
              <w:t xml:space="preserve">věku 25+ </w:t>
            </w:r>
            <w:r w:rsidRPr="00F07C76">
              <w:rPr>
                <w:rFonts w:cs="Arial"/>
                <w:b/>
                <w:bCs/>
                <w:color w:val="FFFFFF"/>
                <w:sz w:val="16"/>
                <w:szCs w:val="16"/>
              </w:rPr>
              <w:br/>
            </w:r>
          </w:p>
        </w:tc>
        <w:tc>
          <w:tcPr>
            <w:tcW w:w="1276" w:type="dxa"/>
            <w:vMerge/>
            <w:tcBorders>
              <w:left w:val="single" w:sz="4" w:space="0" w:color="auto"/>
              <w:bottom w:val="single" w:sz="4" w:space="0" w:color="auto"/>
              <w:right w:val="single" w:sz="4" w:space="0" w:color="auto"/>
            </w:tcBorders>
            <w:shd w:val="clear" w:color="auto" w:fill="2A8D9A"/>
          </w:tcPr>
          <w:p w:rsidR="005E53FD" w:rsidRPr="00394058" w:rsidRDefault="005E53FD" w:rsidP="008B6CE2">
            <w:pPr>
              <w:keepNext/>
              <w:spacing w:after="0" w:line="240" w:lineRule="auto"/>
              <w:jc w:val="right"/>
              <w:rPr>
                <w:rFonts w:cs="Arial"/>
                <w:color w:val="000000"/>
                <w:sz w:val="16"/>
                <w:szCs w:val="16"/>
              </w:rPr>
            </w:pP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2001</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203,4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48,3</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4,3</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8,1</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24,6</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9,0</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2002</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220,2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49,1</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5,0</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8,2</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26,6</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9,9</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2003</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243,7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49,5</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5,4</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8,2</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29,1</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11,1</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2004</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264,8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50,9</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6,4</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8,1</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31,0</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11,9</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2005</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289,5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52,1</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7,2</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7,7</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31,6</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13,6</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2006</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316,2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53,1</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7,5</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7,4</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32,6</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14,8</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2007</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343,9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54,0</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7,9</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7,0</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34,2</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16,2</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2008</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368,1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55,0</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8,2</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6,7</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35,2</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17,2</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2009</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389,0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55,6</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8,9</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6,6</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35,7</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18,3</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2010</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396,0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55,9</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9,5</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6,5</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35,5</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18,9</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2011</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392,0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56,0</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9,9</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6,5</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34,9</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19,5</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2012</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380,9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56,2</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10,4</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6,5</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33,6</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19,4</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2013</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367,8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56,2</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11,0</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6,7</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33,0</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19,2</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2014</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346,8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56,1</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11,8</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7,0</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32,9</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18,5</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2015</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326,4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55,8</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12,9</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7,3</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33,4</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17,8</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2016</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311,1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56,0</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14,0</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7,5</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34,1</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17,2</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2017</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298,7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56,1</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14,6</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7,4</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34,4</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16,8</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2018</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289,7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55,9</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15,4</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7,4</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34,3</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16,5</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keepNext/>
              <w:spacing w:after="0" w:line="240" w:lineRule="auto"/>
              <w:jc w:val="center"/>
              <w:rPr>
                <w:rFonts w:cs="Arial"/>
                <w:b/>
                <w:bCs/>
                <w:sz w:val="16"/>
                <w:szCs w:val="16"/>
              </w:rPr>
            </w:pPr>
            <w:r w:rsidRPr="00A91178">
              <w:rPr>
                <w:rFonts w:cs="Arial"/>
                <w:b/>
                <w:bCs/>
                <w:sz w:val="16"/>
                <w:szCs w:val="16"/>
              </w:rPr>
              <w:t>2019</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288,6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55,8</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16,1</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7,2</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22,8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keepNext/>
              <w:spacing w:after="0" w:line="240" w:lineRule="auto"/>
              <w:jc w:val="right"/>
              <w:rPr>
                <w:rFonts w:cs="Arial"/>
                <w:color w:val="000000"/>
                <w:sz w:val="16"/>
                <w:szCs w:val="16"/>
              </w:rPr>
            </w:pPr>
            <w:r w:rsidRPr="00A91178">
              <w:rPr>
                <w:rFonts w:cs="Arial"/>
                <w:color w:val="000000"/>
                <w:sz w:val="16"/>
                <w:szCs w:val="16"/>
              </w:rPr>
              <w:t>33,1</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keepNext/>
              <w:spacing w:after="0" w:line="240" w:lineRule="auto"/>
              <w:jc w:val="right"/>
              <w:rPr>
                <w:rFonts w:cs="Arial"/>
                <w:color w:val="000000"/>
                <w:sz w:val="16"/>
                <w:szCs w:val="16"/>
              </w:rPr>
            </w:pPr>
            <w:r w:rsidRPr="00394058">
              <w:rPr>
                <w:rFonts w:cs="Arial"/>
                <w:color w:val="000000"/>
                <w:sz w:val="16"/>
                <w:szCs w:val="16"/>
              </w:rPr>
              <w:t>16,7</w:t>
            </w:r>
          </w:p>
        </w:tc>
      </w:tr>
      <w:tr w:rsidR="005E53FD" w:rsidRPr="00A91178" w:rsidTr="008B6CE2">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5E53FD" w:rsidRPr="00A91178" w:rsidRDefault="005E53FD" w:rsidP="008B6CE2">
            <w:pPr>
              <w:spacing w:after="0" w:line="240" w:lineRule="auto"/>
              <w:jc w:val="center"/>
              <w:rPr>
                <w:rFonts w:cs="Arial"/>
                <w:b/>
                <w:bCs/>
                <w:sz w:val="16"/>
                <w:szCs w:val="16"/>
              </w:rPr>
            </w:pPr>
            <w:r w:rsidRPr="00A91178">
              <w:rPr>
                <w:rFonts w:cs="Arial"/>
                <w:b/>
                <w:bCs/>
                <w:sz w:val="16"/>
                <w:szCs w:val="16"/>
              </w:rPr>
              <w:t>2020</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5E53FD" w:rsidRPr="00A91178" w:rsidRDefault="005E53FD" w:rsidP="008B6CE2">
            <w:pPr>
              <w:spacing w:after="0" w:line="240" w:lineRule="auto"/>
              <w:jc w:val="right"/>
              <w:rPr>
                <w:rFonts w:cs="Arial"/>
                <w:color w:val="000000"/>
                <w:sz w:val="16"/>
                <w:szCs w:val="16"/>
              </w:rPr>
            </w:pPr>
            <w:r w:rsidRPr="00A91178">
              <w:rPr>
                <w:rFonts w:cs="Arial"/>
                <w:color w:val="000000"/>
                <w:sz w:val="16"/>
                <w:szCs w:val="16"/>
              </w:rPr>
              <w:t>299,4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spacing w:after="0" w:line="240" w:lineRule="auto"/>
              <w:jc w:val="right"/>
              <w:rPr>
                <w:rFonts w:cs="Arial"/>
                <w:color w:val="000000"/>
                <w:sz w:val="16"/>
                <w:szCs w:val="16"/>
              </w:rPr>
            </w:pPr>
            <w:r w:rsidRPr="00A91178">
              <w:rPr>
                <w:rFonts w:cs="Arial"/>
                <w:color w:val="000000"/>
                <w:sz w:val="16"/>
                <w:szCs w:val="16"/>
              </w:rPr>
              <w:t>55,5</w:t>
            </w:r>
          </w:p>
        </w:tc>
        <w:tc>
          <w:tcPr>
            <w:tcW w:w="1050"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spacing w:after="0" w:line="240" w:lineRule="auto"/>
              <w:jc w:val="right"/>
              <w:rPr>
                <w:rFonts w:cs="Arial"/>
                <w:color w:val="000000"/>
                <w:sz w:val="16"/>
                <w:szCs w:val="16"/>
              </w:rPr>
            </w:pPr>
            <w:r w:rsidRPr="00A91178">
              <w:rPr>
                <w:rFonts w:cs="Arial"/>
                <w:color w:val="000000"/>
                <w:sz w:val="16"/>
                <w:szCs w:val="16"/>
              </w:rPr>
              <w:t>16,7</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spacing w:after="0" w:line="240" w:lineRule="auto"/>
              <w:jc w:val="right"/>
              <w:rPr>
                <w:rFonts w:cs="Arial"/>
                <w:color w:val="000000"/>
                <w:sz w:val="16"/>
                <w:szCs w:val="16"/>
              </w:rPr>
            </w:pPr>
            <w:r w:rsidRPr="00A91178">
              <w:rPr>
                <w:rFonts w:cs="Arial"/>
                <w:color w:val="000000"/>
                <w:sz w:val="16"/>
                <w:szCs w:val="16"/>
              </w:rPr>
              <w:t>7,2</w:t>
            </w:r>
          </w:p>
        </w:tc>
        <w:tc>
          <w:tcPr>
            <w:tcW w:w="1274" w:type="dxa"/>
            <w:tcBorders>
              <w:top w:val="single" w:sz="4" w:space="0" w:color="auto"/>
              <w:left w:val="single" w:sz="4" w:space="0" w:color="auto"/>
              <w:bottom w:val="single" w:sz="4" w:space="0" w:color="auto"/>
              <w:right w:val="single" w:sz="4" w:space="0" w:color="auto"/>
            </w:tcBorders>
            <w:vAlign w:val="center"/>
          </w:tcPr>
          <w:p w:rsidR="005E53FD" w:rsidRPr="00A91178" w:rsidRDefault="005E53FD" w:rsidP="008B6CE2">
            <w:pPr>
              <w:spacing w:after="0" w:line="240" w:lineRule="auto"/>
              <w:jc w:val="right"/>
              <w:rPr>
                <w:rFonts w:cs="Arial"/>
                <w:color w:val="000000"/>
                <w:sz w:val="16"/>
                <w:szCs w:val="16"/>
              </w:rPr>
            </w:pPr>
            <w:r w:rsidRPr="00A91178">
              <w:rPr>
                <w:rFonts w:cs="Arial"/>
                <w:color w:val="000000"/>
                <w:sz w:val="16"/>
                <w:szCs w:val="16"/>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3FD" w:rsidRPr="00A91178" w:rsidRDefault="005E53FD" w:rsidP="008B6CE2">
            <w:pPr>
              <w:spacing w:after="0" w:line="240" w:lineRule="auto"/>
              <w:jc w:val="right"/>
              <w:rPr>
                <w:rFonts w:cs="Arial"/>
                <w:color w:val="000000"/>
                <w:sz w:val="16"/>
                <w:szCs w:val="16"/>
              </w:rPr>
            </w:pPr>
            <w:r w:rsidRPr="00A91178">
              <w:rPr>
                <w:rFonts w:cs="Arial"/>
                <w:color w:val="000000"/>
                <w:sz w:val="16"/>
                <w:szCs w:val="16"/>
              </w:rPr>
              <w:t>32,4</w:t>
            </w:r>
          </w:p>
        </w:tc>
        <w:tc>
          <w:tcPr>
            <w:tcW w:w="1276" w:type="dxa"/>
            <w:tcBorders>
              <w:top w:val="single" w:sz="4" w:space="0" w:color="auto"/>
              <w:left w:val="single" w:sz="4" w:space="0" w:color="auto"/>
              <w:bottom w:val="single" w:sz="4" w:space="0" w:color="auto"/>
              <w:right w:val="single" w:sz="4" w:space="0" w:color="auto"/>
            </w:tcBorders>
            <w:vAlign w:val="center"/>
          </w:tcPr>
          <w:p w:rsidR="005E53FD" w:rsidRPr="00394058" w:rsidRDefault="005E53FD" w:rsidP="008B6CE2">
            <w:pPr>
              <w:spacing w:after="0" w:line="240" w:lineRule="auto"/>
              <w:jc w:val="right"/>
              <w:rPr>
                <w:rFonts w:cs="Arial"/>
                <w:color w:val="000000"/>
                <w:sz w:val="16"/>
                <w:szCs w:val="16"/>
              </w:rPr>
            </w:pPr>
            <w:r w:rsidRPr="00394058">
              <w:rPr>
                <w:rFonts w:cs="Arial"/>
                <w:color w:val="000000"/>
                <w:sz w:val="16"/>
                <w:szCs w:val="16"/>
              </w:rPr>
              <w:t>17,7</w:t>
            </w:r>
          </w:p>
        </w:tc>
      </w:tr>
    </w:tbl>
    <w:p w:rsidR="005E53FD" w:rsidRPr="00EE338E" w:rsidRDefault="005E53FD" w:rsidP="005E53FD">
      <w:pPr>
        <w:spacing w:before="120" w:after="120" w:line="240" w:lineRule="auto"/>
        <w:jc w:val="right"/>
        <w:rPr>
          <w:sz w:val="18"/>
          <w:szCs w:val="18"/>
        </w:rPr>
      </w:pPr>
      <w:r>
        <w:rPr>
          <w:b/>
        </w:rPr>
        <w:t xml:space="preserve">                                                   </w:t>
      </w:r>
      <w:r w:rsidRPr="00EE338E">
        <w:rPr>
          <w:sz w:val="18"/>
          <w:szCs w:val="18"/>
        </w:rPr>
        <w:t>Zdroj dat: MŠMT (data o studentech), ČSÚ (data o populaci)</w:t>
      </w:r>
    </w:p>
    <w:p w:rsidR="005E53FD" w:rsidRDefault="005E53FD" w:rsidP="005E53FD">
      <w:pPr>
        <w:ind w:firstLine="284"/>
        <w:jc w:val="both"/>
      </w:pPr>
      <w:r>
        <w:t>Pokud se jedná</w:t>
      </w:r>
      <w:r w:rsidRPr="00E739D8">
        <w:t xml:space="preserve"> o státn</w:t>
      </w:r>
      <w:r>
        <w:t>í občanství cizinců studujících vysokou</w:t>
      </w:r>
      <w:r w:rsidRPr="00E739D8">
        <w:t xml:space="preserve"> škol</w:t>
      </w:r>
      <w:r>
        <w:t>u</w:t>
      </w:r>
      <w:r w:rsidRPr="00E739D8">
        <w:t xml:space="preserve"> v České republice</w:t>
      </w:r>
      <w:r>
        <w:t xml:space="preserve">, nejvyšší podíl tvoří </w:t>
      </w:r>
      <w:r w:rsidRPr="00856905">
        <w:t xml:space="preserve"> dlouhodobě Slováci</w:t>
      </w:r>
      <w:r w:rsidRPr="00E739D8">
        <w:t>.</w:t>
      </w:r>
      <w:r>
        <w:t xml:space="preserve"> V roce 2020 jich u nás studovalo celkem 21 437.</w:t>
      </w:r>
      <w:r w:rsidRPr="00E739D8">
        <w:t xml:space="preserve"> S odstupem pak následovali studenti z Ruské federace, Ukrajiny </w:t>
      </w:r>
      <w:r>
        <w:t>a Kazachstánu – viz tabulku č. 3</w:t>
      </w:r>
      <w:r w:rsidRPr="00E739D8">
        <w:t xml:space="preserve">. Celkem studovalo v roce 2020 </w:t>
      </w:r>
      <w:r>
        <w:t xml:space="preserve">na </w:t>
      </w:r>
      <w:r w:rsidRPr="00E739D8">
        <w:t>někter</w:t>
      </w:r>
      <w:r>
        <w:t>é</w:t>
      </w:r>
      <w:r w:rsidRPr="00E739D8">
        <w:t xml:space="preserve"> z  vysokých škol v České republice 50 121 cizinců majících </w:t>
      </w:r>
      <w:r>
        <w:t>168 různých státních občanství.</w:t>
      </w:r>
    </w:p>
    <w:p w:rsidR="005E53FD" w:rsidRDefault="005E53FD" w:rsidP="005E53FD">
      <w:pPr>
        <w:keepNext/>
        <w:spacing w:after="120"/>
        <w:jc w:val="both"/>
        <w:rPr>
          <w:b/>
        </w:rPr>
      </w:pPr>
      <w:r>
        <w:rPr>
          <w:b/>
        </w:rPr>
        <w:t>Tabulka č. 3</w:t>
      </w:r>
      <w:r w:rsidRPr="00E01021">
        <w:rPr>
          <w:b/>
        </w:rPr>
        <w:t xml:space="preserve"> </w:t>
      </w:r>
      <w:r>
        <w:rPr>
          <w:b/>
        </w:rPr>
        <w:t>Studenti VŠ v ČR  - celkový počet studentů cizí státní příslušnosti dle země původu a podíly dle úrovně vzdělávání (2020)</w:t>
      </w:r>
    </w:p>
    <w:tbl>
      <w:tblPr>
        <w:tblW w:w="9634" w:type="dxa"/>
        <w:tblCellMar>
          <w:left w:w="70" w:type="dxa"/>
          <w:right w:w="70" w:type="dxa"/>
        </w:tblCellMar>
        <w:tblLook w:val="04A0" w:firstRow="1" w:lastRow="0" w:firstColumn="1" w:lastColumn="0" w:noHBand="0" w:noVBand="1"/>
      </w:tblPr>
      <w:tblGrid>
        <w:gridCol w:w="3256"/>
        <w:gridCol w:w="1275"/>
        <w:gridCol w:w="1276"/>
        <w:gridCol w:w="1276"/>
        <w:gridCol w:w="1550"/>
        <w:gridCol w:w="1001"/>
      </w:tblGrid>
      <w:tr w:rsidR="005E53FD" w:rsidRPr="008012AB" w:rsidTr="008B6CE2">
        <w:trPr>
          <w:trHeight w:hRule="exact" w:val="284"/>
        </w:trPr>
        <w:tc>
          <w:tcPr>
            <w:tcW w:w="3256" w:type="dxa"/>
            <w:vMerge w:val="restart"/>
            <w:tcBorders>
              <w:top w:val="single" w:sz="4" w:space="0" w:color="auto"/>
              <w:left w:val="single" w:sz="4" w:space="0" w:color="auto"/>
              <w:bottom w:val="single" w:sz="4" w:space="0" w:color="auto"/>
              <w:right w:val="single" w:sz="4" w:space="0" w:color="auto"/>
            </w:tcBorders>
            <w:shd w:val="clear" w:color="000000" w:fill="2A8D9A"/>
            <w:vAlign w:val="center"/>
            <w:hideMark/>
          </w:tcPr>
          <w:p w:rsidR="005E53FD" w:rsidRPr="008012AB" w:rsidRDefault="005E53FD" w:rsidP="008B6CE2">
            <w:pPr>
              <w:keepNext/>
              <w:spacing w:after="0" w:line="240" w:lineRule="auto"/>
              <w:jc w:val="center"/>
              <w:rPr>
                <w:rFonts w:cs="Arial"/>
                <w:b/>
                <w:bCs/>
                <w:color w:val="FFFFFF"/>
                <w:sz w:val="18"/>
                <w:szCs w:val="18"/>
              </w:rPr>
            </w:pPr>
            <w:r w:rsidRPr="008012AB">
              <w:rPr>
                <w:rFonts w:cs="Arial"/>
                <w:b/>
                <w:bCs/>
                <w:color w:val="FFFFFF"/>
                <w:sz w:val="18"/>
                <w:szCs w:val="18"/>
              </w:rPr>
              <w:t>stát</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2A8D9A"/>
            <w:vAlign w:val="center"/>
            <w:hideMark/>
          </w:tcPr>
          <w:p w:rsidR="005E53FD" w:rsidRPr="008012AB" w:rsidRDefault="005E53FD" w:rsidP="008B6CE2">
            <w:pPr>
              <w:keepNext/>
              <w:spacing w:after="0" w:line="240" w:lineRule="auto"/>
              <w:jc w:val="center"/>
              <w:rPr>
                <w:rFonts w:cs="Arial"/>
                <w:b/>
                <w:bCs/>
                <w:color w:val="FFFFFF"/>
                <w:sz w:val="18"/>
                <w:szCs w:val="18"/>
              </w:rPr>
            </w:pPr>
            <w:r w:rsidRPr="008012AB">
              <w:rPr>
                <w:rFonts w:cs="Arial"/>
                <w:b/>
                <w:bCs/>
                <w:color w:val="FFFFFF"/>
                <w:sz w:val="18"/>
                <w:szCs w:val="18"/>
              </w:rPr>
              <w:t>celkem (počet)</w:t>
            </w:r>
          </w:p>
        </w:tc>
        <w:tc>
          <w:tcPr>
            <w:tcW w:w="5103" w:type="dxa"/>
            <w:gridSpan w:val="4"/>
            <w:tcBorders>
              <w:top w:val="single" w:sz="4" w:space="0" w:color="auto"/>
              <w:left w:val="nil"/>
              <w:bottom w:val="single" w:sz="4" w:space="0" w:color="auto"/>
              <w:right w:val="single" w:sz="4" w:space="0" w:color="auto"/>
            </w:tcBorders>
            <w:shd w:val="clear" w:color="000000" w:fill="2A8D9A"/>
            <w:vAlign w:val="center"/>
            <w:hideMark/>
          </w:tcPr>
          <w:p w:rsidR="005E53FD" w:rsidRPr="008012AB" w:rsidRDefault="005E53FD" w:rsidP="008B6CE2">
            <w:pPr>
              <w:keepNext/>
              <w:spacing w:after="0" w:line="240" w:lineRule="auto"/>
              <w:jc w:val="center"/>
              <w:rPr>
                <w:rFonts w:cs="Arial"/>
                <w:b/>
                <w:bCs/>
                <w:color w:val="FFFFFF"/>
                <w:sz w:val="18"/>
                <w:szCs w:val="18"/>
              </w:rPr>
            </w:pPr>
            <w:r w:rsidRPr="008012AB">
              <w:rPr>
                <w:rFonts w:cs="Arial"/>
                <w:b/>
                <w:bCs/>
                <w:color w:val="FFFFFF"/>
                <w:sz w:val="18"/>
                <w:szCs w:val="18"/>
              </w:rPr>
              <w:t>z toho studující program (v %)</w:t>
            </w:r>
          </w:p>
        </w:tc>
      </w:tr>
      <w:tr w:rsidR="005E53FD" w:rsidRPr="008012AB" w:rsidTr="008B6CE2">
        <w:trPr>
          <w:trHeight w:hRule="exact" w:val="476"/>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5E53FD" w:rsidRPr="008012AB" w:rsidRDefault="005E53FD" w:rsidP="008B6CE2">
            <w:pPr>
              <w:keepNext/>
              <w:spacing w:after="0" w:line="240" w:lineRule="auto"/>
              <w:rPr>
                <w:rFonts w:cs="Arial"/>
                <w:b/>
                <w:bCs/>
                <w:color w:val="FFFFFF"/>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E53FD" w:rsidRPr="008012AB" w:rsidRDefault="005E53FD" w:rsidP="008B6CE2">
            <w:pPr>
              <w:keepNext/>
              <w:spacing w:after="0" w:line="240" w:lineRule="auto"/>
              <w:rPr>
                <w:rFonts w:cs="Arial"/>
                <w:b/>
                <w:bCs/>
                <w:color w:val="FFFFFF"/>
                <w:sz w:val="18"/>
                <w:szCs w:val="18"/>
              </w:rPr>
            </w:pPr>
          </w:p>
        </w:tc>
        <w:tc>
          <w:tcPr>
            <w:tcW w:w="1276" w:type="dxa"/>
            <w:tcBorders>
              <w:top w:val="nil"/>
              <w:left w:val="nil"/>
              <w:bottom w:val="single" w:sz="4" w:space="0" w:color="auto"/>
              <w:right w:val="single" w:sz="4" w:space="0" w:color="auto"/>
            </w:tcBorders>
            <w:shd w:val="clear" w:color="000000" w:fill="2A8D9A"/>
            <w:vAlign w:val="center"/>
            <w:hideMark/>
          </w:tcPr>
          <w:p w:rsidR="005E53FD" w:rsidRPr="008012AB" w:rsidRDefault="005E53FD" w:rsidP="008B6CE2">
            <w:pPr>
              <w:keepNext/>
              <w:spacing w:after="0" w:line="240" w:lineRule="auto"/>
              <w:jc w:val="center"/>
              <w:rPr>
                <w:rFonts w:cs="Arial"/>
                <w:b/>
                <w:bCs/>
                <w:color w:val="FFFFFF"/>
                <w:sz w:val="18"/>
                <w:szCs w:val="18"/>
              </w:rPr>
            </w:pPr>
            <w:r w:rsidRPr="008012AB">
              <w:rPr>
                <w:rFonts w:cs="Arial"/>
                <w:b/>
                <w:bCs/>
                <w:color w:val="FFFFFF"/>
                <w:sz w:val="18"/>
                <w:szCs w:val="18"/>
              </w:rPr>
              <w:t>bakalářský</w:t>
            </w:r>
          </w:p>
        </w:tc>
        <w:tc>
          <w:tcPr>
            <w:tcW w:w="1276" w:type="dxa"/>
            <w:tcBorders>
              <w:top w:val="nil"/>
              <w:left w:val="nil"/>
              <w:bottom w:val="single" w:sz="4" w:space="0" w:color="auto"/>
              <w:right w:val="single" w:sz="4" w:space="0" w:color="auto"/>
            </w:tcBorders>
            <w:shd w:val="clear" w:color="000000" w:fill="2A8D9A"/>
            <w:vAlign w:val="center"/>
            <w:hideMark/>
          </w:tcPr>
          <w:p w:rsidR="005E53FD" w:rsidRPr="008012AB" w:rsidRDefault="005E53FD" w:rsidP="008B6CE2">
            <w:pPr>
              <w:keepNext/>
              <w:spacing w:after="0" w:line="240" w:lineRule="auto"/>
              <w:jc w:val="center"/>
              <w:rPr>
                <w:rFonts w:cs="Arial"/>
                <w:b/>
                <w:bCs/>
                <w:color w:val="FFFFFF"/>
                <w:sz w:val="18"/>
                <w:szCs w:val="18"/>
              </w:rPr>
            </w:pPr>
            <w:r w:rsidRPr="008012AB">
              <w:rPr>
                <w:rFonts w:cs="Arial"/>
                <w:b/>
                <w:bCs/>
                <w:color w:val="FFFFFF"/>
                <w:sz w:val="18"/>
                <w:szCs w:val="18"/>
              </w:rPr>
              <w:t>magisterský</w:t>
            </w:r>
          </w:p>
        </w:tc>
        <w:tc>
          <w:tcPr>
            <w:tcW w:w="1550" w:type="dxa"/>
            <w:tcBorders>
              <w:top w:val="nil"/>
              <w:left w:val="nil"/>
              <w:bottom w:val="single" w:sz="4" w:space="0" w:color="auto"/>
              <w:right w:val="single" w:sz="4" w:space="0" w:color="auto"/>
            </w:tcBorders>
            <w:shd w:val="clear" w:color="000000" w:fill="2A8D9A"/>
            <w:vAlign w:val="center"/>
            <w:hideMark/>
          </w:tcPr>
          <w:p w:rsidR="005E53FD" w:rsidRPr="008012AB" w:rsidRDefault="005E53FD" w:rsidP="008B6CE2">
            <w:pPr>
              <w:keepNext/>
              <w:spacing w:after="0" w:line="240" w:lineRule="auto"/>
              <w:jc w:val="center"/>
              <w:rPr>
                <w:rFonts w:cs="Arial"/>
                <w:b/>
                <w:bCs/>
                <w:color w:val="FFFFFF"/>
                <w:sz w:val="18"/>
                <w:szCs w:val="18"/>
              </w:rPr>
            </w:pPr>
            <w:r w:rsidRPr="008012AB">
              <w:rPr>
                <w:rFonts w:cs="Arial"/>
                <w:b/>
                <w:bCs/>
                <w:color w:val="FFFFFF"/>
                <w:sz w:val="18"/>
                <w:szCs w:val="18"/>
              </w:rPr>
              <w:t>navazující magisterský</w:t>
            </w:r>
          </w:p>
        </w:tc>
        <w:tc>
          <w:tcPr>
            <w:tcW w:w="1001" w:type="dxa"/>
            <w:tcBorders>
              <w:top w:val="nil"/>
              <w:left w:val="nil"/>
              <w:bottom w:val="single" w:sz="4" w:space="0" w:color="auto"/>
              <w:right w:val="single" w:sz="4" w:space="0" w:color="auto"/>
            </w:tcBorders>
            <w:shd w:val="clear" w:color="000000" w:fill="2A8D9A"/>
            <w:vAlign w:val="center"/>
            <w:hideMark/>
          </w:tcPr>
          <w:p w:rsidR="005E53FD" w:rsidRPr="008012AB" w:rsidRDefault="005E53FD" w:rsidP="008B6CE2">
            <w:pPr>
              <w:keepNext/>
              <w:spacing w:after="0" w:line="240" w:lineRule="auto"/>
              <w:jc w:val="center"/>
              <w:rPr>
                <w:rFonts w:cs="Arial"/>
                <w:b/>
                <w:bCs/>
                <w:color w:val="FFFFFF"/>
                <w:sz w:val="18"/>
                <w:szCs w:val="18"/>
              </w:rPr>
            </w:pPr>
            <w:r w:rsidRPr="008012AB">
              <w:rPr>
                <w:rFonts w:cs="Arial"/>
                <w:b/>
                <w:bCs/>
                <w:color w:val="FFFFFF"/>
                <w:sz w:val="18"/>
                <w:szCs w:val="18"/>
              </w:rPr>
              <w:t>doktorský</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b/>
                <w:bCs/>
                <w:color w:val="000000"/>
                <w:sz w:val="18"/>
                <w:szCs w:val="18"/>
              </w:rPr>
            </w:pPr>
            <w:r w:rsidRPr="008012AB">
              <w:rPr>
                <w:rFonts w:cs="Arial"/>
                <w:b/>
                <w:bCs/>
                <w:color w:val="000000"/>
                <w:sz w:val="18"/>
                <w:szCs w:val="18"/>
              </w:rPr>
              <w:t>celkem</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b/>
                <w:bCs/>
                <w:color w:val="000000"/>
                <w:sz w:val="18"/>
                <w:szCs w:val="18"/>
              </w:rPr>
            </w:pPr>
            <w:r w:rsidRPr="008012AB">
              <w:rPr>
                <w:rFonts w:cs="Arial"/>
                <w:b/>
                <w:bCs/>
                <w:color w:val="000000"/>
                <w:sz w:val="18"/>
                <w:szCs w:val="18"/>
              </w:rPr>
              <w:t>50 121</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b/>
                <w:bCs/>
                <w:color w:val="000000"/>
                <w:sz w:val="18"/>
                <w:szCs w:val="18"/>
              </w:rPr>
            </w:pPr>
            <w:r w:rsidRPr="008012AB">
              <w:rPr>
                <w:rFonts w:cs="Arial"/>
                <w:b/>
                <w:bCs/>
                <w:color w:val="000000"/>
                <w:sz w:val="18"/>
                <w:szCs w:val="18"/>
              </w:rPr>
              <w:t>50,4</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b/>
                <w:bCs/>
                <w:color w:val="000000"/>
                <w:sz w:val="18"/>
                <w:szCs w:val="18"/>
              </w:rPr>
            </w:pPr>
            <w:r w:rsidRPr="008012AB">
              <w:rPr>
                <w:rFonts w:cs="Arial"/>
                <w:b/>
                <w:bCs/>
                <w:color w:val="000000"/>
                <w:sz w:val="18"/>
                <w:szCs w:val="18"/>
              </w:rPr>
              <w:t>15,5</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b/>
                <w:bCs/>
                <w:color w:val="000000"/>
                <w:sz w:val="18"/>
                <w:szCs w:val="18"/>
              </w:rPr>
            </w:pPr>
            <w:r w:rsidRPr="008012AB">
              <w:rPr>
                <w:rFonts w:cs="Arial"/>
                <w:b/>
                <w:bCs/>
                <w:color w:val="000000"/>
                <w:sz w:val="18"/>
                <w:szCs w:val="18"/>
              </w:rPr>
              <w:t>23,8</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b/>
                <w:bCs/>
                <w:color w:val="000000"/>
                <w:sz w:val="18"/>
                <w:szCs w:val="18"/>
              </w:rPr>
            </w:pPr>
            <w:r w:rsidRPr="008012AB">
              <w:rPr>
                <w:rFonts w:cs="Arial"/>
                <w:b/>
                <w:bCs/>
                <w:color w:val="000000"/>
                <w:sz w:val="18"/>
                <w:szCs w:val="18"/>
              </w:rPr>
              <w:t>10,6</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color w:val="000000"/>
                <w:sz w:val="18"/>
                <w:szCs w:val="18"/>
              </w:rPr>
            </w:pPr>
            <w:r w:rsidRPr="008012AB">
              <w:rPr>
                <w:rFonts w:cs="Arial"/>
                <w:color w:val="000000"/>
                <w:sz w:val="18"/>
                <w:szCs w:val="18"/>
              </w:rPr>
              <w:t>Slovenská republika</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21 437</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51,0</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16,0</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24,5</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9,1</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color w:val="000000"/>
                <w:sz w:val="18"/>
                <w:szCs w:val="18"/>
              </w:rPr>
            </w:pPr>
            <w:r w:rsidRPr="008012AB">
              <w:rPr>
                <w:rFonts w:cs="Arial"/>
                <w:color w:val="000000"/>
                <w:sz w:val="18"/>
                <w:szCs w:val="18"/>
              </w:rPr>
              <w:t>Ruská federace</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7 526</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69,2</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3,6</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22,4</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5,0</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color w:val="000000"/>
                <w:sz w:val="18"/>
                <w:szCs w:val="18"/>
              </w:rPr>
            </w:pPr>
            <w:r w:rsidRPr="008012AB">
              <w:rPr>
                <w:rFonts w:cs="Arial"/>
                <w:color w:val="000000"/>
                <w:sz w:val="18"/>
                <w:szCs w:val="18"/>
              </w:rPr>
              <w:t>Ukrajina</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4 083</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67,6</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5,3</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21,8</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5,7</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color w:val="000000"/>
                <w:sz w:val="18"/>
                <w:szCs w:val="18"/>
              </w:rPr>
            </w:pPr>
            <w:r w:rsidRPr="008012AB">
              <w:rPr>
                <w:rFonts w:cs="Arial"/>
                <w:color w:val="000000"/>
                <w:sz w:val="18"/>
                <w:szCs w:val="18"/>
              </w:rPr>
              <w:t>Republika Kazachstán</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2 356</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79,4</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1,4</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17,3</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2,2</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color w:val="000000"/>
                <w:sz w:val="18"/>
                <w:szCs w:val="18"/>
              </w:rPr>
            </w:pPr>
            <w:r w:rsidRPr="008012AB">
              <w:rPr>
                <w:rFonts w:cs="Arial"/>
                <w:color w:val="000000"/>
                <w:sz w:val="18"/>
                <w:szCs w:val="18"/>
              </w:rPr>
              <w:t>Indická republika</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1 164</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14,0</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24,0</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37,7</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24,3</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color w:val="000000"/>
                <w:sz w:val="18"/>
                <w:szCs w:val="18"/>
              </w:rPr>
            </w:pPr>
            <w:r w:rsidRPr="008012AB">
              <w:rPr>
                <w:rFonts w:cs="Arial"/>
                <w:color w:val="000000"/>
                <w:sz w:val="18"/>
                <w:szCs w:val="18"/>
              </w:rPr>
              <w:t>Spolková republika Německo</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953</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12,3</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48,1</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14,3</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25,5</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color w:val="000000"/>
                <w:sz w:val="18"/>
                <w:szCs w:val="18"/>
              </w:rPr>
            </w:pPr>
            <w:r w:rsidRPr="008012AB">
              <w:rPr>
                <w:rFonts w:cs="Arial"/>
                <w:color w:val="000000"/>
                <w:sz w:val="18"/>
                <w:szCs w:val="18"/>
              </w:rPr>
              <w:t>Běloruská republika</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935</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70,4</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6,3</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18,6</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5,0</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color w:val="000000"/>
                <w:sz w:val="18"/>
                <w:szCs w:val="18"/>
              </w:rPr>
            </w:pPr>
            <w:r w:rsidRPr="008012AB">
              <w:rPr>
                <w:rFonts w:cs="Arial"/>
                <w:color w:val="000000"/>
                <w:sz w:val="18"/>
                <w:szCs w:val="18"/>
              </w:rPr>
              <w:t>Čínská lidová republika</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711</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48,1</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1,5</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33,8</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16,7</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rPr>
                <w:rFonts w:cs="Arial"/>
                <w:color w:val="000000"/>
                <w:sz w:val="18"/>
                <w:szCs w:val="18"/>
              </w:rPr>
            </w:pPr>
            <w:r w:rsidRPr="008012AB">
              <w:rPr>
                <w:rFonts w:cs="Arial"/>
                <w:color w:val="000000"/>
                <w:sz w:val="18"/>
                <w:szCs w:val="18"/>
              </w:rPr>
              <w:t>Italská republika</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510</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34,1</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24,1</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13,7</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keepNext/>
              <w:spacing w:after="0" w:line="240" w:lineRule="auto"/>
              <w:jc w:val="right"/>
              <w:rPr>
                <w:rFonts w:cs="Arial"/>
                <w:color w:val="000000"/>
                <w:sz w:val="18"/>
                <w:szCs w:val="18"/>
              </w:rPr>
            </w:pPr>
            <w:r w:rsidRPr="008012AB">
              <w:rPr>
                <w:rFonts w:cs="Arial"/>
                <w:color w:val="000000"/>
                <w:sz w:val="18"/>
                <w:szCs w:val="18"/>
              </w:rPr>
              <w:t>28,0</w:t>
            </w:r>
          </w:p>
        </w:tc>
      </w:tr>
      <w:tr w:rsidR="005E53FD" w:rsidRPr="008012AB" w:rsidTr="008B6CE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E53FD" w:rsidRPr="008012AB" w:rsidRDefault="005E53FD" w:rsidP="008B6CE2">
            <w:pPr>
              <w:spacing w:after="0" w:line="240" w:lineRule="auto"/>
              <w:rPr>
                <w:rFonts w:cs="Arial"/>
                <w:color w:val="000000"/>
                <w:sz w:val="18"/>
                <w:szCs w:val="18"/>
              </w:rPr>
            </w:pPr>
            <w:r w:rsidRPr="008012AB">
              <w:rPr>
                <w:rFonts w:cs="Arial"/>
                <w:color w:val="000000"/>
                <w:sz w:val="18"/>
                <w:szCs w:val="18"/>
              </w:rPr>
              <w:t>ostatní</w:t>
            </w:r>
          </w:p>
        </w:tc>
        <w:tc>
          <w:tcPr>
            <w:tcW w:w="1275"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spacing w:after="0" w:line="240" w:lineRule="auto"/>
              <w:jc w:val="right"/>
              <w:rPr>
                <w:rFonts w:cs="Arial"/>
                <w:color w:val="000000"/>
                <w:sz w:val="18"/>
                <w:szCs w:val="18"/>
              </w:rPr>
            </w:pPr>
            <w:r w:rsidRPr="008012AB">
              <w:rPr>
                <w:rFonts w:cs="Arial"/>
                <w:color w:val="000000"/>
                <w:sz w:val="18"/>
                <w:szCs w:val="18"/>
              </w:rPr>
              <w:t>10 449</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spacing w:after="0" w:line="240" w:lineRule="auto"/>
              <w:jc w:val="right"/>
              <w:rPr>
                <w:rFonts w:cs="Arial"/>
                <w:color w:val="000000"/>
                <w:sz w:val="18"/>
                <w:szCs w:val="18"/>
              </w:rPr>
            </w:pPr>
            <w:r w:rsidRPr="008012AB">
              <w:rPr>
                <w:rFonts w:cs="Arial"/>
                <w:color w:val="000000"/>
                <w:sz w:val="18"/>
                <w:szCs w:val="18"/>
              </w:rPr>
              <w:t>29,3</w:t>
            </w:r>
          </w:p>
        </w:tc>
        <w:tc>
          <w:tcPr>
            <w:tcW w:w="1276"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spacing w:after="0" w:line="240" w:lineRule="auto"/>
              <w:jc w:val="right"/>
              <w:rPr>
                <w:rFonts w:cs="Arial"/>
                <w:color w:val="000000"/>
                <w:sz w:val="18"/>
                <w:szCs w:val="18"/>
              </w:rPr>
            </w:pPr>
            <w:r w:rsidRPr="008012AB">
              <w:rPr>
                <w:rFonts w:cs="Arial"/>
                <w:color w:val="000000"/>
                <w:sz w:val="18"/>
                <w:szCs w:val="18"/>
              </w:rPr>
              <w:t>27,7</w:t>
            </w:r>
          </w:p>
        </w:tc>
        <w:tc>
          <w:tcPr>
            <w:tcW w:w="1550"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spacing w:after="0" w:line="240" w:lineRule="auto"/>
              <w:jc w:val="right"/>
              <w:rPr>
                <w:rFonts w:cs="Arial"/>
                <w:color w:val="000000"/>
                <w:sz w:val="18"/>
                <w:szCs w:val="18"/>
              </w:rPr>
            </w:pPr>
            <w:r w:rsidRPr="008012AB">
              <w:rPr>
                <w:rFonts w:cs="Arial"/>
                <w:color w:val="000000"/>
                <w:sz w:val="18"/>
                <w:szCs w:val="18"/>
              </w:rPr>
              <w:t>25,3</w:t>
            </w:r>
          </w:p>
        </w:tc>
        <w:tc>
          <w:tcPr>
            <w:tcW w:w="1001" w:type="dxa"/>
            <w:tcBorders>
              <w:top w:val="nil"/>
              <w:left w:val="nil"/>
              <w:bottom w:val="single" w:sz="4" w:space="0" w:color="auto"/>
              <w:right w:val="single" w:sz="4" w:space="0" w:color="auto"/>
            </w:tcBorders>
            <w:shd w:val="clear" w:color="auto" w:fill="auto"/>
            <w:vAlign w:val="center"/>
            <w:hideMark/>
          </w:tcPr>
          <w:p w:rsidR="005E53FD" w:rsidRPr="008012AB" w:rsidRDefault="005E53FD" w:rsidP="008B6CE2">
            <w:pPr>
              <w:spacing w:after="0" w:line="240" w:lineRule="auto"/>
              <w:jc w:val="right"/>
              <w:rPr>
                <w:rFonts w:cs="Arial"/>
                <w:color w:val="000000"/>
                <w:sz w:val="18"/>
                <w:szCs w:val="18"/>
              </w:rPr>
            </w:pPr>
            <w:r w:rsidRPr="008012AB">
              <w:rPr>
                <w:rFonts w:cs="Arial"/>
                <w:color w:val="000000"/>
                <w:sz w:val="18"/>
                <w:szCs w:val="18"/>
              </w:rPr>
              <w:t>17,8</w:t>
            </w:r>
          </w:p>
        </w:tc>
      </w:tr>
    </w:tbl>
    <w:p w:rsidR="005E53FD" w:rsidRPr="00A2545E" w:rsidRDefault="005E53FD" w:rsidP="005E53FD">
      <w:pPr>
        <w:spacing w:before="120" w:line="276" w:lineRule="auto"/>
        <w:jc w:val="right"/>
        <w:rPr>
          <w:sz w:val="18"/>
          <w:szCs w:val="18"/>
        </w:rPr>
      </w:pPr>
      <w:r w:rsidRPr="00A2545E">
        <w:rPr>
          <w:sz w:val="18"/>
          <w:szCs w:val="18"/>
        </w:rPr>
        <w:t>Zdroj dat: MŠMT</w:t>
      </w:r>
    </w:p>
    <w:p w:rsidR="005E53FD" w:rsidRDefault="005E53FD" w:rsidP="005E53FD">
      <w:pPr>
        <w:spacing w:after="120" w:line="276" w:lineRule="auto"/>
        <w:ind w:firstLine="284"/>
        <w:jc w:val="both"/>
      </w:pPr>
      <w:r>
        <w:lastRenderedPageBreak/>
        <w:t>Z tabulky je také patrné, že jen malé množství studentů z bývalého Sovětského svazu (tj. z Ruské federace, Ukrajiny, Kazachstánu a Běloruska) studovalo v roce 2020 doktorský studijní program (2,2 až 5,7 %). Oproti tomu mezi studenty z Indie, Německa a Itálie studovala doktorský program cca čtvrtina.</w:t>
      </w:r>
    </w:p>
    <w:p w:rsidR="005E53FD" w:rsidRDefault="005E53FD" w:rsidP="005E53FD">
      <w:pPr>
        <w:spacing w:after="120" w:line="276" w:lineRule="auto"/>
        <w:jc w:val="both"/>
      </w:pPr>
    </w:p>
    <w:p w:rsidR="005E53FD" w:rsidRPr="00160265" w:rsidRDefault="005E53FD" w:rsidP="005E53FD">
      <w:pPr>
        <w:pStyle w:val="Nadpis2"/>
      </w:pPr>
      <w:bookmarkStart w:id="4" w:name="_Toc71535742"/>
      <w:r w:rsidRPr="0083115C">
        <w:t>Studenti dle skupin oborů vzdělávání</w:t>
      </w:r>
      <w:bookmarkEnd w:id="4"/>
    </w:p>
    <w:p w:rsidR="005E53FD" w:rsidRDefault="005E53FD" w:rsidP="005E53FD">
      <w:pPr>
        <w:spacing w:after="120" w:line="276" w:lineRule="auto"/>
        <w:jc w:val="both"/>
      </w:pPr>
    </w:p>
    <w:p w:rsidR="005E53FD" w:rsidRDefault="005E53FD" w:rsidP="005E53FD">
      <w:pPr>
        <w:spacing w:after="120"/>
        <w:ind w:firstLine="284"/>
        <w:jc w:val="both"/>
      </w:pPr>
      <w:r w:rsidRPr="00881B80">
        <w:t xml:space="preserve">Co se týče dělení na jednotlivé </w:t>
      </w:r>
      <w:r w:rsidRPr="005A0011">
        <w:rPr>
          <w:b/>
        </w:rPr>
        <w:t>skupiny oborů</w:t>
      </w:r>
      <w:r w:rsidRPr="00881B80">
        <w:t xml:space="preserve"> vzdělávání</w:t>
      </w:r>
      <w:r>
        <w:t xml:space="preserve"> dle klasifikace ISCED F-2013</w:t>
      </w:r>
      <w:r w:rsidRPr="00881B80">
        <w:t>, v roce 2020</w:t>
      </w:r>
      <w:r>
        <w:t xml:space="preserve"> byl nejvyšší počet studentů zapsaný do </w:t>
      </w:r>
      <w:r w:rsidRPr="007C1321">
        <w:t>skupiny oborů</w:t>
      </w:r>
      <w:r>
        <w:t xml:space="preserve"> Obchod, administrativa a právo (60,7 tisíc) a nejnižší naopak do skupiny oborů Z</w:t>
      </w:r>
      <w:r w:rsidRPr="00881B80">
        <w:t>emědělství, lesnictví, rybářství a veterinářstv</w:t>
      </w:r>
      <w:r>
        <w:t xml:space="preserve">í (11,6 tisíce). Od roku 2001 do roku 2020 vzrostl nejvýrazněji počet studentů ve skupině oborů Informační a komunikační technologie (2,9krát) a dále ve skupině oborů Služeb (2,8krát). Nárůst počtu studentů zaznamenaly všechny skupiny oborů dle klasifikace ISCED F 2013, kromě oborů z oblasti Technických věd, výroby a stavebnictví, které v roce 2020 studovalo asi o pětinu méně studentů než v roce 2001. </w:t>
      </w:r>
    </w:p>
    <w:p w:rsidR="005E53FD" w:rsidRDefault="005E53FD" w:rsidP="005E53FD">
      <w:pPr>
        <w:spacing w:after="120"/>
        <w:ind w:firstLine="284"/>
        <w:jc w:val="both"/>
      </w:pPr>
      <w:r>
        <w:t>Jak uvádí graf č. 5 a tabulka č. 4, v letech 2001, 2010 i 2020 přitom ve skupinách oborů Techniky, výroby a stavebnictví, oborů I</w:t>
      </w:r>
      <w:r w:rsidRPr="00A25E07">
        <w:t>nformační a komunikační technologie</w:t>
      </w:r>
      <w:r>
        <w:t xml:space="preserve"> a oborů Služeb převažovali mezi studenty </w:t>
      </w:r>
      <w:r w:rsidRPr="0005743C">
        <w:rPr>
          <w:b/>
        </w:rPr>
        <w:t>muži nad ženami</w:t>
      </w:r>
      <w:r>
        <w:t xml:space="preserve">. V roce 2001 převažovali muži i ve skupině oborů Přírodních věd, matematiky a statistiky, v roce 2010 a 2020 již bylo v této skupině více studentek. Pokud se jedná o obory ze skupiny Zemědělství, </w:t>
      </w:r>
      <w:r w:rsidRPr="00A71CDD">
        <w:t>lesnictví, rybářství a veterinářství</w:t>
      </w:r>
      <w:r>
        <w:t xml:space="preserve">, v roce 2001 byl poměr mužů a žen, které je studovaly, poměrně </w:t>
      </w:r>
      <w:r w:rsidRPr="00B52882">
        <w:rPr>
          <w:b/>
        </w:rPr>
        <w:t>vyrovnaný</w:t>
      </w:r>
      <w:r>
        <w:t xml:space="preserve">. V roce 2010 a 2020 však již v těchto oborech převažovaly studentky nad studenty.  V ostatních oborech byl již </w:t>
      </w:r>
      <w:r w:rsidRPr="00B52882">
        <w:rPr>
          <w:b/>
        </w:rPr>
        <w:t>počet studentek</w:t>
      </w:r>
      <w:r>
        <w:t xml:space="preserve"> ve všech třech sledovaných letech </w:t>
      </w:r>
      <w:r w:rsidRPr="00B52882">
        <w:rPr>
          <w:b/>
        </w:rPr>
        <w:t>vyšší než počet studentů</w:t>
      </w:r>
      <w:r>
        <w:t>. Nejvýrazněji ve skupinách oborů Vzdělávání a výchova a Zdravotní a sociální péče, péče o příznivé životní podmínky; převažovaly však též ve skupinách oborů Společenských věd, žurnalistiky</w:t>
      </w:r>
      <w:r w:rsidRPr="00A71CDD">
        <w:t xml:space="preserve"> a informační</w:t>
      </w:r>
      <w:r>
        <w:t>ch věd, Umění a humanitních věd a O</w:t>
      </w:r>
      <w:r w:rsidRPr="00A71CDD">
        <w:t>bchod, administrativa a právo</w:t>
      </w:r>
      <w:r>
        <w:t xml:space="preserve">. </w:t>
      </w:r>
    </w:p>
    <w:p w:rsidR="005E53FD" w:rsidRDefault="005E53FD" w:rsidP="005E53FD">
      <w:pPr>
        <w:spacing w:after="120"/>
        <w:jc w:val="both"/>
        <w:rPr>
          <w:b/>
        </w:rPr>
      </w:pPr>
      <w:r>
        <w:rPr>
          <w:b/>
        </w:rPr>
        <w:t xml:space="preserve">Graf č. 5 Studenti VŠ v ČR – dělení </w:t>
      </w:r>
      <w:r w:rsidRPr="00F26D27">
        <w:rPr>
          <w:b/>
        </w:rPr>
        <w:t>dle</w:t>
      </w:r>
      <w:r>
        <w:rPr>
          <w:b/>
        </w:rPr>
        <w:t xml:space="preserve"> skupin oborů vzdělání a dle pohlaví</w:t>
      </w:r>
    </w:p>
    <w:p w:rsidR="005E53FD" w:rsidRDefault="005E53FD" w:rsidP="005E53FD">
      <w:pPr>
        <w:spacing w:after="120"/>
        <w:jc w:val="both"/>
        <w:rPr>
          <w:b/>
        </w:rPr>
      </w:pPr>
      <w:r>
        <w:rPr>
          <w:noProof/>
        </w:rPr>
        <w:drawing>
          <wp:inline distT="0" distB="0" distL="0" distR="0" wp14:anchorId="479BB51A" wp14:editId="3B7F80A9">
            <wp:extent cx="6105525" cy="2133600"/>
            <wp:effectExtent l="0" t="0" r="9525"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53FD" w:rsidRDefault="005E53FD" w:rsidP="005E53FD">
      <w:pPr>
        <w:spacing w:after="120"/>
        <w:jc w:val="both"/>
        <w:rPr>
          <w:b/>
        </w:rPr>
      </w:pPr>
      <w:r w:rsidRPr="00A530DD">
        <w:rPr>
          <w:noProof/>
        </w:rPr>
        <w:t xml:space="preserve"> </w:t>
      </w:r>
      <w:r>
        <w:rPr>
          <w:noProof/>
        </w:rPr>
        <w:drawing>
          <wp:inline distT="0" distB="0" distL="0" distR="0" wp14:anchorId="2577A18C" wp14:editId="797D3CA4">
            <wp:extent cx="6067425" cy="2105025"/>
            <wp:effectExtent l="0" t="0" r="9525" b="952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53FD" w:rsidRDefault="005E53FD" w:rsidP="005E53FD">
      <w:pPr>
        <w:spacing w:after="120"/>
        <w:jc w:val="both"/>
        <w:rPr>
          <w:b/>
        </w:rPr>
      </w:pPr>
      <w:r>
        <w:rPr>
          <w:noProof/>
        </w:rPr>
        <w:lastRenderedPageBreak/>
        <w:drawing>
          <wp:inline distT="0" distB="0" distL="0" distR="0" wp14:anchorId="548C560A" wp14:editId="26CD9E38">
            <wp:extent cx="6105525" cy="1866900"/>
            <wp:effectExtent l="0" t="0" r="9525"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53FD" w:rsidRPr="00A2545E" w:rsidRDefault="005E53FD" w:rsidP="005E53FD">
      <w:pPr>
        <w:spacing w:after="120"/>
        <w:jc w:val="right"/>
        <w:rPr>
          <w:sz w:val="18"/>
          <w:szCs w:val="18"/>
        </w:rPr>
      </w:pPr>
      <w:r w:rsidRPr="00C71FC2">
        <w:rPr>
          <w:szCs w:val="20"/>
        </w:rPr>
        <w:t xml:space="preserve"> </w:t>
      </w:r>
      <w:r w:rsidRPr="00A2545E">
        <w:rPr>
          <w:sz w:val="18"/>
          <w:szCs w:val="18"/>
        </w:rPr>
        <w:t xml:space="preserve">Zdroj dat: MŠMT </w:t>
      </w:r>
    </w:p>
    <w:p w:rsidR="005E53FD" w:rsidRDefault="005E53FD" w:rsidP="005E53FD">
      <w:pPr>
        <w:ind w:firstLine="284"/>
        <w:jc w:val="both"/>
      </w:pPr>
      <w:r w:rsidRPr="0005743C">
        <w:rPr>
          <w:b/>
        </w:rPr>
        <w:t>Vývoj počtu studentů jednotlivých skupin oborů</w:t>
      </w:r>
      <w:r>
        <w:t xml:space="preserve"> dále znázorňuje graf č. 6. Jak je patrné, nejvýraznější vývoj zaznamenala skupina oborů Obchod, administrativa a právo. Naopak skupina oborů Vzdělávání a výchova spolu se skupinou oborů Z</w:t>
      </w:r>
      <w:r w:rsidRPr="009D310B">
        <w:t>emědělství, lesnictví, rybářství a veterinářství</w:t>
      </w:r>
      <w:r>
        <w:t xml:space="preserve"> byly co do počtu studentů v čase nejstabilnější. Také si lze všimnout, že téměř ve všech skupinách oborů se počet studentů za poslední rok zvýšil, ovšem s výjimkou skupiny oborů T</w:t>
      </w:r>
      <w:r w:rsidRPr="00D50D05">
        <w:t>echnika, výroba a stavebnictví</w:t>
      </w:r>
      <w:r>
        <w:t>, kde setrval pokles počtu studentů patrný již v předchozích letech. Počtem studentů se tak tato skupina oborů téměř vyrovnala skupině oborů Zdravotní a sociální péče, péče o příznivé životní podmínky. V roce 2001 byl přitom počet studentů skupiny oborů T</w:t>
      </w:r>
      <w:r w:rsidRPr="00D50D05">
        <w:t>echnika, výroba a stavebnictví</w:t>
      </w:r>
      <w:r>
        <w:t xml:space="preserve"> oproti skupině oborů Zdravotní a sociální péče, péče o příznivé životní podmínky cca trojnásobný.</w:t>
      </w:r>
    </w:p>
    <w:p w:rsidR="005E53FD" w:rsidRPr="009D310B" w:rsidRDefault="005E53FD" w:rsidP="005E53FD">
      <w:pPr>
        <w:keepNext/>
        <w:spacing w:after="120" w:line="240" w:lineRule="auto"/>
        <w:jc w:val="both"/>
        <w:rPr>
          <w:b/>
        </w:rPr>
      </w:pPr>
      <w:r>
        <w:rPr>
          <w:b/>
        </w:rPr>
        <w:t>Graf č. 6 Studenti VŠ v ČR – vývoj počtu studentů dle skupin oborů vzdělání</w:t>
      </w:r>
    </w:p>
    <w:p w:rsidR="005E53FD" w:rsidRDefault="005E53FD" w:rsidP="005E53FD">
      <w:pPr>
        <w:spacing w:after="120" w:line="240" w:lineRule="auto"/>
        <w:jc w:val="both"/>
      </w:pPr>
      <w:r>
        <w:rPr>
          <w:noProof/>
        </w:rPr>
        <w:drawing>
          <wp:inline distT="0" distB="0" distL="0" distR="0" wp14:anchorId="393B82FE" wp14:editId="3B1D0A0A">
            <wp:extent cx="6143625" cy="4410075"/>
            <wp:effectExtent l="0" t="0" r="9525" b="9525"/>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53FD" w:rsidRPr="00A2545E" w:rsidRDefault="005E53FD" w:rsidP="005E53FD">
      <w:pPr>
        <w:jc w:val="right"/>
        <w:rPr>
          <w:sz w:val="18"/>
          <w:szCs w:val="18"/>
        </w:rPr>
      </w:pPr>
      <w:r w:rsidRPr="00A2545E">
        <w:rPr>
          <w:sz w:val="18"/>
          <w:szCs w:val="18"/>
        </w:rPr>
        <w:t>Zdroj dat: MŠMT</w:t>
      </w:r>
    </w:p>
    <w:p w:rsidR="005E53FD" w:rsidRDefault="005E53FD" w:rsidP="005E53FD">
      <w:pPr>
        <w:ind w:firstLine="284"/>
        <w:jc w:val="both"/>
      </w:pPr>
      <w:r>
        <w:lastRenderedPageBreak/>
        <w:t>Pro úplnost ukazuje tabulka č. 4</w:t>
      </w:r>
      <w:r w:rsidRPr="00CB3DB0">
        <w:t>, ja</w:t>
      </w:r>
      <w:r>
        <w:t xml:space="preserve">ký počet studentů celkem, jakož i v dělení dle pohlaví a skupin oborů vzdělání studoval v roce 2001, 2010 a 2020 na veřejných a soukromých vysokých školách. Údaje jsou v absolutních počtech fyzických osob (v tisících) i v podílech ze všech studujících mužů, studujících žen, jakož i studujících vysoké školy celkem. Jak je patrné, </w:t>
      </w:r>
      <w:r w:rsidRPr="0005743C">
        <w:rPr>
          <w:b/>
        </w:rPr>
        <w:t>nejvyšší podíl studentů vysokých škol</w:t>
      </w:r>
      <w:r>
        <w:t xml:space="preserve"> byl v roce 2020 i 2010 zapsán do skupiny oborů O</w:t>
      </w:r>
      <w:r w:rsidRPr="009A57F5">
        <w:t>bchod, administrativa a právo</w:t>
      </w:r>
      <w:r>
        <w:t xml:space="preserve"> (20,3 %, resp. 23,5 %). Též v roce 2001 byl podíl studentů zapsaný v této skupině oborů cca pětinový (19,5 %), ještě vyšší byl však podíl studentů ve skupině oborů Technika, výroba a stavebnictví (25,3 %). V letech 2020 i 2010 byla naopak nejmenším podílem studentů zastoupena skupina oborů Z</w:t>
      </w:r>
      <w:r w:rsidRPr="009A57F5">
        <w:t>emědělství, lesnictví, rybářství a veterinářství</w:t>
      </w:r>
      <w:r>
        <w:t xml:space="preserve"> (3,9 %, resp. 3,5 %). V roce 2001 však bylo nejméně studentů zapsaných ve skupině oborů Služeb (2,9 %). </w:t>
      </w:r>
    </w:p>
    <w:p w:rsidR="005E53FD" w:rsidRDefault="005E53FD" w:rsidP="005E53FD">
      <w:pPr>
        <w:keepNext/>
        <w:spacing w:after="120" w:line="240" w:lineRule="auto"/>
        <w:jc w:val="both"/>
        <w:rPr>
          <w:b/>
        </w:rPr>
      </w:pPr>
      <w:r>
        <w:rPr>
          <w:b/>
        </w:rPr>
        <w:t>Tabulka č. 4 Studenti VŠ v ČR - počet a podíl v jednotlivých oborech vzdělání dle pohlaví</w:t>
      </w:r>
    </w:p>
    <w:tbl>
      <w:tblPr>
        <w:tblW w:w="9780" w:type="dxa"/>
        <w:jc w:val="center"/>
        <w:tblCellMar>
          <w:left w:w="70" w:type="dxa"/>
          <w:right w:w="70" w:type="dxa"/>
        </w:tblCellMar>
        <w:tblLook w:val="04A0" w:firstRow="1" w:lastRow="0" w:firstColumn="1" w:lastColumn="0" w:noHBand="0" w:noVBand="1"/>
      </w:tblPr>
      <w:tblGrid>
        <w:gridCol w:w="2240"/>
        <w:gridCol w:w="520"/>
        <w:gridCol w:w="780"/>
        <w:gridCol w:w="780"/>
        <w:gridCol w:w="780"/>
        <w:gridCol w:w="780"/>
        <w:gridCol w:w="780"/>
        <w:gridCol w:w="780"/>
        <w:gridCol w:w="780"/>
        <w:gridCol w:w="780"/>
        <w:gridCol w:w="780"/>
      </w:tblGrid>
      <w:tr w:rsidR="005E53FD" w:rsidRPr="002B7E09" w:rsidTr="008B6CE2">
        <w:trPr>
          <w:trHeight w:hRule="exact" w:val="284"/>
          <w:jc w:val="center"/>
        </w:trPr>
        <w:tc>
          <w:tcPr>
            <w:tcW w:w="2760" w:type="dxa"/>
            <w:gridSpan w:val="2"/>
            <w:vMerge w:val="restart"/>
            <w:tcBorders>
              <w:top w:val="single" w:sz="4" w:space="0" w:color="auto"/>
              <w:left w:val="single" w:sz="4" w:space="0" w:color="auto"/>
              <w:bottom w:val="single" w:sz="4" w:space="0" w:color="auto"/>
              <w:right w:val="single" w:sz="4" w:space="0" w:color="auto"/>
            </w:tcBorders>
            <w:shd w:val="clear" w:color="000000" w:fill="2A8D9A"/>
            <w:noWrap/>
            <w:vAlign w:val="center"/>
            <w:hideMark/>
          </w:tcPr>
          <w:p w:rsidR="005E53FD" w:rsidRPr="002B7E09" w:rsidRDefault="005E53FD" w:rsidP="008B6CE2">
            <w:pPr>
              <w:keepNext/>
              <w:spacing w:after="0" w:line="240" w:lineRule="auto"/>
              <w:rPr>
                <w:rFonts w:cs="Arial"/>
                <w:b/>
                <w:bCs/>
                <w:color w:val="FFFFFF"/>
                <w:sz w:val="16"/>
                <w:szCs w:val="16"/>
              </w:rPr>
            </w:pPr>
            <w:r w:rsidRPr="002B7E09">
              <w:rPr>
                <w:rFonts w:cs="Arial"/>
                <w:b/>
                <w:bCs/>
                <w:color w:val="FFFFFF"/>
                <w:sz w:val="16"/>
                <w:szCs w:val="16"/>
              </w:rPr>
              <w:t>Obor vzdělávání</w:t>
            </w:r>
          </w:p>
        </w:tc>
        <w:tc>
          <w:tcPr>
            <w:tcW w:w="2340" w:type="dxa"/>
            <w:gridSpan w:val="3"/>
            <w:tcBorders>
              <w:top w:val="single" w:sz="4" w:space="0" w:color="auto"/>
              <w:left w:val="nil"/>
              <w:bottom w:val="single" w:sz="4" w:space="0" w:color="auto"/>
              <w:right w:val="single" w:sz="4" w:space="0" w:color="auto"/>
            </w:tcBorders>
            <w:shd w:val="clear" w:color="000000" w:fill="2A8D9A"/>
            <w:noWrap/>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2001</w:t>
            </w:r>
          </w:p>
        </w:tc>
        <w:tc>
          <w:tcPr>
            <w:tcW w:w="2340" w:type="dxa"/>
            <w:gridSpan w:val="3"/>
            <w:tcBorders>
              <w:top w:val="single" w:sz="4" w:space="0" w:color="auto"/>
              <w:left w:val="nil"/>
              <w:bottom w:val="single" w:sz="4" w:space="0" w:color="auto"/>
              <w:right w:val="single" w:sz="4" w:space="0" w:color="auto"/>
            </w:tcBorders>
            <w:shd w:val="clear" w:color="000000" w:fill="2A8D9A"/>
            <w:noWrap/>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2010</w:t>
            </w:r>
          </w:p>
        </w:tc>
        <w:tc>
          <w:tcPr>
            <w:tcW w:w="2340" w:type="dxa"/>
            <w:gridSpan w:val="3"/>
            <w:tcBorders>
              <w:top w:val="single" w:sz="4" w:space="0" w:color="auto"/>
              <w:left w:val="nil"/>
              <w:bottom w:val="single" w:sz="4" w:space="0" w:color="auto"/>
              <w:right w:val="single" w:sz="4" w:space="0" w:color="auto"/>
            </w:tcBorders>
            <w:shd w:val="clear" w:color="000000" w:fill="2A8D9A"/>
            <w:noWrap/>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2020</w:t>
            </w:r>
          </w:p>
        </w:tc>
      </w:tr>
      <w:tr w:rsidR="005E53FD" w:rsidRPr="002B7E09" w:rsidTr="008B6CE2">
        <w:trPr>
          <w:trHeight w:hRule="exact" w:val="284"/>
          <w:jc w:val="center"/>
        </w:trPr>
        <w:tc>
          <w:tcPr>
            <w:tcW w:w="2760" w:type="dxa"/>
            <w:gridSpan w:val="2"/>
            <w:vMerge/>
            <w:tcBorders>
              <w:top w:val="single" w:sz="4" w:space="0" w:color="auto"/>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b/>
                <w:bCs/>
                <w:color w:val="FFFFFF"/>
                <w:sz w:val="16"/>
                <w:szCs w:val="16"/>
              </w:rPr>
            </w:pPr>
          </w:p>
        </w:tc>
        <w:tc>
          <w:tcPr>
            <w:tcW w:w="780" w:type="dxa"/>
            <w:tcBorders>
              <w:top w:val="nil"/>
              <w:left w:val="nil"/>
              <w:bottom w:val="single" w:sz="4" w:space="0" w:color="auto"/>
              <w:right w:val="single" w:sz="4" w:space="0" w:color="auto"/>
            </w:tcBorders>
            <w:shd w:val="clear" w:color="000000" w:fill="2A8D9A"/>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celkem</w:t>
            </w:r>
          </w:p>
        </w:tc>
        <w:tc>
          <w:tcPr>
            <w:tcW w:w="780" w:type="dxa"/>
            <w:tcBorders>
              <w:top w:val="nil"/>
              <w:left w:val="nil"/>
              <w:bottom w:val="single" w:sz="4" w:space="0" w:color="auto"/>
              <w:right w:val="single" w:sz="4" w:space="0" w:color="auto"/>
            </w:tcBorders>
            <w:shd w:val="clear" w:color="000000" w:fill="2A8D9A"/>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ženy</w:t>
            </w:r>
          </w:p>
        </w:tc>
        <w:tc>
          <w:tcPr>
            <w:tcW w:w="780" w:type="dxa"/>
            <w:tcBorders>
              <w:top w:val="nil"/>
              <w:left w:val="nil"/>
              <w:bottom w:val="single" w:sz="4" w:space="0" w:color="auto"/>
              <w:right w:val="single" w:sz="4" w:space="0" w:color="auto"/>
            </w:tcBorders>
            <w:shd w:val="clear" w:color="000000" w:fill="2A8D9A"/>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muži</w:t>
            </w:r>
          </w:p>
        </w:tc>
        <w:tc>
          <w:tcPr>
            <w:tcW w:w="780" w:type="dxa"/>
            <w:tcBorders>
              <w:top w:val="nil"/>
              <w:left w:val="nil"/>
              <w:bottom w:val="single" w:sz="4" w:space="0" w:color="auto"/>
              <w:right w:val="single" w:sz="4" w:space="0" w:color="auto"/>
            </w:tcBorders>
            <w:shd w:val="clear" w:color="000000" w:fill="2A8D9A"/>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celkem</w:t>
            </w:r>
          </w:p>
        </w:tc>
        <w:tc>
          <w:tcPr>
            <w:tcW w:w="780" w:type="dxa"/>
            <w:tcBorders>
              <w:top w:val="nil"/>
              <w:left w:val="nil"/>
              <w:bottom w:val="single" w:sz="4" w:space="0" w:color="auto"/>
              <w:right w:val="single" w:sz="4" w:space="0" w:color="auto"/>
            </w:tcBorders>
            <w:shd w:val="clear" w:color="000000" w:fill="2A8D9A"/>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ženy</w:t>
            </w:r>
          </w:p>
        </w:tc>
        <w:tc>
          <w:tcPr>
            <w:tcW w:w="780" w:type="dxa"/>
            <w:tcBorders>
              <w:top w:val="nil"/>
              <w:left w:val="nil"/>
              <w:bottom w:val="single" w:sz="4" w:space="0" w:color="auto"/>
              <w:right w:val="single" w:sz="4" w:space="0" w:color="auto"/>
            </w:tcBorders>
            <w:shd w:val="clear" w:color="000000" w:fill="2A8D9A"/>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muži</w:t>
            </w:r>
          </w:p>
        </w:tc>
        <w:tc>
          <w:tcPr>
            <w:tcW w:w="780" w:type="dxa"/>
            <w:tcBorders>
              <w:top w:val="nil"/>
              <w:left w:val="nil"/>
              <w:bottom w:val="single" w:sz="4" w:space="0" w:color="auto"/>
              <w:right w:val="single" w:sz="4" w:space="0" w:color="auto"/>
            </w:tcBorders>
            <w:shd w:val="clear" w:color="000000" w:fill="2A8D9A"/>
            <w:vAlign w:val="center"/>
            <w:hideMark/>
          </w:tcPr>
          <w:p w:rsidR="005E53FD" w:rsidRPr="002B7E09" w:rsidRDefault="005E53FD" w:rsidP="008B6CE2">
            <w:pPr>
              <w:keepNext/>
              <w:spacing w:after="0" w:line="240" w:lineRule="auto"/>
              <w:jc w:val="center"/>
              <w:rPr>
                <w:rFonts w:cs="Arial"/>
                <w:b/>
                <w:bCs/>
                <w:color w:val="FFFFFF"/>
                <w:sz w:val="16"/>
                <w:szCs w:val="16"/>
              </w:rPr>
            </w:pPr>
            <w:r>
              <w:rPr>
                <w:rFonts w:cs="Arial"/>
                <w:b/>
                <w:bCs/>
                <w:color w:val="FFFFFF"/>
                <w:sz w:val="16"/>
                <w:szCs w:val="16"/>
              </w:rPr>
              <w:t>c</w:t>
            </w:r>
            <w:r w:rsidRPr="002B7E09">
              <w:rPr>
                <w:rFonts w:cs="Arial"/>
                <w:b/>
                <w:bCs/>
                <w:color w:val="FFFFFF"/>
                <w:sz w:val="16"/>
                <w:szCs w:val="16"/>
              </w:rPr>
              <w:t>elkem</w:t>
            </w:r>
          </w:p>
        </w:tc>
        <w:tc>
          <w:tcPr>
            <w:tcW w:w="780" w:type="dxa"/>
            <w:tcBorders>
              <w:top w:val="nil"/>
              <w:left w:val="nil"/>
              <w:bottom w:val="single" w:sz="4" w:space="0" w:color="auto"/>
              <w:right w:val="single" w:sz="4" w:space="0" w:color="auto"/>
            </w:tcBorders>
            <w:shd w:val="clear" w:color="000000" w:fill="2A8D9A"/>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ženy</w:t>
            </w:r>
          </w:p>
        </w:tc>
        <w:tc>
          <w:tcPr>
            <w:tcW w:w="780" w:type="dxa"/>
            <w:tcBorders>
              <w:top w:val="nil"/>
              <w:left w:val="nil"/>
              <w:bottom w:val="single" w:sz="4" w:space="0" w:color="auto"/>
              <w:right w:val="single" w:sz="4" w:space="0" w:color="auto"/>
            </w:tcBorders>
            <w:shd w:val="clear" w:color="000000" w:fill="2A8D9A"/>
            <w:vAlign w:val="center"/>
            <w:hideMark/>
          </w:tcPr>
          <w:p w:rsidR="005E53FD" w:rsidRPr="002B7E09" w:rsidRDefault="005E53FD" w:rsidP="008B6CE2">
            <w:pPr>
              <w:keepNext/>
              <w:spacing w:after="0" w:line="240" w:lineRule="auto"/>
              <w:jc w:val="center"/>
              <w:rPr>
                <w:rFonts w:cs="Arial"/>
                <w:b/>
                <w:bCs/>
                <w:color w:val="FFFFFF"/>
                <w:sz w:val="16"/>
                <w:szCs w:val="16"/>
              </w:rPr>
            </w:pPr>
            <w:r w:rsidRPr="002B7E09">
              <w:rPr>
                <w:rFonts w:cs="Arial"/>
                <w:b/>
                <w:bCs/>
                <w:color w:val="FFFFFF"/>
                <w:sz w:val="16"/>
                <w:szCs w:val="16"/>
              </w:rPr>
              <w:t>muži</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všechny obory</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tis</w:t>
            </w:r>
            <w:r w:rsidRPr="002B7E09">
              <w:rPr>
                <w:rFonts w:cs="Arial"/>
                <w:b/>
                <w:bCs/>
                <w:color w:val="000000"/>
                <w:sz w:val="16"/>
                <w:szCs w:val="16"/>
              </w:rPr>
              <w:t>.</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203,4</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98,4</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105,1</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396,0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221,5</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174,5</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299,4</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166,2</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133,2</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right"/>
              <w:rPr>
                <w:rFonts w:cs="Arial"/>
                <w:i/>
                <w:iCs/>
                <w:color w:val="000000"/>
                <w:sz w:val="16"/>
                <w:szCs w:val="16"/>
              </w:rPr>
            </w:pPr>
            <w:r w:rsidRPr="002B7E09">
              <w:rPr>
                <w:rFonts w:cs="Arial"/>
                <w:i/>
                <w:iCs/>
                <w:color w:val="000000"/>
                <w:sz w:val="16"/>
                <w:szCs w:val="16"/>
              </w:rPr>
              <w:t>100</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Vzdělávání a výchova</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tis</w:t>
            </w:r>
            <w:r w:rsidRPr="002B7E09">
              <w:rPr>
                <w:rFonts w:cs="Arial"/>
                <w:b/>
                <w:bCs/>
                <w:color w:val="000000"/>
                <w:sz w:val="16"/>
                <w:szCs w:val="16"/>
              </w:rPr>
              <w:t>.</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31,7</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22,6</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9,1</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46,1</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36,8</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9,4</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34,7</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27,4</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7,4</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15,6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23,0</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8,6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11,6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16,6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5,4</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11,6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16,5</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5,5</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Umění a humanitní vědy</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w:t>
            </w:r>
            <w:r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18,0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10,9</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7,1</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37,1</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25,1</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12,1</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29,4</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19,4</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10,0</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8,9</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11,1</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6,8</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9,4</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11,3</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6,9</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9,8</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11,7</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7,5</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Společenské vědy, žurnalistika a informační vědy</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w:t>
            </w:r>
            <w:r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16,3</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9,8</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6,6</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44,0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28,3</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15,6</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28,6</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17,7</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11,0</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8,0</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9,9</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6,3</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11,1</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12,8</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8,9</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9,6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10,6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8,2</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Obchod, administrativa a právo</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w:t>
            </w:r>
            <w:r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39,6</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22,0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17,6</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93,2</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57,0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36,2</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60,7</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34,0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26,7</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19,5</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22,4</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16,8</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23,5</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25,7</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20,7</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20,3</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20,5</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20,1</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Přírodní vědy, matematika a statistika</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w:t>
            </w:r>
            <w:r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11,5</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5,3</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6,2</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21,8</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12,6</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9,2</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21,8</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12,6</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9,2</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5,7</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5,4</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5,9</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5,5</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5,7</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5,3</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7,3</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7,6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6,9</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Informační a komunikační technologie (ICT)</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w:t>
            </w:r>
            <w:r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7,5</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6,5</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25,7</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3,0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22,8</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21,7</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3,7</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18,0</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3,7</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1,0</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6,2</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6,5</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1,3</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13,0</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7,2</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2,2</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13,5</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Pr>
                <w:rFonts w:cs="Arial"/>
                <w:color w:val="000000"/>
                <w:sz w:val="16"/>
                <w:szCs w:val="16"/>
              </w:rPr>
              <w:t>Technika, výroba a stavebni</w:t>
            </w:r>
            <w:r w:rsidRPr="002B7E09">
              <w:rPr>
                <w:rFonts w:cs="Arial"/>
                <w:color w:val="000000"/>
                <w:sz w:val="16"/>
                <w:szCs w:val="16"/>
              </w:rPr>
              <w:t>ctví</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w:t>
            </w:r>
            <w:r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51,5</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11,3</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40,2</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64,8</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19,1</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45,7</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40,6</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12,1</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28,6</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25,3</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11,5</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38,3</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16,4</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8,6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26,2</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13,6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7,3</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21,4</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Zemědělství, lesnictví, rybářství a veterinářství</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w:t>
            </w:r>
            <w:r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7,8</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4,0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3,9</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13,9</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8,2</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5,7</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11,6</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7,3</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4,4</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3,9</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4,1</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3,7</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3,5</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3,7</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3,2</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3,9</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4,4</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3,3</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Zdravotní a sociální péče, péče o příznivé životní podmínky</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w:t>
            </w:r>
            <w:r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17,7</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12,0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5,7</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35,2</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26,1</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9,1</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37,7</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27,6</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10,1</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8,7</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12,2</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5,4</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8,9</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11,8</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5,2</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12,6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16,6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jc w:val="right"/>
              <w:rPr>
                <w:rFonts w:cs="Arial"/>
                <w:i/>
                <w:iCs/>
                <w:sz w:val="16"/>
                <w:szCs w:val="16"/>
              </w:rPr>
            </w:pPr>
            <w:r w:rsidRPr="002B7E09">
              <w:rPr>
                <w:rFonts w:cs="Arial"/>
                <w:i/>
                <w:iCs/>
                <w:sz w:val="16"/>
                <w:szCs w:val="16"/>
              </w:rPr>
              <w:t>7,6</w:t>
            </w:r>
          </w:p>
        </w:tc>
      </w:tr>
      <w:tr w:rsidR="005E53FD" w:rsidRPr="002B7E09" w:rsidTr="008B6CE2">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E53FD" w:rsidRPr="002B7E09" w:rsidRDefault="005E53FD" w:rsidP="008B6CE2">
            <w:pPr>
              <w:keepNext/>
              <w:spacing w:after="0" w:line="240" w:lineRule="auto"/>
              <w:rPr>
                <w:rFonts w:cs="Arial"/>
                <w:color w:val="000000"/>
                <w:sz w:val="16"/>
                <w:szCs w:val="16"/>
              </w:rPr>
            </w:pPr>
            <w:r w:rsidRPr="002B7E09">
              <w:rPr>
                <w:rFonts w:cs="Arial"/>
                <w:color w:val="000000"/>
                <w:sz w:val="16"/>
                <w:szCs w:val="16"/>
              </w:rPr>
              <w:t>Služby</w:t>
            </w:r>
          </w:p>
        </w:tc>
        <w:tc>
          <w:tcPr>
            <w:tcW w:w="52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center"/>
              <w:rPr>
                <w:rFonts w:cs="Arial"/>
                <w:b/>
                <w:bCs/>
                <w:color w:val="000000"/>
                <w:sz w:val="16"/>
                <w:szCs w:val="16"/>
              </w:rPr>
            </w:pPr>
            <w:r>
              <w:rPr>
                <w:rFonts w:cs="Arial"/>
                <w:b/>
                <w:bCs/>
                <w:color w:val="000000"/>
                <w:sz w:val="16"/>
                <w:szCs w:val="16"/>
              </w:rPr>
              <w:t>ti</w:t>
            </w:r>
            <w:r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6,0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1,6</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4,4</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22,0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10,2</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11,8</w:t>
            </w:r>
          </w:p>
        </w:tc>
        <w:tc>
          <w:tcPr>
            <w:tcW w:w="780" w:type="dxa"/>
            <w:tcBorders>
              <w:top w:val="nil"/>
              <w:left w:val="nil"/>
              <w:bottom w:val="single" w:sz="4" w:space="0" w:color="auto"/>
              <w:right w:val="single" w:sz="4" w:space="0" w:color="auto"/>
            </w:tcBorders>
            <w:shd w:val="clear" w:color="000000" w:fill="C8EBF0"/>
            <w:vAlign w:val="center"/>
            <w:hideMark/>
          </w:tcPr>
          <w:p w:rsidR="005E53FD" w:rsidRPr="002B7E09" w:rsidRDefault="005E53FD" w:rsidP="008B6CE2">
            <w:pPr>
              <w:keepNext/>
              <w:spacing w:after="0" w:line="240" w:lineRule="auto"/>
              <w:jc w:val="right"/>
              <w:rPr>
                <w:rFonts w:cs="Arial"/>
                <w:sz w:val="16"/>
                <w:szCs w:val="16"/>
              </w:rPr>
            </w:pPr>
            <w:r w:rsidRPr="002B7E09">
              <w:rPr>
                <w:rFonts w:cs="Arial"/>
                <w:sz w:val="16"/>
                <w:szCs w:val="16"/>
              </w:rPr>
              <w:t>16,4</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7,0</w:t>
            </w:r>
          </w:p>
        </w:tc>
        <w:tc>
          <w:tcPr>
            <w:tcW w:w="780" w:type="dxa"/>
            <w:tcBorders>
              <w:top w:val="nil"/>
              <w:left w:val="nil"/>
              <w:bottom w:val="single" w:sz="4" w:space="0" w:color="auto"/>
              <w:right w:val="single" w:sz="4" w:space="0" w:color="auto"/>
            </w:tcBorders>
            <w:shd w:val="clear" w:color="000000" w:fill="C8EBF0"/>
            <w:noWrap/>
            <w:vAlign w:val="center"/>
            <w:hideMark/>
          </w:tcPr>
          <w:p w:rsidR="005E53FD" w:rsidRPr="002B7E09" w:rsidRDefault="005E53FD" w:rsidP="008B6CE2">
            <w:pPr>
              <w:keepNext/>
              <w:spacing w:after="0" w:line="240" w:lineRule="auto"/>
              <w:jc w:val="right"/>
              <w:rPr>
                <w:rFonts w:cs="Arial"/>
                <w:color w:val="000000"/>
                <w:sz w:val="16"/>
                <w:szCs w:val="16"/>
              </w:rPr>
            </w:pPr>
            <w:r w:rsidRPr="002B7E09">
              <w:rPr>
                <w:rFonts w:cs="Arial"/>
                <w:color w:val="000000"/>
                <w:sz w:val="16"/>
                <w:szCs w:val="16"/>
              </w:rPr>
              <w:t>9,4</w:t>
            </w:r>
          </w:p>
        </w:tc>
      </w:tr>
      <w:tr w:rsidR="005E53FD" w:rsidRPr="002B7E09" w:rsidTr="008B6CE2">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rsidR="005E53FD" w:rsidRPr="002B7E09" w:rsidRDefault="005E53FD" w:rsidP="008B6CE2">
            <w:pPr>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5E53FD" w:rsidRPr="002B7E09" w:rsidRDefault="005E53FD" w:rsidP="008B6CE2">
            <w:pPr>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spacing w:after="0" w:line="240" w:lineRule="auto"/>
              <w:jc w:val="right"/>
              <w:rPr>
                <w:rFonts w:cs="Arial"/>
                <w:i/>
                <w:iCs/>
                <w:sz w:val="16"/>
                <w:szCs w:val="16"/>
              </w:rPr>
            </w:pPr>
            <w:r w:rsidRPr="002B7E09">
              <w:rPr>
                <w:rFonts w:cs="Arial"/>
                <w:i/>
                <w:iCs/>
                <w:sz w:val="16"/>
                <w:szCs w:val="16"/>
              </w:rPr>
              <w:t>2,9</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spacing w:after="0" w:line="240" w:lineRule="auto"/>
              <w:jc w:val="right"/>
              <w:rPr>
                <w:rFonts w:cs="Arial"/>
                <w:i/>
                <w:iCs/>
                <w:sz w:val="16"/>
                <w:szCs w:val="16"/>
              </w:rPr>
            </w:pPr>
            <w:r w:rsidRPr="002B7E09">
              <w:rPr>
                <w:rFonts w:cs="Arial"/>
                <w:i/>
                <w:iCs/>
                <w:sz w:val="16"/>
                <w:szCs w:val="16"/>
              </w:rPr>
              <w:t>1,6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spacing w:after="0" w:line="240" w:lineRule="auto"/>
              <w:jc w:val="right"/>
              <w:rPr>
                <w:rFonts w:cs="Arial"/>
                <w:i/>
                <w:iCs/>
                <w:sz w:val="16"/>
                <w:szCs w:val="16"/>
              </w:rPr>
            </w:pPr>
            <w:r w:rsidRPr="002B7E09">
              <w:rPr>
                <w:rFonts w:cs="Arial"/>
                <w:i/>
                <w:iCs/>
                <w:sz w:val="16"/>
                <w:szCs w:val="16"/>
              </w:rPr>
              <w:t>4,1</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spacing w:after="0" w:line="240" w:lineRule="auto"/>
              <w:jc w:val="right"/>
              <w:rPr>
                <w:rFonts w:cs="Arial"/>
                <w:i/>
                <w:iCs/>
                <w:sz w:val="16"/>
                <w:szCs w:val="16"/>
              </w:rPr>
            </w:pPr>
            <w:r w:rsidRPr="002B7E09">
              <w:rPr>
                <w:rFonts w:cs="Arial"/>
                <w:i/>
                <w:iCs/>
                <w:sz w:val="16"/>
                <w:szCs w:val="16"/>
              </w:rPr>
              <w:t>5,6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spacing w:after="0" w:line="240" w:lineRule="auto"/>
              <w:jc w:val="right"/>
              <w:rPr>
                <w:rFonts w:cs="Arial"/>
                <w:i/>
                <w:iCs/>
                <w:sz w:val="16"/>
                <w:szCs w:val="16"/>
              </w:rPr>
            </w:pPr>
            <w:r w:rsidRPr="002B7E09">
              <w:rPr>
                <w:rFonts w:cs="Arial"/>
                <w:i/>
                <w:iCs/>
                <w:sz w:val="16"/>
                <w:szCs w:val="16"/>
              </w:rPr>
              <w:t>4,6</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spacing w:after="0" w:line="240" w:lineRule="auto"/>
              <w:jc w:val="right"/>
              <w:rPr>
                <w:rFonts w:cs="Arial"/>
                <w:i/>
                <w:iCs/>
                <w:sz w:val="16"/>
                <w:szCs w:val="16"/>
              </w:rPr>
            </w:pPr>
            <w:r w:rsidRPr="002B7E09">
              <w:rPr>
                <w:rFonts w:cs="Arial"/>
                <w:i/>
                <w:iCs/>
                <w:sz w:val="16"/>
                <w:szCs w:val="16"/>
              </w:rPr>
              <w:t>6,8</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spacing w:after="0" w:line="240" w:lineRule="auto"/>
              <w:jc w:val="right"/>
              <w:rPr>
                <w:rFonts w:cs="Arial"/>
                <w:i/>
                <w:iCs/>
                <w:sz w:val="16"/>
                <w:szCs w:val="16"/>
              </w:rPr>
            </w:pPr>
            <w:r w:rsidRPr="002B7E09">
              <w:rPr>
                <w:rFonts w:cs="Arial"/>
                <w:i/>
                <w:iCs/>
                <w:sz w:val="16"/>
                <w:szCs w:val="16"/>
              </w:rPr>
              <w:t>5,5</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spacing w:after="0" w:line="240" w:lineRule="auto"/>
              <w:jc w:val="right"/>
              <w:rPr>
                <w:rFonts w:cs="Arial"/>
                <w:i/>
                <w:iCs/>
                <w:sz w:val="16"/>
                <w:szCs w:val="16"/>
              </w:rPr>
            </w:pPr>
            <w:r w:rsidRPr="002B7E09">
              <w:rPr>
                <w:rFonts w:cs="Arial"/>
                <w:i/>
                <w:iCs/>
                <w:sz w:val="16"/>
                <w:szCs w:val="16"/>
              </w:rPr>
              <w:t>4,2</w:t>
            </w:r>
          </w:p>
        </w:tc>
        <w:tc>
          <w:tcPr>
            <w:tcW w:w="780" w:type="dxa"/>
            <w:tcBorders>
              <w:top w:val="nil"/>
              <w:left w:val="nil"/>
              <w:bottom w:val="single" w:sz="4" w:space="0" w:color="auto"/>
              <w:right w:val="single" w:sz="4" w:space="0" w:color="auto"/>
            </w:tcBorders>
            <w:shd w:val="clear" w:color="auto" w:fill="auto"/>
            <w:vAlign w:val="center"/>
            <w:hideMark/>
          </w:tcPr>
          <w:p w:rsidR="005E53FD" w:rsidRPr="002B7E09" w:rsidRDefault="005E53FD" w:rsidP="008B6CE2">
            <w:pPr>
              <w:spacing w:after="0" w:line="240" w:lineRule="auto"/>
              <w:jc w:val="right"/>
              <w:rPr>
                <w:rFonts w:cs="Arial"/>
                <w:i/>
                <w:iCs/>
                <w:sz w:val="16"/>
                <w:szCs w:val="16"/>
              </w:rPr>
            </w:pPr>
            <w:r w:rsidRPr="002B7E09">
              <w:rPr>
                <w:rFonts w:cs="Arial"/>
                <w:i/>
                <w:iCs/>
                <w:sz w:val="16"/>
                <w:szCs w:val="16"/>
              </w:rPr>
              <w:t>7,1</w:t>
            </w:r>
          </w:p>
        </w:tc>
      </w:tr>
    </w:tbl>
    <w:p w:rsidR="005E53FD" w:rsidRPr="004F315B" w:rsidRDefault="005E53FD" w:rsidP="005E53FD">
      <w:pPr>
        <w:keepNext/>
        <w:spacing w:before="120" w:after="0" w:line="240" w:lineRule="auto"/>
        <w:jc w:val="both"/>
        <w:rPr>
          <w:b/>
          <w:i/>
          <w:sz w:val="18"/>
          <w:szCs w:val="18"/>
        </w:rPr>
      </w:pPr>
      <w:r w:rsidRPr="004F315B">
        <w:rPr>
          <w:i/>
          <w:sz w:val="18"/>
          <w:szCs w:val="18"/>
        </w:rPr>
        <w:t xml:space="preserve">Pozn.: Součet procent za jednotlivé kategorie se nemusí rovnat 100 %, protože jeden student může studovat více oborů na jedné či více vysokých školách. </w:t>
      </w:r>
    </w:p>
    <w:p w:rsidR="005E53FD" w:rsidRPr="004F315B" w:rsidRDefault="005E53FD" w:rsidP="005E53FD">
      <w:pPr>
        <w:jc w:val="right"/>
        <w:rPr>
          <w:b/>
          <w:sz w:val="18"/>
          <w:szCs w:val="18"/>
        </w:rPr>
      </w:pPr>
      <w:r w:rsidRPr="004F315B">
        <w:rPr>
          <w:sz w:val="18"/>
          <w:szCs w:val="18"/>
        </w:rPr>
        <w:t>Zdroj dat: MŠMT</w:t>
      </w:r>
    </w:p>
    <w:p w:rsidR="005E53FD" w:rsidRDefault="005E53FD" w:rsidP="005E53FD">
      <w:pPr>
        <w:spacing w:after="120"/>
        <w:ind w:firstLine="284"/>
        <w:jc w:val="both"/>
        <w:rPr>
          <w:szCs w:val="20"/>
        </w:rPr>
      </w:pPr>
      <w:r>
        <w:rPr>
          <w:szCs w:val="20"/>
        </w:rPr>
        <w:t xml:space="preserve">Tabulka č. 5 dále ukazuje, jaký podíl studentů tvořili v letech 2001 až 2020 v jednotlivých skupinách oborů </w:t>
      </w:r>
      <w:r w:rsidRPr="0005743C">
        <w:rPr>
          <w:b/>
          <w:szCs w:val="20"/>
        </w:rPr>
        <w:t>cizinci</w:t>
      </w:r>
      <w:r>
        <w:rPr>
          <w:szCs w:val="20"/>
        </w:rPr>
        <w:t>. V roce 2020 zaznamenala nejvyšší podíl studentů cizí státní příslušnosti skupina oborů Informační a komunikační technologie (ICT). Od roku 2001 navíc tento podíl vzrostl ze 4,9 % na 29,1 %. Druhou skupinou oborů s nejčastějším zastoupením cizinců mezi studenty byla v roce 2020 skupina oborů Zdravotní a sociální péče, péče o příznivé životní podmínky (23,2 %). V této skupině oborů byl přitom v roce 2001 shledán ze všech skupin oborů zdaleka nejvyšší podíl cizinců (13,2 %) a prvenství si udržela až do roku 2015 (21 %). V roce 2016 již byl v této skupině oborů srovnatelný podíl cizinců jako ve skupině oborů Informační a komunikační technologie (22,7 %, resp. 22,8 %). Nejmenší podíl cizinců naopak v čase stabilně vykazuje skupina oborů Vzdělávání a výchova (v roce 2020 zaznamenala 2,3 % cizinců).</w:t>
      </w:r>
    </w:p>
    <w:p w:rsidR="005E53FD" w:rsidRPr="00563154" w:rsidRDefault="005E53FD" w:rsidP="005E53FD">
      <w:pPr>
        <w:keepNext/>
        <w:spacing w:after="120" w:line="240" w:lineRule="auto"/>
        <w:jc w:val="both"/>
        <w:rPr>
          <w:szCs w:val="20"/>
        </w:rPr>
      </w:pPr>
      <w:r>
        <w:rPr>
          <w:b/>
        </w:rPr>
        <w:lastRenderedPageBreak/>
        <w:t>Tabulka č. 5 Studenti VŠ v ČR - podíl cizinců celkem a v jednotlivých skupinách oborů vzdělání (v %)</w:t>
      </w:r>
    </w:p>
    <w:tbl>
      <w:tblPr>
        <w:tblW w:w="9700" w:type="dxa"/>
        <w:tblCellMar>
          <w:left w:w="70" w:type="dxa"/>
          <w:right w:w="70" w:type="dxa"/>
        </w:tblCellMar>
        <w:tblLook w:val="04A0" w:firstRow="1" w:lastRow="0" w:firstColumn="1" w:lastColumn="0" w:noHBand="0" w:noVBand="1"/>
      </w:tblPr>
      <w:tblGrid>
        <w:gridCol w:w="3760"/>
        <w:gridCol w:w="660"/>
        <w:gridCol w:w="660"/>
        <w:gridCol w:w="660"/>
        <w:gridCol w:w="660"/>
        <w:gridCol w:w="660"/>
        <w:gridCol w:w="660"/>
        <w:gridCol w:w="660"/>
        <w:gridCol w:w="660"/>
        <w:gridCol w:w="660"/>
      </w:tblGrid>
      <w:tr w:rsidR="005E53FD" w:rsidRPr="00563154" w:rsidTr="008B6CE2">
        <w:trPr>
          <w:trHeight w:hRule="exact" w:val="284"/>
        </w:trPr>
        <w:tc>
          <w:tcPr>
            <w:tcW w:w="3760" w:type="dxa"/>
            <w:tcBorders>
              <w:top w:val="single" w:sz="4" w:space="0" w:color="auto"/>
              <w:left w:val="single" w:sz="4" w:space="0" w:color="auto"/>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6"/>
                <w:szCs w:val="16"/>
              </w:rPr>
            </w:pPr>
            <w:r w:rsidRPr="00E71676">
              <w:rPr>
                <w:rFonts w:cs="Arial"/>
                <w:b/>
                <w:bCs/>
                <w:color w:val="FFFFFF"/>
                <w:sz w:val="16"/>
                <w:szCs w:val="16"/>
              </w:rPr>
              <w:t> </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8"/>
                <w:szCs w:val="18"/>
              </w:rPr>
            </w:pPr>
            <w:r w:rsidRPr="00E71676">
              <w:rPr>
                <w:rFonts w:cs="Arial"/>
                <w:b/>
                <w:bCs/>
                <w:color w:val="FFFFFF"/>
                <w:sz w:val="18"/>
                <w:szCs w:val="18"/>
              </w:rPr>
              <w:t>2001</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8"/>
                <w:szCs w:val="18"/>
              </w:rPr>
            </w:pPr>
            <w:r w:rsidRPr="00E71676">
              <w:rPr>
                <w:rFonts w:cs="Arial"/>
                <w:b/>
                <w:bCs/>
                <w:color w:val="FFFFFF"/>
                <w:sz w:val="18"/>
                <w:szCs w:val="18"/>
              </w:rPr>
              <w:t>2005</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8"/>
                <w:szCs w:val="18"/>
              </w:rPr>
            </w:pPr>
            <w:r w:rsidRPr="00E71676">
              <w:rPr>
                <w:rFonts w:cs="Arial"/>
                <w:b/>
                <w:bCs/>
                <w:color w:val="FFFFFF"/>
                <w:sz w:val="18"/>
                <w:szCs w:val="18"/>
              </w:rPr>
              <w:t>2010</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8"/>
                <w:szCs w:val="18"/>
              </w:rPr>
            </w:pPr>
            <w:r w:rsidRPr="00E71676">
              <w:rPr>
                <w:rFonts w:cs="Arial"/>
                <w:b/>
                <w:bCs/>
                <w:color w:val="FFFFFF"/>
                <w:sz w:val="18"/>
                <w:szCs w:val="18"/>
              </w:rPr>
              <w:t>2015</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8"/>
                <w:szCs w:val="18"/>
              </w:rPr>
            </w:pPr>
            <w:r w:rsidRPr="00E71676">
              <w:rPr>
                <w:rFonts w:cs="Arial"/>
                <w:b/>
                <w:bCs/>
                <w:color w:val="FFFFFF"/>
                <w:sz w:val="18"/>
                <w:szCs w:val="18"/>
              </w:rPr>
              <w:t>2016</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8"/>
                <w:szCs w:val="18"/>
              </w:rPr>
            </w:pPr>
            <w:r w:rsidRPr="00E71676">
              <w:rPr>
                <w:rFonts w:cs="Arial"/>
                <w:b/>
                <w:bCs/>
                <w:color w:val="FFFFFF"/>
                <w:sz w:val="18"/>
                <w:szCs w:val="18"/>
              </w:rPr>
              <w:t>2017</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8"/>
                <w:szCs w:val="18"/>
              </w:rPr>
            </w:pPr>
            <w:r w:rsidRPr="00E71676">
              <w:rPr>
                <w:rFonts w:cs="Arial"/>
                <w:b/>
                <w:bCs/>
                <w:color w:val="FFFFFF"/>
                <w:sz w:val="18"/>
                <w:szCs w:val="18"/>
              </w:rPr>
              <w:t>2018</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8"/>
                <w:szCs w:val="18"/>
              </w:rPr>
            </w:pPr>
            <w:r w:rsidRPr="00E71676">
              <w:rPr>
                <w:rFonts w:cs="Arial"/>
                <w:b/>
                <w:bCs/>
                <w:color w:val="FFFFFF"/>
                <w:sz w:val="18"/>
                <w:szCs w:val="18"/>
              </w:rPr>
              <w:t>2019</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keepNext/>
              <w:spacing w:after="0" w:line="240" w:lineRule="auto"/>
              <w:jc w:val="center"/>
              <w:rPr>
                <w:rFonts w:cs="Arial"/>
                <w:b/>
                <w:bCs/>
                <w:color w:val="FFFFFF"/>
                <w:sz w:val="18"/>
                <w:szCs w:val="18"/>
              </w:rPr>
            </w:pPr>
            <w:r w:rsidRPr="00E71676">
              <w:rPr>
                <w:rFonts w:cs="Arial"/>
                <w:b/>
                <w:bCs/>
                <w:color w:val="FFFFFF"/>
                <w:sz w:val="18"/>
                <w:szCs w:val="18"/>
              </w:rPr>
              <w:t>2020</w:t>
            </w:r>
          </w:p>
        </w:tc>
      </w:tr>
      <w:tr w:rsidR="005E53FD" w:rsidRPr="00563154"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b/>
                <w:bCs/>
                <w:sz w:val="16"/>
                <w:szCs w:val="16"/>
              </w:rPr>
            </w:pPr>
            <w:r w:rsidRPr="00E71676">
              <w:rPr>
                <w:rFonts w:cs="Arial"/>
                <w:b/>
                <w:bCs/>
                <w:sz w:val="16"/>
                <w:szCs w:val="16"/>
              </w:rPr>
              <w:t>Studenti cizinci</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b/>
                <w:bCs/>
                <w:color w:val="000000"/>
                <w:sz w:val="16"/>
                <w:szCs w:val="16"/>
              </w:rPr>
            </w:pPr>
            <w:r w:rsidRPr="00A30916">
              <w:rPr>
                <w:rFonts w:cs="Arial"/>
                <w:b/>
                <w:bCs/>
                <w:color w:val="000000"/>
                <w:sz w:val="16"/>
                <w:szCs w:val="16"/>
              </w:rPr>
              <w:t>4,3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b/>
                <w:bCs/>
                <w:color w:val="000000"/>
                <w:sz w:val="16"/>
                <w:szCs w:val="16"/>
              </w:rPr>
            </w:pPr>
            <w:r w:rsidRPr="00A30916">
              <w:rPr>
                <w:rFonts w:cs="Arial"/>
                <w:b/>
                <w:bCs/>
                <w:color w:val="000000"/>
                <w:sz w:val="16"/>
                <w:szCs w:val="16"/>
              </w:rPr>
              <w:t>7,2</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b/>
                <w:bCs/>
                <w:color w:val="000000"/>
                <w:sz w:val="16"/>
                <w:szCs w:val="16"/>
              </w:rPr>
            </w:pPr>
            <w:r w:rsidRPr="00A30916">
              <w:rPr>
                <w:rFonts w:cs="Arial"/>
                <w:b/>
                <w:bCs/>
                <w:color w:val="000000"/>
                <w:sz w:val="16"/>
                <w:szCs w:val="16"/>
              </w:rPr>
              <w:t>9,5</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b/>
                <w:bCs/>
                <w:color w:val="000000"/>
                <w:sz w:val="16"/>
                <w:szCs w:val="16"/>
              </w:rPr>
            </w:pPr>
            <w:r w:rsidRPr="00A30916">
              <w:rPr>
                <w:rFonts w:cs="Arial"/>
                <w:b/>
                <w:bCs/>
                <w:color w:val="000000"/>
                <w:sz w:val="16"/>
                <w:szCs w:val="16"/>
              </w:rPr>
              <w:t>12,9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b/>
                <w:bCs/>
                <w:color w:val="000000"/>
                <w:sz w:val="16"/>
                <w:szCs w:val="16"/>
              </w:rPr>
            </w:pPr>
            <w:r w:rsidRPr="00A30916">
              <w:rPr>
                <w:rFonts w:cs="Arial"/>
                <w:b/>
                <w:bCs/>
                <w:color w:val="000000"/>
                <w:sz w:val="16"/>
                <w:szCs w:val="16"/>
              </w:rPr>
              <w:t>14,0</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b/>
                <w:bCs/>
                <w:color w:val="000000"/>
                <w:sz w:val="16"/>
                <w:szCs w:val="16"/>
              </w:rPr>
            </w:pPr>
            <w:r w:rsidRPr="00A30916">
              <w:rPr>
                <w:rFonts w:cs="Arial"/>
                <w:b/>
                <w:bCs/>
                <w:color w:val="000000"/>
                <w:sz w:val="16"/>
                <w:szCs w:val="16"/>
              </w:rPr>
              <w:t>14,6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b/>
                <w:bCs/>
                <w:color w:val="000000"/>
                <w:sz w:val="16"/>
                <w:szCs w:val="16"/>
              </w:rPr>
            </w:pPr>
            <w:r w:rsidRPr="00A30916">
              <w:rPr>
                <w:rFonts w:cs="Arial"/>
                <w:b/>
                <w:bCs/>
                <w:color w:val="000000"/>
                <w:sz w:val="16"/>
                <w:szCs w:val="16"/>
              </w:rPr>
              <w:t>15,4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b/>
                <w:bCs/>
                <w:color w:val="000000"/>
                <w:sz w:val="16"/>
                <w:szCs w:val="16"/>
              </w:rPr>
            </w:pPr>
            <w:r w:rsidRPr="00A30916">
              <w:rPr>
                <w:rFonts w:cs="Arial"/>
                <w:b/>
                <w:bCs/>
                <w:color w:val="000000"/>
                <w:sz w:val="16"/>
                <w:szCs w:val="16"/>
              </w:rPr>
              <w:t>16,1</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b/>
                <w:bCs/>
                <w:color w:val="000000"/>
                <w:sz w:val="16"/>
                <w:szCs w:val="16"/>
              </w:rPr>
            </w:pPr>
            <w:r w:rsidRPr="00A30916">
              <w:rPr>
                <w:rFonts w:cs="Arial"/>
                <w:b/>
                <w:bCs/>
                <w:color w:val="000000"/>
                <w:sz w:val="16"/>
                <w:szCs w:val="16"/>
              </w:rPr>
              <w:t>16,7</w:t>
            </w:r>
          </w:p>
        </w:tc>
      </w:tr>
      <w:tr w:rsidR="005E53FD" w:rsidRPr="00563154"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sz w:val="16"/>
                <w:szCs w:val="16"/>
              </w:rPr>
            </w:pPr>
            <w:r w:rsidRPr="00E71676">
              <w:rPr>
                <w:rFonts w:cs="Arial"/>
                <w:sz w:val="16"/>
                <w:szCs w:val="16"/>
              </w:rPr>
              <w:t>Informační a komunikační technologie (ICT)</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4,9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8,6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12,7</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20,6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22,8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24,3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25,9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26,8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29,1</w:t>
            </w:r>
          </w:p>
        </w:tc>
      </w:tr>
      <w:tr w:rsidR="005E53FD" w:rsidRPr="00563154" w:rsidTr="008B6CE2">
        <w:trPr>
          <w:trHeight w:hRule="exact" w:val="469"/>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sz w:val="16"/>
                <w:szCs w:val="16"/>
              </w:rPr>
            </w:pPr>
            <w:r w:rsidRPr="00E71676">
              <w:rPr>
                <w:rFonts w:cs="Arial"/>
                <w:sz w:val="16"/>
                <w:szCs w:val="16"/>
              </w:rPr>
              <w:t>Zdravotní a sociální péče, péče o příznivé životní podmínky</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13,2</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15,3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16,1</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21,0</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22,7</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22,6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23,3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23,3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23,2</w:t>
            </w:r>
          </w:p>
        </w:tc>
      </w:tr>
      <w:tr w:rsidR="005E53FD" w:rsidRPr="00563154"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sz w:val="16"/>
                <w:szCs w:val="16"/>
              </w:rPr>
            </w:pPr>
            <w:r w:rsidRPr="00E71676">
              <w:rPr>
                <w:rFonts w:cs="Arial"/>
                <w:sz w:val="16"/>
                <w:szCs w:val="16"/>
              </w:rPr>
              <w:t>Přírodní vědy, matematika a statistika</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5,1</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7,0</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10,3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14,8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16,1</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16,9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18,5</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19,1</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20,9</w:t>
            </w:r>
          </w:p>
        </w:tc>
      </w:tr>
      <w:tr w:rsidR="005E53FD" w:rsidRPr="00563154"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sz w:val="16"/>
                <w:szCs w:val="16"/>
              </w:rPr>
            </w:pPr>
            <w:r w:rsidRPr="00E71676">
              <w:rPr>
                <w:rFonts w:cs="Arial"/>
                <w:sz w:val="16"/>
                <w:szCs w:val="16"/>
              </w:rPr>
              <w:t>Společenské vědy, žurnalistika a informační vědy</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4,6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6,9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8,6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13,4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14,2</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15,1</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16,5</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17,8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19,1</w:t>
            </w:r>
          </w:p>
        </w:tc>
      </w:tr>
      <w:tr w:rsidR="005E53FD" w:rsidRPr="00563154"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sz w:val="16"/>
                <w:szCs w:val="16"/>
              </w:rPr>
            </w:pPr>
            <w:r w:rsidRPr="00E71676">
              <w:rPr>
                <w:rFonts w:cs="Arial"/>
                <w:sz w:val="16"/>
                <w:szCs w:val="16"/>
              </w:rPr>
              <w:t>Obchod, administrativa a právo</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4,8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9,7</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11,9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13,4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14,3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14,9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15,6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16,4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17,3</w:t>
            </w:r>
          </w:p>
        </w:tc>
      </w:tr>
      <w:tr w:rsidR="005E53FD" w:rsidRPr="00563154"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sz w:val="16"/>
                <w:szCs w:val="16"/>
              </w:rPr>
            </w:pPr>
            <w:r w:rsidRPr="00E71676">
              <w:rPr>
                <w:rFonts w:cs="Arial"/>
                <w:sz w:val="16"/>
                <w:szCs w:val="16"/>
              </w:rPr>
              <w:t xml:space="preserve">Umění a humanitní vědy </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5,0</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6,8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9,1</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12,2</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13,1</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13,7</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14,4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15,2</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15,9</w:t>
            </w:r>
          </w:p>
        </w:tc>
      </w:tr>
      <w:tr w:rsidR="005E53FD" w:rsidRPr="00563154"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sz w:val="16"/>
                <w:szCs w:val="16"/>
              </w:rPr>
            </w:pPr>
            <w:r w:rsidRPr="00E71676">
              <w:rPr>
                <w:rFonts w:cs="Arial"/>
                <w:sz w:val="16"/>
                <w:szCs w:val="16"/>
              </w:rPr>
              <w:t>Zemědělství, lesnictví, rybářství a veterinářství</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3,4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4,7</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5,8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10,4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11,8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12,9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13,5</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13,9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14,9</w:t>
            </w:r>
          </w:p>
        </w:tc>
      </w:tr>
      <w:tr w:rsidR="005E53FD" w:rsidRPr="00563154"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sz w:val="16"/>
                <w:szCs w:val="16"/>
              </w:rPr>
            </w:pPr>
            <w:r w:rsidRPr="00E71676">
              <w:rPr>
                <w:rFonts w:cs="Arial"/>
                <w:sz w:val="16"/>
                <w:szCs w:val="16"/>
              </w:rPr>
              <w:t>Technika, výroba a stavebnictví</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2,6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4,8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6,8</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11,4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12,6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13,2</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13,9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14,3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14,6</w:t>
            </w:r>
          </w:p>
        </w:tc>
      </w:tr>
      <w:tr w:rsidR="005E53FD" w:rsidRPr="00563154"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keepNext/>
              <w:spacing w:after="0" w:line="240" w:lineRule="auto"/>
              <w:rPr>
                <w:rFonts w:cs="Arial"/>
                <w:sz w:val="16"/>
                <w:szCs w:val="16"/>
              </w:rPr>
            </w:pPr>
            <w:r w:rsidRPr="00E71676">
              <w:rPr>
                <w:rFonts w:cs="Arial"/>
                <w:sz w:val="16"/>
                <w:szCs w:val="16"/>
              </w:rPr>
              <w:t>Služby</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3,2</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6,2</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8,6</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9,1</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9,7</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9,9</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11,3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keepNext/>
              <w:spacing w:after="0" w:line="240" w:lineRule="auto"/>
              <w:jc w:val="right"/>
              <w:rPr>
                <w:rFonts w:cs="Arial"/>
                <w:color w:val="000000"/>
                <w:sz w:val="16"/>
                <w:szCs w:val="16"/>
              </w:rPr>
            </w:pPr>
            <w:r w:rsidRPr="00A30916">
              <w:rPr>
                <w:rFonts w:cs="Arial"/>
                <w:color w:val="000000"/>
                <w:sz w:val="16"/>
                <w:szCs w:val="16"/>
              </w:rPr>
              <w:t>10,8</w:t>
            </w:r>
          </w:p>
        </w:tc>
      </w:tr>
      <w:tr w:rsidR="005E53FD" w:rsidRPr="00E71676" w:rsidTr="008B6CE2">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rsidR="005E53FD" w:rsidRPr="00E71676" w:rsidRDefault="005E53FD" w:rsidP="008B6CE2">
            <w:pPr>
              <w:spacing w:after="0" w:line="240" w:lineRule="auto"/>
              <w:rPr>
                <w:rFonts w:cs="Arial"/>
                <w:sz w:val="16"/>
                <w:szCs w:val="16"/>
              </w:rPr>
            </w:pPr>
            <w:r w:rsidRPr="00E71676">
              <w:rPr>
                <w:rFonts w:cs="Arial"/>
                <w:sz w:val="16"/>
                <w:szCs w:val="16"/>
              </w:rPr>
              <w:t xml:space="preserve">Vzdělávání a výchova </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spacing w:after="0" w:line="240" w:lineRule="auto"/>
              <w:jc w:val="right"/>
              <w:rPr>
                <w:rFonts w:cs="Arial"/>
                <w:color w:val="000000"/>
                <w:sz w:val="16"/>
                <w:szCs w:val="16"/>
              </w:rPr>
            </w:pPr>
            <w:r w:rsidRPr="00A30916">
              <w:rPr>
                <w:rFonts w:cs="Arial"/>
                <w:color w:val="000000"/>
                <w:sz w:val="16"/>
                <w:szCs w:val="16"/>
              </w:rPr>
              <w:t>1,0</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spacing w:after="0" w:line="240" w:lineRule="auto"/>
              <w:jc w:val="right"/>
              <w:rPr>
                <w:rFonts w:cs="Arial"/>
                <w:color w:val="000000"/>
                <w:sz w:val="16"/>
                <w:szCs w:val="16"/>
              </w:rPr>
            </w:pPr>
            <w:r w:rsidRPr="00A30916">
              <w:rPr>
                <w:rFonts w:cs="Arial"/>
                <w:color w:val="000000"/>
                <w:sz w:val="16"/>
                <w:szCs w:val="16"/>
              </w:rPr>
              <w:t>3,5</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spacing w:after="0" w:line="240" w:lineRule="auto"/>
              <w:jc w:val="right"/>
              <w:rPr>
                <w:rFonts w:cs="Arial"/>
                <w:color w:val="000000"/>
                <w:sz w:val="16"/>
                <w:szCs w:val="16"/>
              </w:rPr>
            </w:pPr>
            <w:r w:rsidRPr="00A30916">
              <w:rPr>
                <w:rFonts w:cs="Arial"/>
                <w:color w:val="000000"/>
                <w:sz w:val="16"/>
                <w:szCs w:val="16"/>
              </w:rPr>
              <w:t>4,4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spacing w:after="0" w:line="240" w:lineRule="auto"/>
              <w:jc w:val="right"/>
              <w:rPr>
                <w:rFonts w:cs="Arial"/>
                <w:color w:val="000000"/>
                <w:sz w:val="16"/>
                <w:szCs w:val="16"/>
              </w:rPr>
            </w:pPr>
            <w:r w:rsidRPr="00A30916">
              <w:rPr>
                <w:rFonts w:cs="Arial"/>
                <w:color w:val="000000"/>
                <w:sz w:val="16"/>
                <w:szCs w:val="16"/>
              </w:rPr>
              <w:t>2,3</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spacing w:after="0" w:line="240" w:lineRule="auto"/>
              <w:jc w:val="right"/>
              <w:rPr>
                <w:rFonts w:cs="Arial"/>
                <w:color w:val="000000"/>
                <w:sz w:val="16"/>
                <w:szCs w:val="16"/>
              </w:rPr>
            </w:pPr>
            <w:r w:rsidRPr="00A30916">
              <w:rPr>
                <w:rFonts w:cs="Arial"/>
                <w:color w:val="000000"/>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spacing w:after="0" w:line="240" w:lineRule="auto"/>
              <w:jc w:val="right"/>
              <w:rPr>
                <w:rFonts w:cs="Arial"/>
                <w:color w:val="000000"/>
                <w:sz w:val="16"/>
                <w:szCs w:val="16"/>
              </w:rPr>
            </w:pPr>
            <w:r w:rsidRPr="00A30916">
              <w:rPr>
                <w:rFonts w:cs="Arial"/>
                <w:color w:val="000000"/>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spacing w:after="0" w:line="240" w:lineRule="auto"/>
              <w:jc w:val="right"/>
              <w:rPr>
                <w:rFonts w:cs="Arial"/>
                <w:color w:val="000000"/>
                <w:sz w:val="16"/>
                <w:szCs w:val="16"/>
              </w:rPr>
            </w:pPr>
            <w:r w:rsidRPr="00A30916">
              <w:rPr>
                <w:rFonts w:cs="Arial"/>
                <w:color w:val="000000"/>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spacing w:after="0" w:line="240" w:lineRule="auto"/>
              <w:jc w:val="right"/>
              <w:rPr>
                <w:rFonts w:cs="Arial"/>
                <w:color w:val="000000"/>
                <w:sz w:val="16"/>
                <w:szCs w:val="16"/>
              </w:rPr>
            </w:pPr>
            <w:r w:rsidRPr="00A30916">
              <w:rPr>
                <w:rFonts w:cs="Arial"/>
                <w:color w:val="000000"/>
                <w:sz w:val="16"/>
                <w:szCs w:val="16"/>
              </w:rPr>
              <w:t>2,4</w:t>
            </w:r>
          </w:p>
        </w:tc>
        <w:tc>
          <w:tcPr>
            <w:tcW w:w="660" w:type="dxa"/>
            <w:tcBorders>
              <w:top w:val="nil"/>
              <w:left w:val="nil"/>
              <w:bottom w:val="single" w:sz="4" w:space="0" w:color="auto"/>
              <w:right w:val="single" w:sz="4" w:space="0" w:color="auto"/>
            </w:tcBorders>
            <w:shd w:val="clear" w:color="auto" w:fill="auto"/>
            <w:noWrap/>
            <w:vAlign w:val="center"/>
            <w:hideMark/>
          </w:tcPr>
          <w:p w:rsidR="005E53FD" w:rsidRPr="00A30916" w:rsidRDefault="005E53FD" w:rsidP="008B6CE2">
            <w:pPr>
              <w:spacing w:after="0" w:line="240" w:lineRule="auto"/>
              <w:jc w:val="right"/>
              <w:rPr>
                <w:rFonts w:cs="Arial"/>
                <w:color w:val="000000"/>
                <w:sz w:val="16"/>
                <w:szCs w:val="16"/>
              </w:rPr>
            </w:pPr>
            <w:r w:rsidRPr="00A30916">
              <w:rPr>
                <w:rFonts w:cs="Arial"/>
                <w:color w:val="000000"/>
                <w:sz w:val="16"/>
                <w:szCs w:val="16"/>
              </w:rPr>
              <w:t>2,3</w:t>
            </w:r>
          </w:p>
        </w:tc>
      </w:tr>
    </w:tbl>
    <w:p w:rsidR="005E53FD" w:rsidRPr="00603134" w:rsidRDefault="005E53FD" w:rsidP="005E53FD">
      <w:pPr>
        <w:keepNext/>
        <w:spacing w:before="120" w:after="120" w:line="240" w:lineRule="auto"/>
        <w:jc w:val="right"/>
        <w:rPr>
          <w:sz w:val="18"/>
          <w:szCs w:val="18"/>
        </w:rPr>
      </w:pPr>
      <w:r w:rsidRPr="00603134">
        <w:rPr>
          <w:sz w:val="18"/>
          <w:szCs w:val="18"/>
        </w:rPr>
        <w:t>Zdroj dat: MŠMT</w:t>
      </w:r>
    </w:p>
    <w:p w:rsidR="005E53FD" w:rsidRDefault="005E53FD" w:rsidP="005E53FD">
      <w:pPr>
        <w:ind w:firstLine="284"/>
        <w:jc w:val="both"/>
      </w:pPr>
      <w:r>
        <w:t xml:space="preserve">Pokud se jedná o podíl studentů </w:t>
      </w:r>
      <w:r w:rsidRPr="0005743C">
        <w:rPr>
          <w:b/>
        </w:rPr>
        <w:t>doktorského studia</w:t>
      </w:r>
      <w:r>
        <w:t>, ve všech sledovaných letech zaznamenala nejvyšší podíl studentů této úrovně skupina oborů P</w:t>
      </w:r>
      <w:r w:rsidRPr="00253FD7">
        <w:t>řírod</w:t>
      </w:r>
      <w:r>
        <w:t>ní vědy, matematika a statistika (v roce 2001 tvořil 28,8 % a v roce 2020 pětinu, tj. 20,7 %). Desetinový, příp. mírně vyšší než desetinový podíl studentů doktorského studia dále ve všech sledovaných letech zaznamenaly skupiny oborů Technika, výroba a stavebnictví a Umění a humanitní vědy. Naopak nejmenší podíl studentů doktorského studia byl ve všech sledovaných letech zjištěn u skupiny oborů Vzdělávání a výchova – viz tabulku č. 6.</w:t>
      </w:r>
    </w:p>
    <w:p w:rsidR="005E53FD" w:rsidRPr="00F34F68" w:rsidRDefault="005E53FD" w:rsidP="005E53FD">
      <w:pPr>
        <w:keepNext/>
        <w:spacing w:after="120" w:line="240" w:lineRule="auto"/>
        <w:jc w:val="both"/>
        <w:rPr>
          <w:szCs w:val="20"/>
        </w:rPr>
      </w:pPr>
      <w:r>
        <w:rPr>
          <w:b/>
        </w:rPr>
        <w:t>Tabulka č. 6 Studenti VŠ v ČR - podíl studentů doktorského studia dle skupin oborů vzdělání (v %)</w:t>
      </w:r>
    </w:p>
    <w:tbl>
      <w:tblPr>
        <w:tblW w:w="9820" w:type="dxa"/>
        <w:jc w:val="center"/>
        <w:tblCellMar>
          <w:left w:w="70" w:type="dxa"/>
          <w:right w:w="70" w:type="dxa"/>
        </w:tblCellMar>
        <w:tblLook w:val="04A0" w:firstRow="1" w:lastRow="0" w:firstColumn="1" w:lastColumn="0" w:noHBand="0" w:noVBand="1"/>
      </w:tblPr>
      <w:tblGrid>
        <w:gridCol w:w="4240"/>
        <w:gridCol w:w="620"/>
        <w:gridCol w:w="620"/>
        <w:gridCol w:w="620"/>
        <w:gridCol w:w="620"/>
        <w:gridCol w:w="620"/>
        <w:gridCol w:w="620"/>
        <w:gridCol w:w="620"/>
        <w:gridCol w:w="620"/>
        <w:gridCol w:w="620"/>
      </w:tblGrid>
      <w:tr w:rsidR="005E53FD" w:rsidRPr="00253FD7" w:rsidTr="008B6CE2">
        <w:trPr>
          <w:trHeight w:hRule="exact" w:val="284"/>
          <w:jc w:val="center"/>
        </w:trPr>
        <w:tc>
          <w:tcPr>
            <w:tcW w:w="4240" w:type="dxa"/>
            <w:tcBorders>
              <w:top w:val="single" w:sz="4" w:space="0" w:color="auto"/>
              <w:left w:val="single" w:sz="4" w:space="0" w:color="auto"/>
              <w:bottom w:val="single" w:sz="4" w:space="0" w:color="auto"/>
              <w:right w:val="single" w:sz="4" w:space="0" w:color="auto"/>
            </w:tcBorders>
            <w:shd w:val="clear" w:color="000000" w:fill="2A8D9A"/>
            <w:vAlign w:val="center"/>
            <w:hideMark/>
          </w:tcPr>
          <w:p w:rsidR="005E53FD" w:rsidRPr="00E71676" w:rsidRDefault="005E53FD" w:rsidP="008B6CE2">
            <w:pPr>
              <w:spacing w:line="240" w:lineRule="auto"/>
              <w:jc w:val="center"/>
              <w:rPr>
                <w:rFonts w:cs="Arial"/>
                <w:b/>
                <w:bCs/>
                <w:color w:val="FFFFFF"/>
                <w:sz w:val="16"/>
                <w:szCs w:val="16"/>
              </w:rPr>
            </w:pPr>
            <w:r w:rsidRPr="00E71676">
              <w:rPr>
                <w:rFonts w:cs="Arial"/>
                <w:b/>
                <w:bCs/>
                <w:color w:val="FFFFFF"/>
                <w:sz w:val="16"/>
                <w:szCs w:val="16"/>
              </w:rPr>
              <w:t> </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spacing w:after="0" w:line="240" w:lineRule="auto"/>
              <w:jc w:val="center"/>
              <w:rPr>
                <w:rFonts w:cs="Arial"/>
                <w:b/>
                <w:bCs/>
                <w:color w:val="FFFFFF"/>
                <w:sz w:val="18"/>
                <w:szCs w:val="18"/>
              </w:rPr>
            </w:pPr>
            <w:r w:rsidRPr="00E71676">
              <w:rPr>
                <w:rFonts w:cs="Arial"/>
                <w:b/>
                <w:bCs/>
                <w:color w:val="FFFFFF"/>
                <w:sz w:val="18"/>
                <w:szCs w:val="18"/>
              </w:rPr>
              <w:t>2001</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spacing w:after="0" w:line="240" w:lineRule="auto"/>
              <w:jc w:val="center"/>
              <w:rPr>
                <w:rFonts w:cs="Arial"/>
                <w:b/>
                <w:bCs/>
                <w:color w:val="FFFFFF"/>
                <w:sz w:val="18"/>
                <w:szCs w:val="18"/>
              </w:rPr>
            </w:pPr>
            <w:r w:rsidRPr="00E71676">
              <w:rPr>
                <w:rFonts w:cs="Arial"/>
                <w:b/>
                <w:bCs/>
                <w:color w:val="FFFFFF"/>
                <w:sz w:val="18"/>
                <w:szCs w:val="18"/>
              </w:rPr>
              <w:t>2005</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spacing w:after="0" w:line="240" w:lineRule="auto"/>
              <w:jc w:val="center"/>
              <w:rPr>
                <w:rFonts w:cs="Arial"/>
                <w:b/>
                <w:bCs/>
                <w:color w:val="FFFFFF"/>
                <w:sz w:val="18"/>
                <w:szCs w:val="18"/>
              </w:rPr>
            </w:pPr>
            <w:r w:rsidRPr="00E71676">
              <w:rPr>
                <w:rFonts w:cs="Arial"/>
                <w:b/>
                <w:bCs/>
                <w:color w:val="FFFFFF"/>
                <w:sz w:val="18"/>
                <w:szCs w:val="18"/>
              </w:rPr>
              <w:t>2010</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spacing w:after="0" w:line="240" w:lineRule="auto"/>
              <w:jc w:val="center"/>
              <w:rPr>
                <w:rFonts w:cs="Arial"/>
                <w:b/>
                <w:bCs/>
                <w:color w:val="FFFFFF"/>
                <w:sz w:val="18"/>
                <w:szCs w:val="18"/>
              </w:rPr>
            </w:pPr>
            <w:r w:rsidRPr="00E71676">
              <w:rPr>
                <w:rFonts w:cs="Arial"/>
                <w:b/>
                <w:bCs/>
                <w:color w:val="FFFFFF"/>
                <w:sz w:val="18"/>
                <w:szCs w:val="18"/>
              </w:rPr>
              <w:t>2015</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spacing w:after="0" w:line="240" w:lineRule="auto"/>
              <w:jc w:val="center"/>
              <w:rPr>
                <w:rFonts w:cs="Arial"/>
                <w:b/>
                <w:bCs/>
                <w:color w:val="FFFFFF"/>
                <w:sz w:val="18"/>
                <w:szCs w:val="18"/>
              </w:rPr>
            </w:pPr>
            <w:r w:rsidRPr="00E71676">
              <w:rPr>
                <w:rFonts w:cs="Arial"/>
                <w:b/>
                <w:bCs/>
                <w:color w:val="FFFFFF"/>
                <w:sz w:val="18"/>
                <w:szCs w:val="18"/>
              </w:rPr>
              <w:t>2016</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spacing w:after="0" w:line="240" w:lineRule="auto"/>
              <w:jc w:val="center"/>
              <w:rPr>
                <w:rFonts w:cs="Arial"/>
                <w:b/>
                <w:bCs/>
                <w:color w:val="FFFFFF"/>
                <w:sz w:val="18"/>
                <w:szCs w:val="18"/>
              </w:rPr>
            </w:pPr>
            <w:r w:rsidRPr="00E71676">
              <w:rPr>
                <w:rFonts w:cs="Arial"/>
                <w:b/>
                <w:bCs/>
                <w:color w:val="FFFFFF"/>
                <w:sz w:val="18"/>
                <w:szCs w:val="18"/>
              </w:rPr>
              <w:t>2017</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spacing w:after="0" w:line="240" w:lineRule="auto"/>
              <w:jc w:val="center"/>
              <w:rPr>
                <w:rFonts w:cs="Arial"/>
                <w:b/>
                <w:bCs/>
                <w:color w:val="FFFFFF"/>
                <w:sz w:val="18"/>
                <w:szCs w:val="18"/>
              </w:rPr>
            </w:pPr>
            <w:r w:rsidRPr="00E71676">
              <w:rPr>
                <w:rFonts w:cs="Arial"/>
                <w:b/>
                <w:bCs/>
                <w:color w:val="FFFFFF"/>
                <w:sz w:val="18"/>
                <w:szCs w:val="18"/>
              </w:rPr>
              <w:t>2018</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spacing w:after="0" w:line="240" w:lineRule="auto"/>
              <w:jc w:val="center"/>
              <w:rPr>
                <w:rFonts w:cs="Arial"/>
                <w:b/>
                <w:bCs/>
                <w:color w:val="FFFFFF"/>
                <w:sz w:val="18"/>
                <w:szCs w:val="18"/>
              </w:rPr>
            </w:pPr>
            <w:r w:rsidRPr="00E71676">
              <w:rPr>
                <w:rFonts w:cs="Arial"/>
                <w:b/>
                <w:bCs/>
                <w:color w:val="FFFFFF"/>
                <w:sz w:val="18"/>
                <w:szCs w:val="18"/>
              </w:rPr>
              <w:t>2019</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E71676" w:rsidRDefault="005E53FD" w:rsidP="008B6CE2">
            <w:pPr>
              <w:spacing w:after="0" w:line="240" w:lineRule="auto"/>
              <w:jc w:val="center"/>
              <w:rPr>
                <w:rFonts w:cs="Arial"/>
                <w:b/>
                <w:bCs/>
                <w:color w:val="FFFFFF"/>
                <w:sz w:val="18"/>
                <w:szCs w:val="18"/>
              </w:rPr>
            </w:pPr>
            <w:r w:rsidRPr="00E71676">
              <w:rPr>
                <w:rFonts w:cs="Arial"/>
                <w:b/>
                <w:bCs/>
                <w:color w:val="FFFFFF"/>
                <w:sz w:val="18"/>
                <w:szCs w:val="18"/>
              </w:rPr>
              <w:t>2020</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b/>
                <w:color w:val="000000"/>
                <w:sz w:val="16"/>
                <w:szCs w:val="16"/>
              </w:rPr>
            </w:pPr>
            <w:r w:rsidRPr="007808A4">
              <w:rPr>
                <w:rFonts w:cs="Arial"/>
                <w:b/>
                <w:color w:val="000000"/>
                <w:sz w:val="16"/>
                <w:szCs w:val="16"/>
              </w:rPr>
              <w:t>Studenti celkem</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b/>
                <w:color w:val="000000"/>
                <w:sz w:val="16"/>
                <w:szCs w:val="16"/>
              </w:rPr>
            </w:pPr>
            <w:r w:rsidRPr="007808A4">
              <w:rPr>
                <w:rFonts w:cs="Arial"/>
                <w:b/>
                <w:color w:val="000000"/>
                <w:sz w:val="16"/>
                <w:szCs w:val="16"/>
              </w:rPr>
              <w:t>8,1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b/>
                <w:color w:val="000000"/>
                <w:sz w:val="16"/>
                <w:szCs w:val="16"/>
              </w:rPr>
            </w:pPr>
            <w:r w:rsidRPr="007808A4">
              <w:rPr>
                <w:rFonts w:cs="Arial"/>
                <w:b/>
                <w:color w:val="000000"/>
                <w:sz w:val="16"/>
                <w:szCs w:val="16"/>
              </w:rPr>
              <w:t>7,7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b/>
                <w:color w:val="000000"/>
                <w:sz w:val="16"/>
                <w:szCs w:val="16"/>
              </w:rPr>
            </w:pPr>
            <w:r w:rsidRPr="007808A4">
              <w:rPr>
                <w:rFonts w:cs="Arial"/>
                <w:b/>
                <w:color w:val="000000"/>
                <w:sz w:val="16"/>
                <w:szCs w:val="16"/>
              </w:rPr>
              <w:t>6,5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b/>
                <w:color w:val="000000"/>
                <w:sz w:val="16"/>
                <w:szCs w:val="16"/>
              </w:rPr>
            </w:pPr>
            <w:r w:rsidRPr="007808A4">
              <w:rPr>
                <w:rFonts w:cs="Arial"/>
                <w:b/>
                <w:color w:val="000000"/>
                <w:sz w:val="16"/>
                <w:szCs w:val="16"/>
              </w:rPr>
              <w:t>7,3</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b/>
                <w:color w:val="000000"/>
                <w:sz w:val="16"/>
                <w:szCs w:val="16"/>
              </w:rPr>
            </w:pPr>
            <w:r w:rsidRPr="007808A4">
              <w:rPr>
                <w:rFonts w:cs="Arial"/>
                <w:b/>
                <w:color w:val="000000"/>
                <w:sz w:val="16"/>
                <w:szCs w:val="16"/>
              </w:rPr>
              <w:t>7,5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b/>
                <w:color w:val="000000"/>
                <w:sz w:val="16"/>
                <w:szCs w:val="16"/>
              </w:rPr>
            </w:pPr>
            <w:r w:rsidRPr="007808A4">
              <w:rPr>
                <w:rFonts w:cs="Arial"/>
                <w:b/>
                <w:color w:val="000000"/>
                <w:sz w:val="16"/>
                <w:szCs w:val="16"/>
              </w:rPr>
              <w:t>7,4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b/>
                <w:color w:val="000000"/>
                <w:sz w:val="16"/>
                <w:szCs w:val="16"/>
              </w:rPr>
            </w:pPr>
            <w:r w:rsidRPr="007808A4">
              <w:rPr>
                <w:rFonts w:cs="Arial"/>
                <w:b/>
                <w:color w:val="000000"/>
                <w:sz w:val="16"/>
                <w:szCs w:val="16"/>
              </w:rPr>
              <w:t>7,4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b/>
                <w:color w:val="000000"/>
                <w:sz w:val="16"/>
                <w:szCs w:val="16"/>
              </w:rPr>
            </w:pPr>
            <w:r w:rsidRPr="007808A4">
              <w:rPr>
                <w:rFonts w:cs="Arial"/>
                <w:b/>
                <w:color w:val="000000"/>
                <w:sz w:val="16"/>
                <w:szCs w:val="16"/>
              </w:rPr>
              <w:t>7,2</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b/>
                <w:color w:val="000000"/>
                <w:sz w:val="16"/>
                <w:szCs w:val="16"/>
              </w:rPr>
            </w:pPr>
            <w:r w:rsidRPr="007808A4">
              <w:rPr>
                <w:rFonts w:cs="Arial"/>
                <w:b/>
                <w:color w:val="000000"/>
                <w:sz w:val="16"/>
                <w:szCs w:val="16"/>
              </w:rPr>
              <w:t>7,2</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Přírodní vědy, matematika a statistika</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28,8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23,5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19,6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21,8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22,8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22,8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22,9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20,9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20,7</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Technika, výroba a stavebnictví</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9,5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10,8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10,4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11,1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11,0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11,0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11,2</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11,5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12,2</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 xml:space="preserve">Umění a humanitní vědy </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11,7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11,0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9,8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10,7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10,9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10,8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10,7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10,3</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10,0</w:t>
            </w:r>
          </w:p>
        </w:tc>
      </w:tr>
      <w:tr w:rsidR="005E53FD" w:rsidRPr="00253FD7" w:rsidTr="008B6CE2">
        <w:trPr>
          <w:trHeight w:hRule="exact" w:val="347"/>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Zdravotní a soc. péče, péče o příznivé životní podmínky</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7,9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9,2</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8,2</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8,0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8,0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7,8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7,7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8,0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7,8</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Zemědělství, lesnictví, rybářství a veterinářství</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9,8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8,6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7,8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6,8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6,7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6,5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6,9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7,3</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7,3</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Společenské vědy, žurnalistika a informační vědy</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7,6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6,4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4,6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5,7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5,9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5,7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5,7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5,5</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Informační a komunikační technologie (ICT)</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4,5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4,4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4,4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4,2</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4,0</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Služby</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6,9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4,7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3,2</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3,7</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Obchod, administrativa a právo</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3,0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2,7</w:t>
            </w:r>
          </w:p>
        </w:tc>
      </w:tr>
      <w:tr w:rsidR="005E53FD" w:rsidRPr="00253FD7" w:rsidTr="008B6CE2">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rPr>
                <w:rFonts w:cs="Arial"/>
                <w:color w:val="000000"/>
                <w:sz w:val="16"/>
                <w:szCs w:val="16"/>
              </w:rPr>
            </w:pPr>
            <w:r w:rsidRPr="007808A4">
              <w:rPr>
                <w:rFonts w:cs="Arial"/>
                <w:color w:val="000000"/>
                <w:sz w:val="16"/>
                <w:szCs w:val="16"/>
              </w:rPr>
              <w:t xml:space="preserve">Vzdělávání a výchova </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1,9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7808A4" w:rsidRDefault="005E53FD" w:rsidP="008B6CE2">
            <w:pPr>
              <w:spacing w:after="0" w:line="240" w:lineRule="auto"/>
              <w:jc w:val="right"/>
              <w:rPr>
                <w:rFonts w:cs="Arial"/>
                <w:color w:val="000000"/>
                <w:sz w:val="16"/>
                <w:szCs w:val="16"/>
              </w:rPr>
            </w:pPr>
            <w:r w:rsidRPr="007808A4">
              <w:rPr>
                <w:rFonts w:cs="Arial"/>
                <w:color w:val="000000"/>
                <w:sz w:val="16"/>
                <w:szCs w:val="16"/>
              </w:rPr>
              <w:t>2,3</w:t>
            </w:r>
          </w:p>
        </w:tc>
      </w:tr>
    </w:tbl>
    <w:p w:rsidR="005E53FD" w:rsidRPr="00603134" w:rsidRDefault="005E53FD" w:rsidP="005E53FD">
      <w:pPr>
        <w:keepNext/>
        <w:spacing w:before="120" w:after="120" w:line="240" w:lineRule="auto"/>
        <w:jc w:val="right"/>
        <w:rPr>
          <w:sz w:val="18"/>
          <w:szCs w:val="18"/>
        </w:rPr>
      </w:pPr>
      <w:r w:rsidRPr="00603134">
        <w:rPr>
          <w:sz w:val="18"/>
          <w:szCs w:val="18"/>
        </w:rPr>
        <w:t>Zdroj dat: MŠMT</w:t>
      </w:r>
    </w:p>
    <w:p w:rsidR="005E53FD" w:rsidRDefault="005E53FD" w:rsidP="005E53FD">
      <w:pPr>
        <w:keepNext/>
        <w:ind w:firstLine="284"/>
        <w:jc w:val="both"/>
      </w:pPr>
      <w:r>
        <w:t xml:space="preserve">Nakonec můžeme též porovnat </w:t>
      </w:r>
      <w:r w:rsidRPr="0005743C">
        <w:rPr>
          <w:b/>
        </w:rPr>
        <w:t>podíl studentů distančního a kombinovaného studia</w:t>
      </w:r>
      <w:r w:rsidRPr="00CD4889">
        <w:t xml:space="preserve"> v jednotlivých skupinách oborů </w:t>
      </w:r>
      <w:r>
        <w:t>vzdělání. Jak je patrné, více než třetina studentů skupin oborů Služeb a Vzdělávání a výchova se v roce 2020 účastnila vzdělávání (zcela či mimo jiné) distanční či kombinovanou formou (studenti mohou být zapsaní ve více oborech vzdělávání). Čtvrtinový až pětinový podíl takových studentů zaznamenaly též skupiny oborů Obchod, administrativa a právo, S</w:t>
      </w:r>
      <w:r w:rsidRPr="00F62793">
        <w:t>polečenské vědy, žurnalistika a informační vědy</w:t>
      </w:r>
      <w:r>
        <w:t>, Z</w:t>
      </w:r>
      <w:r w:rsidRPr="00F62793">
        <w:t>emědělství, lesnictví, rybářství a veterinářství</w:t>
      </w:r>
      <w:r>
        <w:t xml:space="preserve"> a Zdravotní a sociální</w:t>
      </w:r>
      <w:r w:rsidRPr="00F34F68">
        <w:t xml:space="preserve"> </w:t>
      </w:r>
      <w:r>
        <w:t>péče, péče o příznivé životní</w:t>
      </w:r>
      <w:r w:rsidRPr="00F34F68">
        <w:t xml:space="preserve"> podmínky</w:t>
      </w:r>
      <w:r w:rsidRPr="00F62793">
        <w:t xml:space="preserve"> (24,4 % až 20,1 %).</w:t>
      </w:r>
      <w:r>
        <w:t xml:space="preserve"> </w:t>
      </w:r>
    </w:p>
    <w:p w:rsidR="005E53FD" w:rsidRDefault="005E53FD" w:rsidP="005E53FD">
      <w:pPr>
        <w:keepNext/>
        <w:ind w:firstLine="284"/>
        <w:jc w:val="both"/>
      </w:pPr>
      <w:r>
        <w:t>Mezi lety 2001 a 2020 zaznamenaly skupiny oborů zpravidla nárůst podílu studentů jinou než denní formou, ovšem s výjimkou skupiny oborů Přírodní vědy, matematika a statistika (mezi lety 2001 a 2020 se celkem snížil o 6,2 procentního bodu), skupiny oborů Společenské vědy, žurnalistika a informační vědy (po roce 2001 zaznamenal sice růst, avšak mezi lety 2010 a 2020 se snížil cca o třetinu) a skupiny oborů Umění a humanitní vědy (také zaznamenal po roce 2001 růst, přestože méně výrazný, avšak mezi lety 2010 a 2020 se snížil o 3,3</w:t>
      </w:r>
      <w:r w:rsidRPr="00E018BA">
        <w:t xml:space="preserve"> </w:t>
      </w:r>
      <w:r w:rsidRPr="00E018BA">
        <w:lastRenderedPageBreak/>
        <w:t>procentního bodu</w:t>
      </w:r>
      <w:r>
        <w:t xml:space="preserve">). Zároveň je možné konstatovat, že s výjimkou skupiny oborů Služeb došlo ve všech skupinách oborů mezi lety 2010 a 2020 ke snížení podílu  </w:t>
      </w:r>
      <w:r w:rsidRPr="00B82B41">
        <w:t>studentů v distančním a kombinovaném studiu</w:t>
      </w:r>
      <w:r>
        <w:t xml:space="preserve">. K růstu podílu těchto studentů docházelo tedy zejména v první dekádě 21. století </w:t>
      </w:r>
      <w:r w:rsidRPr="00B82B41">
        <w:t xml:space="preserve"> </w:t>
      </w:r>
      <w:r>
        <w:t>– viz tabulku č. 7.</w:t>
      </w:r>
    </w:p>
    <w:p w:rsidR="005E53FD" w:rsidRPr="00CD4889" w:rsidRDefault="005E53FD" w:rsidP="005E53FD">
      <w:pPr>
        <w:keepNext/>
        <w:spacing w:after="120"/>
        <w:jc w:val="both"/>
        <w:rPr>
          <w:szCs w:val="20"/>
        </w:rPr>
      </w:pPr>
      <w:r>
        <w:rPr>
          <w:b/>
        </w:rPr>
        <w:t>Tabulka č. 7 Studenti VŠ v ČR - podíl studentů v distančním a kombinovaném studiu dle skupin oborů vzdělání (v %)</w:t>
      </w:r>
    </w:p>
    <w:tbl>
      <w:tblPr>
        <w:tblW w:w="9820" w:type="dxa"/>
        <w:tblCellMar>
          <w:left w:w="70" w:type="dxa"/>
          <w:right w:w="70" w:type="dxa"/>
        </w:tblCellMar>
        <w:tblLook w:val="04A0" w:firstRow="1" w:lastRow="0" w:firstColumn="1" w:lastColumn="0" w:noHBand="0" w:noVBand="1"/>
      </w:tblPr>
      <w:tblGrid>
        <w:gridCol w:w="4240"/>
        <w:gridCol w:w="620"/>
        <w:gridCol w:w="620"/>
        <w:gridCol w:w="620"/>
        <w:gridCol w:w="620"/>
        <w:gridCol w:w="620"/>
        <w:gridCol w:w="620"/>
        <w:gridCol w:w="620"/>
        <w:gridCol w:w="620"/>
        <w:gridCol w:w="620"/>
      </w:tblGrid>
      <w:tr w:rsidR="005E53FD" w:rsidRPr="00427C3C" w:rsidTr="008B6CE2">
        <w:trPr>
          <w:trHeight w:hRule="exact" w:val="255"/>
        </w:trPr>
        <w:tc>
          <w:tcPr>
            <w:tcW w:w="4240" w:type="dxa"/>
            <w:tcBorders>
              <w:top w:val="single" w:sz="4" w:space="0" w:color="auto"/>
              <w:left w:val="single" w:sz="4" w:space="0" w:color="auto"/>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 </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2001</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2005</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2010</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2015</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2016</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2017</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2018</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2019</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rsidR="005E53FD" w:rsidRPr="00427C3C" w:rsidRDefault="005E53FD" w:rsidP="008B6CE2">
            <w:pPr>
              <w:keepNext/>
              <w:spacing w:after="0" w:line="240" w:lineRule="auto"/>
              <w:jc w:val="center"/>
              <w:rPr>
                <w:rFonts w:cs="Arial"/>
                <w:b/>
                <w:bCs/>
                <w:color w:val="FFFFFF"/>
                <w:sz w:val="16"/>
                <w:szCs w:val="16"/>
              </w:rPr>
            </w:pPr>
            <w:r w:rsidRPr="00427C3C">
              <w:rPr>
                <w:rFonts w:cs="Arial"/>
                <w:b/>
                <w:bCs/>
                <w:color w:val="FFFFFF"/>
                <w:sz w:val="16"/>
                <w:szCs w:val="16"/>
              </w:rPr>
              <w:t>2020</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b/>
                <w:color w:val="000000"/>
                <w:sz w:val="16"/>
                <w:szCs w:val="16"/>
              </w:rPr>
            </w:pPr>
            <w:r w:rsidRPr="00427C3C">
              <w:rPr>
                <w:rFonts w:cs="Arial"/>
                <w:b/>
                <w:color w:val="000000"/>
                <w:sz w:val="16"/>
                <w:szCs w:val="16"/>
              </w:rPr>
              <w:t>Studenti celkem</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b/>
                <w:color w:val="000000"/>
                <w:sz w:val="16"/>
                <w:szCs w:val="16"/>
              </w:rPr>
            </w:pPr>
            <w:r w:rsidRPr="00427C3C">
              <w:rPr>
                <w:rFonts w:cs="Arial"/>
                <w:b/>
                <w:color w:val="000000"/>
                <w:sz w:val="16"/>
                <w:szCs w:val="16"/>
              </w:rPr>
              <w:t>18,0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b/>
                <w:color w:val="000000"/>
                <w:sz w:val="16"/>
                <w:szCs w:val="16"/>
              </w:rPr>
            </w:pPr>
            <w:r w:rsidRPr="00427C3C">
              <w:rPr>
                <w:rFonts w:cs="Arial"/>
                <w:b/>
                <w:color w:val="000000"/>
                <w:sz w:val="16"/>
                <w:szCs w:val="16"/>
              </w:rPr>
              <w:t>23,7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b/>
                <w:color w:val="000000"/>
                <w:sz w:val="16"/>
                <w:szCs w:val="16"/>
              </w:rPr>
            </w:pPr>
            <w:r w:rsidRPr="00427C3C">
              <w:rPr>
                <w:rFonts w:cs="Arial"/>
                <w:b/>
                <w:color w:val="000000"/>
                <w:sz w:val="16"/>
                <w:szCs w:val="16"/>
              </w:rPr>
              <w:t>29,5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b/>
                <w:color w:val="000000"/>
                <w:sz w:val="16"/>
                <w:szCs w:val="16"/>
              </w:rPr>
            </w:pPr>
            <w:r w:rsidRPr="00427C3C">
              <w:rPr>
                <w:rFonts w:cs="Arial"/>
                <w:b/>
                <w:color w:val="000000"/>
                <w:sz w:val="16"/>
                <w:szCs w:val="16"/>
              </w:rPr>
              <w:t>24,4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b/>
                <w:color w:val="000000"/>
                <w:sz w:val="16"/>
                <w:szCs w:val="16"/>
              </w:rPr>
            </w:pPr>
            <w:r w:rsidRPr="00427C3C">
              <w:rPr>
                <w:rFonts w:cs="Arial"/>
                <w:b/>
                <w:color w:val="000000"/>
                <w:sz w:val="16"/>
                <w:szCs w:val="16"/>
              </w:rPr>
              <w:t>24,7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b/>
                <w:color w:val="000000"/>
                <w:sz w:val="16"/>
                <w:szCs w:val="16"/>
              </w:rPr>
            </w:pPr>
            <w:r w:rsidRPr="00427C3C">
              <w:rPr>
                <w:rFonts w:cs="Arial"/>
                <w:b/>
                <w:color w:val="000000"/>
                <w:sz w:val="16"/>
                <w:szCs w:val="16"/>
              </w:rPr>
              <w:t>24,6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b/>
                <w:color w:val="000000"/>
                <w:sz w:val="16"/>
                <w:szCs w:val="16"/>
              </w:rPr>
            </w:pPr>
            <w:r w:rsidRPr="00427C3C">
              <w:rPr>
                <w:rFonts w:cs="Arial"/>
                <w:b/>
                <w:color w:val="000000"/>
                <w:sz w:val="16"/>
                <w:szCs w:val="16"/>
              </w:rPr>
              <w:t>23,9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b/>
                <w:color w:val="000000"/>
                <w:sz w:val="16"/>
                <w:szCs w:val="16"/>
              </w:rPr>
            </w:pPr>
            <w:r w:rsidRPr="00427C3C">
              <w:rPr>
                <w:rFonts w:cs="Arial"/>
                <w:b/>
                <w:color w:val="000000"/>
                <w:sz w:val="16"/>
                <w:szCs w:val="16"/>
              </w:rPr>
              <w:t>22,8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b/>
                <w:color w:val="000000"/>
                <w:sz w:val="16"/>
                <w:szCs w:val="16"/>
              </w:rPr>
            </w:pPr>
            <w:r w:rsidRPr="00427C3C">
              <w:rPr>
                <w:rFonts w:cs="Arial"/>
                <w:b/>
                <w:color w:val="000000"/>
                <w:sz w:val="16"/>
                <w:szCs w:val="16"/>
              </w:rPr>
              <w:t>22,0</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color w:val="000000"/>
                <w:sz w:val="16"/>
                <w:szCs w:val="16"/>
              </w:rPr>
            </w:pPr>
            <w:r w:rsidRPr="00427C3C">
              <w:rPr>
                <w:rFonts w:cs="Arial"/>
                <w:color w:val="000000"/>
                <w:sz w:val="16"/>
                <w:szCs w:val="16"/>
              </w:rPr>
              <w:t>Služby</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30,4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34,6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33,4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32,1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33,9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34,4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33,5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32,1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36,1</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color w:val="000000"/>
                <w:sz w:val="16"/>
                <w:szCs w:val="16"/>
              </w:rPr>
            </w:pPr>
            <w:r w:rsidRPr="00427C3C">
              <w:rPr>
                <w:rFonts w:cs="Arial"/>
                <w:color w:val="000000"/>
                <w:sz w:val="16"/>
                <w:szCs w:val="16"/>
              </w:rPr>
              <w:t xml:space="preserve">Vzdělávání a výchova </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25,5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34,5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45,9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40,3</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40,0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40,3</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40,1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38,1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35,6</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color w:val="000000"/>
                <w:sz w:val="16"/>
                <w:szCs w:val="16"/>
              </w:rPr>
            </w:pPr>
            <w:r w:rsidRPr="00427C3C">
              <w:rPr>
                <w:rFonts w:cs="Arial"/>
                <w:color w:val="000000"/>
                <w:sz w:val="16"/>
                <w:szCs w:val="16"/>
              </w:rPr>
              <w:t>Obchod, administrativa a právo</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17,1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28,4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35,1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27,8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28,0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27,7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27,4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26,4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24,4</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color w:val="000000"/>
                <w:sz w:val="16"/>
                <w:szCs w:val="16"/>
              </w:rPr>
            </w:pPr>
            <w:r w:rsidRPr="00427C3C">
              <w:rPr>
                <w:rFonts w:cs="Arial"/>
                <w:color w:val="000000"/>
                <w:sz w:val="16"/>
                <w:szCs w:val="16"/>
              </w:rPr>
              <w:t>Společenské vědy, žurnalistika a informační vědy</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24,4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29,7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36,3</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28,1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28,9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28,9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27,5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25,7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23,1</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color w:val="000000"/>
                <w:sz w:val="16"/>
                <w:szCs w:val="16"/>
              </w:rPr>
            </w:pPr>
            <w:r w:rsidRPr="00427C3C">
              <w:rPr>
                <w:rFonts w:cs="Arial"/>
                <w:color w:val="000000"/>
                <w:sz w:val="16"/>
                <w:szCs w:val="16"/>
              </w:rPr>
              <w:t>Zemědělství, lesnictví, rybářství a veterinářství</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16,1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18,9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25,3</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21,4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22,4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22,1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21,5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21,5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22,5</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color w:val="000000"/>
                <w:sz w:val="16"/>
                <w:szCs w:val="16"/>
              </w:rPr>
            </w:pPr>
            <w:r w:rsidRPr="00427C3C">
              <w:rPr>
                <w:rFonts w:cs="Arial"/>
                <w:color w:val="000000"/>
                <w:sz w:val="16"/>
                <w:szCs w:val="16"/>
              </w:rPr>
              <w:t>Zdrav. a soc. péče, péče o příznivé životní podmínky</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18,4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19,0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24,9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20,7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20,5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20,8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20,3</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20,4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20,1</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color w:val="000000"/>
                <w:sz w:val="16"/>
                <w:szCs w:val="16"/>
              </w:rPr>
            </w:pPr>
            <w:r w:rsidRPr="00427C3C">
              <w:rPr>
                <w:rFonts w:cs="Arial"/>
                <w:color w:val="000000"/>
                <w:sz w:val="16"/>
                <w:szCs w:val="16"/>
              </w:rPr>
              <w:t>Technika, výroba a stavebnictví</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12,2</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16,7</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21,2</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21,1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21,6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21,6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21,0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18,9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17,1</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color w:val="000000"/>
                <w:sz w:val="16"/>
                <w:szCs w:val="16"/>
              </w:rPr>
            </w:pPr>
            <w:r w:rsidRPr="00427C3C">
              <w:rPr>
                <w:rFonts w:cs="Arial"/>
                <w:color w:val="000000"/>
                <w:sz w:val="16"/>
                <w:szCs w:val="16"/>
              </w:rPr>
              <w:t xml:space="preserve">Umění a humanitní vědy </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16,5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16,9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18,5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16,9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16,8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16,6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16,0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15,0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15,2</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rPr>
                <w:rFonts w:cs="Arial"/>
                <w:color w:val="000000"/>
                <w:sz w:val="16"/>
                <w:szCs w:val="16"/>
              </w:rPr>
            </w:pPr>
            <w:r w:rsidRPr="00427C3C">
              <w:rPr>
                <w:rFonts w:cs="Arial"/>
                <w:color w:val="000000"/>
                <w:sz w:val="16"/>
                <w:szCs w:val="16"/>
              </w:rPr>
              <w:t>Informační a komunikační technologie (ICT)</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8,4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13,8</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17,9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14,0</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14,1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13,9</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13,2</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12,6</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keepNext/>
              <w:spacing w:after="0" w:line="240" w:lineRule="auto"/>
              <w:jc w:val="right"/>
              <w:rPr>
                <w:rFonts w:cs="Arial"/>
                <w:color w:val="000000"/>
                <w:sz w:val="16"/>
                <w:szCs w:val="16"/>
              </w:rPr>
            </w:pPr>
            <w:r w:rsidRPr="00427C3C">
              <w:rPr>
                <w:rFonts w:cs="Arial"/>
                <w:color w:val="000000"/>
                <w:sz w:val="16"/>
                <w:szCs w:val="16"/>
              </w:rPr>
              <w:t>12,6</w:t>
            </w:r>
          </w:p>
        </w:tc>
      </w:tr>
      <w:tr w:rsidR="005E53FD" w:rsidRPr="00427C3C" w:rsidTr="008B6CE2">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rPr>
                <w:rFonts w:cs="Arial"/>
                <w:color w:val="000000"/>
                <w:sz w:val="16"/>
                <w:szCs w:val="16"/>
              </w:rPr>
            </w:pPr>
            <w:r w:rsidRPr="00427C3C">
              <w:rPr>
                <w:rFonts w:cs="Arial"/>
                <w:color w:val="000000"/>
                <w:sz w:val="16"/>
                <w:szCs w:val="16"/>
              </w:rPr>
              <w:t>Přírodní vědy, matematika a statistika</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jc w:val="right"/>
              <w:rPr>
                <w:rFonts w:cs="Arial"/>
                <w:color w:val="000000"/>
                <w:sz w:val="16"/>
                <w:szCs w:val="16"/>
              </w:rPr>
            </w:pPr>
            <w:r w:rsidRPr="00427C3C">
              <w:rPr>
                <w:rFonts w:cs="Arial"/>
                <w:color w:val="000000"/>
                <w:sz w:val="16"/>
                <w:szCs w:val="16"/>
              </w:rPr>
              <w:t>15,5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jc w:val="right"/>
              <w:rPr>
                <w:rFonts w:cs="Arial"/>
                <w:color w:val="000000"/>
                <w:sz w:val="16"/>
                <w:szCs w:val="16"/>
              </w:rPr>
            </w:pPr>
            <w:r w:rsidRPr="00427C3C">
              <w:rPr>
                <w:rFonts w:cs="Arial"/>
                <w:color w:val="000000"/>
                <w:sz w:val="16"/>
                <w:szCs w:val="16"/>
              </w:rPr>
              <w:t>14,1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jc w:val="right"/>
              <w:rPr>
                <w:rFonts w:cs="Arial"/>
                <w:color w:val="000000"/>
                <w:sz w:val="16"/>
                <w:szCs w:val="16"/>
              </w:rPr>
            </w:pPr>
            <w:r w:rsidRPr="00427C3C">
              <w:rPr>
                <w:rFonts w:cs="Arial"/>
                <w:color w:val="000000"/>
                <w:sz w:val="16"/>
                <w:szCs w:val="16"/>
              </w:rPr>
              <w:t>12,4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jc w:val="right"/>
              <w:rPr>
                <w:rFonts w:cs="Arial"/>
                <w:color w:val="000000"/>
                <w:sz w:val="16"/>
                <w:szCs w:val="16"/>
              </w:rPr>
            </w:pPr>
            <w:r w:rsidRPr="00427C3C">
              <w:rPr>
                <w:rFonts w:cs="Arial"/>
                <w:color w:val="000000"/>
                <w:sz w:val="16"/>
                <w:szCs w:val="16"/>
              </w:rPr>
              <w:t>10,3</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jc w:val="right"/>
              <w:rPr>
                <w:rFonts w:cs="Arial"/>
                <w:color w:val="000000"/>
                <w:sz w:val="16"/>
                <w:szCs w:val="16"/>
              </w:rPr>
            </w:pPr>
            <w:r w:rsidRPr="00427C3C">
              <w:rPr>
                <w:rFonts w:cs="Arial"/>
                <w:color w:val="000000"/>
                <w:sz w:val="16"/>
                <w:szCs w:val="16"/>
              </w:rPr>
              <w:t>10,5</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jc w:val="right"/>
              <w:rPr>
                <w:rFonts w:cs="Arial"/>
                <w:color w:val="000000"/>
                <w:sz w:val="16"/>
                <w:szCs w:val="16"/>
              </w:rPr>
            </w:pPr>
            <w:r w:rsidRPr="00427C3C">
              <w:rPr>
                <w:rFonts w:cs="Arial"/>
                <w:color w:val="000000"/>
                <w:sz w:val="16"/>
                <w:szCs w:val="16"/>
              </w:rPr>
              <w:t>10,4</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jc w:val="right"/>
              <w:rPr>
                <w:rFonts w:cs="Arial"/>
                <w:color w:val="000000"/>
                <w:sz w:val="16"/>
                <w:szCs w:val="16"/>
              </w:rPr>
            </w:pPr>
            <w:r w:rsidRPr="00427C3C">
              <w:rPr>
                <w:rFonts w:cs="Arial"/>
                <w:color w:val="000000"/>
                <w:sz w:val="16"/>
                <w:szCs w:val="16"/>
              </w:rPr>
              <w:t>9,1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jc w:val="right"/>
              <w:rPr>
                <w:rFonts w:cs="Arial"/>
                <w:color w:val="000000"/>
                <w:sz w:val="16"/>
                <w:szCs w:val="16"/>
              </w:rPr>
            </w:pPr>
            <w:r w:rsidRPr="00427C3C">
              <w:rPr>
                <w:rFonts w:cs="Arial"/>
                <w:color w:val="000000"/>
                <w:sz w:val="16"/>
                <w:szCs w:val="16"/>
              </w:rPr>
              <w:t>9,1</w:t>
            </w:r>
          </w:p>
        </w:tc>
        <w:tc>
          <w:tcPr>
            <w:tcW w:w="620" w:type="dxa"/>
            <w:tcBorders>
              <w:top w:val="nil"/>
              <w:left w:val="nil"/>
              <w:bottom w:val="single" w:sz="4" w:space="0" w:color="auto"/>
              <w:right w:val="single" w:sz="4" w:space="0" w:color="auto"/>
            </w:tcBorders>
            <w:shd w:val="clear" w:color="auto" w:fill="auto"/>
            <w:noWrap/>
            <w:vAlign w:val="center"/>
            <w:hideMark/>
          </w:tcPr>
          <w:p w:rsidR="005E53FD" w:rsidRPr="00427C3C" w:rsidRDefault="005E53FD" w:rsidP="008B6CE2">
            <w:pPr>
              <w:spacing w:after="0" w:line="240" w:lineRule="auto"/>
              <w:jc w:val="right"/>
              <w:rPr>
                <w:rFonts w:cs="Arial"/>
                <w:color w:val="000000"/>
                <w:sz w:val="16"/>
                <w:szCs w:val="16"/>
              </w:rPr>
            </w:pPr>
            <w:r w:rsidRPr="00427C3C">
              <w:rPr>
                <w:rFonts w:cs="Arial"/>
                <w:color w:val="000000"/>
                <w:sz w:val="16"/>
                <w:szCs w:val="16"/>
              </w:rPr>
              <w:t>9,3</w:t>
            </w:r>
          </w:p>
        </w:tc>
      </w:tr>
    </w:tbl>
    <w:p w:rsidR="005E53FD" w:rsidRPr="00603134" w:rsidRDefault="005E53FD" w:rsidP="005E53FD">
      <w:pPr>
        <w:keepNext/>
        <w:spacing w:before="120"/>
        <w:jc w:val="right"/>
        <w:rPr>
          <w:sz w:val="18"/>
          <w:szCs w:val="18"/>
        </w:rPr>
      </w:pPr>
      <w:r w:rsidRPr="00603134">
        <w:rPr>
          <w:sz w:val="18"/>
          <w:szCs w:val="18"/>
        </w:rPr>
        <w:t>Zdroj dat: MŠMT</w:t>
      </w:r>
    </w:p>
    <w:p w:rsidR="005E53FD" w:rsidRPr="00695CB6" w:rsidRDefault="005E53FD" w:rsidP="005E53FD">
      <w:pPr>
        <w:pStyle w:val="Nadpis3"/>
        <w:rPr>
          <w:sz w:val="22"/>
          <w:szCs w:val="22"/>
        </w:rPr>
      </w:pPr>
    </w:p>
    <w:p w:rsidR="005E53FD" w:rsidRPr="00160265" w:rsidRDefault="005E53FD" w:rsidP="005E53FD">
      <w:pPr>
        <w:pStyle w:val="Nadpis2"/>
      </w:pPr>
      <w:bookmarkStart w:id="5" w:name="_Toc71535743"/>
      <w:r w:rsidRPr="00160265">
        <w:t>Studenti dle kraje trvalého bydliště</w:t>
      </w:r>
      <w:bookmarkEnd w:id="5"/>
    </w:p>
    <w:p w:rsidR="005E53FD" w:rsidRDefault="005E53FD" w:rsidP="005E53FD">
      <w:pPr>
        <w:spacing w:after="0"/>
      </w:pPr>
    </w:p>
    <w:p w:rsidR="005E53FD" w:rsidRDefault="005E53FD" w:rsidP="005E53FD">
      <w:pPr>
        <w:spacing w:after="120"/>
        <w:ind w:firstLine="284"/>
        <w:jc w:val="both"/>
      </w:pPr>
      <w:r w:rsidRPr="00C17D0E">
        <w:t xml:space="preserve">Podíváme-li se na členění studentů </w:t>
      </w:r>
      <w:r w:rsidRPr="00C17D0E">
        <w:rPr>
          <w:b/>
        </w:rPr>
        <w:t>dle kraje trvalého bydliště</w:t>
      </w:r>
      <w:r w:rsidRPr="00C17D0E">
        <w:t>, nejvyšší počet studentů veřejných a soukromých vysokých šk</w:t>
      </w:r>
      <w:r>
        <w:t>ol v ČR pocházel v roce 2020 z h</w:t>
      </w:r>
      <w:r w:rsidRPr="00C17D0E">
        <w:t>lavního města Prahy (35,6 tisíce), z kraje Středočeského (31,3 tisíce), Moravskoslezského (30,8 tisíc) a Jihomoravského (28,2 tisíce). V ostatních krajích již činil méně než 20 tisíc osob, nejméně v kraji Karlovarském (5,1 tisíce). Je nutné si uvědomit, že jednotlivé kraje se liší svou lidnatostí</w:t>
      </w:r>
      <w:r>
        <w:t>, jakož i věkovou strukturou</w:t>
      </w:r>
      <w:r w:rsidRPr="00C17D0E">
        <w:t>.</w:t>
      </w:r>
      <w:r>
        <w:t xml:space="preserve"> Podíváme-li se tedy na podíl studentů ve věku 20-29 let, tj. ve věku obvyklém pro studium VŠ, ze všech obyvatel daného kraje ve věku 20-29 let, pak nejvyšší hodnoty dosáhl kraj Moravskoslezský (20,8 %), dále Plzeňský (19,5 %) a Jihomoravský (19,3 %); nejmenšího naopak kraj Ústecký (12,9 %) a Liberecký (13,2 %)</w:t>
      </w:r>
      <w:r w:rsidRPr="006A3E2C">
        <w:t xml:space="preserve">. </w:t>
      </w:r>
      <w:r>
        <w:t xml:space="preserve">V Praze tento podíl činil 17,7 %. Je však nutné poznamenat, že mezi studenty s trvalým bydlištěm v tomto kraji byl v roce 2020 ze všech krajů nejvyšší podíl studujících ve věku 30 let a více (28,2 %). Naopak mezi studenty bydlícími na Vysočině je studium ve vyšším věku než ve 29 letech nejméně obvyklé (18,9 %). </w:t>
      </w:r>
      <w:r w:rsidRPr="006A3E2C">
        <w:t>Více viz graf č. 7.</w:t>
      </w:r>
    </w:p>
    <w:p w:rsidR="005E53FD" w:rsidRPr="00616301" w:rsidRDefault="005E53FD" w:rsidP="005E53FD">
      <w:pPr>
        <w:keepNext/>
        <w:spacing w:after="120"/>
        <w:jc w:val="both"/>
        <w:rPr>
          <w:b/>
        </w:rPr>
      </w:pPr>
      <w:r>
        <w:rPr>
          <w:b/>
        </w:rPr>
        <w:t xml:space="preserve">Graf č. 7 Studenti VŠ v ČR dle kraje - počet studentů dle trvalého bydliště a věku; podíl studentů ve věku 20-29 let ze všech obyvatel této věkové skupiny (2020)  </w:t>
      </w:r>
    </w:p>
    <w:p w:rsidR="005E53FD" w:rsidRDefault="005E53FD" w:rsidP="005E53FD">
      <w:pPr>
        <w:spacing w:after="120"/>
        <w:jc w:val="both"/>
      </w:pPr>
      <w:r>
        <w:rPr>
          <w:noProof/>
        </w:rPr>
        <w:drawing>
          <wp:inline distT="0" distB="0" distL="0" distR="0" wp14:anchorId="6416EB36" wp14:editId="5E4A5EB1">
            <wp:extent cx="6076950" cy="2333625"/>
            <wp:effectExtent l="0" t="0" r="0" b="952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53FD" w:rsidRPr="00603134" w:rsidRDefault="005E53FD" w:rsidP="005E53FD">
      <w:pPr>
        <w:spacing w:after="120"/>
        <w:jc w:val="right"/>
        <w:rPr>
          <w:sz w:val="18"/>
          <w:szCs w:val="18"/>
        </w:rPr>
      </w:pPr>
      <w:r w:rsidRPr="00603134">
        <w:rPr>
          <w:sz w:val="18"/>
          <w:szCs w:val="18"/>
        </w:rPr>
        <w:t>Zdroj dat: MŠMT (data o studentech), ČSÚ (data o populaci)</w:t>
      </w:r>
    </w:p>
    <w:p w:rsidR="005E53FD" w:rsidRDefault="005E53FD" w:rsidP="005E53FD">
      <w:pPr>
        <w:spacing w:after="120" w:line="276" w:lineRule="auto"/>
        <w:ind w:firstLine="284"/>
        <w:jc w:val="both"/>
      </w:pPr>
      <w:r>
        <w:lastRenderedPageBreak/>
        <w:t xml:space="preserve">Studenti se mohou vzdělávat v rámci </w:t>
      </w:r>
      <w:r w:rsidRPr="005A1DA6">
        <w:t>více studijních programů</w:t>
      </w:r>
      <w:r>
        <w:t xml:space="preserve">, z nichž nejvýše stojí </w:t>
      </w:r>
      <w:r w:rsidRPr="005A1DA6">
        <w:rPr>
          <w:b/>
        </w:rPr>
        <w:t>doktorský studijní program</w:t>
      </w:r>
      <w:r>
        <w:t>. Graf č. 8 ukazuje vývoj podílu studentů doktorského studijního programu mezi roky 2001, 2010 a 2020 celkem a dle bydliště studentů.  Jak je patrné, nejvýraznější vývoj v čase zaznamenal podíl doktorských studentů ze všech studentů bydlících v zahraničí. Zatímco v roce 2001 činil pouze 3,7 %, v roce 2010 to již bylo 7,9 % a v roce 2020 více než desetina (10,7 %), což je o půl procentního bodu více než u studentů s trvalým bydlištěm v Praze. Ze skupiny studentů bydlících v ČR zaznamenal nadprůměrný podíl doktorských studentů ze všech vysokoškolských studentů v roce 2020 kraj Jihomoravský (8,1 %), Plzeňský (7 %) a Olomoucký (6,9 %). Naopak méně než 5% byl tento podíl v kraji Karlovarském (4,6 %), Ústeckém (4,8 %) a na Vysočině (4,9 %). Vzestup podílu doktorských studentů mezi studenty bydlícími v zahraničí  v čase zároveň kontrastuje se situací v jednotlivých krajích v ČR. Ve všech krajích ČR došlo mezi lety 2001 a 2020 do jisté míry naopak ke snížení tohoto podílu, zejména v kraji Královéhradeckém, a to bezmála o třetinu (tj. o 30,4 %).</w:t>
      </w:r>
    </w:p>
    <w:p w:rsidR="005E53FD" w:rsidRDefault="005E53FD" w:rsidP="005E53FD">
      <w:pPr>
        <w:keepNext/>
        <w:spacing w:after="120"/>
        <w:jc w:val="both"/>
        <w:rPr>
          <w:b/>
        </w:rPr>
      </w:pPr>
      <w:r w:rsidRPr="0064659B">
        <w:rPr>
          <w:b/>
        </w:rPr>
        <w:t xml:space="preserve">Graf č. 8 </w:t>
      </w:r>
      <w:r>
        <w:rPr>
          <w:b/>
        </w:rPr>
        <w:t>Studenti VŠ v ČR - p</w:t>
      </w:r>
      <w:r w:rsidRPr="0064659B">
        <w:rPr>
          <w:b/>
        </w:rPr>
        <w:t xml:space="preserve">odíl studentů doktorského studia </w:t>
      </w:r>
      <w:r>
        <w:rPr>
          <w:b/>
        </w:rPr>
        <w:t>dle bydliště studenta</w:t>
      </w:r>
      <w:r w:rsidRPr="0064659B">
        <w:rPr>
          <w:b/>
        </w:rPr>
        <w:t xml:space="preserve"> (2001, 2010, 2020)</w:t>
      </w:r>
    </w:p>
    <w:p w:rsidR="005E53FD" w:rsidRDefault="005E53FD" w:rsidP="005E53FD">
      <w:pPr>
        <w:keepNext/>
        <w:spacing w:after="120"/>
        <w:jc w:val="both"/>
        <w:rPr>
          <w:b/>
          <w:color w:val="FF0000"/>
        </w:rPr>
      </w:pPr>
      <w:r>
        <w:rPr>
          <w:noProof/>
        </w:rPr>
        <w:drawing>
          <wp:inline distT="0" distB="0" distL="0" distR="0" wp14:anchorId="661F919A" wp14:editId="6421B0F6">
            <wp:extent cx="6120130" cy="2676525"/>
            <wp:effectExtent l="0" t="0" r="1397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b/>
        </w:rPr>
        <w:t xml:space="preserve"> </w:t>
      </w:r>
    </w:p>
    <w:p w:rsidR="005E53FD" w:rsidRPr="00603134" w:rsidRDefault="005E53FD" w:rsidP="005E53FD">
      <w:pPr>
        <w:spacing w:line="276" w:lineRule="auto"/>
        <w:jc w:val="right"/>
        <w:rPr>
          <w:sz w:val="18"/>
          <w:szCs w:val="18"/>
        </w:rPr>
      </w:pPr>
      <w:r w:rsidRPr="00603134">
        <w:rPr>
          <w:sz w:val="18"/>
          <w:szCs w:val="18"/>
        </w:rPr>
        <w:t>Zdroj dat: MŠMT</w:t>
      </w:r>
    </w:p>
    <w:p w:rsidR="005E53FD" w:rsidRDefault="005E53FD" w:rsidP="005E53FD">
      <w:pPr>
        <w:spacing w:after="120" w:line="276" w:lineRule="auto"/>
        <w:jc w:val="both"/>
      </w:pPr>
      <w:r>
        <w:t xml:space="preserve">Studenti s trvalým bydlištěm v různých krajích či bydlící v zahraničí se mezi sebou mohou též lišit ve </w:t>
      </w:r>
      <w:r w:rsidRPr="008379B8">
        <w:rPr>
          <w:b/>
        </w:rPr>
        <w:t>výběru oborů studia</w:t>
      </w:r>
      <w:r>
        <w:t xml:space="preserve">. Zde lze poznamenat, že studenti </w:t>
      </w:r>
      <w:r w:rsidRPr="000B460D">
        <w:rPr>
          <w:b/>
          <w:i/>
        </w:rPr>
        <w:t>z Prahy</w:t>
      </w:r>
      <w:r>
        <w:t xml:space="preserve"> zaznamenali ze všech krajů největší zájem o obory ze skupiny oborů </w:t>
      </w:r>
      <w:r w:rsidRPr="000B460D">
        <w:t xml:space="preserve">Umění a humanitní vědy (v roce 2020 je studovalo 12,9 % studentů </w:t>
      </w:r>
      <w:r>
        <w:t>vysokých škol s trvalým bydlištěm</w:t>
      </w:r>
      <w:r w:rsidRPr="000B460D">
        <w:t xml:space="preserve"> v Praze), dále ze skupiny oborů Společenské vědy, žurnalistika a informační vědy (13,4 %) a ze skupiny oborů Obchod, administrativa a právo (24,3 %). Studenti s</w:t>
      </w:r>
      <w:r>
        <w:t> trvalým bydlištěm</w:t>
      </w:r>
      <w:r w:rsidRPr="000B460D">
        <w:t xml:space="preserve"> </w:t>
      </w:r>
      <w:r w:rsidRPr="000B460D">
        <w:rPr>
          <w:b/>
          <w:i/>
        </w:rPr>
        <w:t>v Olomouckém a Zlínském kraji</w:t>
      </w:r>
      <w:r w:rsidRPr="000B460D">
        <w:t xml:space="preserve"> si zase ze všech krajů nejčastěji vyb</w:t>
      </w:r>
      <w:r>
        <w:t>í</w:t>
      </w:r>
      <w:r w:rsidRPr="000B460D">
        <w:t>rali obor ze skupiny Vzdělávání a výchova (17,5 %, resp. 17,3 %). Student</w:t>
      </w:r>
      <w:r>
        <w:t>i bydlící ve Zlínském kraji zároveň</w:t>
      </w:r>
      <w:r w:rsidRPr="000B460D">
        <w:t xml:space="preserve"> ze všech</w:t>
      </w:r>
      <w:r>
        <w:t xml:space="preserve"> krajů v největší míře inklinovali</w:t>
      </w:r>
      <w:r w:rsidRPr="000B460D">
        <w:t xml:space="preserve"> k oborům ze skupiny Technika, </w:t>
      </w:r>
      <w:r>
        <w:t xml:space="preserve">výroba a stavebnictví (17,6 %). Studenti bydlící v Olomouckém kraji si zase spolu se studenty </w:t>
      </w:r>
      <w:r w:rsidRPr="005E4E3B">
        <w:rPr>
          <w:b/>
          <w:i/>
        </w:rPr>
        <w:t>na Vysočině a ve Středočeském kraji</w:t>
      </w:r>
      <w:r>
        <w:t xml:space="preserve"> častěji volily obory ze skupiny Služeb (7 %, resp. 7,1 %). </w:t>
      </w:r>
      <w:r w:rsidRPr="000B460D">
        <w:t>Obory ze skupiny oborů Zemědělství, lesnictví, rybářství a veterinářství si zase ze všech krajů nejčastěji vybírali studenti bydlící v </w:t>
      </w:r>
      <w:r w:rsidRPr="000B460D">
        <w:rPr>
          <w:b/>
          <w:i/>
        </w:rPr>
        <w:t>Jihočeském kraji</w:t>
      </w:r>
      <w:r w:rsidRPr="000B460D">
        <w:t xml:space="preserve"> (6 %). Mezi studenty bydlícími </w:t>
      </w:r>
      <w:r w:rsidRPr="000B460D">
        <w:rPr>
          <w:b/>
          <w:i/>
        </w:rPr>
        <w:t>v zahraničí</w:t>
      </w:r>
      <w:r w:rsidRPr="000B460D">
        <w:t xml:space="preserve"> pak byl ze všech krajů nejvyšší podíl studujících </w:t>
      </w:r>
      <w:r>
        <w:t xml:space="preserve">některý z oborů náležejících do skupin </w:t>
      </w:r>
      <w:r w:rsidRPr="000B460D">
        <w:t>P</w:t>
      </w:r>
      <w:r>
        <w:t>řírodní vědy, matematika a statistika</w:t>
      </w:r>
      <w:r w:rsidRPr="000B460D">
        <w:t xml:space="preserve"> (9,4 %), Informační a komunikační technologie (12,8 %) a Zd</w:t>
      </w:r>
      <w:r>
        <w:t>ravotní a sociální péče, péče</w:t>
      </w:r>
      <w:r w:rsidRPr="000B460D">
        <w:t xml:space="preserve"> o příznivé životní podmínky (18,2 %).</w:t>
      </w:r>
    </w:p>
    <w:p w:rsidR="005E53FD" w:rsidRPr="004509BE" w:rsidRDefault="005E53FD" w:rsidP="005E53FD">
      <w:pPr>
        <w:keepNext/>
        <w:spacing w:after="120" w:line="276" w:lineRule="auto"/>
        <w:jc w:val="both"/>
        <w:rPr>
          <w:b/>
        </w:rPr>
      </w:pPr>
      <w:r>
        <w:rPr>
          <w:b/>
        </w:rPr>
        <w:lastRenderedPageBreak/>
        <w:t>Tabulka č. 8</w:t>
      </w:r>
      <w:r w:rsidRPr="004509BE">
        <w:rPr>
          <w:b/>
        </w:rPr>
        <w:t xml:space="preserve"> </w:t>
      </w:r>
      <w:r>
        <w:rPr>
          <w:b/>
        </w:rPr>
        <w:t>Studenti VŠ v ČR - p</w:t>
      </w:r>
      <w:r w:rsidRPr="004509BE">
        <w:rPr>
          <w:b/>
        </w:rPr>
        <w:t xml:space="preserve">rocentuální rozložení studentů </w:t>
      </w:r>
      <w:r>
        <w:rPr>
          <w:b/>
        </w:rPr>
        <w:t>s trvalým bydlištěm</w:t>
      </w:r>
      <w:r w:rsidRPr="004509BE">
        <w:rPr>
          <w:b/>
        </w:rPr>
        <w:t xml:space="preserve"> v jednotlivých krajích a </w:t>
      </w:r>
      <w:r>
        <w:rPr>
          <w:b/>
        </w:rPr>
        <w:t xml:space="preserve">bydlících </w:t>
      </w:r>
      <w:r w:rsidRPr="004509BE">
        <w:rPr>
          <w:b/>
        </w:rPr>
        <w:t>v zahraničí do skupin oborů vzdělávání (v %; 2020)</w:t>
      </w:r>
    </w:p>
    <w:tbl>
      <w:tblPr>
        <w:tblW w:w="8380" w:type="dxa"/>
        <w:tblInd w:w="-5" w:type="dxa"/>
        <w:tblCellMar>
          <w:left w:w="70" w:type="dxa"/>
          <w:right w:w="70" w:type="dxa"/>
        </w:tblCellMar>
        <w:tblLook w:val="04A0" w:firstRow="1" w:lastRow="0" w:firstColumn="1" w:lastColumn="0" w:noHBand="0" w:noVBand="1"/>
      </w:tblPr>
      <w:tblGrid>
        <w:gridCol w:w="2580"/>
        <w:gridCol w:w="580"/>
        <w:gridCol w:w="580"/>
        <w:gridCol w:w="580"/>
        <w:gridCol w:w="580"/>
        <w:gridCol w:w="580"/>
        <w:gridCol w:w="580"/>
        <w:gridCol w:w="580"/>
        <w:gridCol w:w="580"/>
        <w:gridCol w:w="580"/>
        <w:gridCol w:w="580"/>
      </w:tblGrid>
      <w:tr w:rsidR="005E53FD" w:rsidRPr="004509BE" w:rsidTr="008B6CE2">
        <w:trPr>
          <w:trHeight w:val="2730"/>
        </w:trPr>
        <w:tc>
          <w:tcPr>
            <w:tcW w:w="2580" w:type="dxa"/>
            <w:tcBorders>
              <w:top w:val="single" w:sz="4" w:space="0" w:color="auto"/>
              <w:left w:val="single" w:sz="4" w:space="0" w:color="auto"/>
              <w:bottom w:val="single" w:sz="4" w:space="0" w:color="auto"/>
              <w:right w:val="single" w:sz="4" w:space="0" w:color="auto"/>
            </w:tcBorders>
            <w:shd w:val="clear" w:color="000000" w:fill="2A8D9A"/>
            <w:vAlign w:val="center"/>
            <w:hideMark/>
          </w:tcPr>
          <w:p w:rsidR="005E53FD" w:rsidRDefault="005E53FD" w:rsidP="008B6CE2">
            <w:pPr>
              <w:spacing w:after="0" w:line="240" w:lineRule="auto"/>
              <w:jc w:val="center"/>
              <w:rPr>
                <w:rFonts w:cs="Arial"/>
                <w:b/>
                <w:bCs/>
                <w:color w:val="FFFFFF"/>
                <w:sz w:val="18"/>
                <w:szCs w:val="18"/>
              </w:rPr>
            </w:pPr>
            <w:r>
              <w:rPr>
                <w:rFonts w:cs="Arial"/>
                <w:b/>
                <w:bCs/>
                <w:color w:val="FFFFFF"/>
                <w:sz w:val="18"/>
                <w:szCs w:val="18"/>
              </w:rPr>
              <w:t xml:space="preserve">Skupina </w:t>
            </w:r>
            <w:r w:rsidRPr="004509BE">
              <w:rPr>
                <w:rFonts w:cs="Arial"/>
                <w:b/>
                <w:bCs/>
                <w:color w:val="FFFFFF"/>
                <w:sz w:val="18"/>
                <w:szCs w:val="18"/>
              </w:rPr>
              <w:t>obor</w:t>
            </w:r>
            <w:r>
              <w:rPr>
                <w:rFonts w:cs="Arial"/>
                <w:b/>
                <w:bCs/>
                <w:color w:val="FFFFFF"/>
                <w:sz w:val="18"/>
                <w:szCs w:val="18"/>
              </w:rPr>
              <w:t>ů</w:t>
            </w:r>
            <w:r w:rsidRPr="004509BE">
              <w:rPr>
                <w:rFonts w:cs="Arial"/>
                <w:b/>
                <w:bCs/>
                <w:color w:val="FFFFFF"/>
                <w:sz w:val="18"/>
                <w:szCs w:val="18"/>
              </w:rPr>
              <w:t xml:space="preserve"> </w:t>
            </w:r>
          </w:p>
          <w:p w:rsidR="005E53FD" w:rsidRPr="004509BE" w:rsidRDefault="005E53FD" w:rsidP="008B6CE2">
            <w:pPr>
              <w:spacing w:after="0" w:line="240" w:lineRule="auto"/>
              <w:jc w:val="center"/>
              <w:rPr>
                <w:rFonts w:cs="Arial"/>
                <w:b/>
                <w:bCs/>
                <w:color w:val="FFFFFF"/>
                <w:sz w:val="18"/>
                <w:szCs w:val="18"/>
              </w:rPr>
            </w:pPr>
            <w:r>
              <w:rPr>
                <w:rFonts w:cs="Arial"/>
                <w:b/>
                <w:bCs/>
                <w:color w:val="FFFFFF"/>
                <w:sz w:val="18"/>
                <w:szCs w:val="18"/>
              </w:rPr>
              <w:t xml:space="preserve">dle </w:t>
            </w:r>
            <w:r w:rsidRPr="004509BE">
              <w:rPr>
                <w:rFonts w:cs="Arial"/>
                <w:b/>
                <w:bCs/>
                <w:color w:val="FFFFFF"/>
                <w:sz w:val="18"/>
                <w:szCs w:val="18"/>
              </w:rPr>
              <w:t>ISCED</w:t>
            </w:r>
            <w:r>
              <w:rPr>
                <w:rFonts w:cs="Arial"/>
                <w:b/>
                <w:bCs/>
                <w:color w:val="FFFFFF"/>
                <w:sz w:val="18"/>
                <w:szCs w:val="18"/>
              </w:rPr>
              <w:t xml:space="preserve"> F-</w:t>
            </w:r>
            <w:r w:rsidRPr="004509BE">
              <w:rPr>
                <w:rFonts w:cs="Arial"/>
                <w:b/>
                <w:bCs/>
                <w:color w:val="FFFFFF"/>
                <w:sz w:val="18"/>
                <w:szCs w:val="18"/>
              </w:rPr>
              <w:t>2013</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Vzdělávání a výchova</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Umění a humanitní vědy</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Společenské vědy, žurnalistika a informační vědy</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 xml:space="preserve">Obchod, administrativa </w:t>
            </w:r>
          </w:p>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a právo</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Přírodní vědy, matematika a statistika</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Informační a komunikační technologie</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 xml:space="preserve">Technika, výroba </w:t>
            </w:r>
          </w:p>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a stavebnictví</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 xml:space="preserve">Zemědělství, lesnictví, </w:t>
            </w:r>
          </w:p>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rybářství a veterinářství</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Zdravotní a sociální péče, péče o příznivé životní podmínky</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rsidR="005E53FD" w:rsidRPr="004509BE" w:rsidRDefault="005E53FD" w:rsidP="008B6CE2">
            <w:pPr>
              <w:spacing w:after="0" w:line="240" w:lineRule="auto"/>
              <w:rPr>
                <w:rFonts w:cs="Arial"/>
                <w:b/>
                <w:bCs/>
                <w:color w:val="FFFFFF"/>
                <w:sz w:val="18"/>
                <w:szCs w:val="18"/>
              </w:rPr>
            </w:pPr>
            <w:r w:rsidRPr="004509BE">
              <w:rPr>
                <w:rFonts w:cs="Arial"/>
                <w:b/>
                <w:bCs/>
                <w:color w:val="FFFFFF"/>
                <w:sz w:val="18"/>
                <w:szCs w:val="18"/>
              </w:rPr>
              <w:t>Služby</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Celkem</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11,6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20,3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3,9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12,6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5,5</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Hl. m. Praha</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7,7</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12,9</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13,4</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24,3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7,7</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7,1</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9,9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3,8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5,7</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Středočeský kraj</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12,4</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8,9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10,8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22,9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11,6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5,2</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9,1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7,0</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Jihočeský kraj</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8,1</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6,0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22,6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6,5</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4,3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13,7</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6,0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14,8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6,6</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 xml:space="preserve">Plzeňský kraj </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13,4</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8,2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9,4</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21,8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4,6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16,5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3,8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12,8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4,4</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Karlovarský kraj</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8,7</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22,2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8,2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4,9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11,8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3,6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12,4</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6,7</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 xml:space="preserve">Ústecký kraj </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15,3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9,4</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8,0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19,5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8,8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4,8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14,1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3,3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12,0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5,9</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Liberecký kraj</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15,5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8,8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20,9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14,6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3,6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12,0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4,8</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Královéhradecký kraj</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15,3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17,5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12,5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3,9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4,9</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Pardubický kraj</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14,7</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10,2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8,6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17,4</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3,9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12,3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6,8</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Vysočina</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14,5</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7,1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18,5</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5,3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16,3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5,3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7,0</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Jihomoravský kraj</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14,2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10,2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20,1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6,4</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15,6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5,2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10,1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4,7</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Olomoucký kraj</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17,5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10,0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7,8</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16,1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7,0</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5,7</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14,2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2,8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13,1</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7,1</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Zlínský kraj</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17,3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10,1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7,7</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17,4</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5,7</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6,3</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17,6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2,9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10,6</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6,0</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Moravskoslezský kraj</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13,3</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10,9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9,2</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18,5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6,7</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16,0</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1,9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13,1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5,4</w:t>
            </w:r>
          </w:p>
        </w:tc>
      </w:tr>
      <w:tr w:rsidR="005E53FD" w:rsidRPr="004509BE" w:rsidTr="008B6CE2">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rsidR="005E53FD" w:rsidRPr="004509BE" w:rsidRDefault="005E53FD" w:rsidP="008B6CE2">
            <w:pPr>
              <w:spacing w:after="0" w:line="240" w:lineRule="auto"/>
              <w:ind w:firstLineChars="100" w:firstLine="180"/>
              <w:rPr>
                <w:rFonts w:cs="Arial"/>
                <w:b/>
                <w:bCs/>
                <w:sz w:val="18"/>
                <w:szCs w:val="18"/>
              </w:rPr>
            </w:pPr>
            <w:r w:rsidRPr="004509BE">
              <w:rPr>
                <w:rFonts w:cs="Arial"/>
                <w:b/>
                <w:bCs/>
                <w:sz w:val="18"/>
                <w:szCs w:val="18"/>
              </w:rPr>
              <w:t>bydlí v zahraničí</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1,5</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9,1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10,9</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19,9</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9,4</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12,8</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12,1</w:t>
            </w:r>
          </w:p>
        </w:tc>
        <w:tc>
          <w:tcPr>
            <w:tcW w:w="580" w:type="dxa"/>
            <w:tcBorders>
              <w:top w:val="nil"/>
              <w:left w:val="nil"/>
              <w:bottom w:val="single" w:sz="4" w:space="0" w:color="auto"/>
              <w:right w:val="single" w:sz="4" w:space="0" w:color="auto"/>
            </w:tcBorders>
            <w:shd w:val="clear" w:color="auto" w:fill="auto"/>
            <w:noWrap/>
            <w:vAlign w:val="bottom"/>
            <w:hideMark/>
          </w:tcPr>
          <w:p w:rsidR="005E53FD" w:rsidRPr="004509BE" w:rsidRDefault="005E53FD" w:rsidP="008B6CE2">
            <w:pPr>
              <w:spacing w:after="0" w:line="240" w:lineRule="auto"/>
              <w:jc w:val="right"/>
              <w:rPr>
                <w:rFonts w:cs="Arial"/>
                <w:sz w:val="18"/>
                <w:szCs w:val="18"/>
              </w:rPr>
            </w:pPr>
            <w:r w:rsidRPr="004509BE">
              <w:rPr>
                <w:rFonts w:cs="Arial"/>
                <w:sz w:val="18"/>
                <w:szCs w:val="18"/>
              </w:rPr>
              <w:t>3,5</w:t>
            </w:r>
          </w:p>
        </w:tc>
        <w:tc>
          <w:tcPr>
            <w:tcW w:w="580" w:type="dxa"/>
            <w:tcBorders>
              <w:top w:val="nil"/>
              <w:left w:val="nil"/>
              <w:bottom w:val="single" w:sz="4" w:space="0" w:color="auto"/>
              <w:right w:val="single" w:sz="4" w:space="0" w:color="auto"/>
            </w:tcBorders>
            <w:shd w:val="clear" w:color="000000" w:fill="D9D9D9"/>
            <w:noWrap/>
            <w:vAlign w:val="bottom"/>
            <w:hideMark/>
          </w:tcPr>
          <w:p w:rsidR="005E53FD" w:rsidRPr="004509BE" w:rsidRDefault="005E53FD" w:rsidP="008B6CE2">
            <w:pPr>
              <w:spacing w:after="0" w:line="240" w:lineRule="auto"/>
              <w:jc w:val="right"/>
              <w:rPr>
                <w:rFonts w:cs="Arial"/>
                <w:b/>
                <w:bCs/>
                <w:sz w:val="18"/>
                <w:szCs w:val="18"/>
              </w:rPr>
            </w:pPr>
            <w:r w:rsidRPr="004509BE">
              <w:rPr>
                <w:rFonts w:cs="Arial"/>
                <w:b/>
                <w:bCs/>
                <w:sz w:val="18"/>
                <w:szCs w:val="18"/>
              </w:rPr>
              <w:t>18,2</w:t>
            </w:r>
          </w:p>
        </w:tc>
        <w:tc>
          <w:tcPr>
            <w:tcW w:w="580" w:type="dxa"/>
            <w:tcBorders>
              <w:top w:val="nil"/>
              <w:left w:val="nil"/>
              <w:bottom w:val="single" w:sz="4" w:space="0" w:color="auto"/>
              <w:right w:val="single" w:sz="4" w:space="0" w:color="auto"/>
            </w:tcBorders>
            <w:shd w:val="clear" w:color="000000" w:fill="808080"/>
            <w:noWrap/>
            <w:vAlign w:val="bottom"/>
            <w:hideMark/>
          </w:tcPr>
          <w:p w:rsidR="005E53FD" w:rsidRPr="004509BE" w:rsidRDefault="005E53FD" w:rsidP="008B6CE2">
            <w:pPr>
              <w:spacing w:after="0" w:line="240" w:lineRule="auto"/>
              <w:jc w:val="right"/>
              <w:rPr>
                <w:rFonts w:cs="Arial"/>
                <w:color w:val="FFFFFF"/>
                <w:sz w:val="18"/>
                <w:szCs w:val="18"/>
              </w:rPr>
            </w:pPr>
            <w:r w:rsidRPr="004509BE">
              <w:rPr>
                <w:rFonts w:cs="Arial"/>
                <w:color w:val="FFFFFF"/>
                <w:sz w:val="18"/>
                <w:szCs w:val="18"/>
              </w:rPr>
              <w:t>3,2</w:t>
            </w:r>
          </w:p>
        </w:tc>
      </w:tr>
    </w:tbl>
    <w:p w:rsidR="005E53FD" w:rsidRDefault="005E53FD" w:rsidP="005E53FD">
      <w:pPr>
        <w:spacing w:after="0" w:line="240" w:lineRule="auto"/>
        <w:jc w:val="both"/>
        <w:rPr>
          <w:b/>
        </w:rPr>
      </w:pPr>
    </w:p>
    <w:p w:rsidR="005E53FD" w:rsidRPr="00603134" w:rsidRDefault="005E53FD" w:rsidP="005E53FD">
      <w:pPr>
        <w:spacing w:after="120" w:line="240" w:lineRule="auto"/>
        <w:jc w:val="both"/>
        <w:rPr>
          <w:i/>
          <w:sz w:val="18"/>
          <w:szCs w:val="18"/>
        </w:rPr>
      </w:pPr>
      <w:r w:rsidRPr="00603134">
        <w:rPr>
          <w:i/>
          <w:sz w:val="18"/>
          <w:szCs w:val="18"/>
        </w:rPr>
        <w:t>Pozn. Součty procent za jednotlivé řádky nemusejí být rovny 100, neboť jeden student může studovat více oborů, resp. z více skupin oborů. V každém sloupci (tj. za každou skupinu oborů) je vyznačena maximální a minimální hodnota.</w:t>
      </w:r>
    </w:p>
    <w:p w:rsidR="005E53FD" w:rsidRPr="00603134" w:rsidRDefault="005E53FD" w:rsidP="005E53FD">
      <w:pPr>
        <w:spacing w:after="120" w:line="240" w:lineRule="auto"/>
        <w:jc w:val="right"/>
        <w:rPr>
          <w:sz w:val="18"/>
          <w:szCs w:val="18"/>
        </w:rPr>
      </w:pPr>
      <w:r w:rsidRPr="00603134">
        <w:rPr>
          <w:sz w:val="18"/>
          <w:szCs w:val="18"/>
        </w:rPr>
        <w:t>Zdroj dat: MŠMT</w:t>
      </w:r>
    </w:p>
    <w:p w:rsidR="004D19DD" w:rsidRPr="005E53FD" w:rsidRDefault="004D19DD" w:rsidP="005E53FD"/>
    <w:sectPr w:rsidR="004D19DD" w:rsidRPr="005E53FD" w:rsidSect="00A41DEF">
      <w:headerReference w:type="even" r:id="rId18"/>
      <w:headerReference w:type="default" r:id="rId19"/>
      <w:footerReference w:type="even" r:id="rId20"/>
      <w:footerReference w:type="default" r:id="rId21"/>
      <w:pgSz w:w="11906" w:h="16838" w:code="9"/>
      <w:pgMar w:top="1134" w:right="1134" w:bottom="1418" w:left="1134" w:header="680" w:footer="680"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0CA" w:rsidRDefault="009E20CA" w:rsidP="00E71A58">
      <w:r>
        <w:separator/>
      </w:r>
    </w:p>
  </w:endnote>
  <w:endnote w:type="continuationSeparator" w:id="0">
    <w:p w:rsidR="009E20CA" w:rsidRDefault="009E20CA"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1E9" w:rsidRPr="00932443" w:rsidRDefault="00016992" w:rsidP="00A418BC">
    <w:pPr>
      <w:pStyle w:val="Zpat"/>
      <w:rPr>
        <w:szCs w:val="16"/>
      </w:rPr>
    </w:pPr>
    <w:r>
      <w:rPr>
        <w:szCs w:val="16"/>
        <w:lang w:eastAsia="cs-CZ"/>
      </w:rPr>
      <w:drawing>
        <wp:anchor distT="0" distB="0" distL="114300" distR="114300" simplePos="0" relativeHeight="251658752" behindDoc="0" locked="0" layoutInCell="1" allowOverlap="1">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BF" w:rsidRPr="00932443">
      <w:rPr>
        <w:szCs w:val="16"/>
      </w:rPr>
      <w:fldChar w:fldCharType="begin"/>
    </w:r>
    <w:r w:rsidR="005647BF" w:rsidRPr="00932443">
      <w:rPr>
        <w:szCs w:val="16"/>
      </w:rPr>
      <w:instrText>PAGE   \* MERGEFORMAT</w:instrText>
    </w:r>
    <w:r w:rsidR="005647BF" w:rsidRPr="00932443">
      <w:rPr>
        <w:szCs w:val="16"/>
      </w:rPr>
      <w:fldChar w:fldCharType="separate"/>
    </w:r>
    <w:r w:rsidR="00F77929">
      <w:rPr>
        <w:szCs w:val="16"/>
      </w:rPr>
      <w:t>6</w:t>
    </w:r>
    <w:r w:rsidR="005647BF" w:rsidRPr="00932443">
      <w:rPr>
        <w:szCs w:val="16"/>
      </w:rPr>
      <w:fldChar w:fldCharType="end"/>
    </w:r>
    <w:r w:rsidR="005647BF" w:rsidRPr="00932443">
      <w:rPr>
        <w:szCs w:val="16"/>
      </w:rPr>
      <w:tab/>
    </w:r>
    <w:r w:rsidR="005E53FD">
      <w:rPr>
        <w:szCs w:val="16"/>
      </w:rPr>
      <w:t>2001</w:t>
    </w:r>
    <w:r w:rsidR="007105D4">
      <w:rPr>
        <w:szCs w:val="16"/>
      </w:rPr>
      <w:t>–</w:t>
    </w:r>
    <w:r w:rsidR="005E53FD">
      <w:rPr>
        <w:szCs w:val="16"/>
      </w:rPr>
      <w:t>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EC6" w:rsidRPr="00932443" w:rsidRDefault="00016992" w:rsidP="00A418BC">
    <w:pPr>
      <w:pStyle w:val="Zpat"/>
      <w:rPr>
        <w:szCs w:val="16"/>
      </w:rPr>
    </w:pPr>
    <w:r>
      <w:rPr>
        <w:szCs w:val="16"/>
        <w:lang w:eastAsia="cs-CZ"/>
      </w:rPr>
      <w:drawing>
        <wp:anchor distT="0" distB="0" distL="114300" distR="114300" simplePos="0" relativeHeight="251657728" behindDoc="0" locked="0" layoutInCell="1" allowOverlap="1">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BF" w:rsidRPr="00932443">
      <w:rPr>
        <w:szCs w:val="16"/>
      </w:rPr>
      <w:tab/>
    </w:r>
    <w:r w:rsidR="005E53FD">
      <w:rPr>
        <w:szCs w:val="16"/>
      </w:rPr>
      <w:t>2001</w:t>
    </w:r>
    <w:r w:rsidR="007105D4">
      <w:rPr>
        <w:szCs w:val="16"/>
      </w:rPr>
      <w:t>–</w:t>
    </w:r>
    <w:r w:rsidR="005E53FD">
      <w:rPr>
        <w:rStyle w:val="ZpatChar"/>
        <w:szCs w:val="16"/>
      </w:rPr>
      <w:t>2020</w:t>
    </w:r>
    <w:r w:rsidR="005647BF" w:rsidRPr="00932443">
      <w:rPr>
        <w:szCs w:val="16"/>
      </w:rPr>
      <w:tab/>
    </w:r>
    <w:r w:rsidR="005647BF" w:rsidRPr="00932443">
      <w:rPr>
        <w:rStyle w:val="ZpatChar"/>
        <w:szCs w:val="16"/>
      </w:rPr>
      <w:fldChar w:fldCharType="begin"/>
    </w:r>
    <w:r w:rsidR="005647BF" w:rsidRPr="00932443">
      <w:rPr>
        <w:rStyle w:val="ZpatChar"/>
        <w:szCs w:val="16"/>
      </w:rPr>
      <w:instrText>PAGE   \* MERGEFORMAT</w:instrText>
    </w:r>
    <w:r w:rsidR="005647BF" w:rsidRPr="00932443">
      <w:rPr>
        <w:rStyle w:val="ZpatChar"/>
        <w:szCs w:val="16"/>
      </w:rPr>
      <w:fldChar w:fldCharType="separate"/>
    </w:r>
    <w:r w:rsidR="00F77929">
      <w:rPr>
        <w:rStyle w:val="ZpatChar"/>
        <w:szCs w:val="16"/>
      </w:rPr>
      <w:t>15</w:t>
    </w:r>
    <w:r w:rsidR="005647BF"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0CA" w:rsidRDefault="009E20CA" w:rsidP="00E71A58">
      <w:r>
        <w:separator/>
      </w:r>
    </w:p>
  </w:footnote>
  <w:footnote w:type="continuationSeparator" w:id="0">
    <w:p w:rsidR="009E20CA" w:rsidRDefault="009E20CA" w:rsidP="00E71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C74" w:rsidRPr="005E53FD" w:rsidRDefault="005E53FD" w:rsidP="005E53FD">
    <w:pPr>
      <w:pStyle w:val="Zhlav"/>
    </w:pPr>
    <w:r>
      <w:t>Studenti a absolventi vysokoškolského vzdělávání</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52E" w:rsidRPr="005E53FD" w:rsidRDefault="005E53FD" w:rsidP="005E53FD">
    <w:pPr>
      <w:pStyle w:val="Zhlav"/>
    </w:pPr>
    <w:r>
      <w:t>Studenti a absolventi vysokoškolského vzdělávání</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975B3"/>
    <w:multiLevelType w:val="hybridMultilevel"/>
    <w:tmpl w:val="B77CB7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24C3A79"/>
    <w:multiLevelType w:val="hybridMultilevel"/>
    <w:tmpl w:val="B5BC64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8217B8D"/>
    <w:multiLevelType w:val="hybridMultilevel"/>
    <w:tmpl w:val="F23C6E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B0F6CF2"/>
    <w:multiLevelType w:val="multilevel"/>
    <w:tmpl w:val="277C247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6"/>
  </w:num>
  <w:num w:numId="14">
    <w:abstractNumId w:val="11"/>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0CA"/>
    <w:rsid w:val="0000209D"/>
    <w:rsid w:val="00004D5A"/>
    <w:rsid w:val="000056D5"/>
    <w:rsid w:val="0000767A"/>
    <w:rsid w:val="00010702"/>
    <w:rsid w:val="00016992"/>
    <w:rsid w:val="000234D6"/>
    <w:rsid w:val="00023D29"/>
    <w:rsid w:val="00026389"/>
    <w:rsid w:val="00031AE0"/>
    <w:rsid w:val="000322EF"/>
    <w:rsid w:val="00033FCD"/>
    <w:rsid w:val="00041CEC"/>
    <w:rsid w:val="0004694F"/>
    <w:rsid w:val="000522E4"/>
    <w:rsid w:val="000610E1"/>
    <w:rsid w:val="00062EC5"/>
    <w:rsid w:val="00062F22"/>
    <w:rsid w:val="000712B3"/>
    <w:rsid w:val="0008263E"/>
    <w:rsid w:val="00082C19"/>
    <w:rsid w:val="00085395"/>
    <w:rsid w:val="00087634"/>
    <w:rsid w:val="00087F2B"/>
    <w:rsid w:val="000974D1"/>
    <w:rsid w:val="0009799E"/>
    <w:rsid w:val="000A1183"/>
    <w:rsid w:val="000A256D"/>
    <w:rsid w:val="000A3A2C"/>
    <w:rsid w:val="000B30FA"/>
    <w:rsid w:val="000C3408"/>
    <w:rsid w:val="000C6AFD"/>
    <w:rsid w:val="000D5637"/>
    <w:rsid w:val="000E6FBD"/>
    <w:rsid w:val="00100F5C"/>
    <w:rsid w:val="0010437D"/>
    <w:rsid w:val="00104C4C"/>
    <w:rsid w:val="0012192F"/>
    <w:rsid w:val="00125D69"/>
    <w:rsid w:val="001405FA"/>
    <w:rsid w:val="001425C3"/>
    <w:rsid w:val="0016256B"/>
    <w:rsid w:val="00163793"/>
    <w:rsid w:val="001706D6"/>
    <w:rsid w:val="001714F2"/>
    <w:rsid w:val="00184B08"/>
    <w:rsid w:val="00185010"/>
    <w:rsid w:val="001A0F8A"/>
    <w:rsid w:val="001A552F"/>
    <w:rsid w:val="001B2CA9"/>
    <w:rsid w:val="001B3110"/>
    <w:rsid w:val="001B4729"/>
    <w:rsid w:val="001B6C09"/>
    <w:rsid w:val="001C05CD"/>
    <w:rsid w:val="001D68B2"/>
    <w:rsid w:val="001F4597"/>
    <w:rsid w:val="001F4FE9"/>
    <w:rsid w:val="002118B9"/>
    <w:rsid w:val="00217C5B"/>
    <w:rsid w:val="0022139E"/>
    <w:rsid w:val="002252E0"/>
    <w:rsid w:val="002255F6"/>
    <w:rsid w:val="00227850"/>
    <w:rsid w:val="00227A53"/>
    <w:rsid w:val="00230C6E"/>
    <w:rsid w:val="00236443"/>
    <w:rsid w:val="002436BA"/>
    <w:rsid w:val="00244A15"/>
    <w:rsid w:val="00247319"/>
    <w:rsid w:val="0024799E"/>
    <w:rsid w:val="00253C0F"/>
    <w:rsid w:val="00271465"/>
    <w:rsid w:val="00285412"/>
    <w:rsid w:val="002A00BE"/>
    <w:rsid w:val="002A16D4"/>
    <w:rsid w:val="002A230C"/>
    <w:rsid w:val="002C43BD"/>
    <w:rsid w:val="002D0E59"/>
    <w:rsid w:val="002E02A1"/>
    <w:rsid w:val="002E4E4C"/>
    <w:rsid w:val="00304771"/>
    <w:rsid w:val="003052D4"/>
    <w:rsid w:val="00306C5B"/>
    <w:rsid w:val="003209D6"/>
    <w:rsid w:val="00321924"/>
    <w:rsid w:val="0032656E"/>
    <w:rsid w:val="00332190"/>
    <w:rsid w:val="00343CBA"/>
    <w:rsid w:val="00344668"/>
    <w:rsid w:val="003462D9"/>
    <w:rsid w:val="00360C86"/>
    <w:rsid w:val="003657F3"/>
    <w:rsid w:val="003771FE"/>
    <w:rsid w:val="003818DC"/>
    <w:rsid w:val="00384327"/>
    <w:rsid w:val="00385D98"/>
    <w:rsid w:val="003A2B4D"/>
    <w:rsid w:val="003A478C"/>
    <w:rsid w:val="003A5525"/>
    <w:rsid w:val="003A6B38"/>
    <w:rsid w:val="003B5A32"/>
    <w:rsid w:val="003C3490"/>
    <w:rsid w:val="003D5195"/>
    <w:rsid w:val="003D6920"/>
    <w:rsid w:val="003E4C91"/>
    <w:rsid w:val="003F313C"/>
    <w:rsid w:val="003F4B2C"/>
    <w:rsid w:val="003F551C"/>
    <w:rsid w:val="003F7D23"/>
    <w:rsid w:val="00407C13"/>
    <w:rsid w:val="00410638"/>
    <w:rsid w:val="0042716F"/>
    <w:rsid w:val="00432A58"/>
    <w:rsid w:val="00434617"/>
    <w:rsid w:val="00440900"/>
    <w:rsid w:val="004441A0"/>
    <w:rsid w:val="00460FB3"/>
    <w:rsid w:val="00476240"/>
    <w:rsid w:val="00476439"/>
    <w:rsid w:val="0047735C"/>
    <w:rsid w:val="004776BC"/>
    <w:rsid w:val="0048139F"/>
    <w:rsid w:val="00481E40"/>
    <w:rsid w:val="00484ECE"/>
    <w:rsid w:val="004900FF"/>
    <w:rsid w:val="004915CB"/>
    <w:rsid w:val="004924DC"/>
    <w:rsid w:val="004A14E4"/>
    <w:rsid w:val="004A3212"/>
    <w:rsid w:val="004A61C5"/>
    <w:rsid w:val="004A77DF"/>
    <w:rsid w:val="004B1417"/>
    <w:rsid w:val="004B55B7"/>
    <w:rsid w:val="004B6468"/>
    <w:rsid w:val="004C384C"/>
    <w:rsid w:val="004C3867"/>
    <w:rsid w:val="004C4CD0"/>
    <w:rsid w:val="004C70DC"/>
    <w:rsid w:val="004D0211"/>
    <w:rsid w:val="004D0794"/>
    <w:rsid w:val="004D19DD"/>
    <w:rsid w:val="004F06F5"/>
    <w:rsid w:val="004F33A0"/>
    <w:rsid w:val="00500A8A"/>
    <w:rsid w:val="005108C0"/>
    <w:rsid w:val="00511873"/>
    <w:rsid w:val="00512A2F"/>
    <w:rsid w:val="00513B7E"/>
    <w:rsid w:val="00515C74"/>
    <w:rsid w:val="0052007E"/>
    <w:rsid w:val="0052337A"/>
    <w:rsid w:val="00525137"/>
    <w:rsid w:val="005251DD"/>
    <w:rsid w:val="00532CE7"/>
    <w:rsid w:val="0053324C"/>
    <w:rsid w:val="00534A28"/>
    <w:rsid w:val="00541508"/>
    <w:rsid w:val="0055599F"/>
    <w:rsid w:val="00556D68"/>
    <w:rsid w:val="00556E51"/>
    <w:rsid w:val="005647BF"/>
    <w:rsid w:val="0057364B"/>
    <w:rsid w:val="00574773"/>
    <w:rsid w:val="00583FFD"/>
    <w:rsid w:val="005911BE"/>
    <w:rsid w:val="00593152"/>
    <w:rsid w:val="005A10F2"/>
    <w:rsid w:val="005A21E0"/>
    <w:rsid w:val="005A28FF"/>
    <w:rsid w:val="005A3DF8"/>
    <w:rsid w:val="005A5549"/>
    <w:rsid w:val="005B121D"/>
    <w:rsid w:val="005C06ED"/>
    <w:rsid w:val="005D5802"/>
    <w:rsid w:val="005D7890"/>
    <w:rsid w:val="005E53FD"/>
    <w:rsid w:val="005E7C78"/>
    <w:rsid w:val="005F3EB1"/>
    <w:rsid w:val="005F5469"/>
    <w:rsid w:val="00604307"/>
    <w:rsid w:val="0060487F"/>
    <w:rsid w:val="00604EAD"/>
    <w:rsid w:val="006104FB"/>
    <w:rsid w:val="00612A2F"/>
    <w:rsid w:val="00616E05"/>
    <w:rsid w:val="00624093"/>
    <w:rsid w:val="006404A7"/>
    <w:rsid w:val="00643C88"/>
    <w:rsid w:val="006451E4"/>
    <w:rsid w:val="00645B33"/>
    <w:rsid w:val="006516CB"/>
    <w:rsid w:val="00657E87"/>
    <w:rsid w:val="00664803"/>
    <w:rsid w:val="00665BA4"/>
    <w:rsid w:val="00667AF2"/>
    <w:rsid w:val="006710C9"/>
    <w:rsid w:val="00674D89"/>
    <w:rsid w:val="00675E37"/>
    <w:rsid w:val="0068174E"/>
    <w:rsid w:val="00681DCE"/>
    <w:rsid w:val="0068260E"/>
    <w:rsid w:val="00695BEF"/>
    <w:rsid w:val="006977F6"/>
    <w:rsid w:val="00697A13"/>
    <w:rsid w:val="006A109C"/>
    <w:rsid w:val="006B344A"/>
    <w:rsid w:val="006B78D8"/>
    <w:rsid w:val="006C113F"/>
    <w:rsid w:val="006C123E"/>
    <w:rsid w:val="006C56D4"/>
    <w:rsid w:val="006C6924"/>
    <w:rsid w:val="006C7CA6"/>
    <w:rsid w:val="006D3E8A"/>
    <w:rsid w:val="006D5822"/>
    <w:rsid w:val="006D61F6"/>
    <w:rsid w:val="006E279A"/>
    <w:rsid w:val="006E313B"/>
    <w:rsid w:val="006F2056"/>
    <w:rsid w:val="006F5416"/>
    <w:rsid w:val="006F7137"/>
    <w:rsid w:val="00706AD4"/>
    <w:rsid w:val="007105D4"/>
    <w:rsid w:val="007140BE"/>
    <w:rsid w:val="007211F5"/>
    <w:rsid w:val="00725BB5"/>
    <w:rsid w:val="00730AE8"/>
    <w:rsid w:val="00741493"/>
    <w:rsid w:val="00742F44"/>
    <w:rsid w:val="00752180"/>
    <w:rsid w:val="00755202"/>
    <w:rsid w:val="00755D3A"/>
    <w:rsid w:val="007578D3"/>
    <w:rsid w:val="007609C6"/>
    <w:rsid w:val="0076175D"/>
    <w:rsid w:val="0076521E"/>
    <w:rsid w:val="007661E9"/>
    <w:rsid w:val="00776169"/>
    <w:rsid w:val="00776527"/>
    <w:rsid w:val="00780EF1"/>
    <w:rsid w:val="00790764"/>
    <w:rsid w:val="0079453C"/>
    <w:rsid w:val="00794677"/>
    <w:rsid w:val="007B6689"/>
    <w:rsid w:val="007D40DF"/>
    <w:rsid w:val="007E7E61"/>
    <w:rsid w:val="007F0845"/>
    <w:rsid w:val="00807C82"/>
    <w:rsid w:val="00816905"/>
    <w:rsid w:val="00821FF6"/>
    <w:rsid w:val="00825C4D"/>
    <w:rsid w:val="0083143E"/>
    <w:rsid w:val="00831CDE"/>
    <w:rsid w:val="00834304"/>
    <w:rsid w:val="00834FAA"/>
    <w:rsid w:val="00836086"/>
    <w:rsid w:val="0084708F"/>
    <w:rsid w:val="008477C8"/>
    <w:rsid w:val="0085114D"/>
    <w:rsid w:val="00852217"/>
    <w:rsid w:val="00855408"/>
    <w:rsid w:val="00856D65"/>
    <w:rsid w:val="00861B41"/>
    <w:rsid w:val="00863434"/>
    <w:rsid w:val="00865E4C"/>
    <w:rsid w:val="008701E4"/>
    <w:rsid w:val="00875A32"/>
    <w:rsid w:val="00876086"/>
    <w:rsid w:val="008873D4"/>
    <w:rsid w:val="00893E85"/>
    <w:rsid w:val="00894031"/>
    <w:rsid w:val="008B7C02"/>
    <w:rsid w:val="008B7D2B"/>
    <w:rsid w:val="008C0049"/>
    <w:rsid w:val="008C0E88"/>
    <w:rsid w:val="008D1E6A"/>
    <w:rsid w:val="008D2A16"/>
    <w:rsid w:val="008E08BE"/>
    <w:rsid w:val="008E2C57"/>
    <w:rsid w:val="008E31FF"/>
    <w:rsid w:val="008E6F06"/>
    <w:rsid w:val="008F029B"/>
    <w:rsid w:val="008F3FC9"/>
    <w:rsid w:val="008F585B"/>
    <w:rsid w:val="009003A8"/>
    <w:rsid w:val="00902500"/>
    <w:rsid w:val="00902EFF"/>
    <w:rsid w:val="00906401"/>
    <w:rsid w:val="0091155E"/>
    <w:rsid w:val="00912A92"/>
    <w:rsid w:val="0091728D"/>
    <w:rsid w:val="009206DE"/>
    <w:rsid w:val="0092180B"/>
    <w:rsid w:val="00921F14"/>
    <w:rsid w:val="00924AC8"/>
    <w:rsid w:val="0092597A"/>
    <w:rsid w:val="00932443"/>
    <w:rsid w:val="00937AE2"/>
    <w:rsid w:val="0094427A"/>
    <w:rsid w:val="00974923"/>
    <w:rsid w:val="00980D3D"/>
    <w:rsid w:val="00987A30"/>
    <w:rsid w:val="00992CF3"/>
    <w:rsid w:val="009968D6"/>
    <w:rsid w:val="009A1CAB"/>
    <w:rsid w:val="009A60D1"/>
    <w:rsid w:val="009B6FD3"/>
    <w:rsid w:val="009C1750"/>
    <w:rsid w:val="009C2E29"/>
    <w:rsid w:val="009C554B"/>
    <w:rsid w:val="009C719E"/>
    <w:rsid w:val="009D3ACD"/>
    <w:rsid w:val="009E20CA"/>
    <w:rsid w:val="009E5273"/>
    <w:rsid w:val="009E5DDB"/>
    <w:rsid w:val="009F4CA7"/>
    <w:rsid w:val="00A10D66"/>
    <w:rsid w:val="00A14114"/>
    <w:rsid w:val="00A16413"/>
    <w:rsid w:val="00A23E43"/>
    <w:rsid w:val="00A30F65"/>
    <w:rsid w:val="00A418BC"/>
    <w:rsid w:val="00A41DEF"/>
    <w:rsid w:val="00A46DE0"/>
    <w:rsid w:val="00A50D73"/>
    <w:rsid w:val="00A52CAD"/>
    <w:rsid w:val="00A53FC7"/>
    <w:rsid w:val="00A62CE1"/>
    <w:rsid w:val="00A6741E"/>
    <w:rsid w:val="00A75E40"/>
    <w:rsid w:val="00A77D1D"/>
    <w:rsid w:val="00A82ED7"/>
    <w:rsid w:val="00A857C0"/>
    <w:rsid w:val="00AA2996"/>
    <w:rsid w:val="00AA52BF"/>
    <w:rsid w:val="00AA559A"/>
    <w:rsid w:val="00AB2AF1"/>
    <w:rsid w:val="00AD306C"/>
    <w:rsid w:val="00AE09B3"/>
    <w:rsid w:val="00AE1A83"/>
    <w:rsid w:val="00B00913"/>
    <w:rsid w:val="00B01593"/>
    <w:rsid w:val="00B10A4D"/>
    <w:rsid w:val="00B17E71"/>
    <w:rsid w:val="00B17FDE"/>
    <w:rsid w:val="00B2379C"/>
    <w:rsid w:val="00B2687D"/>
    <w:rsid w:val="00B32DDB"/>
    <w:rsid w:val="00B34528"/>
    <w:rsid w:val="00B402FC"/>
    <w:rsid w:val="00B46604"/>
    <w:rsid w:val="00B530CD"/>
    <w:rsid w:val="00B55F5E"/>
    <w:rsid w:val="00B5752E"/>
    <w:rsid w:val="00B63A11"/>
    <w:rsid w:val="00B64C24"/>
    <w:rsid w:val="00B6608F"/>
    <w:rsid w:val="00B679FB"/>
    <w:rsid w:val="00B76D1E"/>
    <w:rsid w:val="00B80EC6"/>
    <w:rsid w:val="00B92D1D"/>
    <w:rsid w:val="00B938C5"/>
    <w:rsid w:val="00B95940"/>
    <w:rsid w:val="00BB46F3"/>
    <w:rsid w:val="00BB4CB1"/>
    <w:rsid w:val="00BB4F98"/>
    <w:rsid w:val="00BC61D5"/>
    <w:rsid w:val="00BC7154"/>
    <w:rsid w:val="00BD366B"/>
    <w:rsid w:val="00BD3C08"/>
    <w:rsid w:val="00BD6D50"/>
    <w:rsid w:val="00BE18B9"/>
    <w:rsid w:val="00BE2495"/>
    <w:rsid w:val="00BF1578"/>
    <w:rsid w:val="00C21F94"/>
    <w:rsid w:val="00C27913"/>
    <w:rsid w:val="00C27ECC"/>
    <w:rsid w:val="00C33B68"/>
    <w:rsid w:val="00C36A79"/>
    <w:rsid w:val="00C405D4"/>
    <w:rsid w:val="00C4513B"/>
    <w:rsid w:val="00C54697"/>
    <w:rsid w:val="00C73885"/>
    <w:rsid w:val="00C747B1"/>
    <w:rsid w:val="00C82191"/>
    <w:rsid w:val="00C90CF4"/>
    <w:rsid w:val="00C92EB6"/>
    <w:rsid w:val="00C93389"/>
    <w:rsid w:val="00CB4930"/>
    <w:rsid w:val="00CB7B12"/>
    <w:rsid w:val="00CC2E7D"/>
    <w:rsid w:val="00CD10A5"/>
    <w:rsid w:val="00CD2076"/>
    <w:rsid w:val="00CE670B"/>
    <w:rsid w:val="00CF51EC"/>
    <w:rsid w:val="00CF73AE"/>
    <w:rsid w:val="00D040DD"/>
    <w:rsid w:val="00D13986"/>
    <w:rsid w:val="00D235B7"/>
    <w:rsid w:val="00D25F28"/>
    <w:rsid w:val="00D27973"/>
    <w:rsid w:val="00D50F46"/>
    <w:rsid w:val="00D66223"/>
    <w:rsid w:val="00D8084C"/>
    <w:rsid w:val="00DA7C0C"/>
    <w:rsid w:val="00DB2EC8"/>
    <w:rsid w:val="00DC5B3B"/>
    <w:rsid w:val="00DD129F"/>
    <w:rsid w:val="00DF42FF"/>
    <w:rsid w:val="00E01C0E"/>
    <w:rsid w:val="00E03F9A"/>
    <w:rsid w:val="00E04694"/>
    <w:rsid w:val="00E12B1E"/>
    <w:rsid w:val="00E17262"/>
    <w:rsid w:val="00E253A2"/>
    <w:rsid w:val="00E3309D"/>
    <w:rsid w:val="00E50156"/>
    <w:rsid w:val="00E53470"/>
    <w:rsid w:val="00E539F6"/>
    <w:rsid w:val="00E6519D"/>
    <w:rsid w:val="00E67696"/>
    <w:rsid w:val="00E71A58"/>
    <w:rsid w:val="00E72A7A"/>
    <w:rsid w:val="00E75C94"/>
    <w:rsid w:val="00E93820"/>
    <w:rsid w:val="00EA0C68"/>
    <w:rsid w:val="00EA32BC"/>
    <w:rsid w:val="00EB4511"/>
    <w:rsid w:val="00EC03D7"/>
    <w:rsid w:val="00ED62C6"/>
    <w:rsid w:val="00ED64C1"/>
    <w:rsid w:val="00EE1D8E"/>
    <w:rsid w:val="00EE3446"/>
    <w:rsid w:val="00EE3E78"/>
    <w:rsid w:val="00EE4B1B"/>
    <w:rsid w:val="00EF150D"/>
    <w:rsid w:val="00EF1F5A"/>
    <w:rsid w:val="00EF47BF"/>
    <w:rsid w:val="00F04811"/>
    <w:rsid w:val="00F0488C"/>
    <w:rsid w:val="00F05F5E"/>
    <w:rsid w:val="00F10F11"/>
    <w:rsid w:val="00F15AAA"/>
    <w:rsid w:val="00F15BEF"/>
    <w:rsid w:val="00F24407"/>
    <w:rsid w:val="00F24FAA"/>
    <w:rsid w:val="00F3364D"/>
    <w:rsid w:val="00F437CC"/>
    <w:rsid w:val="00F47067"/>
    <w:rsid w:val="00F525EB"/>
    <w:rsid w:val="00F564BD"/>
    <w:rsid w:val="00F63DDE"/>
    <w:rsid w:val="00F63FB7"/>
    <w:rsid w:val="00F649D2"/>
    <w:rsid w:val="00F6602B"/>
    <w:rsid w:val="00F7260E"/>
    <w:rsid w:val="00F73A0C"/>
    <w:rsid w:val="00F756DB"/>
    <w:rsid w:val="00F77929"/>
    <w:rsid w:val="00F85066"/>
    <w:rsid w:val="00FA5D4D"/>
    <w:rsid w:val="00FB0EE2"/>
    <w:rsid w:val="00FB542E"/>
    <w:rsid w:val="00FC0E5F"/>
    <w:rsid w:val="00FC1A95"/>
    <w:rsid w:val="00FC56DE"/>
    <w:rsid w:val="00FC684B"/>
    <w:rsid w:val="00FD2AC6"/>
    <w:rsid w:val="00FD3265"/>
    <w:rsid w:val="00FE2F78"/>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6EC09BAF"/>
  <w15:docId w15:val="{F5EAB12E-294B-48CA-BF70-39BC4620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Textpoznpodarou">
    <w:name w:val="footnote text"/>
    <w:basedOn w:val="Normln"/>
    <w:link w:val="TextpoznpodarouChar"/>
    <w:uiPriority w:val="99"/>
    <w:semiHidden/>
    <w:unhideWhenUsed/>
    <w:rsid w:val="004D19DD"/>
    <w:pPr>
      <w:spacing w:after="0" w:line="240" w:lineRule="auto"/>
    </w:pPr>
    <w:rPr>
      <w:rFonts w:eastAsia="Calibri"/>
      <w:szCs w:val="20"/>
      <w:lang w:eastAsia="en-US"/>
    </w:rPr>
  </w:style>
  <w:style w:type="character" w:customStyle="1" w:styleId="TextpoznpodarouChar">
    <w:name w:val="Text pozn. pod čarou Char"/>
    <w:basedOn w:val="Standardnpsmoodstavce"/>
    <w:link w:val="Textpoznpodarou"/>
    <w:uiPriority w:val="99"/>
    <w:semiHidden/>
    <w:rsid w:val="004D19DD"/>
    <w:rPr>
      <w:rFonts w:ascii="Arial" w:hAnsi="Arial"/>
    </w:rPr>
  </w:style>
  <w:style w:type="character" w:styleId="Znakapoznpodarou">
    <w:name w:val="footnote reference"/>
    <w:basedOn w:val="Standardnpsmoodstavce"/>
    <w:uiPriority w:val="99"/>
    <w:semiHidden/>
    <w:unhideWhenUsed/>
    <w:rsid w:val="004D19DD"/>
    <w:rPr>
      <w:vertAlign w:val="superscript"/>
    </w:rPr>
  </w:style>
  <w:style w:type="paragraph" w:styleId="Nadpisobsahu">
    <w:name w:val="TOC Heading"/>
    <w:basedOn w:val="Nadpis1"/>
    <w:next w:val="Normln"/>
    <w:uiPriority w:val="39"/>
    <w:unhideWhenUsed/>
    <w:qFormat/>
    <w:rsid w:val="004D19DD"/>
    <w:pPr>
      <w:spacing w:before="240" w:after="0" w:line="259" w:lineRule="auto"/>
      <w:contextualSpacing w:val="0"/>
      <w:outlineLvl w:val="9"/>
    </w:pPr>
    <w:rPr>
      <w:rFonts w:asciiTheme="majorHAnsi" w:eastAsiaTheme="majorEastAsia" w:hAnsiTheme="majorHAnsi" w:cstheme="majorBidi"/>
      <w:b w:val="0"/>
      <w:bCs w:val="0"/>
      <w:color w:val="365F91" w:themeColor="accent1" w:themeShade="BF"/>
      <w:szCs w:val="32"/>
    </w:rPr>
  </w:style>
  <w:style w:type="paragraph" w:styleId="Odstavecseseznamem">
    <w:name w:val="List Paragraph"/>
    <w:basedOn w:val="Normln"/>
    <w:uiPriority w:val="34"/>
    <w:rsid w:val="005E53FD"/>
    <w:pPr>
      <w:ind w:left="720"/>
      <w:contextualSpacing/>
    </w:pPr>
  </w:style>
  <w:style w:type="paragraph" w:customStyle="1" w:styleId="Default">
    <w:name w:val="Default"/>
    <w:rsid w:val="005E53FD"/>
    <w:pPr>
      <w:autoSpaceDE w:val="0"/>
      <w:autoSpaceDN w:val="0"/>
      <w:adjustRightInd w:val="0"/>
    </w:pPr>
    <w:rPr>
      <w:rFonts w:cs="Calibri"/>
      <w:color w:val="000000"/>
      <w:sz w:val="24"/>
      <w:szCs w:val="24"/>
    </w:rPr>
  </w:style>
  <w:style w:type="character" w:styleId="Sledovanodkaz">
    <w:name w:val="FollowedHyperlink"/>
    <w:basedOn w:val="Standardnpsmoodstavce"/>
    <w:uiPriority w:val="99"/>
    <w:semiHidden/>
    <w:unhideWhenUsed/>
    <w:rsid w:val="005E53FD"/>
    <w:rPr>
      <w:color w:val="800080" w:themeColor="followedHyperlink"/>
      <w:u w:val="single"/>
    </w:rPr>
  </w:style>
  <w:style w:type="character" w:styleId="Odkaznakoment">
    <w:name w:val="annotation reference"/>
    <w:basedOn w:val="Standardnpsmoodstavce"/>
    <w:uiPriority w:val="99"/>
    <w:semiHidden/>
    <w:unhideWhenUsed/>
    <w:rsid w:val="005E53FD"/>
    <w:rPr>
      <w:sz w:val="16"/>
      <w:szCs w:val="16"/>
    </w:rPr>
  </w:style>
  <w:style w:type="paragraph" w:styleId="Textkomente">
    <w:name w:val="annotation text"/>
    <w:basedOn w:val="Normln"/>
    <w:link w:val="TextkomenteChar"/>
    <w:uiPriority w:val="99"/>
    <w:semiHidden/>
    <w:unhideWhenUsed/>
    <w:rsid w:val="005E53FD"/>
    <w:pPr>
      <w:spacing w:line="240" w:lineRule="auto"/>
    </w:pPr>
    <w:rPr>
      <w:szCs w:val="20"/>
    </w:rPr>
  </w:style>
  <w:style w:type="character" w:customStyle="1" w:styleId="TextkomenteChar">
    <w:name w:val="Text komentáře Char"/>
    <w:basedOn w:val="Standardnpsmoodstavce"/>
    <w:link w:val="Textkomente"/>
    <w:uiPriority w:val="99"/>
    <w:semiHidden/>
    <w:rsid w:val="005E53FD"/>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5E53FD"/>
    <w:rPr>
      <w:b/>
      <w:bCs/>
    </w:rPr>
  </w:style>
  <w:style w:type="character" w:customStyle="1" w:styleId="PedmtkomenteChar">
    <w:name w:val="Předmět komentáře Char"/>
    <w:basedOn w:val="TextkomenteChar"/>
    <w:link w:val="Pedmtkomente"/>
    <w:uiPriority w:val="99"/>
    <w:semiHidden/>
    <w:rsid w:val="005E53FD"/>
    <w:rPr>
      <w:rFonts w:ascii="Arial" w:eastAsia="Times New Roman" w:hAnsi="Arial"/>
      <w:b/>
      <w:bCs/>
      <w:lang w:eastAsia="cs-CZ"/>
    </w:rPr>
  </w:style>
  <w:style w:type="paragraph" w:styleId="Revize">
    <w:name w:val="Revision"/>
    <w:hidden/>
    <w:uiPriority w:val="99"/>
    <w:semiHidden/>
    <w:rsid w:val="005E53FD"/>
    <w:rPr>
      <w:rFonts w:ascii="Arial" w:eastAsia="Times New Roman" w:hAnsi="Arial"/>
      <w:szCs w:val="24"/>
      <w:lang w:eastAsia="cs-CZ"/>
    </w:rPr>
  </w:style>
  <w:style w:type="character" w:customStyle="1" w:styleId="hgkelc">
    <w:name w:val="hgkelc"/>
    <w:basedOn w:val="Standardnpsmoodstavce"/>
    <w:rsid w:val="005E5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052325">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384371715">
      <w:bodyDiv w:val="1"/>
      <w:marLeft w:val="0"/>
      <w:marRight w:val="0"/>
      <w:marTop w:val="0"/>
      <w:marBottom w:val="0"/>
      <w:divBdr>
        <w:top w:val="none" w:sz="0" w:space="0" w:color="auto"/>
        <w:left w:val="none" w:sz="0" w:space="0" w:color="auto"/>
        <w:bottom w:val="none" w:sz="0" w:space="0" w:color="auto"/>
        <w:right w:val="none" w:sz="0" w:space="0" w:color="auto"/>
      </w:divBdr>
    </w:div>
    <w:div w:id="417871351">
      <w:bodyDiv w:val="1"/>
      <w:marLeft w:val="0"/>
      <w:marRight w:val="0"/>
      <w:marTop w:val="0"/>
      <w:marBottom w:val="0"/>
      <w:divBdr>
        <w:top w:val="none" w:sz="0" w:space="0" w:color="auto"/>
        <w:left w:val="none" w:sz="0" w:space="0" w:color="auto"/>
        <w:bottom w:val="none" w:sz="0" w:space="0" w:color="auto"/>
        <w:right w:val="none" w:sz="0" w:space="0" w:color="auto"/>
      </w:divBdr>
    </w:div>
    <w:div w:id="45653016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85155380">
          <w:marLeft w:val="0"/>
          <w:marRight w:val="0"/>
          <w:marTop w:val="0"/>
          <w:marBottom w:val="0"/>
          <w:divBdr>
            <w:top w:val="none" w:sz="0" w:space="0" w:color="auto"/>
            <w:left w:val="none" w:sz="0" w:space="0" w:color="auto"/>
            <w:bottom w:val="single" w:sz="6" w:space="9" w:color="C8C8C8"/>
            <w:right w:val="none" w:sz="0" w:space="0" w:color="auto"/>
          </w:divBdr>
          <w:divsChild>
            <w:div w:id="1449467794">
              <w:marLeft w:val="0"/>
              <w:marRight w:val="0"/>
              <w:marTop w:val="0"/>
              <w:marBottom w:val="0"/>
              <w:divBdr>
                <w:top w:val="none" w:sz="0" w:space="0" w:color="auto"/>
                <w:left w:val="none" w:sz="0" w:space="0" w:color="auto"/>
                <w:bottom w:val="none" w:sz="0" w:space="0" w:color="auto"/>
                <w:right w:val="none" w:sz="0" w:space="0" w:color="auto"/>
              </w:divBdr>
            </w:div>
            <w:div w:id="10380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10941051">
      <w:bodyDiv w:val="1"/>
      <w:marLeft w:val="0"/>
      <w:marRight w:val="0"/>
      <w:marTop w:val="0"/>
      <w:marBottom w:val="0"/>
      <w:divBdr>
        <w:top w:val="none" w:sz="0" w:space="0" w:color="auto"/>
        <w:left w:val="none" w:sz="0" w:space="0" w:color="auto"/>
        <w:bottom w:val="none" w:sz="0" w:space="0" w:color="auto"/>
        <w:right w:val="none" w:sz="0" w:space="0" w:color="auto"/>
      </w:divBdr>
    </w:div>
    <w:div w:id="658340484">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03804660">
          <w:marLeft w:val="0"/>
          <w:marRight w:val="0"/>
          <w:marTop w:val="0"/>
          <w:marBottom w:val="0"/>
          <w:divBdr>
            <w:top w:val="none" w:sz="0" w:space="0" w:color="auto"/>
            <w:left w:val="none" w:sz="0" w:space="0" w:color="auto"/>
            <w:bottom w:val="single" w:sz="6" w:space="9" w:color="C8C8C8"/>
            <w:right w:val="none" w:sz="0" w:space="0" w:color="auto"/>
          </w:divBdr>
          <w:divsChild>
            <w:div w:id="1246106508">
              <w:marLeft w:val="0"/>
              <w:marRight w:val="0"/>
              <w:marTop w:val="0"/>
              <w:marBottom w:val="0"/>
              <w:divBdr>
                <w:top w:val="none" w:sz="0" w:space="0" w:color="auto"/>
                <w:left w:val="none" w:sz="0" w:space="0" w:color="auto"/>
                <w:bottom w:val="none" w:sz="0" w:space="0" w:color="auto"/>
                <w:right w:val="none" w:sz="0" w:space="0" w:color="auto"/>
              </w:divBdr>
            </w:div>
            <w:div w:id="20671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15852351">
      <w:bodyDiv w:val="1"/>
      <w:marLeft w:val="0"/>
      <w:marRight w:val="0"/>
      <w:marTop w:val="0"/>
      <w:marBottom w:val="0"/>
      <w:divBdr>
        <w:top w:val="none" w:sz="0" w:space="0" w:color="auto"/>
        <w:left w:val="none" w:sz="0" w:space="0" w:color="auto"/>
        <w:bottom w:val="none" w:sz="0" w:space="0" w:color="auto"/>
        <w:right w:val="none" w:sz="0" w:space="0" w:color="auto"/>
      </w:divBdr>
    </w:div>
    <w:div w:id="1071659005">
      <w:bodyDiv w:val="1"/>
      <w:marLeft w:val="240"/>
      <w:marRight w:val="240"/>
      <w:marTop w:val="240"/>
      <w:marBottom w:val="60"/>
      <w:divBdr>
        <w:top w:val="none" w:sz="0" w:space="0" w:color="auto"/>
        <w:left w:val="none" w:sz="0" w:space="0" w:color="auto"/>
        <w:bottom w:val="none" w:sz="0" w:space="0" w:color="auto"/>
        <w:right w:val="none" w:sz="0" w:space="0" w:color="auto"/>
      </w:divBdr>
      <w:divsChild>
        <w:div w:id="678311181">
          <w:marLeft w:val="0"/>
          <w:marRight w:val="0"/>
          <w:marTop w:val="0"/>
          <w:marBottom w:val="0"/>
          <w:divBdr>
            <w:top w:val="none" w:sz="0" w:space="0" w:color="auto"/>
            <w:left w:val="none" w:sz="0" w:space="0" w:color="auto"/>
            <w:bottom w:val="single" w:sz="6" w:space="9" w:color="C8C8C8"/>
            <w:right w:val="none" w:sz="0" w:space="0" w:color="auto"/>
          </w:divBdr>
          <w:divsChild>
            <w:div w:id="4986296">
              <w:marLeft w:val="0"/>
              <w:marRight w:val="0"/>
              <w:marTop w:val="0"/>
              <w:marBottom w:val="0"/>
              <w:divBdr>
                <w:top w:val="none" w:sz="0" w:space="0" w:color="auto"/>
                <w:left w:val="none" w:sz="0" w:space="0" w:color="auto"/>
                <w:bottom w:val="none" w:sz="0" w:space="0" w:color="auto"/>
                <w:right w:val="none" w:sz="0" w:space="0" w:color="auto"/>
              </w:divBdr>
            </w:div>
            <w:div w:id="8178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18935290">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618678934">
      <w:bodyDiv w:val="1"/>
      <w:marLeft w:val="0"/>
      <w:marRight w:val="0"/>
      <w:marTop w:val="0"/>
      <w:marBottom w:val="0"/>
      <w:divBdr>
        <w:top w:val="none" w:sz="0" w:space="0" w:color="auto"/>
        <w:left w:val="none" w:sz="0" w:space="0" w:color="auto"/>
        <w:bottom w:val="none" w:sz="0" w:space="0" w:color="auto"/>
        <w:right w:val="none" w:sz="0" w:space="0" w:color="auto"/>
      </w:divBdr>
    </w:div>
    <w:div w:id="1855344247">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kasparova3676\Desktop\grafy_V&#35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kasparova3676\Desktop\2021\Obyvatelsko%20dle%20kraj&#367;%202020.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7.xml"/></Relationships>
</file>

<file path=word/charts/_rels/chart2.xml.rels><?xml version="1.0" encoding="UTF-8" standalone="yes"?>
<Relationships xmlns="http://schemas.openxmlformats.org/package/2006/relationships"><Relationship Id="rId3" Type="http://schemas.openxmlformats.org/officeDocument/2006/relationships/oleObject" Target="file:///D:\kasparova3676\Desktop\2021\graf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asparova3676\Desktop\2021\v&#283;k%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kasparova3676\Desktop\2021\v&#283;k%2025+.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D:\kasparova3676\Desktop\2021\v&#283;k%2025+.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package" Target="../embeddings/List_aplikace_Microsoft_Excel.xlsx"/></Relationships>
</file>

<file path=word/charts/_rels/chart7.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D:\kasparova3676\Desktop\2021\230060-19A.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kasparova3676\Desktop\2021\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732075952634994E-2"/>
          <c:y val="8.6577261415810056E-2"/>
          <c:w val="0.97303259898074057"/>
          <c:h val="0.65248964361382533"/>
        </c:manualLayout>
      </c:layout>
      <c:barChart>
        <c:barDir val="col"/>
        <c:grouping val="clustered"/>
        <c:varyColors val="0"/>
        <c:ser>
          <c:idx val="0"/>
          <c:order val="0"/>
          <c:tx>
            <c:strRef>
              <c:f>grafy!$B$1</c:f>
              <c:strCache>
                <c:ptCount val="1"/>
                <c:pt idx="0">
                  <c:v>studenti - tisíce osob</c:v>
                </c:pt>
              </c:strCache>
            </c:strRef>
          </c:tx>
          <c:spPr>
            <a:solidFill>
              <a:srgbClr val="A6C9E8"/>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accent1">
                        <a:lumMod val="50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grafy!$B$2:$B$21</c:f>
              <c:numCache>
                <c:formatCode>0.0</c:formatCode>
                <c:ptCount val="20"/>
                <c:pt idx="0">
                  <c:v>203.44900000000001</c:v>
                </c:pt>
                <c:pt idx="1">
                  <c:v>220.178</c:v>
                </c:pt>
                <c:pt idx="2">
                  <c:v>243.71799999999999</c:v>
                </c:pt>
                <c:pt idx="3">
                  <c:v>264.77300000000002</c:v>
                </c:pt>
                <c:pt idx="4">
                  <c:v>289.464</c:v>
                </c:pt>
                <c:pt idx="5">
                  <c:v>316.17700000000002</c:v>
                </c:pt>
                <c:pt idx="6">
                  <c:v>343.94400000000002</c:v>
                </c:pt>
                <c:pt idx="7">
                  <c:v>368.05099999999999</c:v>
                </c:pt>
                <c:pt idx="8">
                  <c:v>388.99099999999999</c:v>
                </c:pt>
                <c:pt idx="9">
                  <c:v>395.98200000000003</c:v>
                </c:pt>
                <c:pt idx="10">
                  <c:v>392.03800000000001</c:v>
                </c:pt>
                <c:pt idx="11">
                  <c:v>380.89299999999997</c:v>
                </c:pt>
                <c:pt idx="12">
                  <c:v>367.77</c:v>
                </c:pt>
                <c:pt idx="13">
                  <c:v>346.81099999999998</c:v>
                </c:pt>
                <c:pt idx="14">
                  <c:v>326.43900000000002</c:v>
                </c:pt>
                <c:pt idx="15">
                  <c:v>311.06200000000001</c:v>
                </c:pt>
                <c:pt idx="16">
                  <c:v>298.67899999999997</c:v>
                </c:pt>
                <c:pt idx="17">
                  <c:v>289.666</c:v>
                </c:pt>
                <c:pt idx="18">
                  <c:v>288.608</c:v>
                </c:pt>
                <c:pt idx="19">
                  <c:v>299.39600000000002</c:v>
                </c:pt>
              </c:numCache>
            </c:numRef>
          </c:val>
          <c:extLst>
            <c:ext xmlns:c16="http://schemas.microsoft.com/office/drawing/2014/chart" uri="{C3380CC4-5D6E-409C-BE32-E72D297353CC}">
              <c16:uniqueId val="{00000000-7617-4414-A430-DB0D6A603CEC}"/>
            </c:ext>
          </c:extLst>
        </c:ser>
        <c:dLbls>
          <c:showLegendKey val="0"/>
          <c:showVal val="0"/>
          <c:showCatName val="0"/>
          <c:showSerName val="0"/>
          <c:showPercent val="0"/>
          <c:showBubbleSize val="0"/>
        </c:dLbls>
        <c:gapWidth val="34"/>
        <c:axId val="1878189312"/>
        <c:axId val="1878178496"/>
      </c:barChart>
      <c:lineChart>
        <c:grouping val="standard"/>
        <c:varyColors val="0"/>
        <c:ser>
          <c:idx val="1"/>
          <c:order val="1"/>
          <c:tx>
            <c:strRef>
              <c:f>grafy!$C$1</c:f>
              <c:strCache>
                <c:ptCount val="1"/>
                <c:pt idx="0">
                  <c:v>podíl studentů mezi obyvateli ČR věku 20-29 let (v %)</c:v>
                </c:pt>
              </c:strCache>
            </c:strRef>
          </c:tx>
          <c:spPr>
            <a:ln w="28575" cap="rnd">
              <a:solidFill>
                <a:schemeClr val="accent3">
                  <a:lumMod val="60000"/>
                  <a:lumOff val="40000"/>
                </a:schemeClr>
              </a:solidFill>
              <a:round/>
            </a:ln>
            <a:effectLst/>
          </c:spPr>
          <c:marker>
            <c:symbol val="none"/>
          </c:marker>
          <c:dLbls>
            <c:spPr>
              <a:noFill/>
              <a:ln>
                <a:noFill/>
              </a:ln>
              <a:effectLst/>
            </c:spPr>
            <c:txPr>
              <a:bodyPr rot="0" spcFirstLastPara="1" vertOverflow="ellipsis" vert="horz" wrap="square" anchor="ctr" anchorCtr="1"/>
              <a:lstStyle/>
              <a:p>
                <a:pPr>
                  <a:defRPr sz="900" b="0" i="1" u="none" strike="noStrike" kern="1200" baseline="0">
                    <a:solidFill>
                      <a:schemeClr val="accent3">
                        <a:lumMod val="50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grafy!$C$2:$C$21</c:f>
              <c:numCache>
                <c:formatCode>_-* #\ ##0.0\ _K_č_-;\-* #\ ##0.0\ _K_č_-;_-* "-"?\ _K_č_-;_-@_-</c:formatCode>
                <c:ptCount val="20"/>
                <c:pt idx="0">
                  <c:v>8.984147113280196</c:v>
                </c:pt>
                <c:pt idx="1">
                  <c:v>9.9354798777087474</c:v>
                </c:pt>
                <c:pt idx="2">
                  <c:v>11.101788233152842</c:v>
                </c:pt>
                <c:pt idx="3">
                  <c:v>11.930843226232984</c:v>
                </c:pt>
                <c:pt idx="4">
                  <c:v>13.604737449683165</c:v>
                </c:pt>
                <c:pt idx="5">
                  <c:v>14.799940961346081</c:v>
                </c:pt>
                <c:pt idx="6">
                  <c:v>16.193001327686577</c:v>
                </c:pt>
                <c:pt idx="7">
                  <c:v>17.238495182003518</c:v>
                </c:pt>
                <c:pt idx="8">
                  <c:v>18.324528777572326</c:v>
                </c:pt>
                <c:pt idx="9">
                  <c:v>18.890514805301336</c:v>
                </c:pt>
                <c:pt idx="10">
                  <c:v>19.526274142613211</c:v>
                </c:pt>
                <c:pt idx="11">
                  <c:v>19.399830414434749</c:v>
                </c:pt>
                <c:pt idx="12">
                  <c:v>19.22345461051599</c:v>
                </c:pt>
                <c:pt idx="13">
                  <c:v>18.521902783497662</c:v>
                </c:pt>
                <c:pt idx="14">
                  <c:v>17.775447320294919</c:v>
                </c:pt>
                <c:pt idx="15">
                  <c:v>17.161787275658561</c:v>
                </c:pt>
                <c:pt idx="16">
                  <c:v>16.7506954825643</c:v>
                </c:pt>
                <c:pt idx="17">
                  <c:v>16.537360089254957</c:v>
                </c:pt>
                <c:pt idx="18">
                  <c:v>16.697770070947481</c:v>
                </c:pt>
                <c:pt idx="19">
                  <c:v>17.682727616066106</c:v>
                </c:pt>
              </c:numCache>
            </c:numRef>
          </c:val>
          <c:smooth val="0"/>
          <c:extLst>
            <c:ext xmlns:c16="http://schemas.microsoft.com/office/drawing/2014/chart" uri="{C3380CC4-5D6E-409C-BE32-E72D297353CC}">
              <c16:uniqueId val="{00000001-7617-4414-A430-DB0D6A603CEC}"/>
            </c:ext>
          </c:extLst>
        </c:ser>
        <c:dLbls>
          <c:showLegendKey val="0"/>
          <c:showVal val="0"/>
          <c:showCatName val="0"/>
          <c:showSerName val="0"/>
          <c:showPercent val="0"/>
          <c:showBubbleSize val="0"/>
        </c:dLbls>
        <c:marker val="1"/>
        <c:smooth val="0"/>
        <c:axId val="1878139200"/>
        <c:axId val="1878160416"/>
      </c:lineChart>
      <c:catAx>
        <c:axId val="18781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5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78178496"/>
        <c:crosses val="autoZero"/>
        <c:auto val="1"/>
        <c:lblAlgn val="ctr"/>
        <c:lblOffset val="100"/>
        <c:noMultiLvlLbl val="0"/>
      </c:catAx>
      <c:valAx>
        <c:axId val="1878178496"/>
        <c:scaling>
          <c:orientation val="minMax"/>
          <c:max val="500"/>
        </c:scaling>
        <c:delete val="0"/>
        <c:axPos val="l"/>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cs-CZ"/>
          </a:p>
        </c:txPr>
        <c:crossAx val="1878189312"/>
        <c:crosses val="autoZero"/>
        <c:crossBetween val="between"/>
      </c:valAx>
      <c:valAx>
        <c:axId val="1878160416"/>
        <c:scaling>
          <c:orientation val="minMax"/>
          <c:max val="20"/>
          <c:min val="0"/>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cs-CZ"/>
          </a:p>
        </c:txPr>
        <c:crossAx val="1878139200"/>
        <c:crosses val="max"/>
        <c:crossBetween val="between"/>
      </c:valAx>
      <c:catAx>
        <c:axId val="1878139200"/>
        <c:scaling>
          <c:orientation val="minMax"/>
        </c:scaling>
        <c:delete val="1"/>
        <c:axPos val="b"/>
        <c:numFmt formatCode="General" sourceLinked="1"/>
        <c:majorTickMark val="out"/>
        <c:minorTickMark val="none"/>
        <c:tickLblPos val="nextTo"/>
        <c:crossAx val="1878160416"/>
        <c:crosses val="autoZero"/>
        <c:auto val="1"/>
        <c:lblAlgn val="ctr"/>
        <c:lblOffset val="100"/>
        <c:noMultiLvlLbl val="0"/>
      </c:catAx>
      <c:spPr>
        <a:noFill/>
        <a:ln>
          <a:noFill/>
        </a:ln>
        <a:effectLst/>
      </c:spPr>
    </c:plotArea>
    <c:legend>
      <c:legendPos val="b"/>
      <c:layout>
        <c:manualLayout>
          <c:xMode val="edge"/>
          <c:yMode val="edge"/>
          <c:x val="7.5831964854660552E-2"/>
          <c:y val="0.89316552298432572"/>
          <c:w val="0.84833588314829633"/>
          <c:h val="0.106834477015674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6">
              <a:lumMod val="50000"/>
            </a:schemeClr>
          </a:solidFill>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316122698403159E-2"/>
          <c:y val="4.3137405989388942E-2"/>
          <c:w val="0.95280126625393202"/>
          <c:h val="0.58034961845985478"/>
        </c:manualLayout>
      </c:layout>
      <c:barChart>
        <c:barDir val="col"/>
        <c:grouping val="clustered"/>
        <c:varyColors val="0"/>
        <c:ser>
          <c:idx val="0"/>
          <c:order val="0"/>
          <c:tx>
            <c:strRef>
              <c:f>List3!$B$21</c:f>
              <c:strCache>
                <c:ptCount val="1"/>
                <c:pt idx="0">
                  <c:v>2001</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List3!$A$22:$A$37</c:f>
              <c:strCache>
                <c:ptCount val="16"/>
                <c:pt idx="0">
                  <c:v>bydlí v zahraničí</c:v>
                </c:pt>
                <c:pt idx="1">
                  <c:v>Hl. město Praha</c:v>
                </c:pt>
                <c:pt idx="2">
                  <c:v>Jihomoravský </c:v>
                </c:pt>
                <c:pt idx="3">
                  <c:v>Plzeňský </c:v>
                </c:pt>
                <c:pt idx="4">
                  <c:v>Olomoucký </c:v>
                </c:pt>
                <c:pt idx="5">
                  <c:v>ČR celkem</c:v>
                </c:pt>
                <c:pt idx="6">
                  <c:v>Moravskoslezský </c:v>
                </c:pt>
                <c:pt idx="7">
                  <c:v>Zlínský </c:v>
                </c:pt>
                <c:pt idx="8">
                  <c:v>Liberecký </c:v>
                </c:pt>
                <c:pt idx="9">
                  <c:v>Královéhradecký </c:v>
                </c:pt>
                <c:pt idx="10">
                  <c:v>Středočeský </c:v>
                </c:pt>
                <c:pt idx="11">
                  <c:v>Jihočeský </c:v>
                </c:pt>
                <c:pt idx="12">
                  <c:v>Pardubický </c:v>
                </c:pt>
                <c:pt idx="13">
                  <c:v>Vysočina</c:v>
                </c:pt>
                <c:pt idx="14">
                  <c:v>Ústecký </c:v>
                </c:pt>
                <c:pt idx="15">
                  <c:v>Karlovarský </c:v>
                </c:pt>
              </c:strCache>
            </c:strRef>
          </c:cat>
          <c:val>
            <c:numRef>
              <c:f>List3!$B$22:$B$37</c:f>
              <c:numCache>
                <c:formatCode>#\ ##0.0</c:formatCode>
                <c:ptCount val="16"/>
                <c:pt idx="0">
                  <c:v>3.6627505183137523</c:v>
                </c:pt>
                <c:pt idx="1">
                  <c:v>12.360993640948532</c:v>
                </c:pt>
                <c:pt idx="2">
                  <c:v>10.445034149736808</c:v>
                </c:pt>
                <c:pt idx="3">
                  <c:v>7.2336369413259893</c:v>
                </c:pt>
                <c:pt idx="4">
                  <c:v>7.5924622722652284</c:v>
                </c:pt>
                <c:pt idx="5">
                  <c:v>7.858929644601738</c:v>
                </c:pt>
                <c:pt idx="6">
                  <c:v>7.5856307435254804</c:v>
                </c:pt>
                <c:pt idx="7">
                  <c:v>6.054952510176391</c:v>
                </c:pt>
                <c:pt idx="8">
                  <c:v>7.3485600794438932</c:v>
                </c:pt>
                <c:pt idx="9">
                  <c:v>8.0594184576485457</c:v>
                </c:pt>
                <c:pt idx="10">
                  <c:v>7.4606339819844605</c:v>
                </c:pt>
                <c:pt idx="11">
                  <c:v>6.6053991958644458</c:v>
                </c:pt>
                <c:pt idx="12">
                  <c:v>7.4625220458553798</c:v>
                </c:pt>
                <c:pt idx="13">
                  <c:v>6.3321914023649022</c:v>
                </c:pt>
                <c:pt idx="14">
                  <c:v>5.855614973262032</c:v>
                </c:pt>
                <c:pt idx="15">
                  <c:v>6.343091936312276</c:v>
                </c:pt>
              </c:numCache>
            </c:numRef>
          </c:val>
          <c:extLst>
            <c:ext xmlns:c16="http://schemas.microsoft.com/office/drawing/2014/chart" uri="{C3380CC4-5D6E-409C-BE32-E72D297353CC}">
              <c16:uniqueId val="{00000000-8B30-4125-83AB-16716857F916}"/>
            </c:ext>
          </c:extLst>
        </c:ser>
        <c:ser>
          <c:idx val="1"/>
          <c:order val="1"/>
          <c:tx>
            <c:strRef>
              <c:f>List3!$C$21</c:f>
              <c:strCache>
                <c:ptCount val="1"/>
                <c:pt idx="0">
                  <c:v>2010</c:v>
                </c:pt>
              </c:strCache>
            </c:strRef>
          </c:tx>
          <c:spPr>
            <a:solidFill>
              <a:srgbClr val="7FA3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List3!$A$22:$A$37</c:f>
              <c:strCache>
                <c:ptCount val="16"/>
                <c:pt idx="0">
                  <c:v>bydlí v zahraničí</c:v>
                </c:pt>
                <c:pt idx="1">
                  <c:v>Hl. město Praha</c:v>
                </c:pt>
                <c:pt idx="2">
                  <c:v>Jihomoravský </c:v>
                </c:pt>
                <c:pt idx="3">
                  <c:v>Plzeňský </c:v>
                </c:pt>
                <c:pt idx="4">
                  <c:v>Olomoucký </c:v>
                </c:pt>
                <c:pt idx="5">
                  <c:v>ČR celkem</c:v>
                </c:pt>
                <c:pt idx="6">
                  <c:v>Moravskoslezský </c:v>
                </c:pt>
                <c:pt idx="7">
                  <c:v>Zlínský </c:v>
                </c:pt>
                <c:pt idx="8">
                  <c:v>Liberecký </c:v>
                </c:pt>
                <c:pt idx="9">
                  <c:v>Královéhradecký </c:v>
                </c:pt>
                <c:pt idx="10">
                  <c:v>Středočeský </c:v>
                </c:pt>
                <c:pt idx="11">
                  <c:v>Jihočeský </c:v>
                </c:pt>
                <c:pt idx="12">
                  <c:v>Pardubický </c:v>
                </c:pt>
                <c:pt idx="13">
                  <c:v>Vysočina</c:v>
                </c:pt>
                <c:pt idx="14">
                  <c:v>Ústecký </c:v>
                </c:pt>
                <c:pt idx="15">
                  <c:v>Karlovarský </c:v>
                </c:pt>
              </c:strCache>
            </c:strRef>
          </c:cat>
          <c:val>
            <c:numRef>
              <c:f>List3!$C$22:$C$37</c:f>
              <c:numCache>
                <c:formatCode>#\ ##0.0</c:formatCode>
                <c:ptCount val="16"/>
                <c:pt idx="0">
                  <c:v>7.9055625111786805</c:v>
                </c:pt>
                <c:pt idx="1">
                  <c:v>9.8372767053742258</c:v>
                </c:pt>
                <c:pt idx="2">
                  <c:v>8.1293771189586472</c:v>
                </c:pt>
                <c:pt idx="3">
                  <c:v>6.4948516419911044</c:v>
                </c:pt>
                <c:pt idx="4">
                  <c:v>6.1558750957202415</c:v>
                </c:pt>
                <c:pt idx="5">
                  <c:v>6.3919170730074431</c:v>
                </c:pt>
                <c:pt idx="6">
                  <c:v>6.0316042450924101</c:v>
                </c:pt>
                <c:pt idx="7">
                  <c:v>5.677926690060457</c:v>
                </c:pt>
                <c:pt idx="8">
                  <c:v>5.7541682822799531</c:v>
                </c:pt>
                <c:pt idx="9">
                  <c:v>5.722678561714627</c:v>
                </c:pt>
                <c:pt idx="10">
                  <c:v>5.037293553542888</c:v>
                </c:pt>
                <c:pt idx="11">
                  <c:v>5.1515930113052413</c:v>
                </c:pt>
                <c:pt idx="12">
                  <c:v>5.6799217356275538</c:v>
                </c:pt>
                <c:pt idx="13">
                  <c:v>4.8590346005980347</c:v>
                </c:pt>
                <c:pt idx="14">
                  <c:v>4.3373388299271998</c:v>
                </c:pt>
                <c:pt idx="15">
                  <c:v>4.2007926023778071</c:v>
                </c:pt>
              </c:numCache>
            </c:numRef>
          </c:val>
          <c:extLst>
            <c:ext xmlns:c16="http://schemas.microsoft.com/office/drawing/2014/chart" uri="{C3380CC4-5D6E-409C-BE32-E72D297353CC}">
              <c16:uniqueId val="{00000001-8B30-4125-83AB-16716857F916}"/>
            </c:ext>
          </c:extLst>
        </c:ser>
        <c:ser>
          <c:idx val="2"/>
          <c:order val="2"/>
          <c:tx>
            <c:strRef>
              <c:f>List3!$D$21</c:f>
              <c:strCache>
                <c:ptCount val="1"/>
                <c:pt idx="0">
                  <c:v>2020</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List3!$A$22:$A$37</c:f>
              <c:strCache>
                <c:ptCount val="16"/>
                <c:pt idx="0">
                  <c:v>bydlí v zahraničí</c:v>
                </c:pt>
                <c:pt idx="1">
                  <c:v>Hl. město Praha</c:v>
                </c:pt>
                <c:pt idx="2">
                  <c:v>Jihomoravský </c:v>
                </c:pt>
                <c:pt idx="3">
                  <c:v>Plzeňský </c:v>
                </c:pt>
                <c:pt idx="4">
                  <c:v>Olomoucký </c:v>
                </c:pt>
                <c:pt idx="5">
                  <c:v>ČR celkem</c:v>
                </c:pt>
                <c:pt idx="6">
                  <c:v>Moravskoslezský </c:v>
                </c:pt>
                <c:pt idx="7">
                  <c:v>Zlínský </c:v>
                </c:pt>
                <c:pt idx="8">
                  <c:v>Liberecký </c:v>
                </c:pt>
                <c:pt idx="9">
                  <c:v>Královéhradecký </c:v>
                </c:pt>
                <c:pt idx="10">
                  <c:v>Středočeský </c:v>
                </c:pt>
                <c:pt idx="11">
                  <c:v>Jihočeský </c:v>
                </c:pt>
                <c:pt idx="12">
                  <c:v>Pardubický </c:v>
                </c:pt>
                <c:pt idx="13">
                  <c:v>Vysočina</c:v>
                </c:pt>
                <c:pt idx="14">
                  <c:v>Ústecký </c:v>
                </c:pt>
                <c:pt idx="15">
                  <c:v>Karlovarský </c:v>
                </c:pt>
              </c:strCache>
            </c:strRef>
          </c:cat>
          <c:val>
            <c:numRef>
              <c:f>List3!$D$22:$D$37</c:f>
              <c:numCache>
                <c:formatCode>#\ ##0.0</c:formatCode>
                <c:ptCount val="16"/>
                <c:pt idx="0">
                  <c:v>10.663573890611113</c:v>
                </c:pt>
                <c:pt idx="1">
                  <c:v>10.235644789381924</c:v>
                </c:pt>
                <c:pt idx="2">
                  <c:v>8.1225836200475303</c:v>
                </c:pt>
                <c:pt idx="3">
                  <c:v>6.998032338095646</c:v>
                </c:pt>
                <c:pt idx="4">
                  <c:v>6.9092728068529983</c:v>
                </c:pt>
                <c:pt idx="5">
                  <c:v>6.5646374486009424</c:v>
                </c:pt>
                <c:pt idx="6">
                  <c:v>6.1362454498179924</c:v>
                </c:pt>
                <c:pt idx="7">
                  <c:v>5.7479402677651903</c:v>
                </c:pt>
                <c:pt idx="8">
                  <c:v>5.7152406417112296</c:v>
                </c:pt>
                <c:pt idx="9">
                  <c:v>5.6080463273392258</c:v>
                </c:pt>
                <c:pt idx="10">
                  <c:v>5.4561717352415027</c:v>
                </c:pt>
                <c:pt idx="11">
                  <c:v>5.4408091147261324</c:v>
                </c:pt>
                <c:pt idx="12">
                  <c:v>5.3406395681688066</c:v>
                </c:pt>
                <c:pt idx="13">
                  <c:v>4.9378929612022695</c:v>
                </c:pt>
                <c:pt idx="14">
                  <c:v>4.8450117218025532</c:v>
                </c:pt>
                <c:pt idx="15">
                  <c:v>4.6223446105428803</c:v>
                </c:pt>
              </c:numCache>
            </c:numRef>
          </c:val>
          <c:extLst>
            <c:ext xmlns:c16="http://schemas.microsoft.com/office/drawing/2014/chart" uri="{C3380CC4-5D6E-409C-BE32-E72D297353CC}">
              <c16:uniqueId val="{00000002-8B30-4125-83AB-16716857F916}"/>
            </c:ext>
          </c:extLst>
        </c:ser>
        <c:dLbls>
          <c:showLegendKey val="0"/>
          <c:showVal val="0"/>
          <c:showCatName val="0"/>
          <c:showSerName val="0"/>
          <c:showPercent val="0"/>
          <c:showBubbleSize val="0"/>
        </c:dLbls>
        <c:gapWidth val="69"/>
        <c:axId val="843404352"/>
        <c:axId val="843396448"/>
      </c:barChart>
      <c:catAx>
        <c:axId val="8434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43396448"/>
        <c:crosses val="autoZero"/>
        <c:auto val="1"/>
        <c:lblAlgn val="ctr"/>
        <c:lblOffset val="100"/>
        <c:noMultiLvlLbl val="0"/>
      </c:catAx>
      <c:valAx>
        <c:axId val="843396448"/>
        <c:scaling>
          <c:orientation val="minMax"/>
        </c:scaling>
        <c:delete val="0"/>
        <c:axPos val="l"/>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43404352"/>
        <c:crosses val="autoZero"/>
        <c:crossBetween val="between"/>
      </c:valAx>
      <c:spPr>
        <a:noFill/>
        <a:ln>
          <a:noFill/>
        </a:ln>
        <a:effectLst/>
      </c:spPr>
    </c:plotArea>
    <c:legend>
      <c:legendPos val="b"/>
      <c:layout>
        <c:manualLayout>
          <c:xMode val="edge"/>
          <c:yMode val="edge"/>
          <c:x val="0.88531922822624276"/>
          <c:y val="2.7450980392156862E-2"/>
          <c:w val="9.8690709462843862E-2"/>
          <c:h val="0.309314188667593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754502909358552E-2"/>
          <c:y val="5.5555555555555552E-2"/>
          <c:w val="0.96073199183435409"/>
          <c:h val="0.67454546122911097"/>
        </c:manualLayout>
      </c:layout>
      <c:barChart>
        <c:barDir val="col"/>
        <c:grouping val="clustered"/>
        <c:varyColors val="0"/>
        <c:ser>
          <c:idx val="0"/>
          <c:order val="0"/>
          <c:tx>
            <c:strRef>
              <c:f>grafy!$G$29</c:f>
              <c:strCache>
                <c:ptCount val="1"/>
                <c:pt idx="0">
                  <c:v>ženy - tisíce osob</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grafy!$F$30:$F$49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grafy!$G$30:$G$49</c:f>
              <c:numCache>
                <c:formatCode>0.0</c:formatCode>
                <c:ptCount val="20"/>
                <c:pt idx="0">
                  <c:v>98.352000000000004</c:v>
                </c:pt>
                <c:pt idx="1">
                  <c:v>108.051</c:v>
                </c:pt>
                <c:pt idx="2">
                  <c:v>120.703</c:v>
                </c:pt>
                <c:pt idx="3">
                  <c:v>134.71299999999999</c:v>
                </c:pt>
                <c:pt idx="4">
                  <c:v>150.67599999999999</c:v>
                </c:pt>
                <c:pt idx="5">
                  <c:v>167.85400000000001</c:v>
                </c:pt>
                <c:pt idx="6">
                  <c:v>185.863</c:v>
                </c:pt>
                <c:pt idx="7">
                  <c:v>202.601</c:v>
                </c:pt>
                <c:pt idx="8">
                  <c:v>216.37799999999999</c:v>
                </c:pt>
                <c:pt idx="9">
                  <c:v>221.52500000000001</c:v>
                </c:pt>
                <c:pt idx="10">
                  <c:v>219.60499999999999</c:v>
                </c:pt>
                <c:pt idx="11">
                  <c:v>214.161</c:v>
                </c:pt>
                <c:pt idx="12">
                  <c:v>206.518</c:v>
                </c:pt>
                <c:pt idx="13">
                  <c:v>194.553</c:v>
                </c:pt>
                <c:pt idx="14">
                  <c:v>182.233</c:v>
                </c:pt>
                <c:pt idx="15">
                  <c:v>174.13900000000001</c:v>
                </c:pt>
                <c:pt idx="16">
                  <c:v>167.583</c:v>
                </c:pt>
                <c:pt idx="17">
                  <c:v>161.88200000000001</c:v>
                </c:pt>
                <c:pt idx="18">
                  <c:v>161.02199999999999</c:v>
                </c:pt>
                <c:pt idx="19">
                  <c:v>166.18100000000001</c:v>
                </c:pt>
              </c:numCache>
            </c:numRef>
          </c:val>
          <c:extLst>
            <c:ext xmlns:c16="http://schemas.microsoft.com/office/drawing/2014/chart" uri="{C3380CC4-5D6E-409C-BE32-E72D297353CC}">
              <c16:uniqueId val="{00000000-D925-449F-A516-433001FDEB48}"/>
            </c:ext>
          </c:extLst>
        </c:ser>
        <c:ser>
          <c:idx val="1"/>
          <c:order val="1"/>
          <c:tx>
            <c:strRef>
              <c:f>grafy!$H$29</c:f>
              <c:strCache>
                <c:ptCount val="1"/>
                <c:pt idx="0">
                  <c:v>muži - tisíce osob</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grafy!$F$30:$F$49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grafy!$H$30:$H$49</c:f>
              <c:numCache>
                <c:formatCode>0.0</c:formatCode>
                <c:ptCount val="20"/>
                <c:pt idx="0">
                  <c:v>105.09699999999999</c:v>
                </c:pt>
                <c:pt idx="1">
                  <c:v>112.127</c:v>
                </c:pt>
                <c:pt idx="2">
                  <c:v>123.015</c:v>
                </c:pt>
                <c:pt idx="3">
                  <c:v>130.06</c:v>
                </c:pt>
                <c:pt idx="4">
                  <c:v>138.78800000000001</c:v>
                </c:pt>
                <c:pt idx="5">
                  <c:v>148.32300000000001</c:v>
                </c:pt>
                <c:pt idx="6">
                  <c:v>158.08099999999999</c:v>
                </c:pt>
                <c:pt idx="7">
                  <c:v>165.45</c:v>
                </c:pt>
                <c:pt idx="8">
                  <c:v>172.613</c:v>
                </c:pt>
                <c:pt idx="9">
                  <c:v>174.45699999999999</c:v>
                </c:pt>
                <c:pt idx="10">
                  <c:v>172.43299999999999</c:v>
                </c:pt>
                <c:pt idx="11">
                  <c:v>166.732</c:v>
                </c:pt>
                <c:pt idx="12">
                  <c:v>161.25200000000001</c:v>
                </c:pt>
                <c:pt idx="13">
                  <c:v>152.25800000000001</c:v>
                </c:pt>
                <c:pt idx="14">
                  <c:v>144.20599999999999</c:v>
                </c:pt>
                <c:pt idx="15">
                  <c:v>136.923</c:v>
                </c:pt>
                <c:pt idx="16">
                  <c:v>131.096</c:v>
                </c:pt>
                <c:pt idx="17">
                  <c:v>127.78400000000001</c:v>
                </c:pt>
                <c:pt idx="18">
                  <c:v>127.586</c:v>
                </c:pt>
                <c:pt idx="19">
                  <c:v>133.215</c:v>
                </c:pt>
              </c:numCache>
            </c:numRef>
          </c:val>
          <c:extLst>
            <c:ext xmlns:c16="http://schemas.microsoft.com/office/drawing/2014/chart" uri="{C3380CC4-5D6E-409C-BE32-E72D297353CC}">
              <c16:uniqueId val="{00000001-D925-449F-A516-433001FDEB48}"/>
            </c:ext>
          </c:extLst>
        </c:ser>
        <c:dLbls>
          <c:showLegendKey val="0"/>
          <c:showVal val="0"/>
          <c:showCatName val="0"/>
          <c:showSerName val="0"/>
          <c:showPercent val="0"/>
          <c:showBubbleSize val="0"/>
        </c:dLbls>
        <c:gapWidth val="30"/>
        <c:overlap val="-13"/>
        <c:axId val="802242352"/>
        <c:axId val="802242768"/>
      </c:barChart>
      <c:lineChart>
        <c:grouping val="standard"/>
        <c:varyColors val="0"/>
        <c:ser>
          <c:idx val="2"/>
          <c:order val="2"/>
          <c:tx>
            <c:strRef>
              <c:f>grafy!$I$29</c:f>
              <c:strCache>
                <c:ptCount val="1"/>
                <c:pt idx="0">
                  <c:v>podíl studentek z žen ve věku 20-29 let (%)</c:v>
                </c:pt>
              </c:strCache>
            </c:strRef>
          </c:tx>
          <c:spPr>
            <a:ln w="28575" cap="rnd">
              <a:solidFill>
                <a:schemeClr val="accent2">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rgbClr val="C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grafy!$F$30:$F$49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grafy!$I$30:$I$49</c:f>
              <c:numCache>
                <c:formatCode>0.0</c:formatCode>
                <c:ptCount val="20"/>
                <c:pt idx="0">
                  <c:v>8.7734366917604376</c:v>
                </c:pt>
                <c:pt idx="1">
                  <c:v>9.830063645710803</c:v>
                </c:pt>
                <c:pt idx="2">
                  <c:v>11.06230580904179</c:v>
                </c:pt>
                <c:pt idx="3">
                  <c:v>12.324924967843362</c:v>
                </c:pt>
                <c:pt idx="4">
                  <c:v>14.487954767317685</c:v>
                </c:pt>
                <c:pt idx="5">
                  <c:v>16.13543967024227</c:v>
                </c:pt>
                <c:pt idx="6">
                  <c:v>18.049470041956436</c:v>
                </c:pt>
                <c:pt idx="7">
                  <c:v>19.662532284679749</c:v>
                </c:pt>
                <c:pt idx="8">
                  <c:v>21.054631828978625</c:v>
                </c:pt>
                <c:pt idx="9">
                  <c:v>21.721653894852896</c:v>
                </c:pt>
                <c:pt idx="10">
                  <c:v>22.368382235805694</c:v>
                </c:pt>
                <c:pt idx="11">
                  <c:v>22.265960010357375</c:v>
                </c:pt>
                <c:pt idx="12">
                  <c:v>22.036042740949444</c:v>
                </c:pt>
                <c:pt idx="13">
                  <c:v>21.248796311946322</c:v>
                </c:pt>
                <c:pt idx="14">
                  <c:v>20.335935402201848</c:v>
                </c:pt>
                <c:pt idx="15">
                  <c:v>19.705532249303701</c:v>
                </c:pt>
                <c:pt idx="16">
                  <c:v>19.317090775380134</c:v>
                </c:pt>
                <c:pt idx="17">
                  <c:v>19.107433885621155</c:v>
                </c:pt>
                <c:pt idx="18">
                  <c:v>19.284892227373557</c:v>
                </c:pt>
                <c:pt idx="19">
                  <c:v>20.34706531448689</c:v>
                </c:pt>
              </c:numCache>
            </c:numRef>
          </c:val>
          <c:smooth val="0"/>
          <c:extLst>
            <c:ext xmlns:c16="http://schemas.microsoft.com/office/drawing/2014/chart" uri="{C3380CC4-5D6E-409C-BE32-E72D297353CC}">
              <c16:uniqueId val="{00000002-D925-449F-A516-433001FDEB48}"/>
            </c:ext>
          </c:extLst>
        </c:ser>
        <c:ser>
          <c:idx val="3"/>
          <c:order val="3"/>
          <c:tx>
            <c:strRef>
              <c:f>grafy!$J$29</c:f>
              <c:strCache>
                <c:ptCount val="1"/>
                <c:pt idx="0">
                  <c:v>podíl studentů z mužů ve věku 20-29 let (%)</c:v>
                </c:pt>
              </c:strCache>
            </c:strRef>
          </c:tx>
          <c:spPr>
            <a:ln w="28575" cap="rnd">
              <a:solidFill>
                <a:schemeClr val="accent1">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accent1">
                        <a:lumMod val="50000"/>
                      </a:schemeClr>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grafy!$F$30:$F$49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grafy!$J$30:$J$49</c:f>
              <c:numCache>
                <c:formatCode>0.0</c:formatCode>
                <c:ptCount val="20"/>
                <c:pt idx="0">
                  <c:v>9.1864811665988988</c:v>
                </c:pt>
                <c:pt idx="1">
                  <c:v>10.036872191968914</c:v>
                </c:pt>
                <c:pt idx="2">
                  <c:v>11.139709642965039</c:v>
                </c:pt>
                <c:pt idx="3">
                  <c:v>11.552675468565173</c:v>
                </c:pt>
                <c:pt idx="4">
                  <c:v>12.760802716454986</c:v>
                </c:pt>
                <c:pt idx="5">
                  <c:v>13.529809274906762</c:v>
                </c:pt>
                <c:pt idx="6">
                  <c:v>14.443987929104743</c:v>
                </c:pt>
                <c:pt idx="7">
                  <c:v>14.974772250382662</c:v>
                </c:pt>
                <c:pt idx="8">
                  <c:v>15.772857282971453</c:v>
                </c:pt>
                <c:pt idx="9">
                  <c:v>16.232364988630835</c:v>
                </c:pt>
                <c:pt idx="10">
                  <c:v>16.830368511040781</c:v>
                </c:pt>
                <c:pt idx="11">
                  <c:v>16.677660010007735</c:v>
                </c:pt>
                <c:pt idx="12">
                  <c:v>16.545123722135763</c:v>
                </c:pt>
                <c:pt idx="13">
                  <c:v>15.920625411406213</c:v>
                </c:pt>
                <c:pt idx="14">
                  <c:v>15.329557078950181</c:v>
                </c:pt>
                <c:pt idx="15">
                  <c:v>14.730007212854982</c:v>
                </c:pt>
                <c:pt idx="16">
                  <c:v>14.300688731648178</c:v>
                </c:pt>
                <c:pt idx="17">
                  <c:v>14.098748856068349</c:v>
                </c:pt>
                <c:pt idx="18">
                  <c:v>14.257536273076251</c:v>
                </c:pt>
                <c:pt idx="19">
                  <c:v>15.174206269976873</c:v>
                </c:pt>
              </c:numCache>
            </c:numRef>
          </c:val>
          <c:smooth val="0"/>
          <c:extLst>
            <c:ext xmlns:c16="http://schemas.microsoft.com/office/drawing/2014/chart" uri="{C3380CC4-5D6E-409C-BE32-E72D297353CC}">
              <c16:uniqueId val="{00000003-D925-449F-A516-433001FDEB48}"/>
            </c:ext>
          </c:extLst>
        </c:ser>
        <c:dLbls>
          <c:showLegendKey val="0"/>
          <c:showVal val="0"/>
          <c:showCatName val="0"/>
          <c:showSerName val="0"/>
          <c:showPercent val="0"/>
          <c:showBubbleSize val="0"/>
        </c:dLbls>
        <c:marker val="1"/>
        <c:smooth val="0"/>
        <c:axId val="811304224"/>
        <c:axId val="811307968"/>
      </c:lineChart>
      <c:catAx>
        <c:axId val="80224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2242768"/>
        <c:crosses val="autoZero"/>
        <c:auto val="1"/>
        <c:lblAlgn val="ctr"/>
        <c:lblOffset val="100"/>
        <c:noMultiLvlLbl val="0"/>
      </c:catAx>
      <c:valAx>
        <c:axId val="802242768"/>
        <c:scaling>
          <c:orientation val="minMax"/>
          <c:max val="400"/>
        </c:scaling>
        <c:delete val="0"/>
        <c:axPos val="l"/>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802242352"/>
        <c:crosses val="autoZero"/>
        <c:crossBetween val="between"/>
      </c:valAx>
      <c:valAx>
        <c:axId val="811307968"/>
        <c:scaling>
          <c:orientation val="minMax"/>
          <c:max val="23"/>
          <c:min val="0"/>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cs-CZ"/>
          </a:p>
        </c:txPr>
        <c:crossAx val="811304224"/>
        <c:crosses val="max"/>
        <c:crossBetween val="between"/>
      </c:valAx>
      <c:catAx>
        <c:axId val="811304224"/>
        <c:scaling>
          <c:orientation val="minMax"/>
        </c:scaling>
        <c:delete val="1"/>
        <c:axPos val="b"/>
        <c:numFmt formatCode="General" sourceLinked="1"/>
        <c:majorTickMark val="out"/>
        <c:minorTickMark val="none"/>
        <c:tickLblPos val="nextTo"/>
        <c:crossAx val="811307968"/>
        <c:crosses val="autoZero"/>
        <c:auto val="1"/>
        <c:lblAlgn val="ctr"/>
        <c:lblOffset val="100"/>
        <c:noMultiLvlLbl val="0"/>
      </c:catAx>
      <c:spPr>
        <a:noFill/>
        <a:ln>
          <a:noFill/>
        </a:ln>
        <a:effectLst/>
      </c:spPr>
    </c:plotArea>
    <c:legend>
      <c:legendPos val="b"/>
      <c:layout>
        <c:manualLayout>
          <c:xMode val="edge"/>
          <c:yMode val="edge"/>
          <c:x val="5.7794025746781663E-2"/>
          <c:y val="0.84471205805156713"/>
          <c:w val="0.88088461164576648"/>
          <c:h val="0.131478418138909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14310561254808E-2"/>
          <c:y val="7.1361502347417838E-2"/>
          <c:w val="0.93009668394149381"/>
          <c:h val="0.65723703318811033"/>
        </c:manualLayout>
      </c:layout>
      <c:barChart>
        <c:barDir val="col"/>
        <c:grouping val="clustered"/>
        <c:varyColors val="0"/>
        <c:ser>
          <c:idx val="0"/>
          <c:order val="0"/>
          <c:tx>
            <c:strRef>
              <c:f>grafy!$A$229</c:f>
              <c:strCache>
                <c:ptCount val="1"/>
                <c:pt idx="0">
                  <c:v>bakalářský</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grafy!$B$228:$F$228</c:f>
              <c:numCache>
                <c:formatCode>0</c:formatCode>
                <c:ptCount val="5"/>
                <c:pt idx="0">
                  <c:v>2001</c:v>
                </c:pt>
                <c:pt idx="1">
                  <c:v>2005</c:v>
                </c:pt>
                <c:pt idx="2">
                  <c:v>2010</c:v>
                </c:pt>
                <c:pt idx="3">
                  <c:v>2015</c:v>
                </c:pt>
                <c:pt idx="4">
                  <c:v>2020</c:v>
                </c:pt>
              </c:numCache>
            </c:numRef>
          </c:cat>
          <c:val>
            <c:numRef>
              <c:f>grafy!$B$229:$F$229</c:f>
              <c:numCache>
                <c:formatCode>0.0</c:formatCode>
                <c:ptCount val="5"/>
                <c:pt idx="0">
                  <c:v>21.125195995065102</c:v>
                </c:pt>
                <c:pt idx="1">
                  <c:v>53.184852002321527</c:v>
                </c:pt>
                <c:pt idx="2">
                  <c:v>62.637190579369772</c:v>
                </c:pt>
                <c:pt idx="3">
                  <c:v>58.904113785423917</c:v>
                </c:pt>
                <c:pt idx="4">
                  <c:v>59.714224638939726</c:v>
                </c:pt>
              </c:numCache>
            </c:numRef>
          </c:val>
          <c:extLst>
            <c:ext xmlns:c16="http://schemas.microsoft.com/office/drawing/2014/chart" uri="{C3380CC4-5D6E-409C-BE32-E72D297353CC}">
              <c16:uniqueId val="{00000000-2AC3-4748-B0B6-96643F4444AF}"/>
            </c:ext>
          </c:extLst>
        </c:ser>
        <c:ser>
          <c:idx val="1"/>
          <c:order val="1"/>
          <c:tx>
            <c:strRef>
              <c:f>grafy!$A$230</c:f>
              <c:strCache>
                <c:ptCount val="1"/>
                <c:pt idx="0">
                  <c:v>magisterský</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grafy!$B$228:$F$228</c:f>
              <c:numCache>
                <c:formatCode>0</c:formatCode>
                <c:ptCount val="5"/>
                <c:pt idx="0">
                  <c:v>2001</c:v>
                </c:pt>
                <c:pt idx="1">
                  <c:v>2005</c:v>
                </c:pt>
                <c:pt idx="2">
                  <c:v>2010</c:v>
                </c:pt>
                <c:pt idx="3">
                  <c:v>2015</c:v>
                </c:pt>
                <c:pt idx="4">
                  <c:v>2020</c:v>
                </c:pt>
              </c:numCache>
            </c:numRef>
          </c:cat>
          <c:val>
            <c:numRef>
              <c:f>grafy!$B$230:$F$230</c:f>
              <c:numCache>
                <c:formatCode>0.0</c:formatCode>
                <c:ptCount val="5"/>
                <c:pt idx="0">
                  <c:v>66.393543345015203</c:v>
                </c:pt>
                <c:pt idx="1">
                  <c:v>32.281734516209269</c:v>
                </c:pt>
                <c:pt idx="2">
                  <c:v>10.287083756332358</c:v>
                </c:pt>
                <c:pt idx="3">
                  <c:v>9.7316803445666711</c:v>
                </c:pt>
                <c:pt idx="4">
                  <c:v>10.631070555384841</c:v>
                </c:pt>
              </c:numCache>
            </c:numRef>
          </c:val>
          <c:extLst>
            <c:ext xmlns:c16="http://schemas.microsoft.com/office/drawing/2014/chart" uri="{C3380CC4-5D6E-409C-BE32-E72D297353CC}">
              <c16:uniqueId val="{00000001-2AC3-4748-B0B6-96643F4444AF}"/>
            </c:ext>
          </c:extLst>
        </c:ser>
        <c:ser>
          <c:idx val="2"/>
          <c:order val="2"/>
          <c:tx>
            <c:strRef>
              <c:f>grafy!$A$231</c:f>
              <c:strCache>
                <c:ptCount val="1"/>
                <c:pt idx="0">
                  <c:v>navazující magisterský</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grafy!$B$228:$F$228</c:f>
              <c:numCache>
                <c:formatCode>0</c:formatCode>
                <c:ptCount val="5"/>
                <c:pt idx="0">
                  <c:v>2001</c:v>
                </c:pt>
                <c:pt idx="1">
                  <c:v>2005</c:v>
                </c:pt>
                <c:pt idx="2">
                  <c:v>2010</c:v>
                </c:pt>
                <c:pt idx="3">
                  <c:v>2015</c:v>
                </c:pt>
                <c:pt idx="4">
                  <c:v>2020</c:v>
                </c:pt>
              </c:numCache>
            </c:numRef>
          </c:cat>
          <c:val>
            <c:numRef>
              <c:f>grafy!$B$231:$F$231</c:f>
              <c:numCache>
                <c:formatCode>0.0</c:formatCode>
                <c:ptCount val="5"/>
                <c:pt idx="0">
                  <c:v>5.9145043721030817</c:v>
                </c:pt>
                <c:pt idx="1">
                  <c:v>8.2901500704750841</c:v>
                </c:pt>
                <c:pt idx="2">
                  <c:v>21.76917132596936</c:v>
                </c:pt>
                <c:pt idx="3">
                  <c:v>24.920429237928062</c:v>
                </c:pt>
                <c:pt idx="4">
                  <c:v>23.19570067736376</c:v>
                </c:pt>
              </c:numCache>
            </c:numRef>
          </c:val>
          <c:extLst>
            <c:ext xmlns:c16="http://schemas.microsoft.com/office/drawing/2014/chart" uri="{C3380CC4-5D6E-409C-BE32-E72D297353CC}">
              <c16:uniqueId val="{00000002-2AC3-4748-B0B6-96643F4444AF}"/>
            </c:ext>
          </c:extLst>
        </c:ser>
        <c:ser>
          <c:idx val="3"/>
          <c:order val="3"/>
          <c:tx>
            <c:strRef>
              <c:f>grafy!$A$232</c:f>
              <c:strCache>
                <c:ptCount val="1"/>
                <c:pt idx="0">
                  <c:v>doktorský</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grafy!$B$228:$F$228</c:f>
              <c:numCache>
                <c:formatCode>0</c:formatCode>
                <c:ptCount val="5"/>
                <c:pt idx="0">
                  <c:v>2001</c:v>
                </c:pt>
                <c:pt idx="1">
                  <c:v>2005</c:v>
                </c:pt>
                <c:pt idx="2">
                  <c:v>2010</c:v>
                </c:pt>
                <c:pt idx="3">
                  <c:v>2015</c:v>
                </c:pt>
                <c:pt idx="4">
                  <c:v>2020</c:v>
                </c:pt>
              </c:numCache>
            </c:numRef>
          </c:cat>
          <c:val>
            <c:numRef>
              <c:f>grafy!$B$232:$F$232</c:f>
              <c:numCache>
                <c:formatCode>0.0</c:formatCode>
                <c:ptCount val="5"/>
                <c:pt idx="0">
                  <c:v>8.1057169118550583</c:v>
                </c:pt>
                <c:pt idx="1">
                  <c:v>7.7073487549401642</c:v>
                </c:pt>
                <c:pt idx="2">
                  <c:v>6.5442368592511775</c:v>
                </c:pt>
                <c:pt idx="3">
                  <c:v>7.3100946884410254</c:v>
                </c:pt>
                <c:pt idx="4">
                  <c:v>7.2409117022271499</c:v>
                </c:pt>
              </c:numCache>
            </c:numRef>
          </c:val>
          <c:extLst>
            <c:ext xmlns:c16="http://schemas.microsoft.com/office/drawing/2014/chart" uri="{C3380CC4-5D6E-409C-BE32-E72D297353CC}">
              <c16:uniqueId val="{00000003-2AC3-4748-B0B6-96643F4444AF}"/>
            </c:ext>
          </c:extLst>
        </c:ser>
        <c:dLbls>
          <c:showLegendKey val="0"/>
          <c:showVal val="0"/>
          <c:showCatName val="0"/>
          <c:showSerName val="0"/>
          <c:showPercent val="0"/>
          <c:showBubbleSize val="0"/>
        </c:dLbls>
        <c:gapWidth val="219"/>
        <c:overlap val="-27"/>
        <c:axId val="1084896959"/>
        <c:axId val="1084894879"/>
      </c:barChart>
      <c:catAx>
        <c:axId val="108489695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84894879"/>
        <c:crosses val="autoZero"/>
        <c:auto val="1"/>
        <c:lblAlgn val="ctr"/>
        <c:lblOffset val="100"/>
        <c:noMultiLvlLbl val="0"/>
      </c:catAx>
      <c:valAx>
        <c:axId val="108489487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84896959"/>
        <c:crosses val="autoZero"/>
        <c:crossBetween val="between"/>
      </c:valAx>
      <c:spPr>
        <a:noFill/>
        <a:ln>
          <a:noFill/>
        </a:ln>
        <a:effectLst/>
      </c:spPr>
    </c:plotArea>
    <c:legend>
      <c:legendPos val="b"/>
      <c:layout>
        <c:manualLayout>
          <c:xMode val="edge"/>
          <c:yMode val="edge"/>
          <c:x val="6.402153254081621E-3"/>
          <c:y val="0.85633714095597202"/>
          <c:w val="0.96120852959347103"/>
          <c:h val="0.12112764777642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647932082974571E-2"/>
          <c:y val="4.4989775051124746E-2"/>
          <c:w val="0.9261085391267454"/>
          <c:h val="0.63849443388541938"/>
        </c:manualLayout>
      </c:layout>
      <c:barChart>
        <c:barDir val="col"/>
        <c:grouping val="clustered"/>
        <c:varyColors val="0"/>
        <c:ser>
          <c:idx val="0"/>
          <c:order val="0"/>
          <c:tx>
            <c:strRef>
              <c:f>grafy!$A$304</c:f>
              <c:strCache>
                <c:ptCount val="1"/>
                <c:pt idx="0">
                  <c:v>bakalářský</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grafy!$B$302:$K$303</c:f>
              <c:multiLvlStrCache>
                <c:ptCount val="10"/>
                <c:lvl>
                  <c:pt idx="0">
                    <c:v>muži</c:v>
                  </c:pt>
                  <c:pt idx="1">
                    <c:v>ženy</c:v>
                  </c:pt>
                  <c:pt idx="2">
                    <c:v>muži</c:v>
                  </c:pt>
                  <c:pt idx="3">
                    <c:v>ženy</c:v>
                  </c:pt>
                  <c:pt idx="4">
                    <c:v>muži</c:v>
                  </c:pt>
                  <c:pt idx="5">
                    <c:v>ženy</c:v>
                  </c:pt>
                  <c:pt idx="6">
                    <c:v>muži</c:v>
                  </c:pt>
                  <c:pt idx="7">
                    <c:v>ženy</c:v>
                  </c:pt>
                  <c:pt idx="8">
                    <c:v>muži</c:v>
                  </c:pt>
                  <c:pt idx="9">
                    <c:v>ženy</c:v>
                  </c:pt>
                </c:lvl>
                <c:lvl>
                  <c:pt idx="0">
                    <c:v>2001</c:v>
                  </c:pt>
                  <c:pt idx="2">
                    <c:v>2005</c:v>
                  </c:pt>
                  <c:pt idx="4">
                    <c:v>2010</c:v>
                  </c:pt>
                  <c:pt idx="6">
                    <c:v>2015</c:v>
                  </c:pt>
                  <c:pt idx="8">
                    <c:v>2020</c:v>
                  </c:pt>
                </c:lvl>
              </c:multiLvlStrCache>
            </c:multiLvlStrRef>
          </c:cat>
          <c:val>
            <c:numRef>
              <c:f>grafy!$B$304:$K$304</c:f>
              <c:numCache>
                <c:formatCode>0.0</c:formatCode>
                <c:ptCount val="10"/>
                <c:pt idx="0">
                  <c:v>18.792163429974213</c:v>
                </c:pt>
                <c:pt idx="1">
                  <c:v>23.618228404099558</c:v>
                </c:pt>
                <c:pt idx="2">
                  <c:v>55.288641669308582</c:v>
                </c:pt>
                <c:pt idx="3">
                  <c:v>51.2470466431283</c:v>
                </c:pt>
                <c:pt idx="4">
                  <c:v>63.356013229621055</c:v>
                </c:pt>
                <c:pt idx="5">
                  <c:v>62.071098070195227</c:v>
                </c:pt>
                <c:pt idx="6">
                  <c:v>59.55022675894206</c:v>
                </c:pt>
                <c:pt idx="7">
                  <c:v>58.392826765733972</c:v>
                </c:pt>
                <c:pt idx="8">
                  <c:v>61.170288631160162</c:v>
                </c:pt>
                <c:pt idx="9">
                  <c:v>58.547005975412347</c:v>
                </c:pt>
              </c:numCache>
            </c:numRef>
          </c:val>
          <c:extLst>
            <c:ext xmlns:c16="http://schemas.microsoft.com/office/drawing/2014/chart" uri="{C3380CC4-5D6E-409C-BE32-E72D297353CC}">
              <c16:uniqueId val="{00000000-D799-4072-9FAD-E95FDABC503E}"/>
            </c:ext>
          </c:extLst>
        </c:ser>
        <c:ser>
          <c:idx val="1"/>
          <c:order val="1"/>
          <c:tx>
            <c:strRef>
              <c:f>grafy!$A$305</c:f>
              <c:strCache>
                <c:ptCount val="1"/>
                <c:pt idx="0">
                  <c:v>magisterský</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grafy!$B$302:$K$303</c:f>
              <c:multiLvlStrCache>
                <c:ptCount val="10"/>
                <c:lvl>
                  <c:pt idx="0">
                    <c:v>muži</c:v>
                  </c:pt>
                  <c:pt idx="1">
                    <c:v>ženy</c:v>
                  </c:pt>
                  <c:pt idx="2">
                    <c:v>muži</c:v>
                  </c:pt>
                  <c:pt idx="3">
                    <c:v>ženy</c:v>
                  </c:pt>
                  <c:pt idx="4">
                    <c:v>muži</c:v>
                  </c:pt>
                  <c:pt idx="5">
                    <c:v>ženy</c:v>
                  </c:pt>
                  <c:pt idx="6">
                    <c:v>muži</c:v>
                  </c:pt>
                  <c:pt idx="7">
                    <c:v>ženy</c:v>
                  </c:pt>
                  <c:pt idx="8">
                    <c:v>muži</c:v>
                  </c:pt>
                  <c:pt idx="9">
                    <c:v>ženy</c:v>
                  </c:pt>
                </c:lvl>
                <c:lvl>
                  <c:pt idx="0">
                    <c:v>2001</c:v>
                  </c:pt>
                  <c:pt idx="2">
                    <c:v>2005</c:v>
                  </c:pt>
                  <c:pt idx="4">
                    <c:v>2010</c:v>
                  </c:pt>
                  <c:pt idx="6">
                    <c:v>2015</c:v>
                  </c:pt>
                  <c:pt idx="8">
                    <c:v>2020</c:v>
                  </c:pt>
                </c:lvl>
              </c:multiLvlStrCache>
            </c:multiLvlStrRef>
          </c:cat>
          <c:val>
            <c:numRef>
              <c:f>grafy!$B$305:$K$305</c:f>
              <c:numCache>
                <c:formatCode>0.0</c:formatCode>
                <c:ptCount val="10"/>
                <c:pt idx="0">
                  <c:v>67.222660970341678</c:v>
                </c:pt>
                <c:pt idx="1">
                  <c:v>65.50756466569058</c:v>
                </c:pt>
                <c:pt idx="2">
                  <c:v>28.26901461221431</c:v>
                </c:pt>
                <c:pt idx="3">
                  <c:v>35.977859778597789</c:v>
                </c:pt>
                <c:pt idx="4">
                  <c:v>7.8214115799308708</c:v>
                </c:pt>
                <c:pt idx="5">
                  <c:v>12.228868073580859</c:v>
                </c:pt>
                <c:pt idx="6">
                  <c:v>7.5808218798108271</c:v>
                </c:pt>
                <c:pt idx="7">
                  <c:v>11.43371398155109</c:v>
                </c:pt>
                <c:pt idx="8">
                  <c:v>8.1071951356829199</c:v>
                </c:pt>
                <c:pt idx="9">
                  <c:v>12.654274556056347</c:v>
                </c:pt>
              </c:numCache>
            </c:numRef>
          </c:val>
          <c:extLst>
            <c:ext xmlns:c16="http://schemas.microsoft.com/office/drawing/2014/chart" uri="{C3380CC4-5D6E-409C-BE32-E72D297353CC}">
              <c16:uniqueId val="{00000001-D799-4072-9FAD-E95FDABC503E}"/>
            </c:ext>
          </c:extLst>
        </c:ser>
        <c:ser>
          <c:idx val="2"/>
          <c:order val="2"/>
          <c:tx>
            <c:strRef>
              <c:f>grafy!$A$306</c:f>
              <c:strCache>
                <c:ptCount val="1"/>
                <c:pt idx="0">
                  <c:v>navazující magisterský</c:v>
                </c:pt>
              </c:strCache>
            </c:strRef>
          </c:tx>
          <c:spPr>
            <a:solidFill>
              <a:srgbClr val="6FA8D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grafy!$B$302:$K$303</c:f>
              <c:multiLvlStrCache>
                <c:ptCount val="10"/>
                <c:lvl>
                  <c:pt idx="0">
                    <c:v>muži</c:v>
                  </c:pt>
                  <c:pt idx="1">
                    <c:v>ženy</c:v>
                  </c:pt>
                  <c:pt idx="2">
                    <c:v>muži</c:v>
                  </c:pt>
                  <c:pt idx="3">
                    <c:v>ženy</c:v>
                  </c:pt>
                  <c:pt idx="4">
                    <c:v>muži</c:v>
                  </c:pt>
                  <c:pt idx="5">
                    <c:v>ženy</c:v>
                  </c:pt>
                  <c:pt idx="6">
                    <c:v>muži</c:v>
                  </c:pt>
                  <c:pt idx="7">
                    <c:v>ženy</c:v>
                  </c:pt>
                  <c:pt idx="8">
                    <c:v>muži</c:v>
                  </c:pt>
                  <c:pt idx="9">
                    <c:v>ženy</c:v>
                  </c:pt>
                </c:lvl>
                <c:lvl>
                  <c:pt idx="0">
                    <c:v>2001</c:v>
                  </c:pt>
                  <c:pt idx="2">
                    <c:v>2005</c:v>
                  </c:pt>
                  <c:pt idx="4">
                    <c:v>2010</c:v>
                  </c:pt>
                  <c:pt idx="6">
                    <c:v>2015</c:v>
                  </c:pt>
                  <c:pt idx="8">
                    <c:v>2020</c:v>
                  </c:pt>
                </c:lvl>
              </c:multiLvlStrCache>
            </c:multiLvlStrRef>
          </c:cat>
          <c:val>
            <c:numRef>
              <c:f>grafy!$B$306:$K$306</c:f>
              <c:numCache>
                <c:formatCode>0.0</c:formatCode>
                <c:ptCount val="10"/>
                <c:pt idx="0">
                  <c:v>5.5539168577599733</c:v>
                </c:pt>
                <c:pt idx="1">
                  <c:v>6.2998210509191468</c:v>
                </c:pt>
                <c:pt idx="2">
                  <c:v>7.8565870248148251</c:v>
                </c:pt>
                <c:pt idx="3">
                  <c:v>8.6895059598077999</c:v>
                </c:pt>
                <c:pt idx="4">
                  <c:v>21.448838395707821</c:v>
                </c:pt>
                <c:pt idx="5">
                  <c:v>22.021442275138245</c:v>
                </c:pt>
                <c:pt idx="6">
                  <c:v>24.320069900004153</c:v>
                </c:pt>
                <c:pt idx="7">
                  <c:v>25.395510143607364</c:v>
                </c:pt>
                <c:pt idx="8">
                  <c:v>22.347333258266712</c:v>
                </c:pt>
                <c:pt idx="9">
                  <c:v>23.875774005451884</c:v>
                </c:pt>
              </c:numCache>
            </c:numRef>
          </c:val>
          <c:extLst>
            <c:ext xmlns:c16="http://schemas.microsoft.com/office/drawing/2014/chart" uri="{C3380CC4-5D6E-409C-BE32-E72D297353CC}">
              <c16:uniqueId val="{00000002-D799-4072-9FAD-E95FDABC503E}"/>
            </c:ext>
          </c:extLst>
        </c:ser>
        <c:ser>
          <c:idx val="3"/>
          <c:order val="3"/>
          <c:tx>
            <c:strRef>
              <c:f>grafy!$A$307</c:f>
              <c:strCache>
                <c:ptCount val="1"/>
                <c:pt idx="0">
                  <c:v>doktorský</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grafy!$B$302:$K$303</c:f>
              <c:multiLvlStrCache>
                <c:ptCount val="10"/>
                <c:lvl>
                  <c:pt idx="0">
                    <c:v>muži</c:v>
                  </c:pt>
                  <c:pt idx="1">
                    <c:v>ženy</c:v>
                  </c:pt>
                  <c:pt idx="2">
                    <c:v>muži</c:v>
                  </c:pt>
                  <c:pt idx="3">
                    <c:v>ženy</c:v>
                  </c:pt>
                  <c:pt idx="4">
                    <c:v>muži</c:v>
                  </c:pt>
                  <c:pt idx="5">
                    <c:v>ženy</c:v>
                  </c:pt>
                  <c:pt idx="6">
                    <c:v>muži</c:v>
                  </c:pt>
                  <c:pt idx="7">
                    <c:v>ženy</c:v>
                  </c:pt>
                  <c:pt idx="8">
                    <c:v>muži</c:v>
                  </c:pt>
                  <c:pt idx="9">
                    <c:v>ženy</c:v>
                  </c:pt>
                </c:lvl>
                <c:lvl>
                  <c:pt idx="0">
                    <c:v>2001</c:v>
                  </c:pt>
                  <c:pt idx="2">
                    <c:v>2005</c:v>
                  </c:pt>
                  <c:pt idx="4">
                    <c:v>2010</c:v>
                  </c:pt>
                  <c:pt idx="6">
                    <c:v>2015</c:v>
                  </c:pt>
                  <c:pt idx="8">
                    <c:v>2020</c:v>
                  </c:pt>
                </c:lvl>
              </c:multiLvlStrCache>
            </c:multiLvlStrRef>
          </c:cat>
          <c:val>
            <c:numRef>
              <c:f>grafy!$B$307:$K$307</c:f>
              <c:numCache>
                <c:formatCode>0.0</c:formatCode>
                <c:ptCount val="10"/>
                <c:pt idx="0">
                  <c:v>9.9650798785883499</c:v>
                </c:pt>
                <c:pt idx="1">
                  <c:v>6.1188384577842845</c:v>
                </c:pt>
                <c:pt idx="2">
                  <c:v>9.9252096723059609</c:v>
                </c:pt>
                <c:pt idx="3">
                  <c:v>5.6644721123470232</c:v>
                </c:pt>
                <c:pt idx="4">
                  <c:v>8.4869050826278105</c:v>
                </c:pt>
                <c:pt idx="5">
                  <c:v>5.0143324681187229</c:v>
                </c:pt>
                <c:pt idx="6">
                  <c:v>9.2825541239615532</c:v>
                </c:pt>
                <c:pt idx="7">
                  <c:v>5.7492331246261656</c:v>
                </c:pt>
                <c:pt idx="8">
                  <c:v>9.0612918965581937</c:v>
                </c:pt>
                <c:pt idx="9">
                  <c:v>5.7816477214603355</c:v>
                </c:pt>
              </c:numCache>
            </c:numRef>
          </c:val>
          <c:extLst>
            <c:ext xmlns:c16="http://schemas.microsoft.com/office/drawing/2014/chart" uri="{C3380CC4-5D6E-409C-BE32-E72D297353CC}">
              <c16:uniqueId val="{00000003-D799-4072-9FAD-E95FDABC503E}"/>
            </c:ext>
          </c:extLst>
        </c:ser>
        <c:dLbls>
          <c:showLegendKey val="0"/>
          <c:showVal val="0"/>
          <c:showCatName val="0"/>
          <c:showSerName val="0"/>
          <c:showPercent val="0"/>
          <c:showBubbleSize val="0"/>
        </c:dLbls>
        <c:gapWidth val="64"/>
        <c:axId val="1091496799"/>
        <c:axId val="1091517183"/>
      </c:barChart>
      <c:catAx>
        <c:axId val="109149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91517183"/>
        <c:crosses val="autoZero"/>
        <c:auto val="1"/>
        <c:lblAlgn val="ctr"/>
        <c:lblOffset val="100"/>
        <c:noMultiLvlLbl val="0"/>
      </c:catAx>
      <c:valAx>
        <c:axId val="109151718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91496799"/>
        <c:crosses val="autoZero"/>
        <c:crossBetween val="between"/>
      </c:valAx>
      <c:spPr>
        <a:noFill/>
        <a:ln>
          <a:noFill/>
        </a:ln>
        <a:effectLst/>
      </c:spPr>
    </c:plotArea>
    <c:legend>
      <c:legendPos val="b"/>
      <c:layout>
        <c:manualLayout>
          <c:xMode val="edge"/>
          <c:yMode val="edge"/>
          <c:x val="1.2050030988598692E-2"/>
          <c:y val="0.88854709112281205"/>
          <c:w val="0.9864650120002828"/>
          <c:h val="8.69130315765744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94513589027179"/>
          <c:y val="3.7037037037037035E-2"/>
          <c:w val="0.46388884185175777"/>
          <c:h val="0.82998329754235267"/>
        </c:manualLayout>
      </c:layout>
      <c:barChart>
        <c:barDir val="bar"/>
        <c:grouping val="stacked"/>
        <c:varyColors val="0"/>
        <c:ser>
          <c:idx val="0"/>
          <c:order val="0"/>
          <c:tx>
            <c:strRef>
              <c:f>grafy!$B$53</c:f>
              <c:strCache>
                <c:ptCount val="1"/>
                <c:pt idx="0">
                  <c:v>muži</c:v>
                </c:pt>
              </c:strCache>
            </c:strRef>
          </c:tx>
          <c:spPr>
            <a:solidFill>
              <a:schemeClr val="accent1">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70C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grafy!$A$54:$A$63</c:f>
              <c:strCache>
                <c:ptCount val="10"/>
                <c:pt idx="0">
                  <c:v>Služby</c:v>
                </c:pt>
                <c:pt idx="1">
                  <c:v>Informační a komunikační technologie (ICT)</c:v>
                </c:pt>
                <c:pt idx="2">
                  <c:v>Zemědělství, lesnictví, rybářství a veterinářství</c:v>
                </c:pt>
                <c:pt idx="3">
                  <c:v>Přírodní vědy, matematika a statistika</c:v>
                </c:pt>
                <c:pt idx="4">
                  <c:v>Společenské vědy, žurnalistika a informační vědy</c:v>
                </c:pt>
                <c:pt idx="5">
                  <c:v>Zdravotní a soc. péče, péče o příznivé živ. podmínky</c:v>
                </c:pt>
                <c:pt idx="6">
                  <c:v>Umění a humanitní vědy </c:v>
                </c:pt>
                <c:pt idx="7">
                  <c:v>Vzdělávání a výchova </c:v>
                </c:pt>
                <c:pt idx="8">
                  <c:v>Obchod, administrativa a právo</c:v>
                </c:pt>
                <c:pt idx="9">
                  <c:v>Technika, výroba a stavebnictví</c:v>
                </c:pt>
              </c:strCache>
            </c:strRef>
          </c:cat>
          <c:val>
            <c:numRef>
              <c:f>grafy!$B$54:$B$63</c:f>
              <c:numCache>
                <c:formatCode>#\ ##0.0</c:formatCode>
                <c:ptCount val="10"/>
                <c:pt idx="0">
                  <c:v>4.359</c:v>
                </c:pt>
                <c:pt idx="1">
                  <c:v>6.5209999999999999</c:v>
                </c:pt>
                <c:pt idx="2">
                  <c:v>3.8530000000000002</c:v>
                </c:pt>
                <c:pt idx="3">
                  <c:v>6.202</c:v>
                </c:pt>
                <c:pt idx="4">
                  <c:v>6.5810000000000004</c:v>
                </c:pt>
                <c:pt idx="5">
                  <c:v>5.718</c:v>
                </c:pt>
                <c:pt idx="6">
                  <c:v>7.1150000000000002</c:v>
                </c:pt>
                <c:pt idx="7">
                  <c:v>9.0749999999999993</c:v>
                </c:pt>
                <c:pt idx="8">
                  <c:v>17.646000000000001</c:v>
                </c:pt>
                <c:pt idx="9">
                  <c:v>40.204999999999998</c:v>
                </c:pt>
              </c:numCache>
            </c:numRef>
          </c:val>
          <c:extLst>
            <c:ext xmlns:c16="http://schemas.microsoft.com/office/drawing/2014/chart" uri="{C3380CC4-5D6E-409C-BE32-E72D297353CC}">
              <c16:uniqueId val="{00000000-9C98-4B0A-9C8B-A6A5913E8626}"/>
            </c:ext>
          </c:extLst>
        </c:ser>
        <c:ser>
          <c:idx val="1"/>
          <c:order val="1"/>
          <c:tx>
            <c:strRef>
              <c:f>grafy!$C$53</c:f>
              <c:strCache>
                <c:ptCount val="1"/>
                <c:pt idx="0">
                  <c:v>ženy</c:v>
                </c:pt>
              </c:strCache>
            </c:strRef>
          </c:tx>
          <c:spPr>
            <a:solidFill>
              <a:schemeClr val="accent2">
                <a:lumMod val="60000"/>
                <a:lumOff val="40000"/>
              </a:schemeClr>
            </a:solidFill>
            <a:ln>
              <a:noFill/>
            </a:ln>
            <a:effectLst/>
          </c:spPr>
          <c:invertIfNegative val="0"/>
          <c:dLbls>
            <c:dLbl>
              <c:idx val="0"/>
              <c:layout>
                <c:manualLayout>
                  <c:x val="2.243361545485433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C98-4B0A-9C8B-A6A5913E8626}"/>
                </c:ext>
              </c:extLst>
            </c:dLbl>
            <c:dLbl>
              <c:idx val="1"/>
              <c:layout>
                <c:manualLayout>
                  <c:x val="2.243361545485441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C98-4B0A-9C8B-A6A5913E8626}"/>
                </c:ext>
              </c:extLst>
            </c:dLbl>
            <c:dLbl>
              <c:idx val="2"/>
              <c:layout>
                <c:manualLayout>
                  <c:x val="3.0736423157713633E-2"/>
                  <c:y val="6.06060606060594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C98-4B0A-9C8B-A6A5913E862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grafy!$A$54:$A$63</c:f>
              <c:strCache>
                <c:ptCount val="10"/>
                <c:pt idx="0">
                  <c:v>Služby</c:v>
                </c:pt>
                <c:pt idx="1">
                  <c:v>Informační a komunikační technologie (ICT)</c:v>
                </c:pt>
                <c:pt idx="2">
                  <c:v>Zemědělství, lesnictví, rybářství a veterinářství</c:v>
                </c:pt>
                <c:pt idx="3">
                  <c:v>Přírodní vědy, matematika a statistika</c:v>
                </c:pt>
                <c:pt idx="4">
                  <c:v>Společenské vědy, žurnalistika a informační vědy</c:v>
                </c:pt>
                <c:pt idx="5">
                  <c:v>Zdravotní a soc. péče, péče o příznivé živ. podmínky</c:v>
                </c:pt>
                <c:pt idx="6">
                  <c:v>Umění a humanitní vědy </c:v>
                </c:pt>
                <c:pt idx="7">
                  <c:v>Vzdělávání a výchova </c:v>
                </c:pt>
                <c:pt idx="8">
                  <c:v>Obchod, administrativa a právo</c:v>
                </c:pt>
                <c:pt idx="9">
                  <c:v>Technika, výroba a stavebnictví</c:v>
                </c:pt>
              </c:strCache>
            </c:strRef>
          </c:cat>
          <c:val>
            <c:numRef>
              <c:f>grafy!$C$54:$C$63</c:f>
              <c:numCache>
                <c:formatCode>#\ ##0.0</c:formatCode>
                <c:ptCount val="10"/>
                <c:pt idx="0">
                  <c:v>1.591</c:v>
                </c:pt>
                <c:pt idx="1">
                  <c:v>1.0069999999999999</c:v>
                </c:pt>
                <c:pt idx="2">
                  <c:v>3.996</c:v>
                </c:pt>
                <c:pt idx="3">
                  <c:v>5.3319999999999999</c:v>
                </c:pt>
                <c:pt idx="4">
                  <c:v>9.76</c:v>
                </c:pt>
                <c:pt idx="5">
                  <c:v>12.012</c:v>
                </c:pt>
                <c:pt idx="6">
                  <c:v>10.925000000000001</c:v>
                </c:pt>
                <c:pt idx="7">
                  <c:v>22.59</c:v>
                </c:pt>
                <c:pt idx="8">
                  <c:v>21.988</c:v>
                </c:pt>
                <c:pt idx="9">
                  <c:v>11.286</c:v>
                </c:pt>
              </c:numCache>
            </c:numRef>
          </c:val>
          <c:extLst>
            <c:ext xmlns:c16="http://schemas.microsoft.com/office/drawing/2014/chart" uri="{C3380CC4-5D6E-409C-BE32-E72D297353CC}">
              <c16:uniqueId val="{00000004-9C98-4B0A-9C8B-A6A5913E8626}"/>
            </c:ext>
          </c:extLst>
        </c:ser>
        <c:dLbls>
          <c:showLegendKey val="0"/>
          <c:showVal val="0"/>
          <c:showCatName val="0"/>
          <c:showSerName val="0"/>
          <c:showPercent val="0"/>
          <c:showBubbleSize val="0"/>
        </c:dLbls>
        <c:gapWidth val="25"/>
        <c:overlap val="100"/>
        <c:axId val="1388666943"/>
        <c:axId val="1388676095"/>
      </c:barChart>
      <c:catAx>
        <c:axId val="138866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8676095"/>
        <c:crosses val="autoZero"/>
        <c:auto val="1"/>
        <c:lblAlgn val="ctr"/>
        <c:lblOffset val="100"/>
        <c:noMultiLvlLbl val="0"/>
      </c:catAx>
      <c:valAx>
        <c:axId val="1388676095"/>
        <c:scaling>
          <c:orientation val="minMax"/>
          <c:max val="100"/>
        </c:scaling>
        <c:delete val="0"/>
        <c:axPos val="b"/>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8866694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cs-CZ"/>
          </a:p>
        </c:txPr>
      </c:legendEntry>
      <c:legendEntry>
        <c:idx val="1"/>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cs-CZ"/>
          </a:p>
        </c:txPr>
      </c:legendEntry>
      <c:layout>
        <c:manualLayout>
          <c:xMode val="edge"/>
          <c:yMode val="edge"/>
          <c:x val="0.87343498049693213"/>
          <c:y val="0.57663635795525559"/>
          <c:w val="0.10409525889198597"/>
          <c:h val="0.28447475315585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794513589027179"/>
          <c:y val="3.7037037037037035E-2"/>
          <c:w val="0.46388884185175777"/>
          <c:h val="0.84321741032370967"/>
        </c:manualLayout>
      </c:layout>
      <c:barChart>
        <c:barDir val="bar"/>
        <c:grouping val="stacked"/>
        <c:varyColors val="0"/>
        <c:ser>
          <c:idx val="0"/>
          <c:order val="0"/>
          <c:tx>
            <c:strRef>
              <c:f>grafy!$F$53</c:f>
              <c:strCache>
                <c:ptCount val="1"/>
                <c:pt idx="0">
                  <c:v>muži</c:v>
                </c:pt>
              </c:strCache>
            </c:strRef>
          </c:tx>
          <c:spPr>
            <a:solidFill>
              <a:srgbClr val="4F81BD">
                <a:lumMod val="40000"/>
                <a:lumOff val="60000"/>
              </a:srgbClr>
            </a:solidFill>
            <a:ln>
              <a:noFill/>
            </a:ln>
            <a:effectLst/>
          </c:spPr>
          <c:invertIfNegative val="0"/>
          <c:dLbls>
            <c:dLbl>
              <c:idx val="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6="http://schemas.microsoft.com/office/drawing/2014/chart" uri="{C3380CC4-5D6E-409C-BE32-E72D297353CC}">
                  <c16:uniqueId val="{00000000-35E3-400A-A055-0ECC71409E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grafy!$E$54:$E$63</c:f>
              <c:strCache>
                <c:ptCount val="10"/>
                <c:pt idx="0">
                  <c:v>Zemědělství, lesnictví, rybářství a veterinářství</c:v>
                </c:pt>
                <c:pt idx="1">
                  <c:v>Přírodní vědy, matematika a statistika</c:v>
                </c:pt>
                <c:pt idx="2">
                  <c:v>Služby</c:v>
                </c:pt>
                <c:pt idx="3">
                  <c:v>Informační a komunikační technologie (ICT)</c:v>
                </c:pt>
                <c:pt idx="4">
                  <c:v>Zdravotní a soc. péče, péče o příznivé živ. podmínky</c:v>
                </c:pt>
                <c:pt idx="5">
                  <c:v>Umění a humanitní vědy </c:v>
                </c:pt>
                <c:pt idx="6">
                  <c:v>Společenské vědy, žurnalistika a informační vědy</c:v>
                </c:pt>
                <c:pt idx="7">
                  <c:v>Vzdělávání a výchova </c:v>
                </c:pt>
                <c:pt idx="8">
                  <c:v>Technika, výroba a stavebnictví</c:v>
                </c:pt>
                <c:pt idx="9">
                  <c:v>Obchod, administrativa a právo</c:v>
                </c:pt>
              </c:strCache>
            </c:strRef>
          </c:cat>
          <c:val>
            <c:numRef>
              <c:f>grafy!$F$54:$F$63</c:f>
              <c:numCache>
                <c:formatCode>#\ ##0.0</c:formatCode>
                <c:ptCount val="10"/>
                <c:pt idx="0">
                  <c:v>5.6509999999999998</c:v>
                </c:pt>
                <c:pt idx="1">
                  <c:v>9.2189999999999994</c:v>
                </c:pt>
                <c:pt idx="2">
                  <c:v>11.842000000000001</c:v>
                </c:pt>
                <c:pt idx="3">
                  <c:v>22.75</c:v>
                </c:pt>
                <c:pt idx="4">
                  <c:v>9.0739999999999998</c:v>
                </c:pt>
                <c:pt idx="5">
                  <c:v>12.096</c:v>
                </c:pt>
                <c:pt idx="6">
                  <c:v>15.606999999999999</c:v>
                </c:pt>
                <c:pt idx="7">
                  <c:v>9.3699999999999992</c:v>
                </c:pt>
                <c:pt idx="8">
                  <c:v>45.679000000000002</c:v>
                </c:pt>
                <c:pt idx="9">
                  <c:v>36.182000000000002</c:v>
                </c:pt>
              </c:numCache>
            </c:numRef>
          </c:val>
          <c:extLst>
            <c:ext xmlns:c16="http://schemas.microsoft.com/office/drawing/2014/chart" uri="{C3380CC4-5D6E-409C-BE32-E72D297353CC}">
              <c16:uniqueId val="{00000001-35E3-400A-A055-0ECC71409EB8}"/>
            </c:ext>
          </c:extLst>
        </c:ser>
        <c:ser>
          <c:idx val="1"/>
          <c:order val="1"/>
          <c:tx>
            <c:strRef>
              <c:f>grafy!$G$53</c:f>
              <c:strCache>
                <c:ptCount val="1"/>
                <c:pt idx="0">
                  <c:v>ženy</c:v>
                </c:pt>
              </c:strCache>
            </c:strRef>
          </c:tx>
          <c:spPr>
            <a:solidFill>
              <a:srgbClr val="C0504D">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grafy!$E$54:$E$63</c:f>
              <c:strCache>
                <c:ptCount val="10"/>
                <c:pt idx="0">
                  <c:v>Zemědělství, lesnictví, rybářství a veterinářství</c:v>
                </c:pt>
                <c:pt idx="1">
                  <c:v>Přírodní vědy, matematika a statistika</c:v>
                </c:pt>
                <c:pt idx="2">
                  <c:v>Služby</c:v>
                </c:pt>
                <c:pt idx="3">
                  <c:v>Informační a komunikační technologie (ICT)</c:v>
                </c:pt>
                <c:pt idx="4">
                  <c:v>Zdravotní a soc. péče, péče o příznivé živ. podmínky</c:v>
                </c:pt>
                <c:pt idx="5">
                  <c:v>Umění a humanitní vědy </c:v>
                </c:pt>
                <c:pt idx="6">
                  <c:v>Společenské vědy, žurnalistika a informační vědy</c:v>
                </c:pt>
                <c:pt idx="7">
                  <c:v>Vzdělávání a výchova </c:v>
                </c:pt>
                <c:pt idx="8">
                  <c:v>Technika, výroba a stavebnictví</c:v>
                </c:pt>
                <c:pt idx="9">
                  <c:v>Obchod, administrativa a právo</c:v>
                </c:pt>
              </c:strCache>
            </c:strRef>
          </c:cat>
          <c:val>
            <c:numRef>
              <c:f>grafy!$G$54:$G$63</c:f>
              <c:numCache>
                <c:formatCode>#\ ##0.0</c:formatCode>
                <c:ptCount val="10"/>
                <c:pt idx="0">
                  <c:v>8.202</c:v>
                </c:pt>
                <c:pt idx="1">
                  <c:v>12.582000000000001</c:v>
                </c:pt>
                <c:pt idx="2">
                  <c:v>10.151</c:v>
                </c:pt>
                <c:pt idx="3">
                  <c:v>2.9590000000000001</c:v>
                </c:pt>
                <c:pt idx="4">
                  <c:v>26.143999999999998</c:v>
                </c:pt>
                <c:pt idx="5">
                  <c:v>25.05</c:v>
                </c:pt>
                <c:pt idx="6">
                  <c:v>28.346</c:v>
                </c:pt>
                <c:pt idx="7">
                  <c:v>36.756999999999998</c:v>
                </c:pt>
                <c:pt idx="8">
                  <c:v>19.077000000000002</c:v>
                </c:pt>
                <c:pt idx="9">
                  <c:v>57.037999999999997</c:v>
                </c:pt>
              </c:numCache>
            </c:numRef>
          </c:val>
          <c:extLst>
            <c:ext xmlns:c16="http://schemas.microsoft.com/office/drawing/2014/chart" uri="{C3380CC4-5D6E-409C-BE32-E72D297353CC}">
              <c16:uniqueId val="{00000002-35E3-400A-A055-0ECC71409EB8}"/>
            </c:ext>
          </c:extLst>
        </c:ser>
        <c:dLbls>
          <c:showLegendKey val="0"/>
          <c:showVal val="0"/>
          <c:showCatName val="0"/>
          <c:showSerName val="0"/>
          <c:showPercent val="0"/>
          <c:showBubbleSize val="0"/>
        </c:dLbls>
        <c:gapWidth val="25"/>
        <c:overlap val="100"/>
        <c:axId val="1388666943"/>
        <c:axId val="1388676095"/>
      </c:barChart>
      <c:catAx>
        <c:axId val="138866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8676095"/>
        <c:crosses val="autoZero"/>
        <c:auto val="1"/>
        <c:lblAlgn val="ctr"/>
        <c:lblOffset val="100"/>
        <c:noMultiLvlLbl val="0"/>
      </c:catAx>
      <c:valAx>
        <c:axId val="1388676095"/>
        <c:scaling>
          <c:orientation val="minMax"/>
        </c:scaling>
        <c:delete val="0"/>
        <c:axPos val="b"/>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8866694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cs-CZ"/>
          </a:p>
        </c:txPr>
      </c:legendEntry>
      <c:legendEntry>
        <c:idx val="1"/>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cs-CZ"/>
          </a:p>
        </c:txPr>
      </c:legendEntry>
      <c:layout>
        <c:manualLayout>
          <c:xMode val="edge"/>
          <c:yMode val="edge"/>
          <c:x val="0.87343498049693213"/>
          <c:y val="0.61283547701333707"/>
          <c:w val="0.10409525889198597"/>
          <c:h val="0.248275436158715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94513589027179"/>
          <c:y val="3.7037037037037035E-2"/>
          <c:w val="0.46388884185175777"/>
          <c:h val="0.84321741032370967"/>
        </c:manualLayout>
      </c:layout>
      <c:barChart>
        <c:barDir val="bar"/>
        <c:grouping val="stacked"/>
        <c:varyColors val="0"/>
        <c:ser>
          <c:idx val="0"/>
          <c:order val="0"/>
          <c:tx>
            <c:strRef>
              <c:f>grafy!$J$53</c:f>
              <c:strCache>
                <c:ptCount val="1"/>
                <c:pt idx="0">
                  <c:v>muži</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grafy!$I$54:$I$63</c:f>
              <c:strCache>
                <c:ptCount val="10"/>
                <c:pt idx="0">
                  <c:v>Zemědělství, lesnictví, rybářství a veterinářství</c:v>
                </c:pt>
                <c:pt idx="1">
                  <c:v>Služby</c:v>
                </c:pt>
                <c:pt idx="2">
                  <c:v>Informační a komunikační technologie (ICT)</c:v>
                </c:pt>
                <c:pt idx="3">
                  <c:v>Přírodní vědy, matematika a statistika</c:v>
                </c:pt>
                <c:pt idx="4">
                  <c:v>Společenské vědy, žurnalistika a informační vědy</c:v>
                </c:pt>
                <c:pt idx="5">
                  <c:v>Umění a humanitní vědy </c:v>
                </c:pt>
                <c:pt idx="6">
                  <c:v>Vzdělávání a výchova </c:v>
                </c:pt>
                <c:pt idx="7">
                  <c:v>Zdravotní a soc. péče, péče o příznivé živ. podmínky</c:v>
                </c:pt>
                <c:pt idx="8">
                  <c:v>Technika, výroba a stavebnictví</c:v>
                </c:pt>
                <c:pt idx="9">
                  <c:v>Obchod, administrativa a právo</c:v>
                </c:pt>
              </c:strCache>
            </c:strRef>
          </c:cat>
          <c:val>
            <c:numRef>
              <c:f>grafy!$J$54:$J$63</c:f>
              <c:numCache>
                <c:formatCode>#\ ##0.0</c:formatCode>
                <c:ptCount val="10"/>
                <c:pt idx="0">
                  <c:v>4.3879999999999999</c:v>
                </c:pt>
                <c:pt idx="1">
                  <c:v>9.4320000000000004</c:v>
                </c:pt>
                <c:pt idx="2">
                  <c:v>17.951000000000001</c:v>
                </c:pt>
                <c:pt idx="3">
                  <c:v>9.1809999999999992</c:v>
                </c:pt>
                <c:pt idx="4">
                  <c:v>10.964</c:v>
                </c:pt>
                <c:pt idx="5">
                  <c:v>9.9939999999999998</c:v>
                </c:pt>
                <c:pt idx="6">
                  <c:v>7.3680000000000003</c:v>
                </c:pt>
                <c:pt idx="7">
                  <c:v>10.11</c:v>
                </c:pt>
                <c:pt idx="8">
                  <c:v>28.555</c:v>
                </c:pt>
                <c:pt idx="9">
                  <c:v>26.742999999999999</c:v>
                </c:pt>
              </c:numCache>
            </c:numRef>
          </c:val>
          <c:extLst>
            <c:ext xmlns:c16="http://schemas.microsoft.com/office/drawing/2014/chart" uri="{C3380CC4-5D6E-409C-BE32-E72D297353CC}">
              <c16:uniqueId val="{00000000-E886-42F0-9E5E-B70A1CBE846D}"/>
            </c:ext>
          </c:extLst>
        </c:ser>
        <c:ser>
          <c:idx val="1"/>
          <c:order val="1"/>
          <c:tx>
            <c:strRef>
              <c:f>grafy!$K$53</c:f>
              <c:strCache>
                <c:ptCount val="1"/>
                <c:pt idx="0">
                  <c:v>ženy</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grafy!$I$54:$I$63</c:f>
              <c:strCache>
                <c:ptCount val="10"/>
                <c:pt idx="0">
                  <c:v>Zemědělství, lesnictví, rybářství a veterinářství</c:v>
                </c:pt>
                <c:pt idx="1">
                  <c:v>Služby</c:v>
                </c:pt>
                <c:pt idx="2">
                  <c:v>Informační a komunikační technologie (ICT)</c:v>
                </c:pt>
                <c:pt idx="3">
                  <c:v>Přírodní vědy, matematika a statistika</c:v>
                </c:pt>
                <c:pt idx="4">
                  <c:v>Společenské vědy, žurnalistika a informační vědy</c:v>
                </c:pt>
                <c:pt idx="5">
                  <c:v>Umění a humanitní vědy </c:v>
                </c:pt>
                <c:pt idx="6">
                  <c:v>Vzdělávání a výchova </c:v>
                </c:pt>
                <c:pt idx="7">
                  <c:v>Zdravotní a soc. péče, péče o příznivé živ. podmínky</c:v>
                </c:pt>
                <c:pt idx="8">
                  <c:v>Technika, výroba a stavebnictví</c:v>
                </c:pt>
                <c:pt idx="9">
                  <c:v>Obchod, administrativa a právo</c:v>
                </c:pt>
              </c:strCache>
            </c:strRef>
          </c:cat>
          <c:val>
            <c:numRef>
              <c:f>grafy!$K$54:$K$63</c:f>
              <c:numCache>
                <c:formatCode>#\ ##0.0</c:formatCode>
                <c:ptCount val="10"/>
                <c:pt idx="0">
                  <c:v>7.2560000000000002</c:v>
                </c:pt>
                <c:pt idx="1">
                  <c:v>6.984</c:v>
                </c:pt>
                <c:pt idx="2">
                  <c:v>3.7090000000000001</c:v>
                </c:pt>
                <c:pt idx="3">
                  <c:v>12.571999999999999</c:v>
                </c:pt>
                <c:pt idx="4">
                  <c:v>17.658999999999999</c:v>
                </c:pt>
                <c:pt idx="5">
                  <c:v>19.422999999999998</c:v>
                </c:pt>
                <c:pt idx="6">
                  <c:v>27.353000000000002</c:v>
                </c:pt>
                <c:pt idx="7">
                  <c:v>27.577999999999999</c:v>
                </c:pt>
                <c:pt idx="8">
                  <c:v>12.087</c:v>
                </c:pt>
                <c:pt idx="9">
                  <c:v>34.006</c:v>
                </c:pt>
              </c:numCache>
            </c:numRef>
          </c:val>
          <c:extLst>
            <c:ext xmlns:c16="http://schemas.microsoft.com/office/drawing/2014/chart" uri="{C3380CC4-5D6E-409C-BE32-E72D297353CC}">
              <c16:uniqueId val="{00000001-E886-42F0-9E5E-B70A1CBE846D}"/>
            </c:ext>
          </c:extLst>
        </c:ser>
        <c:dLbls>
          <c:showLegendKey val="0"/>
          <c:showVal val="0"/>
          <c:showCatName val="0"/>
          <c:showSerName val="0"/>
          <c:showPercent val="0"/>
          <c:showBubbleSize val="0"/>
        </c:dLbls>
        <c:gapWidth val="25"/>
        <c:overlap val="100"/>
        <c:axId val="1388666943"/>
        <c:axId val="1388676095"/>
      </c:barChart>
      <c:catAx>
        <c:axId val="138866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8676095"/>
        <c:crosses val="autoZero"/>
        <c:auto val="1"/>
        <c:lblAlgn val="ctr"/>
        <c:lblOffset val="100"/>
        <c:noMultiLvlLbl val="0"/>
      </c:catAx>
      <c:valAx>
        <c:axId val="1388676095"/>
        <c:scaling>
          <c:orientation val="minMax"/>
          <c:max val="100"/>
        </c:scaling>
        <c:delete val="0"/>
        <c:axPos val="b"/>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8866694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cs-CZ"/>
          </a:p>
        </c:txPr>
      </c:legendEntry>
      <c:legendEntry>
        <c:idx val="1"/>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cs-CZ"/>
          </a:p>
        </c:txPr>
      </c:legendEntry>
      <c:layout>
        <c:manualLayout>
          <c:xMode val="edge"/>
          <c:yMode val="edge"/>
          <c:x val="0.87343498049693213"/>
          <c:y val="0.57663635795525559"/>
          <c:w val="0.10409525889198597"/>
          <c:h val="0.28447475315585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11532279395305E-2"/>
          <c:y val="1.1820640067050442E-2"/>
          <c:w val="0.93948556430446195"/>
          <c:h val="0.74889474668798151"/>
        </c:manualLayout>
      </c:layout>
      <c:lineChart>
        <c:grouping val="standard"/>
        <c:varyColors val="0"/>
        <c:ser>
          <c:idx val="0"/>
          <c:order val="0"/>
          <c:tx>
            <c:strRef>
              <c:f>List5!$A$58</c:f>
              <c:strCache>
                <c:ptCount val="1"/>
                <c:pt idx="0">
                  <c:v>Obchod, administrativa a právo</c:v>
                </c:pt>
              </c:strCache>
            </c:strRef>
          </c:tx>
          <c:spPr>
            <a:ln w="28575" cap="rnd">
              <a:solidFill>
                <a:schemeClr val="accent1"/>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List5!$B$58:$U$58</c:f>
              <c:numCache>
                <c:formatCode>0.0</c:formatCode>
                <c:ptCount val="20"/>
                <c:pt idx="0">
                  <c:v>39.634</c:v>
                </c:pt>
                <c:pt idx="1">
                  <c:v>43.253999999999998</c:v>
                </c:pt>
                <c:pt idx="2">
                  <c:v>47.911999999999999</c:v>
                </c:pt>
                <c:pt idx="3">
                  <c:v>53.128</c:v>
                </c:pt>
                <c:pt idx="4">
                  <c:v>59.646000000000001</c:v>
                </c:pt>
                <c:pt idx="5">
                  <c:v>67.381</c:v>
                </c:pt>
                <c:pt idx="6">
                  <c:v>78.403999999999996</c:v>
                </c:pt>
                <c:pt idx="7">
                  <c:v>86.548000000000002</c:v>
                </c:pt>
                <c:pt idx="8">
                  <c:v>93.567999999999998</c:v>
                </c:pt>
                <c:pt idx="9">
                  <c:v>93.22</c:v>
                </c:pt>
                <c:pt idx="10">
                  <c:v>90.188999999999993</c:v>
                </c:pt>
                <c:pt idx="11">
                  <c:v>84.525999999999996</c:v>
                </c:pt>
                <c:pt idx="12">
                  <c:v>79.037000000000006</c:v>
                </c:pt>
                <c:pt idx="13">
                  <c:v>71.801000000000002</c:v>
                </c:pt>
                <c:pt idx="14">
                  <c:v>67.355000000000004</c:v>
                </c:pt>
                <c:pt idx="15">
                  <c:v>63.475000000000001</c:v>
                </c:pt>
                <c:pt idx="16">
                  <c:v>60.374000000000002</c:v>
                </c:pt>
                <c:pt idx="17">
                  <c:v>58.33</c:v>
                </c:pt>
                <c:pt idx="18">
                  <c:v>58.895000000000003</c:v>
                </c:pt>
                <c:pt idx="19">
                  <c:v>60.749000000000002</c:v>
                </c:pt>
              </c:numCache>
            </c:numRef>
          </c:val>
          <c:smooth val="0"/>
          <c:extLst>
            <c:ext xmlns:c16="http://schemas.microsoft.com/office/drawing/2014/chart" uri="{C3380CC4-5D6E-409C-BE32-E72D297353CC}">
              <c16:uniqueId val="{00000000-77D4-4387-BE36-4945ED3C190A}"/>
            </c:ext>
          </c:extLst>
        </c:ser>
        <c:ser>
          <c:idx val="1"/>
          <c:order val="1"/>
          <c:tx>
            <c:strRef>
              <c:f>List5!$A$59</c:f>
              <c:strCache>
                <c:ptCount val="1"/>
                <c:pt idx="0">
                  <c:v>Technika, výroba a stavebnictví</c:v>
                </c:pt>
              </c:strCache>
            </c:strRef>
          </c:tx>
          <c:spPr>
            <a:ln w="28575" cap="rnd">
              <a:solidFill>
                <a:schemeClr val="tx1">
                  <a:lumMod val="95000"/>
                  <a:lumOff val="5000"/>
                </a:schemeClr>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List5!$B$59:$U$59</c:f>
              <c:numCache>
                <c:formatCode>0.0</c:formatCode>
                <c:ptCount val="20"/>
                <c:pt idx="0">
                  <c:v>51.491</c:v>
                </c:pt>
                <c:pt idx="1">
                  <c:v>52.567</c:v>
                </c:pt>
                <c:pt idx="2">
                  <c:v>56.381999999999998</c:v>
                </c:pt>
                <c:pt idx="3">
                  <c:v>57.54</c:v>
                </c:pt>
                <c:pt idx="4">
                  <c:v>60.197000000000003</c:v>
                </c:pt>
                <c:pt idx="5">
                  <c:v>62.656999999999996</c:v>
                </c:pt>
                <c:pt idx="6">
                  <c:v>63.23</c:v>
                </c:pt>
                <c:pt idx="7">
                  <c:v>63.494999999999997</c:v>
                </c:pt>
                <c:pt idx="8">
                  <c:v>64.849999999999994</c:v>
                </c:pt>
                <c:pt idx="9">
                  <c:v>64.756</c:v>
                </c:pt>
                <c:pt idx="10">
                  <c:v>63.768000000000001</c:v>
                </c:pt>
                <c:pt idx="11">
                  <c:v>61.981999999999999</c:v>
                </c:pt>
                <c:pt idx="12">
                  <c:v>60.44</c:v>
                </c:pt>
                <c:pt idx="13">
                  <c:v>57.137</c:v>
                </c:pt>
                <c:pt idx="14">
                  <c:v>54.055</c:v>
                </c:pt>
                <c:pt idx="15">
                  <c:v>50.99</c:v>
                </c:pt>
                <c:pt idx="16">
                  <c:v>47.984000000000002</c:v>
                </c:pt>
                <c:pt idx="17">
                  <c:v>45.545999999999999</c:v>
                </c:pt>
                <c:pt idx="18">
                  <c:v>42.819000000000003</c:v>
                </c:pt>
                <c:pt idx="19">
                  <c:v>40.642000000000003</c:v>
                </c:pt>
              </c:numCache>
            </c:numRef>
          </c:val>
          <c:smooth val="0"/>
          <c:extLst>
            <c:ext xmlns:c16="http://schemas.microsoft.com/office/drawing/2014/chart" uri="{C3380CC4-5D6E-409C-BE32-E72D297353CC}">
              <c16:uniqueId val="{00000001-77D4-4387-BE36-4945ED3C190A}"/>
            </c:ext>
          </c:extLst>
        </c:ser>
        <c:ser>
          <c:idx val="2"/>
          <c:order val="2"/>
          <c:tx>
            <c:strRef>
              <c:f>List5!$A$60</c:f>
              <c:strCache>
                <c:ptCount val="1"/>
                <c:pt idx="0">
                  <c:v>Zdravotní a soc. péče, péče o příznivé živ. podmínky</c:v>
                </c:pt>
              </c:strCache>
            </c:strRef>
          </c:tx>
          <c:spPr>
            <a:ln w="28575" cap="rnd">
              <a:solidFill>
                <a:srgbClr val="FF0000"/>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List5!$B$60:$U$60</c:f>
              <c:numCache>
                <c:formatCode>0.0</c:formatCode>
                <c:ptCount val="20"/>
                <c:pt idx="0">
                  <c:v>17.73</c:v>
                </c:pt>
                <c:pt idx="1">
                  <c:v>19.510000000000002</c:v>
                </c:pt>
                <c:pt idx="2">
                  <c:v>21.443000000000001</c:v>
                </c:pt>
                <c:pt idx="3">
                  <c:v>23.77</c:v>
                </c:pt>
                <c:pt idx="4">
                  <c:v>25.928999999999998</c:v>
                </c:pt>
                <c:pt idx="5">
                  <c:v>28.72</c:v>
                </c:pt>
                <c:pt idx="6">
                  <c:v>30.581</c:v>
                </c:pt>
                <c:pt idx="7">
                  <c:v>32.460999999999999</c:v>
                </c:pt>
                <c:pt idx="8">
                  <c:v>33.863999999999997</c:v>
                </c:pt>
                <c:pt idx="9">
                  <c:v>35.218000000000004</c:v>
                </c:pt>
                <c:pt idx="10">
                  <c:v>36.225000000000001</c:v>
                </c:pt>
                <c:pt idx="11">
                  <c:v>36.409999999999997</c:v>
                </c:pt>
                <c:pt idx="12">
                  <c:v>36.613</c:v>
                </c:pt>
                <c:pt idx="13">
                  <c:v>35.805999999999997</c:v>
                </c:pt>
                <c:pt idx="14">
                  <c:v>35.753999999999998</c:v>
                </c:pt>
                <c:pt idx="15">
                  <c:v>35.695</c:v>
                </c:pt>
                <c:pt idx="16">
                  <c:v>35.473999999999997</c:v>
                </c:pt>
                <c:pt idx="17">
                  <c:v>34.771000000000001</c:v>
                </c:pt>
                <c:pt idx="18">
                  <c:v>35.768000000000001</c:v>
                </c:pt>
                <c:pt idx="19">
                  <c:v>37.688000000000002</c:v>
                </c:pt>
              </c:numCache>
            </c:numRef>
          </c:val>
          <c:smooth val="0"/>
          <c:extLst>
            <c:ext xmlns:c16="http://schemas.microsoft.com/office/drawing/2014/chart" uri="{C3380CC4-5D6E-409C-BE32-E72D297353CC}">
              <c16:uniqueId val="{00000002-77D4-4387-BE36-4945ED3C190A}"/>
            </c:ext>
          </c:extLst>
        </c:ser>
        <c:ser>
          <c:idx val="3"/>
          <c:order val="3"/>
          <c:tx>
            <c:strRef>
              <c:f>List5!$A$61</c:f>
              <c:strCache>
                <c:ptCount val="1"/>
                <c:pt idx="0">
                  <c:v>Vzdělávání a výchova </c:v>
                </c:pt>
              </c:strCache>
            </c:strRef>
          </c:tx>
          <c:spPr>
            <a:ln w="28575" cap="rnd">
              <a:solidFill>
                <a:srgbClr val="FFC000"/>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List5!$B$61:$U$61</c:f>
              <c:numCache>
                <c:formatCode>0.0</c:formatCode>
                <c:ptCount val="20"/>
                <c:pt idx="0">
                  <c:v>31.664999999999999</c:v>
                </c:pt>
                <c:pt idx="1">
                  <c:v>32.667000000000002</c:v>
                </c:pt>
                <c:pt idx="2">
                  <c:v>34.442999999999998</c:v>
                </c:pt>
                <c:pt idx="3">
                  <c:v>36.534999999999997</c:v>
                </c:pt>
                <c:pt idx="4">
                  <c:v>39.113999999999997</c:v>
                </c:pt>
                <c:pt idx="5">
                  <c:v>41.222000000000001</c:v>
                </c:pt>
                <c:pt idx="6">
                  <c:v>44.198</c:v>
                </c:pt>
                <c:pt idx="7">
                  <c:v>45.780999999999999</c:v>
                </c:pt>
                <c:pt idx="8">
                  <c:v>46.277000000000001</c:v>
                </c:pt>
                <c:pt idx="9">
                  <c:v>46.127000000000002</c:v>
                </c:pt>
                <c:pt idx="10">
                  <c:v>44.563000000000002</c:v>
                </c:pt>
                <c:pt idx="11">
                  <c:v>41.728000000000002</c:v>
                </c:pt>
                <c:pt idx="12">
                  <c:v>39.423999999999999</c:v>
                </c:pt>
                <c:pt idx="13">
                  <c:v>37.578000000000003</c:v>
                </c:pt>
                <c:pt idx="14">
                  <c:v>33.762999999999998</c:v>
                </c:pt>
                <c:pt idx="15">
                  <c:v>32.109000000000002</c:v>
                </c:pt>
                <c:pt idx="16">
                  <c:v>30.928000000000001</c:v>
                </c:pt>
                <c:pt idx="17">
                  <c:v>30.742000000000001</c:v>
                </c:pt>
                <c:pt idx="18">
                  <c:v>32.405000000000001</c:v>
                </c:pt>
                <c:pt idx="19">
                  <c:v>34.720999999999997</c:v>
                </c:pt>
              </c:numCache>
            </c:numRef>
          </c:val>
          <c:smooth val="0"/>
          <c:extLst>
            <c:ext xmlns:c16="http://schemas.microsoft.com/office/drawing/2014/chart" uri="{C3380CC4-5D6E-409C-BE32-E72D297353CC}">
              <c16:uniqueId val="{00000003-77D4-4387-BE36-4945ED3C190A}"/>
            </c:ext>
          </c:extLst>
        </c:ser>
        <c:ser>
          <c:idx val="4"/>
          <c:order val="4"/>
          <c:tx>
            <c:strRef>
              <c:f>List5!$A$62</c:f>
              <c:strCache>
                <c:ptCount val="1"/>
                <c:pt idx="0">
                  <c:v>Umění a humanitní vědy </c:v>
                </c:pt>
              </c:strCache>
            </c:strRef>
          </c:tx>
          <c:spPr>
            <a:ln w="28575" cap="rnd">
              <a:solidFill>
                <a:srgbClr val="CC3399"/>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List5!$B$62:$U$62</c:f>
              <c:numCache>
                <c:formatCode>0.0</c:formatCode>
                <c:ptCount val="20"/>
                <c:pt idx="0">
                  <c:v>18.04</c:v>
                </c:pt>
                <c:pt idx="1">
                  <c:v>19.821999999999999</c:v>
                </c:pt>
                <c:pt idx="2">
                  <c:v>21.914999999999999</c:v>
                </c:pt>
                <c:pt idx="3">
                  <c:v>23.815999999999999</c:v>
                </c:pt>
                <c:pt idx="4">
                  <c:v>25.771999999999998</c:v>
                </c:pt>
                <c:pt idx="5">
                  <c:v>28.286999999999999</c:v>
                </c:pt>
                <c:pt idx="6">
                  <c:v>30.992999999999999</c:v>
                </c:pt>
                <c:pt idx="7">
                  <c:v>33.761000000000003</c:v>
                </c:pt>
                <c:pt idx="8">
                  <c:v>36.204999999999998</c:v>
                </c:pt>
                <c:pt idx="9">
                  <c:v>37.146000000000001</c:v>
                </c:pt>
                <c:pt idx="10">
                  <c:v>37.348999999999997</c:v>
                </c:pt>
                <c:pt idx="11">
                  <c:v>36.76</c:v>
                </c:pt>
                <c:pt idx="12">
                  <c:v>35.683999999999997</c:v>
                </c:pt>
                <c:pt idx="13">
                  <c:v>34.186999999999998</c:v>
                </c:pt>
                <c:pt idx="14">
                  <c:v>32.801000000000002</c:v>
                </c:pt>
                <c:pt idx="15">
                  <c:v>31.074999999999999</c:v>
                </c:pt>
                <c:pt idx="16">
                  <c:v>29.745000000000001</c:v>
                </c:pt>
                <c:pt idx="17">
                  <c:v>28.670999999999999</c:v>
                </c:pt>
                <c:pt idx="18">
                  <c:v>28.026</c:v>
                </c:pt>
                <c:pt idx="19">
                  <c:v>29.417000000000002</c:v>
                </c:pt>
              </c:numCache>
            </c:numRef>
          </c:val>
          <c:smooth val="0"/>
          <c:extLst>
            <c:ext xmlns:c16="http://schemas.microsoft.com/office/drawing/2014/chart" uri="{C3380CC4-5D6E-409C-BE32-E72D297353CC}">
              <c16:uniqueId val="{00000004-77D4-4387-BE36-4945ED3C190A}"/>
            </c:ext>
          </c:extLst>
        </c:ser>
        <c:ser>
          <c:idx val="5"/>
          <c:order val="5"/>
          <c:tx>
            <c:strRef>
              <c:f>List5!$A$63</c:f>
              <c:strCache>
                <c:ptCount val="1"/>
                <c:pt idx="0">
                  <c:v>Společenské vědy, žurnalistika a informační vědy</c:v>
                </c:pt>
              </c:strCache>
            </c:strRef>
          </c:tx>
          <c:spPr>
            <a:ln w="28575" cap="rnd">
              <a:solidFill>
                <a:schemeClr val="bg2">
                  <a:lumMod val="50000"/>
                </a:schemeClr>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List5!$B$63:$U$63</c:f>
              <c:numCache>
                <c:formatCode>0.0</c:formatCode>
                <c:ptCount val="20"/>
                <c:pt idx="0">
                  <c:v>16.341000000000001</c:v>
                </c:pt>
                <c:pt idx="1">
                  <c:v>18.306000000000001</c:v>
                </c:pt>
                <c:pt idx="2">
                  <c:v>21.562999999999999</c:v>
                </c:pt>
                <c:pt idx="3">
                  <c:v>24.170999999999999</c:v>
                </c:pt>
                <c:pt idx="4">
                  <c:v>26.838000000000001</c:v>
                </c:pt>
                <c:pt idx="5">
                  <c:v>30.228999999999999</c:v>
                </c:pt>
                <c:pt idx="6">
                  <c:v>33.332000000000001</c:v>
                </c:pt>
                <c:pt idx="7">
                  <c:v>38.216999999999999</c:v>
                </c:pt>
                <c:pt idx="8">
                  <c:v>42.345999999999997</c:v>
                </c:pt>
                <c:pt idx="9">
                  <c:v>43.953000000000003</c:v>
                </c:pt>
                <c:pt idx="10">
                  <c:v>43.651000000000003</c:v>
                </c:pt>
                <c:pt idx="11">
                  <c:v>42.616999999999997</c:v>
                </c:pt>
                <c:pt idx="12">
                  <c:v>40.331000000000003</c:v>
                </c:pt>
                <c:pt idx="13">
                  <c:v>37.292999999999999</c:v>
                </c:pt>
                <c:pt idx="14">
                  <c:v>34.216000000000001</c:v>
                </c:pt>
                <c:pt idx="15">
                  <c:v>32.116999999999997</c:v>
                </c:pt>
                <c:pt idx="16">
                  <c:v>30.346</c:v>
                </c:pt>
                <c:pt idx="17">
                  <c:v>28.826000000000001</c:v>
                </c:pt>
                <c:pt idx="18">
                  <c:v>28.061</c:v>
                </c:pt>
                <c:pt idx="19">
                  <c:v>28.623000000000001</c:v>
                </c:pt>
              </c:numCache>
            </c:numRef>
          </c:val>
          <c:smooth val="0"/>
          <c:extLst>
            <c:ext xmlns:c16="http://schemas.microsoft.com/office/drawing/2014/chart" uri="{C3380CC4-5D6E-409C-BE32-E72D297353CC}">
              <c16:uniqueId val="{00000005-77D4-4387-BE36-4945ED3C190A}"/>
            </c:ext>
          </c:extLst>
        </c:ser>
        <c:ser>
          <c:idx val="6"/>
          <c:order val="6"/>
          <c:tx>
            <c:strRef>
              <c:f>List5!$A$64</c:f>
              <c:strCache>
                <c:ptCount val="1"/>
                <c:pt idx="0">
                  <c:v>Přírodní vědy, matematika a statistika</c:v>
                </c:pt>
              </c:strCache>
            </c:strRef>
          </c:tx>
          <c:spPr>
            <a:ln w="28575" cap="rnd">
              <a:solidFill>
                <a:schemeClr val="bg2">
                  <a:lumMod val="75000"/>
                </a:schemeClr>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List5!$B$64:$U$64</c:f>
              <c:numCache>
                <c:formatCode>0.0</c:formatCode>
                <c:ptCount val="20"/>
                <c:pt idx="0">
                  <c:v>11.534000000000001</c:v>
                </c:pt>
                <c:pt idx="1">
                  <c:v>12.794</c:v>
                </c:pt>
                <c:pt idx="2">
                  <c:v>14.077999999999999</c:v>
                </c:pt>
                <c:pt idx="3">
                  <c:v>15.135999999999999</c:v>
                </c:pt>
                <c:pt idx="4">
                  <c:v>16.893000000000001</c:v>
                </c:pt>
                <c:pt idx="5">
                  <c:v>18.352</c:v>
                </c:pt>
                <c:pt idx="6">
                  <c:v>19.437000000000001</c:v>
                </c:pt>
                <c:pt idx="7">
                  <c:v>20.128</c:v>
                </c:pt>
                <c:pt idx="8">
                  <c:v>20.759</c:v>
                </c:pt>
                <c:pt idx="9">
                  <c:v>21.800999999999998</c:v>
                </c:pt>
                <c:pt idx="10">
                  <c:v>21.861000000000001</c:v>
                </c:pt>
                <c:pt idx="11">
                  <c:v>21.954000000000001</c:v>
                </c:pt>
                <c:pt idx="12">
                  <c:v>22.24</c:v>
                </c:pt>
                <c:pt idx="13">
                  <c:v>21.722000000000001</c:v>
                </c:pt>
                <c:pt idx="14">
                  <c:v>20.452000000000002</c:v>
                </c:pt>
                <c:pt idx="15">
                  <c:v>19.366</c:v>
                </c:pt>
                <c:pt idx="16">
                  <c:v>18.920999999999999</c:v>
                </c:pt>
                <c:pt idx="17">
                  <c:v>18.574999999999999</c:v>
                </c:pt>
                <c:pt idx="18">
                  <c:v>19.64</c:v>
                </c:pt>
                <c:pt idx="19">
                  <c:v>21.753</c:v>
                </c:pt>
              </c:numCache>
            </c:numRef>
          </c:val>
          <c:smooth val="0"/>
          <c:extLst>
            <c:ext xmlns:c16="http://schemas.microsoft.com/office/drawing/2014/chart" uri="{C3380CC4-5D6E-409C-BE32-E72D297353CC}">
              <c16:uniqueId val="{00000006-77D4-4387-BE36-4945ED3C190A}"/>
            </c:ext>
          </c:extLst>
        </c:ser>
        <c:ser>
          <c:idx val="7"/>
          <c:order val="7"/>
          <c:tx>
            <c:strRef>
              <c:f>List5!$A$65</c:f>
              <c:strCache>
                <c:ptCount val="1"/>
                <c:pt idx="0">
                  <c:v>Informační a komunikační technologie (ICT)</c:v>
                </c:pt>
              </c:strCache>
            </c:strRef>
          </c:tx>
          <c:spPr>
            <a:ln w="28575" cap="rnd">
              <a:solidFill>
                <a:srgbClr val="85EEFF"/>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List5!$B$65:$U$65</c:f>
              <c:numCache>
                <c:formatCode>0.0</c:formatCode>
                <c:ptCount val="20"/>
                <c:pt idx="0">
                  <c:v>7.5279999999999996</c:v>
                </c:pt>
                <c:pt idx="1">
                  <c:v>10.082000000000001</c:v>
                </c:pt>
                <c:pt idx="2">
                  <c:v>12.685</c:v>
                </c:pt>
                <c:pt idx="3">
                  <c:v>14.888999999999999</c:v>
                </c:pt>
                <c:pt idx="4">
                  <c:v>16.945</c:v>
                </c:pt>
                <c:pt idx="5">
                  <c:v>19.001000000000001</c:v>
                </c:pt>
                <c:pt idx="6">
                  <c:v>21.161999999999999</c:v>
                </c:pt>
                <c:pt idx="7">
                  <c:v>23.141999999999999</c:v>
                </c:pt>
                <c:pt idx="8">
                  <c:v>24.83</c:v>
                </c:pt>
                <c:pt idx="9">
                  <c:v>25.709</c:v>
                </c:pt>
                <c:pt idx="10">
                  <c:v>25.797000000000001</c:v>
                </c:pt>
                <c:pt idx="11">
                  <c:v>25.198</c:v>
                </c:pt>
                <c:pt idx="12">
                  <c:v>24.731000000000002</c:v>
                </c:pt>
                <c:pt idx="13">
                  <c:v>23.308</c:v>
                </c:pt>
                <c:pt idx="14">
                  <c:v>21.483000000000001</c:v>
                </c:pt>
                <c:pt idx="15">
                  <c:v>20.503</c:v>
                </c:pt>
                <c:pt idx="16">
                  <c:v>19.986000000000001</c:v>
                </c:pt>
                <c:pt idx="17">
                  <c:v>20.048999999999999</c:v>
                </c:pt>
                <c:pt idx="18">
                  <c:v>20.366</c:v>
                </c:pt>
                <c:pt idx="19">
                  <c:v>21.66</c:v>
                </c:pt>
              </c:numCache>
            </c:numRef>
          </c:val>
          <c:smooth val="0"/>
          <c:extLst>
            <c:ext xmlns:c16="http://schemas.microsoft.com/office/drawing/2014/chart" uri="{C3380CC4-5D6E-409C-BE32-E72D297353CC}">
              <c16:uniqueId val="{00000007-77D4-4387-BE36-4945ED3C190A}"/>
            </c:ext>
          </c:extLst>
        </c:ser>
        <c:ser>
          <c:idx val="8"/>
          <c:order val="8"/>
          <c:tx>
            <c:strRef>
              <c:f>List5!$A$66</c:f>
              <c:strCache>
                <c:ptCount val="1"/>
                <c:pt idx="0">
                  <c:v>Služby</c:v>
                </c:pt>
              </c:strCache>
            </c:strRef>
          </c:tx>
          <c:spPr>
            <a:ln w="28575" cap="rnd">
              <a:solidFill>
                <a:srgbClr val="FF99FF"/>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List5!$B$66:$U$66</c:f>
              <c:numCache>
                <c:formatCode>0.0</c:formatCode>
                <c:ptCount val="20"/>
                <c:pt idx="0">
                  <c:v>5.95</c:v>
                </c:pt>
                <c:pt idx="1">
                  <c:v>7.6459999999999999</c:v>
                </c:pt>
                <c:pt idx="2">
                  <c:v>9.3889999999999993</c:v>
                </c:pt>
                <c:pt idx="3">
                  <c:v>11.071999999999999</c:v>
                </c:pt>
                <c:pt idx="4">
                  <c:v>12.932</c:v>
                </c:pt>
                <c:pt idx="5">
                  <c:v>15.032999999999999</c:v>
                </c:pt>
                <c:pt idx="6">
                  <c:v>17.448</c:v>
                </c:pt>
                <c:pt idx="7">
                  <c:v>19.457000000000001</c:v>
                </c:pt>
                <c:pt idx="8">
                  <c:v>20.867999999999999</c:v>
                </c:pt>
                <c:pt idx="9">
                  <c:v>21.992999999999999</c:v>
                </c:pt>
                <c:pt idx="10">
                  <c:v>22.178000000000001</c:v>
                </c:pt>
                <c:pt idx="11">
                  <c:v>21.878</c:v>
                </c:pt>
                <c:pt idx="12">
                  <c:v>21.751999999999999</c:v>
                </c:pt>
                <c:pt idx="13">
                  <c:v>20.393999999999998</c:v>
                </c:pt>
                <c:pt idx="14">
                  <c:v>18.939</c:v>
                </c:pt>
                <c:pt idx="15">
                  <c:v>17.798999999999999</c:v>
                </c:pt>
                <c:pt idx="16">
                  <c:v>16.864999999999998</c:v>
                </c:pt>
                <c:pt idx="17">
                  <c:v>16.071999999999999</c:v>
                </c:pt>
                <c:pt idx="18">
                  <c:v>14.776999999999999</c:v>
                </c:pt>
                <c:pt idx="19">
                  <c:v>16.416</c:v>
                </c:pt>
              </c:numCache>
            </c:numRef>
          </c:val>
          <c:smooth val="0"/>
          <c:extLst>
            <c:ext xmlns:c16="http://schemas.microsoft.com/office/drawing/2014/chart" uri="{C3380CC4-5D6E-409C-BE32-E72D297353CC}">
              <c16:uniqueId val="{00000008-77D4-4387-BE36-4945ED3C190A}"/>
            </c:ext>
          </c:extLst>
        </c:ser>
        <c:ser>
          <c:idx val="9"/>
          <c:order val="9"/>
          <c:tx>
            <c:strRef>
              <c:f>List5!$A$67</c:f>
              <c:strCache>
                <c:ptCount val="1"/>
                <c:pt idx="0">
                  <c:v>Zemědělství, lesnictví, rybářství a veterinářství</c:v>
                </c:pt>
              </c:strCache>
            </c:strRef>
          </c:tx>
          <c:spPr>
            <a:ln w="28575" cap="rnd">
              <a:solidFill>
                <a:srgbClr val="92D050"/>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List5!$B$67:$U$67</c:f>
              <c:numCache>
                <c:formatCode>0.0</c:formatCode>
                <c:ptCount val="20"/>
                <c:pt idx="0">
                  <c:v>7.8490000000000002</c:v>
                </c:pt>
                <c:pt idx="1">
                  <c:v>8.4550000000000001</c:v>
                </c:pt>
                <c:pt idx="2">
                  <c:v>9.3219999999999992</c:v>
                </c:pt>
                <c:pt idx="3">
                  <c:v>10.161</c:v>
                </c:pt>
                <c:pt idx="4">
                  <c:v>10.952999999999999</c:v>
                </c:pt>
                <c:pt idx="5">
                  <c:v>11.678000000000001</c:v>
                </c:pt>
                <c:pt idx="6">
                  <c:v>12.117000000000001</c:v>
                </c:pt>
                <c:pt idx="7">
                  <c:v>12.978999999999999</c:v>
                </c:pt>
                <c:pt idx="8">
                  <c:v>13.519</c:v>
                </c:pt>
                <c:pt idx="9">
                  <c:v>13.853</c:v>
                </c:pt>
                <c:pt idx="10">
                  <c:v>13.847</c:v>
                </c:pt>
                <c:pt idx="11">
                  <c:v>14.189</c:v>
                </c:pt>
                <c:pt idx="12">
                  <c:v>13.263</c:v>
                </c:pt>
                <c:pt idx="13">
                  <c:v>12.778</c:v>
                </c:pt>
                <c:pt idx="14">
                  <c:v>12.295</c:v>
                </c:pt>
                <c:pt idx="15">
                  <c:v>12.205</c:v>
                </c:pt>
                <c:pt idx="16">
                  <c:v>11.804</c:v>
                </c:pt>
                <c:pt idx="17">
                  <c:v>11.295999999999999</c:v>
                </c:pt>
                <c:pt idx="18">
                  <c:v>11.079000000000001</c:v>
                </c:pt>
                <c:pt idx="19">
                  <c:v>11.644</c:v>
                </c:pt>
              </c:numCache>
            </c:numRef>
          </c:val>
          <c:smooth val="0"/>
          <c:extLst>
            <c:ext xmlns:c16="http://schemas.microsoft.com/office/drawing/2014/chart" uri="{C3380CC4-5D6E-409C-BE32-E72D297353CC}">
              <c16:uniqueId val="{00000009-77D4-4387-BE36-4945ED3C190A}"/>
            </c:ext>
          </c:extLst>
        </c:ser>
        <c:dLbls>
          <c:showLegendKey val="0"/>
          <c:showVal val="0"/>
          <c:showCatName val="0"/>
          <c:showSerName val="0"/>
          <c:showPercent val="0"/>
          <c:showBubbleSize val="0"/>
        </c:dLbls>
        <c:smooth val="0"/>
        <c:axId val="1388686911"/>
        <c:axId val="1388680255"/>
      </c:lineChart>
      <c:catAx>
        <c:axId val="138868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388680255"/>
        <c:crosses val="autoZero"/>
        <c:auto val="1"/>
        <c:lblAlgn val="ctr"/>
        <c:lblOffset val="100"/>
        <c:noMultiLvlLbl val="0"/>
      </c:catAx>
      <c:valAx>
        <c:axId val="1388680255"/>
        <c:scaling>
          <c:orientation val="minMax"/>
          <c:max val="9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388686911"/>
        <c:crosses val="autoZero"/>
        <c:crossBetween val="between"/>
        <c:majorUnit val="10"/>
      </c:valAx>
      <c:spPr>
        <a:noFill/>
        <a:ln>
          <a:noFill/>
        </a:ln>
        <a:effectLst/>
      </c:spPr>
    </c:plotArea>
    <c:legend>
      <c:legendPos val="b"/>
      <c:layout>
        <c:manualLayout>
          <c:xMode val="edge"/>
          <c:yMode val="edge"/>
          <c:x val="1.79636920384952E-2"/>
          <c:y val="0.84686173051897928"/>
          <c:w val="0.98203630796150476"/>
          <c:h val="0.136471646926487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78204054280458E-2"/>
          <c:y val="5.5118770531042111E-2"/>
          <c:w val="0.97712179594571957"/>
          <c:h val="0.48036889506458752"/>
        </c:manualLayout>
      </c:layout>
      <c:barChart>
        <c:barDir val="col"/>
        <c:grouping val="stacked"/>
        <c:varyColors val="0"/>
        <c:ser>
          <c:idx val="0"/>
          <c:order val="0"/>
          <c:tx>
            <c:strRef>
              <c:f>grafy!$O$318</c:f>
              <c:strCache>
                <c:ptCount val="1"/>
                <c:pt idx="0">
                  <c:v>studenti ve věku 20-29 let (tis. osob)</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50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grafy!$N$319:$N$332</c:f>
              <c:strCache>
                <c:ptCount val="14"/>
                <c:pt idx="0">
                  <c:v>Moravskoslezský </c:v>
                </c:pt>
                <c:pt idx="1">
                  <c:v>Plzeňský </c:v>
                </c:pt>
                <c:pt idx="2">
                  <c:v>Jihomoravský </c:v>
                </c:pt>
                <c:pt idx="3">
                  <c:v>Zlínský </c:v>
                </c:pt>
                <c:pt idx="4">
                  <c:v>Středočeský </c:v>
                </c:pt>
                <c:pt idx="5">
                  <c:v>Pardubický </c:v>
                </c:pt>
                <c:pt idx="6">
                  <c:v>Olomoucký </c:v>
                </c:pt>
                <c:pt idx="7">
                  <c:v>Hl. m. Praha</c:v>
                </c:pt>
                <c:pt idx="8">
                  <c:v>Vysočina</c:v>
                </c:pt>
                <c:pt idx="9">
                  <c:v>Jihočeský </c:v>
                </c:pt>
                <c:pt idx="10">
                  <c:v>Královéhradecký </c:v>
                </c:pt>
                <c:pt idx="11">
                  <c:v>Karlovarský </c:v>
                </c:pt>
                <c:pt idx="12">
                  <c:v>Liberecký </c:v>
                </c:pt>
                <c:pt idx="13">
                  <c:v>Ústecký </c:v>
                </c:pt>
              </c:strCache>
            </c:strRef>
          </c:cat>
          <c:val>
            <c:numRef>
              <c:f>grafy!$O$319:$O$332</c:f>
              <c:numCache>
                <c:formatCode>0.0</c:formatCode>
                <c:ptCount val="14"/>
                <c:pt idx="0">
                  <c:v>23.931999999999999</c:v>
                </c:pt>
                <c:pt idx="1">
                  <c:v>9.0609999999999999</c:v>
                </c:pt>
                <c:pt idx="2">
                  <c:v>21.88</c:v>
                </c:pt>
                <c:pt idx="3">
                  <c:v>12.45</c:v>
                </c:pt>
                <c:pt idx="4">
                  <c:v>23.279</c:v>
                </c:pt>
                <c:pt idx="5">
                  <c:v>9.7040000000000006</c:v>
                </c:pt>
                <c:pt idx="6">
                  <c:v>12.276</c:v>
                </c:pt>
                <c:pt idx="7">
                  <c:v>25.55</c:v>
                </c:pt>
                <c:pt idx="8">
                  <c:v>10.576000000000001</c:v>
                </c:pt>
                <c:pt idx="9">
                  <c:v>12.942</c:v>
                </c:pt>
                <c:pt idx="10">
                  <c:v>10.455</c:v>
                </c:pt>
                <c:pt idx="11">
                  <c:v>3.8879999999999999</c:v>
                </c:pt>
                <c:pt idx="12">
                  <c:v>6.9459999999999997</c:v>
                </c:pt>
                <c:pt idx="13">
                  <c:v>11.365</c:v>
                </c:pt>
              </c:numCache>
            </c:numRef>
          </c:val>
          <c:extLst>
            <c:ext xmlns:c16="http://schemas.microsoft.com/office/drawing/2014/chart" uri="{C3380CC4-5D6E-409C-BE32-E72D297353CC}">
              <c16:uniqueId val="{00000000-DCB7-42F7-A23E-BB162964DA85}"/>
            </c:ext>
          </c:extLst>
        </c:ser>
        <c:ser>
          <c:idx val="1"/>
          <c:order val="1"/>
          <c:tx>
            <c:strRef>
              <c:f>grafy!$P$318</c:f>
              <c:strCache>
                <c:ptCount val="1"/>
                <c:pt idx="0">
                  <c:v>ostatní studenti (tis. osob)</c:v>
                </c:pt>
              </c:strCache>
            </c:strRef>
          </c:tx>
          <c:spPr>
            <a:solidFill>
              <a:schemeClr val="accent2">
                <a:lumMod val="40000"/>
                <a:lumOff val="60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rgbClr val="B1510F"/>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grafy!$N$319:$N$332</c:f>
              <c:strCache>
                <c:ptCount val="14"/>
                <c:pt idx="0">
                  <c:v>Moravskoslezský </c:v>
                </c:pt>
                <c:pt idx="1">
                  <c:v>Plzeňský </c:v>
                </c:pt>
                <c:pt idx="2">
                  <c:v>Jihomoravský </c:v>
                </c:pt>
                <c:pt idx="3">
                  <c:v>Zlínský </c:v>
                </c:pt>
                <c:pt idx="4">
                  <c:v>Středočeský </c:v>
                </c:pt>
                <c:pt idx="5">
                  <c:v>Pardubický </c:v>
                </c:pt>
                <c:pt idx="6">
                  <c:v>Olomoucký </c:v>
                </c:pt>
                <c:pt idx="7">
                  <c:v>Hl. m. Praha</c:v>
                </c:pt>
                <c:pt idx="8">
                  <c:v>Vysočina</c:v>
                </c:pt>
                <c:pt idx="9">
                  <c:v>Jihočeský </c:v>
                </c:pt>
                <c:pt idx="10">
                  <c:v>Královéhradecký </c:v>
                </c:pt>
                <c:pt idx="11">
                  <c:v>Karlovarský </c:v>
                </c:pt>
                <c:pt idx="12">
                  <c:v>Liberecký </c:v>
                </c:pt>
                <c:pt idx="13">
                  <c:v>Ústecký </c:v>
                </c:pt>
              </c:strCache>
            </c:strRef>
          </c:cat>
          <c:val>
            <c:numRef>
              <c:f>grafy!$P$319:$P$332</c:f>
              <c:numCache>
                <c:formatCode>0.0</c:formatCode>
                <c:ptCount val="14"/>
                <c:pt idx="0">
                  <c:v>6.8360000000000021</c:v>
                </c:pt>
                <c:pt idx="1">
                  <c:v>2.6280000000000001</c:v>
                </c:pt>
                <c:pt idx="2">
                  <c:v>6.3130000000000024</c:v>
                </c:pt>
                <c:pt idx="3">
                  <c:v>3.0860000000000003</c:v>
                </c:pt>
                <c:pt idx="4">
                  <c:v>8.0249999999999986</c:v>
                </c:pt>
                <c:pt idx="5">
                  <c:v>2.5229999999999997</c:v>
                </c:pt>
                <c:pt idx="6">
                  <c:v>3.7170000000000005</c:v>
                </c:pt>
                <c:pt idx="7">
                  <c:v>10.011999999999997</c:v>
                </c:pt>
                <c:pt idx="8">
                  <c:v>2.4659999999999993</c:v>
                </c:pt>
                <c:pt idx="9">
                  <c:v>3.4710000000000001</c:v>
                </c:pt>
                <c:pt idx="10">
                  <c:v>2.6690000000000005</c:v>
                </c:pt>
                <c:pt idx="11">
                  <c:v>1.1959999999999997</c:v>
                </c:pt>
                <c:pt idx="12">
                  <c:v>2.0300000000000011</c:v>
                </c:pt>
                <c:pt idx="13">
                  <c:v>3.9909999999999997</c:v>
                </c:pt>
              </c:numCache>
            </c:numRef>
          </c:val>
          <c:extLst>
            <c:ext xmlns:c16="http://schemas.microsoft.com/office/drawing/2014/chart" uri="{C3380CC4-5D6E-409C-BE32-E72D297353CC}">
              <c16:uniqueId val="{00000001-DCB7-42F7-A23E-BB162964DA85}"/>
            </c:ext>
          </c:extLst>
        </c:ser>
        <c:dLbls>
          <c:showLegendKey val="0"/>
          <c:showVal val="0"/>
          <c:showCatName val="0"/>
          <c:showSerName val="0"/>
          <c:showPercent val="0"/>
          <c:showBubbleSize val="0"/>
        </c:dLbls>
        <c:gapWidth val="27"/>
        <c:overlap val="100"/>
        <c:axId val="168496480"/>
        <c:axId val="168484416"/>
      </c:barChart>
      <c:scatterChart>
        <c:scatterStyle val="lineMarker"/>
        <c:varyColors val="0"/>
        <c:ser>
          <c:idx val="2"/>
          <c:order val="2"/>
          <c:tx>
            <c:strRef>
              <c:f>grafy!$Q$318</c:f>
              <c:strCache>
                <c:ptCount val="1"/>
                <c:pt idx="0">
                  <c:v>podíl studentů ve věkové kohortě 20-29 let (%)</c:v>
                </c:pt>
              </c:strCache>
            </c:strRef>
          </c:tx>
          <c:spPr>
            <a:ln w="25400" cap="rnd">
              <a:noFill/>
              <a:round/>
            </a:ln>
            <a:effectLst/>
          </c:spPr>
          <c:marker>
            <c:symbol val="circle"/>
            <c:size val="5"/>
            <c:spPr>
              <a:solidFill>
                <a:schemeClr val="accent6">
                  <a:lumMod val="50000"/>
                </a:schemeClr>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accent6">
                        <a:lumMod val="50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grafy!$N$319:$N$332</c:f>
              <c:strCache>
                <c:ptCount val="14"/>
                <c:pt idx="0">
                  <c:v>Moravskoslezský </c:v>
                </c:pt>
                <c:pt idx="1">
                  <c:v>Plzeňský </c:v>
                </c:pt>
                <c:pt idx="2">
                  <c:v>Jihomoravský </c:v>
                </c:pt>
                <c:pt idx="3">
                  <c:v>Zlínský </c:v>
                </c:pt>
                <c:pt idx="4">
                  <c:v>Středočeský </c:v>
                </c:pt>
                <c:pt idx="5">
                  <c:v>Pardubický </c:v>
                </c:pt>
                <c:pt idx="6">
                  <c:v>Olomoucký </c:v>
                </c:pt>
                <c:pt idx="7">
                  <c:v>Hl. m. Praha</c:v>
                </c:pt>
                <c:pt idx="8">
                  <c:v>Vysočina</c:v>
                </c:pt>
                <c:pt idx="9">
                  <c:v>Jihočeský </c:v>
                </c:pt>
                <c:pt idx="10">
                  <c:v>Královéhradecký </c:v>
                </c:pt>
                <c:pt idx="11">
                  <c:v>Karlovarský </c:v>
                </c:pt>
                <c:pt idx="12">
                  <c:v>Liberecký </c:v>
                </c:pt>
                <c:pt idx="13">
                  <c:v>Ústecký </c:v>
                </c:pt>
              </c:strCache>
            </c:strRef>
          </c:xVal>
          <c:yVal>
            <c:numRef>
              <c:f>grafy!$Q$319:$Q$332</c:f>
              <c:numCache>
                <c:formatCode>0.0</c:formatCode>
                <c:ptCount val="14"/>
                <c:pt idx="0">
                  <c:v>20.760034016441281</c:v>
                </c:pt>
                <c:pt idx="1">
                  <c:v>19.532146091156051</c:v>
                </c:pt>
                <c:pt idx="2">
                  <c:v>19.326072655507641</c:v>
                </c:pt>
                <c:pt idx="3">
                  <c:v>18.996626535854663</c:v>
                </c:pt>
                <c:pt idx="4">
                  <c:v>18.884519867549667</c:v>
                </c:pt>
                <c:pt idx="5">
                  <c:v>18.366916712049612</c:v>
                </c:pt>
                <c:pt idx="6">
                  <c:v>18.01030571423868</c:v>
                </c:pt>
                <c:pt idx="7">
                  <c:v>17.682727616066106</c:v>
                </c:pt>
                <c:pt idx="8">
                  <c:v>17.327333761874154</c:v>
                </c:pt>
                <c:pt idx="9">
                  <c:v>17.271978572329516</c:v>
                </c:pt>
                <c:pt idx="10">
                  <c:v>15.078693150982309</c:v>
                </c:pt>
                <c:pt idx="11">
                  <c:v>15.072275728995127</c:v>
                </c:pt>
                <c:pt idx="12">
                  <c:v>13.216038328255458</c:v>
                </c:pt>
                <c:pt idx="13">
                  <c:v>12.93112049755546</c:v>
                </c:pt>
              </c:numCache>
            </c:numRef>
          </c:yVal>
          <c:smooth val="0"/>
          <c:extLst>
            <c:ext xmlns:c16="http://schemas.microsoft.com/office/drawing/2014/chart" uri="{C3380CC4-5D6E-409C-BE32-E72D297353CC}">
              <c16:uniqueId val="{00000002-DCB7-42F7-A23E-BB162964DA85}"/>
            </c:ext>
          </c:extLst>
        </c:ser>
        <c:dLbls>
          <c:showLegendKey val="0"/>
          <c:showVal val="0"/>
          <c:showCatName val="0"/>
          <c:showSerName val="0"/>
          <c:showPercent val="0"/>
          <c:showBubbleSize val="0"/>
        </c:dLbls>
        <c:axId val="168478592"/>
        <c:axId val="168476096"/>
      </c:scatterChart>
      <c:catAx>
        <c:axId val="16849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8484416"/>
        <c:crosses val="autoZero"/>
        <c:auto val="1"/>
        <c:lblAlgn val="ctr"/>
        <c:lblOffset val="100"/>
        <c:noMultiLvlLbl val="0"/>
      </c:catAx>
      <c:valAx>
        <c:axId val="168484416"/>
        <c:scaling>
          <c:orientation val="minMax"/>
        </c:scaling>
        <c:delete val="0"/>
        <c:axPos val="l"/>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8496480"/>
        <c:crosses val="autoZero"/>
        <c:crossBetween val="between"/>
      </c:valAx>
      <c:valAx>
        <c:axId val="168476096"/>
        <c:scaling>
          <c:orientation val="minMax"/>
          <c:max val="21"/>
          <c:min val="0"/>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1" u="none" strike="noStrike" kern="1200" baseline="0">
                <a:solidFill>
                  <a:schemeClr val="accent6">
                    <a:lumMod val="50000"/>
                  </a:schemeClr>
                </a:solidFill>
                <a:latin typeface="+mn-lt"/>
                <a:ea typeface="+mn-ea"/>
                <a:cs typeface="+mn-cs"/>
              </a:defRPr>
            </a:pPr>
            <a:endParaRPr lang="cs-CZ"/>
          </a:p>
        </c:txPr>
        <c:crossAx val="168478592"/>
        <c:crosses val="max"/>
        <c:crossBetween val="midCat"/>
      </c:valAx>
      <c:valAx>
        <c:axId val="168478592"/>
        <c:scaling>
          <c:orientation val="minMax"/>
        </c:scaling>
        <c:delete val="1"/>
        <c:axPos val="b"/>
        <c:majorTickMark val="out"/>
        <c:minorTickMark val="none"/>
        <c:tickLblPos val="nextTo"/>
        <c:crossAx val="168476096"/>
        <c:crosses val="autoZero"/>
        <c:crossBetween val="midCat"/>
      </c:valAx>
      <c:spPr>
        <a:noFill/>
        <a:ln w="25400">
          <a:noFill/>
        </a:ln>
        <a:effectLst/>
      </c:spPr>
    </c:plotArea>
    <c:legend>
      <c:legendPos val="b"/>
      <c:layout>
        <c:manualLayout>
          <c:xMode val="edge"/>
          <c:yMode val="edge"/>
          <c:x val="0.16831897580200592"/>
          <c:y val="0.79368308373218044"/>
          <c:w val="0.67154707542434944"/>
          <c:h val="0.20236076372806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0.79437</cdr:y>
    </cdr:from>
    <cdr:to>
      <cdr:x>0.05847</cdr:x>
      <cdr:y>0.86761</cdr:y>
    </cdr:to>
    <cdr:sp macro="" textlink="">
      <cdr:nvSpPr>
        <cdr:cNvPr id="2" name="Obdélník 1"/>
        <cdr:cNvSpPr/>
      </cdr:nvSpPr>
      <cdr:spPr>
        <a:xfrm xmlns:a="http://schemas.openxmlformats.org/drawingml/2006/main">
          <a:off x="0" y="2686050"/>
          <a:ext cx="371475"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20000"/>
            </a:lnSpc>
            <a:spcAft>
              <a:spcPts val="0"/>
            </a:spcAft>
          </a:pPr>
          <a:r>
            <a:rPr lang="cs-CZ" sz="800">
              <a:solidFill>
                <a:srgbClr val="595959"/>
              </a:solidFill>
              <a:effectLst/>
              <a:latin typeface="Arial" panose="020B0604020202020204" pitchFamily="34" charset="0"/>
              <a:ea typeface="Times New Roman" panose="02020603050405020304" pitchFamily="18" charset="0"/>
              <a:cs typeface="Times New Roman" panose="02020603050405020304" pitchFamily="18" charset="0"/>
            </a:rPr>
            <a:t>%</a:t>
          </a:r>
          <a:endParaRPr lang="cs-CZ" sz="10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0.00634</cdr:x>
      <cdr:y>0.75767</cdr:y>
    </cdr:from>
    <cdr:to>
      <cdr:x>0.05388</cdr:x>
      <cdr:y>0.84356</cdr:y>
    </cdr:to>
    <cdr:sp macro="" textlink="">
      <cdr:nvSpPr>
        <cdr:cNvPr id="5" name="Obdélník 4"/>
        <cdr:cNvSpPr/>
      </cdr:nvSpPr>
      <cdr:spPr>
        <a:xfrm xmlns:a="http://schemas.openxmlformats.org/drawingml/2006/main">
          <a:off x="38101" y="2352675"/>
          <a:ext cx="285750" cy="2667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900">
              <a:solidFill>
                <a:schemeClr val="tx1">
                  <a:lumMod val="65000"/>
                  <a:lumOff val="35000"/>
                </a:schemeClr>
              </a:solidFill>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0.43451</cdr:x>
      <cdr:y>0.88626</cdr:y>
    </cdr:from>
    <cdr:to>
      <cdr:x>0.49544</cdr:x>
      <cdr:y>0.97727</cdr:y>
    </cdr:to>
    <cdr:sp macro="" textlink="">
      <cdr:nvSpPr>
        <cdr:cNvPr id="2" name="Obdélník 1"/>
        <cdr:cNvSpPr/>
      </cdr:nvSpPr>
      <cdr:spPr>
        <a:xfrm xmlns:a="http://schemas.openxmlformats.org/drawingml/2006/main">
          <a:off x="2537003" y="1857149"/>
          <a:ext cx="355759" cy="1907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800" b="0">
              <a:solidFill>
                <a:schemeClr val="tx1">
                  <a:lumMod val="75000"/>
                  <a:lumOff val="25000"/>
                </a:schemeClr>
              </a:solidFill>
            </a:rPr>
            <a:t>tis.</a:t>
          </a:r>
        </a:p>
      </cdr:txBody>
    </cdr:sp>
  </cdr:relSizeAnchor>
  <cdr:relSizeAnchor xmlns:cdr="http://schemas.openxmlformats.org/drawingml/2006/chartDrawing">
    <cdr:from>
      <cdr:x>0.0087</cdr:x>
      <cdr:y>0.02867</cdr:y>
    </cdr:from>
    <cdr:to>
      <cdr:x>0.11964</cdr:x>
      <cdr:y>0.15</cdr:y>
    </cdr:to>
    <cdr:sp macro="" textlink="">
      <cdr:nvSpPr>
        <cdr:cNvPr id="3" name="Obdélník 2"/>
        <cdr:cNvSpPr/>
      </cdr:nvSpPr>
      <cdr:spPr>
        <a:xfrm xmlns:a="http://schemas.openxmlformats.org/drawingml/2006/main">
          <a:off x="53118" y="60078"/>
          <a:ext cx="677347" cy="254247"/>
        </a:xfrm>
        <a:prstGeom xmlns:a="http://schemas.openxmlformats.org/drawingml/2006/main" prst="rect">
          <a:avLst/>
        </a:prstGeom>
        <a:solidFill xmlns:a="http://schemas.openxmlformats.org/drawingml/2006/main">
          <a:schemeClr val="bg1">
            <a:lumMod val="75000"/>
          </a:schemeClr>
        </a:solidFill>
        <a:ln xmlns:a="http://schemas.openxmlformats.org/drawingml/2006/main">
          <a:solidFill>
            <a:schemeClr val="accent1">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cs-CZ"/>
            <a:t>2001</a:t>
          </a:r>
        </a:p>
      </cdr:txBody>
    </cdr:sp>
  </cdr:relSizeAnchor>
</c:userShapes>
</file>

<file path=word/drawings/drawing4.xml><?xml version="1.0" encoding="utf-8"?>
<c:userShapes xmlns:c="http://schemas.openxmlformats.org/drawingml/2006/chart">
  <cdr:relSizeAnchor xmlns:cdr="http://schemas.openxmlformats.org/drawingml/2006/chartDrawing">
    <cdr:from>
      <cdr:x>0.44592</cdr:x>
      <cdr:y>0.88976</cdr:y>
    </cdr:from>
    <cdr:to>
      <cdr:x>0.50685</cdr:x>
      <cdr:y>0.96714</cdr:y>
    </cdr:to>
    <cdr:sp macro="" textlink="">
      <cdr:nvSpPr>
        <cdr:cNvPr id="2" name="Obdélník 1"/>
        <cdr:cNvSpPr/>
      </cdr:nvSpPr>
      <cdr:spPr>
        <a:xfrm xmlns:a="http://schemas.openxmlformats.org/drawingml/2006/main">
          <a:off x="2603678" y="1805160"/>
          <a:ext cx="355759" cy="1569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800">
              <a:solidFill>
                <a:schemeClr val="bg2">
                  <a:lumMod val="50000"/>
                </a:schemeClr>
              </a:solidFill>
            </a:rPr>
            <a:t>tis</a:t>
          </a:r>
          <a:r>
            <a:rPr lang="cs-CZ" sz="800">
              <a:solidFill>
                <a:sysClr val="windowText" lastClr="000000"/>
              </a:solidFill>
            </a:rPr>
            <a:t>.</a:t>
          </a:r>
        </a:p>
      </cdr:txBody>
    </cdr:sp>
  </cdr:relSizeAnchor>
  <cdr:relSizeAnchor xmlns:cdr="http://schemas.openxmlformats.org/drawingml/2006/chartDrawing">
    <cdr:from>
      <cdr:x>0.00598</cdr:x>
      <cdr:y>0.02191</cdr:y>
    </cdr:from>
    <cdr:to>
      <cdr:x>0.12453</cdr:x>
      <cdr:y>0.16745</cdr:y>
    </cdr:to>
    <cdr:sp macro="" textlink="">
      <cdr:nvSpPr>
        <cdr:cNvPr id="3" name="Obdélník 2"/>
        <cdr:cNvSpPr/>
      </cdr:nvSpPr>
      <cdr:spPr>
        <a:xfrm xmlns:a="http://schemas.openxmlformats.org/drawingml/2006/main">
          <a:off x="34925" y="44459"/>
          <a:ext cx="692166" cy="295269"/>
        </a:xfrm>
        <a:prstGeom xmlns:a="http://schemas.openxmlformats.org/drawingml/2006/main" prst="rect">
          <a:avLst/>
        </a:prstGeom>
        <a:solidFill xmlns:a="http://schemas.openxmlformats.org/drawingml/2006/main">
          <a:schemeClr val="bg1">
            <a:lumMod val="75000"/>
          </a:schemeClr>
        </a:solidFill>
        <a:ln xmlns:a="http://schemas.openxmlformats.org/drawingml/2006/main">
          <a:solidFill>
            <a:schemeClr val="accent1">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cs-CZ"/>
            <a:t>2010</a:t>
          </a:r>
        </a:p>
      </cdr:txBody>
    </cdr:sp>
  </cdr:relSizeAnchor>
</c:userShapes>
</file>

<file path=word/drawings/drawing5.xml><?xml version="1.0" encoding="utf-8"?>
<c:userShapes xmlns:c="http://schemas.openxmlformats.org/drawingml/2006/chart">
  <cdr:relSizeAnchor xmlns:cdr="http://schemas.openxmlformats.org/drawingml/2006/chartDrawing">
    <cdr:from>
      <cdr:x>0.43124</cdr:x>
      <cdr:y>0.88575</cdr:y>
    </cdr:from>
    <cdr:to>
      <cdr:x>0.49217</cdr:x>
      <cdr:y>0.96313</cdr:y>
    </cdr:to>
    <cdr:sp macro="" textlink="">
      <cdr:nvSpPr>
        <cdr:cNvPr id="2" name="Obdélník 1"/>
        <cdr:cNvSpPr/>
      </cdr:nvSpPr>
      <cdr:spPr>
        <a:xfrm xmlns:a="http://schemas.openxmlformats.org/drawingml/2006/main">
          <a:off x="2517953" y="1830786"/>
          <a:ext cx="355759" cy="1599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800" b="0">
              <a:solidFill>
                <a:schemeClr val="tx1">
                  <a:lumMod val="65000"/>
                  <a:lumOff val="35000"/>
                </a:schemeClr>
              </a:solidFill>
            </a:rPr>
            <a:t>tis.</a:t>
          </a:r>
        </a:p>
      </cdr:txBody>
    </cdr:sp>
  </cdr:relSizeAnchor>
  <cdr:relSizeAnchor xmlns:cdr="http://schemas.openxmlformats.org/drawingml/2006/chartDrawing">
    <cdr:from>
      <cdr:x>0.00924</cdr:x>
      <cdr:y>0.02458</cdr:y>
    </cdr:from>
    <cdr:to>
      <cdr:x>0.12452</cdr:x>
      <cdr:y>0.16743</cdr:y>
    </cdr:to>
    <cdr:sp macro="" textlink="">
      <cdr:nvSpPr>
        <cdr:cNvPr id="3" name="Obdélník 2"/>
        <cdr:cNvSpPr/>
      </cdr:nvSpPr>
      <cdr:spPr>
        <a:xfrm xmlns:a="http://schemas.openxmlformats.org/drawingml/2006/main">
          <a:off x="53963" y="50800"/>
          <a:ext cx="673086" cy="295265"/>
        </a:xfrm>
        <a:prstGeom xmlns:a="http://schemas.openxmlformats.org/drawingml/2006/main" prst="rect">
          <a:avLst/>
        </a:prstGeom>
        <a:solidFill xmlns:a="http://schemas.openxmlformats.org/drawingml/2006/main">
          <a:schemeClr val="bg1">
            <a:lumMod val="75000"/>
          </a:schemeClr>
        </a:solidFill>
        <a:ln xmlns:a="http://schemas.openxmlformats.org/drawingml/2006/main">
          <a:solidFill>
            <a:schemeClr val="accent1">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cs-CZ"/>
            <a:t>2020</a:t>
          </a:r>
        </a:p>
      </cdr:txBody>
    </cdr:sp>
  </cdr:relSizeAnchor>
</c:userShapes>
</file>

<file path=word/drawings/drawing6.xml><?xml version="1.0" encoding="utf-8"?>
<c:userShapes xmlns:c="http://schemas.openxmlformats.org/drawingml/2006/chart">
  <cdr:relSizeAnchor xmlns:cdr="http://schemas.openxmlformats.org/drawingml/2006/chartDrawing">
    <cdr:from>
      <cdr:x>0.00612</cdr:x>
      <cdr:y>0.70833</cdr:y>
    </cdr:from>
    <cdr:to>
      <cdr:x>0.05046</cdr:x>
      <cdr:y>0.75245</cdr:y>
    </cdr:to>
    <cdr:sp macro="" textlink="">
      <cdr:nvSpPr>
        <cdr:cNvPr id="2" name="Obdélník 1"/>
        <cdr:cNvSpPr/>
      </cdr:nvSpPr>
      <cdr:spPr>
        <a:xfrm xmlns:a="http://schemas.openxmlformats.org/drawingml/2006/main">
          <a:off x="38100" y="2752725"/>
          <a:ext cx="276225" cy="1714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cdr:x>
      <cdr:y>0.00208</cdr:y>
    </cdr:from>
    <cdr:to>
      <cdr:x>0.06854</cdr:x>
      <cdr:y>0.0564</cdr:y>
    </cdr:to>
    <cdr:sp macro="" textlink="">
      <cdr:nvSpPr>
        <cdr:cNvPr id="3" name="Obdélník 2"/>
        <cdr:cNvSpPr/>
      </cdr:nvSpPr>
      <cdr:spPr>
        <a:xfrm xmlns:a="http://schemas.openxmlformats.org/drawingml/2006/main">
          <a:off x="0" y="11763"/>
          <a:ext cx="421084" cy="3078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900">
              <a:solidFill>
                <a:schemeClr val="tx1">
                  <a:lumMod val="65000"/>
                  <a:lumOff val="35000"/>
                </a:schemeClr>
              </a:solidFill>
            </a:rPr>
            <a:t>tis.</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0.79215</cdr:y>
    </cdr:from>
    <cdr:to>
      <cdr:x>0.05119</cdr:x>
      <cdr:y>0.87451</cdr:y>
    </cdr:to>
    <cdr:sp macro="" textlink="">
      <cdr:nvSpPr>
        <cdr:cNvPr id="4" name="Obdélník 3"/>
        <cdr:cNvSpPr/>
      </cdr:nvSpPr>
      <cdr:spPr>
        <a:xfrm xmlns:a="http://schemas.openxmlformats.org/drawingml/2006/main">
          <a:off x="0" y="2565391"/>
          <a:ext cx="319368" cy="26672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cs-CZ" sz="900">
              <a:solidFill>
                <a:schemeClr val="tx1">
                  <a:lumMod val="65000"/>
                  <a:lumOff val="35000"/>
                </a:schemeClr>
              </a:solidFill>
            </a:rPr>
            <a:t>%</a:t>
          </a:r>
        </a:p>
      </cdr:txBody>
    </cdr:sp>
  </cdr:relSizeAnchor>
  <cdr:relSizeAnchor xmlns:cdr="http://schemas.openxmlformats.org/drawingml/2006/chartDrawing">
    <cdr:from>
      <cdr:x>0.34551</cdr:x>
      <cdr:y>0.0193</cdr:y>
    </cdr:from>
    <cdr:to>
      <cdr:x>0.40154</cdr:x>
      <cdr:y>0.96636</cdr:y>
    </cdr:to>
    <cdr:sp macro="" textlink="">
      <cdr:nvSpPr>
        <cdr:cNvPr id="3" name="Obdélník 2"/>
        <cdr:cNvSpPr/>
      </cdr:nvSpPr>
      <cdr:spPr>
        <a:xfrm xmlns:a="http://schemas.openxmlformats.org/drawingml/2006/main">
          <a:off x="2114550" y="51657"/>
          <a:ext cx="342899" cy="2534830"/>
        </a:xfrm>
        <a:prstGeom xmlns:a="http://schemas.openxmlformats.org/drawingml/2006/main" prst="rect">
          <a:avLst/>
        </a:prstGeom>
        <a:noFill xmlns:a="http://schemas.openxmlformats.org/drawingml/2006/main"/>
        <a:ln xmlns:a="http://schemas.openxmlformats.org/drawingml/2006/main" w="3175">
          <a:solidFill>
            <a:schemeClr val="accent3">
              <a:lumMod val="60000"/>
              <a:lumOff val="40000"/>
            </a:schemeClr>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ln>
              <a:solidFill>
                <a:schemeClr val="accent1"/>
              </a:solidFill>
            </a:ln>
            <a:no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F9A9A-33C0-4F96-BEA0-06D177C87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1</TotalTime>
  <Pages>11</Pages>
  <Words>3988</Words>
  <Characters>23534</Characters>
  <Application>Microsoft Office Word</Application>
  <DocSecurity>0</DocSecurity>
  <Lines>196</Lines>
  <Paragraphs>54</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27468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kasparova3676</cp:lastModifiedBy>
  <cp:revision>2</cp:revision>
  <cp:lastPrinted>2014-07-17T14:07:00Z</cp:lastPrinted>
  <dcterms:created xsi:type="dcterms:W3CDTF">2021-05-24T20:00:00Z</dcterms:created>
  <dcterms:modified xsi:type="dcterms:W3CDTF">2021-05-24T20:00:00Z</dcterms:modified>
  <cp:category/>
</cp:coreProperties>
</file>