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16CBCB22" w:rsidR="00EB05CA" w:rsidRPr="00414DDA" w:rsidRDefault="009C60C6"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28E2DB3B" w14:textId="32854930" w:rsidR="009C60C6" w:rsidRDefault="009C60C6" w:rsidP="009C60C6">
      <w:pPr>
        <w:pStyle w:val="H2"/>
        <w:spacing w:line="259" w:lineRule="auto"/>
        <w:rPr>
          <w:color w:val="2B4D89"/>
          <w:sz w:val="32"/>
          <w:szCs w:val="32"/>
        </w:rPr>
      </w:pPr>
      <w:r>
        <w:rPr>
          <w:color w:val="2B4D89"/>
          <w:sz w:val="32"/>
          <w:szCs w:val="32"/>
        </w:rPr>
        <w:t>Nejaktivnější jsou Říčky v Orlických horách</w:t>
      </w:r>
    </w:p>
    <w:p w14:paraId="22012E24" w14:textId="7907A4C2" w:rsidR="009C60C6" w:rsidRPr="006359FC" w:rsidRDefault="009C60C6" w:rsidP="009C60C6">
      <w:pPr>
        <w:pStyle w:val="Perex"/>
        <w:rPr>
          <w:color w:val="2B4D89"/>
          <w:lang w:val="cs-CZ"/>
        </w:rPr>
      </w:pPr>
      <w:r>
        <w:rPr>
          <w:color w:val="2B4D89"/>
          <w:lang w:val="cs-CZ"/>
        </w:rPr>
        <w:t>Od začátku sčítání obdržel Český statistický úřad přes 2,6 milionu elektronických sčítacích formulářů. Z hlediska zapojení do sčítání je mezi deseti nejaktivnějšími obcemi nejčastěji zastoupen Karlovarský kraj.</w:t>
      </w:r>
    </w:p>
    <w:p w14:paraId="2253EE67" w14:textId="7E1D1FDE" w:rsidR="009C60C6" w:rsidRDefault="009C60C6" w:rsidP="009C60C6">
      <w:pPr>
        <w:jc w:val="both"/>
        <w:rPr>
          <w:rFonts w:ascii="Arial Unicode MS" w:hAnsi="Arial Unicode MS" w:cs="Arial Unicode MS"/>
          <w:lang w:val="cs-CZ"/>
        </w:rPr>
      </w:pPr>
      <w:r>
        <w:rPr>
          <w:rFonts w:ascii="Arial Unicode MS" w:hAnsi="Arial Unicode MS" w:cs="Arial Unicode MS"/>
          <w:lang w:val="cs-CZ"/>
        </w:rPr>
        <w:t>„</w:t>
      </w:r>
      <w:r w:rsidRPr="00E72CD7">
        <w:rPr>
          <w:rFonts w:ascii="Arial Unicode MS" w:hAnsi="Arial Unicode MS" w:cs="Arial Unicode MS"/>
          <w:i/>
          <w:lang w:val="cs-CZ"/>
        </w:rPr>
        <w:t xml:space="preserve">Sčítání běží přes dva týdny, sečtených máme více než 5 milionů </w:t>
      </w:r>
      <w:r w:rsidR="00462FE4">
        <w:rPr>
          <w:rFonts w:ascii="Arial Unicode MS" w:hAnsi="Arial Unicode MS" w:cs="Arial Unicode MS"/>
          <w:i/>
          <w:lang w:val="cs-CZ"/>
        </w:rPr>
        <w:t>osob</w:t>
      </w:r>
      <w:r w:rsidRPr="00E72CD7">
        <w:rPr>
          <w:rFonts w:ascii="Arial Unicode MS" w:hAnsi="Arial Unicode MS" w:cs="Arial Unicode MS"/>
          <w:i/>
          <w:lang w:val="cs-CZ"/>
        </w:rPr>
        <w:t xml:space="preserve"> a já bych jim vš</w:t>
      </w:r>
      <w:r w:rsidR="00462FE4">
        <w:rPr>
          <w:rFonts w:ascii="Arial Unicode MS" w:hAnsi="Arial Unicode MS" w:cs="Arial Unicode MS"/>
          <w:i/>
          <w:lang w:val="cs-CZ"/>
        </w:rPr>
        <w:t>e</w:t>
      </w:r>
      <w:r w:rsidR="009E64A2">
        <w:rPr>
          <w:rFonts w:ascii="Arial Unicode MS" w:hAnsi="Arial Unicode MS" w:cs="Arial Unicode MS"/>
          <w:i/>
          <w:lang w:val="cs-CZ"/>
        </w:rPr>
        <w:t>m</w:t>
      </w:r>
      <w:r w:rsidR="00462FE4">
        <w:rPr>
          <w:rFonts w:ascii="Arial Unicode MS" w:hAnsi="Arial Unicode MS" w:cs="Arial Unicode MS"/>
          <w:i/>
          <w:lang w:val="cs-CZ"/>
        </w:rPr>
        <w:t xml:space="preserve"> chtěla poděkovat, že využily</w:t>
      </w:r>
      <w:r w:rsidRPr="00E72CD7">
        <w:rPr>
          <w:rFonts w:ascii="Arial Unicode MS" w:hAnsi="Arial Unicode MS" w:cs="Arial Unicode MS"/>
          <w:i/>
          <w:lang w:val="cs-CZ"/>
        </w:rPr>
        <w:t xml:space="preserve"> možnost sečtení</w:t>
      </w:r>
      <w:r w:rsidR="00462FE4">
        <w:rPr>
          <w:rFonts w:ascii="Arial Unicode MS" w:hAnsi="Arial Unicode MS" w:cs="Arial Unicode MS"/>
          <w:i/>
          <w:lang w:val="cs-CZ"/>
        </w:rPr>
        <w:t xml:space="preserve"> se</w:t>
      </w:r>
      <w:r w:rsidRPr="00E72CD7">
        <w:rPr>
          <w:rFonts w:ascii="Arial Unicode MS" w:hAnsi="Arial Unicode MS" w:cs="Arial Unicode MS"/>
          <w:i/>
          <w:lang w:val="cs-CZ"/>
        </w:rPr>
        <w:t xml:space="preserve"> online. Data nám ukazují, že velký potenciál na zapojení je především u menších obcí. Všichni mají stále možnost využít elektronický formulář a sečíst celou domácnost, stejně jako pomoci se sečtením těm, kteří </w:t>
      </w:r>
      <w:r w:rsidR="009E64A2">
        <w:rPr>
          <w:rFonts w:ascii="Arial Unicode MS" w:hAnsi="Arial Unicode MS" w:cs="Arial Unicode MS"/>
          <w:i/>
          <w:lang w:val="cs-CZ"/>
        </w:rPr>
        <w:t>si na to sami netroufají</w:t>
      </w:r>
      <w:r w:rsidRPr="00E72CD7">
        <w:rPr>
          <w:rFonts w:ascii="Arial Unicode MS" w:hAnsi="Arial Unicode MS" w:cs="Arial Unicode MS"/>
          <w:i/>
          <w:lang w:val="cs-CZ"/>
        </w:rPr>
        <w:t>. Od soboty bude navíc možnost sečíst se prostřednictvím listinného sčítacího formuláře</w:t>
      </w:r>
      <w:r>
        <w:rPr>
          <w:rFonts w:ascii="Arial Unicode MS" w:hAnsi="Arial Unicode MS" w:cs="Arial Unicode MS"/>
          <w:lang w:val="cs-CZ"/>
        </w:rPr>
        <w:t xml:space="preserve">,“ uvádí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 xml:space="preserve">, 1. místopředsedkyně ČSÚ.  </w:t>
      </w:r>
    </w:p>
    <w:p w14:paraId="08ED984C" w14:textId="77777777" w:rsidR="009C60C6" w:rsidRDefault="009C60C6" w:rsidP="009C60C6">
      <w:pPr>
        <w:jc w:val="both"/>
        <w:rPr>
          <w:rFonts w:ascii="Arial Unicode MS" w:hAnsi="Arial Unicode MS" w:cs="Arial Unicode MS"/>
          <w:lang w:val="cs-CZ"/>
        </w:rPr>
      </w:pPr>
    </w:p>
    <w:p w14:paraId="1DF85BE6" w14:textId="4E86A7CA" w:rsidR="009C60C6" w:rsidRDefault="009C60C6" w:rsidP="009C60C6">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w:t>
      </w:r>
      <w:r w:rsidR="0092674A">
        <w:rPr>
          <w:rFonts w:ascii="Arial Unicode MS" w:hAnsi="Arial Unicode MS" w:cs="Arial Unicode MS"/>
          <w:lang w:val="cs-CZ"/>
        </w:rPr>
        <w:t xml:space="preserve">bytů </w:t>
      </w:r>
      <w:bookmarkStart w:id="0" w:name="_GoBack"/>
      <w:bookmarkEnd w:id="0"/>
      <w:r>
        <w:rPr>
          <w:rFonts w:ascii="Arial Unicode MS" w:hAnsi="Arial Unicode MS" w:cs="Arial Unicode MS"/>
          <w:lang w:val="cs-CZ"/>
        </w:rPr>
        <w:t xml:space="preserve">za každou obec si lze udělat obrázek, jak to v České republice vypadá z hlediska zapojení jednotlivých obcí do sčítání. </w:t>
      </w:r>
      <w:r w:rsidRPr="00C62CEB">
        <w:rPr>
          <w:rFonts w:ascii="Arial Unicode MS" w:hAnsi="Arial Unicode MS" w:cs="Arial Unicode MS"/>
          <w:i/>
          <w:lang w:val="cs-CZ"/>
        </w:rPr>
        <w:t xml:space="preserve">„Mezi nejaktivnější obce v rámci </w:t>
      </w:r>
      <w:r>
        <w:rPr>
          <w:rFonts w:ascii="Arial Unicode MS" w:hAnsi="Arial Unicode MS" w:cs="Arial Unicode MS"/>
          <w:i/>
          <w:lang w:val="cs-CZ"/>
        </w:rPr>
        <w:t>České republiky patří</w:t>
      </w:r>
      <w:r w:rsidRPr="00C62CEB">
        <w:rPr>
          <w:rFonts w:ascii="Arial Unicode MS" w:hAnsi="Arial Unicode MS" w:cs="Arial Unicode MS"/>
          <w:i/>
          <w:lang w:val="cs-CZ"/>
        </w:rPr>
        <w:t xml:space="preserve"> </w:t>
      </w:r>
      <w:r>
        <w:rPr>
          <w:rFonts w:ascii="Arial Unicode MS" w:hAnsi="Arial Unicode MS" w:cs="Arial Unicode MS"/>
          <w:i/>
          <w:lang w:val="cs-CZ"/>
        </w:rPr>
        <w:t>Říčky v Orlických horách z Královéhradeckého kraje, obec Vísky v Plzeňském kraji a Těšovice na Karlovarsku</w:t>
      </w:r>
      <w:r w:rsidRPr="00C62CEB">
        <w:rPr>
          <w:rFonts w:ascii="Arial Unicode MS" w:hAnsi="Arial Unicode MS" w:cs="Arial Unicode MS"/>
          <w:i/>
          <w:lang w:val="cs-CZ"/>
        </w:rPr>
        <w:t>,“</w:t>
      </w:r>
      <w:r>
        <w:rPr>
          <w:rFonts w:ascii="Arial Unicode MS" w:hAnsi="Arial Unicode MS" w:cs="Arial Unicode MS"/>
          <w:lang w:val="cs-CZ"/>
        </w:rPr>
        <w:t xml:space="preserve"> dodává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w:t>
      </w:r>
    </w:p>
    <w:p w14:paraId="5BEA5A8C" w14:textId="77777777" w:rsidR="009C60C6" w:rsidRDefault="009C60C6" w:rsidP="009C60C6">
      <w:pPr>
        <w:jc w:val="both"/>
        <w:rPr>
          <w:rFonts w:ascii="Arial Unicode MS" w:hAnsi="Arial Unicode MS" w:cs="Arial Unicode MS"/>
          <w:lang w:val="cs-CZ"/>
        </w:rPr>
      </w:pPr>
    </w:p>
    <w:p w14:paraId="48A09E73" w14:textId="0C93077D" w:rsidR="009C60C6" w:rsidRDefault="009C60C6" w:rsidP="009C60C6">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CA41D7">
        <w:rPr>
          <w:rFonts w:eastAsia="Arial" w:cs="Arial"/>
          <w:lang w:val="cs-CZ"/>
        </w:rPr>
        <w:t>Z důvodu ochrany zdraví a s ohledem na současnou situaci s covid-19 budou komisaři předávat formuláře před domem.</w:t>
      </w:r>
      <w:r>
        <w:rPr>
          <w:rFonts w:eastAsia="Arial" w:cs="Arial"/>
          <w:lang w:val="cs-CZ"/>
        </w:rPr>
        <w:t xml:space="preserve"> 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41368E74" w14:textId="77777777" w:rsidR="00714F3E" w:rsidRPr="00714F3E" w:rsidRDefault="00714F3E">
      <w:pPr>
        <w:jc w:val="both"/>
        <w:rPr>
          <w:rFonts w:ascii="Arial Unicode MS" w:hAnsi="Arial Unicode MS" w:cs="Arial Unicode MS"/>
          <w:lang w:val="cs-CZ"/>
        </w:rPr>
      </w:pPr>
    </w:p>
    <w:p w14:paraId="51753B37" w14:textId="59010003" w:rsidR="004F61C7" w:rsidRDefault="004F61C7" w:rsidP="004F61C7">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w:t>
      </w:r>
      <w:r w:rsidR="007009DA">
        <w:rPr>
          <w:rFonts w:cs="Arial"/>
          <w:b/>
          <w:bCs/>
          <w:sz w:val="22"/>
          <w:szCs w:val="22"/>
          <w:lang w:val="cs-CZ"/>
        </w:rPr>
        <w:t> České republice</w:t>
      </w:r>
    </w:p>
    <w:p w14:paraId="0B217271" w14:textId="77777777" w:rsidR="004F61C7" w:rsidRDefault="004F61C7" w:rsidP="004F61C7">
      <w:pPr>
        <w:jc w:val="center"/>
        <w:rPr>
          <w:rFonts w:ascii="Arial Unicode MS" w:hAnsi="Arial Unicode MS" w:cs="Arial Unicode MS"/>
          <w:lang w:val="cs-CZ"/>
        </w:rPr>
      </w:pPr>
    </w:p>
    <w:tbl>
      <w:tblPr>
        <w:tblW w:w="8181" w:type="dxa"/>
        <w:tblInd w:w="137" w:type="dxa"/>
        <w:tblCellMar>
          <w:left w:w="70" w:type="dxa"/>
          <w:right w:w="70" w:type="dxa"/>
        </w:tblCellMar>
        <w:tblLook w:val="04A0" w:firstRow="1" w:lastRow="0" w:firstColumn="1" w:lastColumn="0" w:noHBand="0" w:noVBand="1"/>
      </w:tblPr>
      <w:tblGrid>
        <w:gridCol w:w="2126"/>
        <w:gridCol w:w="2268"/>
        <w:gridCol w:w="1701"/>
        <w:gridCol w:w="2086"/>
      </w:tblGrid>
      <w:tr w:rsidR="00D73A51" w:rsidRPr="00D73A51" w14:paraId="7BB6EF0D" w14:textId="77777777" w:rsidTr="007009DA">
        <w:trPr>
          <w:trHeight w:val="822"/>
        </w:trPr>
        <w:tc>
          <w:tcPr>
            <w:tcW w:w="21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9D65E0" w14:textId="77777777" w:rsidR="00D73A51" w:rsidRPr="004F61C7" w:rsidRDefault="00D73A51" w:rsidP="00D73A51">
            <w:pPr>
              <w:suppressAutoHyphens w:val="0"/>
              <w:jc w:val="center"/>
              <w:rPr>
                <w:rFonts w:eastAsia="Times New Roman" w:cs="Arial"/>
                <w:b/>
                <w:bCs/>
                <w:szCs w:val="22"/>
                <w:lang w:val="cs-CZ" w:eastAsia="cs-CZ"/>
              </w:rPr>
            </w:pPr>
            <w:r w:rsidRPr="004F61C7">
              <w:rPr>
                <w:rFonts w:eastAsia="Times New Roman" w:cs="Arial"/>
                <w:b/>
                <w:bCs/>
                <w:szCs w:val="22"/>
                <w:lang w:val="cs-CZ" w:eastAsia="cs-CZ"/>
              </w:rPr>
              <w:t>Obec</w:t>
            </w:r>
          </w:p>
        </w:tc>
        <w:tc>
          <w:tcPr>
            <w:tcW w:w="2268" w:type="dxa"/>
            <w:tcBorders>
              <w:top w:val="single" w:sz="4" w:space="0" w:color="auto"/>
              <w:left w:val="nil"/>
              <w:bottom w:val="single" w:sz="4" w:space="0" w:color="auto"/>
              <w:right w:val="nil"/>
            </w:tcBorders>
            <w:shd w:val="clear" w:color="000000" w:fill="D9D9D9"/>
            <w:noWrap/>
            <w:vAlign w:val="center"/>
            <w:hideMark/>
          </w:tcPr>
          <w:p w14:paraId="2F59F34F" w14:textId="77777777" w:rsidR="00D73A51" w:rsidRPr="004F61C7" w:rsidRDefault="00D73A51" w:rsidP="00D73A51">
            <w:pPr>
              <w:suppressAutoHyphens w:val="0"/>
              <w:jc w:val="center"/>
              <w:rPr>
                <w:rFonts w:eastAsia="Times New Roman" w:cs="Arial"/>
                <w:b/>
                <w:bCs/>
                <w:szCs w:val="22"/>
                <w:lang w:val="cs-CZ" w:eastAsia="cs-CZ"/>
              </w:rPr>
            </w:pPr>
            <w:r w:rsidRPr="004F61C7">
              <w:rPr>
                <w:rFonts w:eastAsia="Times New Roman" w:cs="Arial"/>
                <w:b/>
                <w:bCs/>
                <w:szCs w:val="22"/>
                <w:lang w:val="cs-CZ" w:eastAsia="cs-CZ"/>
              </w:rPr>
              <w:t>Okres</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tcPr>
          <w:p w14:paraId="0FE34D86" w14:textId="2775752E" w:rsidR="00D73A51" w:rsidRPr="00D73A51" w:rsidRDefault="00D73A51" w:rsidP="00D73A51">
            <w:pPr>
              <w:suppressAutoHyphens w:val="0"/>
              <w:jc w:val="center"/>
              <w:rPr>
                <w:rFonts w:eastAsia="Times New Roman" w:cs="Arial"/>
                <w:b/>
                <w:bCs/>
                <w:szCs w:val="22"/>
                <w:lang w:val="cs-CZ" w:eastAsia="cs-CZ"/>
              </w:rPr>
            </w:pPr>
            <w:r>
              <w:rPr>
                <w:rFonts w:eastAsia="Times New Roman" w:cs="Arial"/>
                <w:b/>
                <w:bCs/>
                <w:szCs w:val="22"/>
                <w:lang w:val="cs-CZ" w:eastAsia="cs-CZ"/>
              </w:rPr>
              <w:t>Kraj</w:t>
            </w:r>
          </w:p>
        </w:tc>
        <w:tc>
          <w:tcPr>
            <w:tcW w:w="208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D7D945" w14:textId="16BF5B55" w:rsidR="00D73A51" w:rsidRPr="004F61C7" w:rsidRDefault="007009DA" w:rsidP="007009DA">
            <w:pPr>
              <w:suppressAutoHyphens w:val="0"/>
              <w:jc w:val="center"/>
              <w:rPr>
                <w:rFonts w:eastAsia="Times New Roman" w:cs="Arial"/>
                <w:b/>
                <w:bCs/>
                <w:szCs w:val="22"/>
                <w:lang w:val="cs-CZ" w:eastAsia="cs-CZ"/>
              </w:rPr>
            </w:pPr>
            <w:r>
              <w:rPr>
                <w:rFonts w:eastAsia="Times New Roman" w:cs="Arial"/>
                <w:b/>
                <w:bCs/>
                <w:szCs w:val="22"/>
                <w:lang w:val="cs-CZ" w:eastAsia="cs-CZ"/>
              </w:rPr>
              <w:t>O</w:t>
            </w:r>
            <w:r w:rsidR="00D73A51" w:rsidRPr="004F61C7">
              <w:rPr>
                <w:rFonts w:eastAsia="Times New Roman" w:cs="Arial"/>
                <w:b/>
                <w:bCs/>
                <w:szCs w:val="22"/>
                <w:lang w:val="cs-CZ" w:eastAsia="cs-CZ"/>
              </w:rPr>
              <w:t>deslané</w:t>
            </w:r>
            <w:r>
              <w:rPr>
                <w:rFonts w:eastAsia="Times New Roman" w:cs="Arial"/>
                <w:b/>
                <w:bCs/>
                <w:szCs w:val="22"/>
                <w:lang w:val="cs-CZ" w:eastAsia="cs-CZ"/>
              </w:rPr>
              <w:t xml:space="preserve"> formuláře n</w:t>
            </w:r>
            <w:r w:rsidR="00D73A51" w:rsidRPr="004F61C7">
              <w:rPr>
                <w:rFonts w:eastAsia="Times New Roman" w:cs="Arial"/>
                <w:b/>
                <w:bCs/>
                <w:szCs w:val="22"/>
                <w:lang w:val="cs-CZ" w:eastAsia="cs-CZ"/>
              </w:rPr>
              <w:t>a 100 bytů</w:t>
            </w:r>
          </w:p>
        </w:tc>
      </w:tr>
      <w:tr w:rsidR="00D73A51" w:rsidRPr="00D73A51" w14:paraId="3DC64B74" w14:textId="77777777" w:rsidTr="007009DA">
        <w:trPr>
          <w:trHeight w:val="285"/>
        </w:trPr>
        <w:tc>
          <w:tcPr>
            <w:tcW w:w="2126" w:type="dxa"/>
            <w:tcBorders>
              <w:top w:val="nil"/>
              <w:left w:val="single" w:sz="4" w:space="0" w:color="auto"/>
              <w:bottom w:val="nil"/>
              <w:right w:val="single" w:sz="4" w:space="0" w:color="auto"/>
            </w:tcBorders>
            <w:shd w:val="clear" w:color="auto" w:fill="auto"/>
            <w:noWrap/>
            <w:vAlign w:val="center"/>
          </w:tcPr>
          <w:p w14:paraId="33FDAE66" w14:textId="2B42BDFC"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 xml:space="preserve">Říčky v Orlických </w:t>
            </w:r>
            <w:r w:rsidR="007009DA">
              <w:rPr>
                <w:rFonts w:ascii="Calibri" w:hAnsi="Calibri" w:cs="Calibri"/>
                <w:color w:val="000000"/>
                <w:sz w:val="22"/>
                <w:szCs w:val="22"/>
                <w:lang w:val="cs-CZ"/>
              </w:rPr>
              <w:br/>
            </w:r>
            <w:r w:rsidRPr="00D73A51">
              <w:rPr>
                <w:rFonts w:ascii="Calibri" w:hAnsi="Calibri" w:cs="Calibri"/>
                <w:color w:val="000000"/>
                <w:sz w:val="22"/>
                <w:szCs w:val="22"/>
                <w:lang w:val="cs-CZ"/>
              </w:rPr>
              <w:t>horách</w:t>
            </w:r>
          </w:p>
        </w:tc>
        <w:tc>
          <w:tcPr>
            <w:tcW w:w="2268" w:type="dxa"/>
            <w:tcBorders>
              <w:top w:val="nil"/>
              <w:left w:val="nil"/>
              <w:bottom w:val="nil"/>
              <w:right w:val="nil"/>
            </w:tcBorders>
            <w:shd w:val="clear" w:color="auto" w:fill="auto"/>
            <w:noWrap/>
            <w:vAlign w:val="center"/>
          </w:tcPr>
          <w:p w14:paraId="26184F74" w14:textId="45574255" w:rsidR="00D73A51" w:rsidRPr="004F61C7"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Rychnov nad Kněžnou</w:t>
            </w:r>
          </w:p>
        </w:tc>
        <w:tc>
          <w:tcPr>
            <w:tcW w:w="1701" w:type="dxa"/>
            <w:tcBorders>
              <w:top w:val="nil"/>
              <w:left w:val="single" w:sz="4" w:space="0" w:color="auto"/>
              <w:bottom w:val="nil"/>
              <w:right w:val="single" w:sz="4" w:space="0" w:color="auto"/>
            </w:tcBorders>
            <w:vAlign w:val="center"/>
          </w:tcPr>
          <w:p w14:paraId="1085E700" w14:textId="3F989F1B"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Královéhradecký</w:t>
            </w:r>
          </w:p>
        </w:tc>
        <w:tc>
          <w:tcPr>
            <w:tcW w:w="2086" w:type="dxa"/>
            <w:tcBorders>
              <w:top w:val="nil"/>
              <w:left w:val="single" w:sz="4" w:space="0" w:color="auto"/>
              <w:bottom w:val="nil"/>
              <w:right w:val="single" w:sz="4" w:space="0" w:color="auto"/>
            </w:tcBorders>
            <w:shd w:val="clear" w:color="auto" w:fill="auto"/>
            <w:noWrap/>
            <w:vAlign w:val="center"/>
          </w:tcPr>
          <w:p w14:paraId="0DACEB29" w14:textId="5D1C9BAF"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85,4</w:t>
            </w:r>
          </w:p>
        </w:tc>
      </w:tr>
      <w:tr w:rsidR="00D73A51" w:rsidRPr="00D73A51" w14:paraId="43331305" w14:textId="77777777" w:rsidTr="007009DA">
        <w:trPr>
          <w:trHeight w:val="285"/>
        </w:trPr>
        <w:tc>
          <w:tcPr>
            <w:tcW w:w="2126" w:type="dxa"/>
            <w:tcBorders>
              <w:top w:val="nil"/>
              <w:left w:val="single" w:sz="4" w:space="0" w:color="auto"/>
              <w:bottom w:val="nil"/>
              <w:right w:val="single" w:sz="4" w:space="0" w:color="auto"/>
            </w:tcBorders>
            <w:shd w:val="clear" w:color="auto" w:fill="auto"/>
            <w:noWrap/>
            <w:vAlign w:val="center"/>
          </w:tcPr>
          <w:p w14:paraId="7B496685" w14:textId="2D8D705A"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Vísky</w:t>
            </w:r>
          </w:p>
        </w:tc>
        <w:tc>
          <w:tcPr>
            <w:tcW w:w="2268" w:type="dxa"/>
            <w:tcBorders>
              <w:top w:val="nil"/>
              <w:left w:val="nil"/>
              <w:bottom w:val="nil"/>
              <w:right w:val="nil"/>
            </w:tcBorders>
            <w:shd w:val="clear" w:color="auto" w:fill="auto"/>
            <w:noWrap/>
            <w:vAlign w:val="center"/>
          </w:tcPr>
          <w:p w14:paraId="49EF0429" w14:textId="261BF620" w:rsidR="00D73A51" w:rsidRPr="004F61C7"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Rokycany</w:t>
            </w:r>
          </w:p>
        </w:tc>
        <w:tc>
          <w:tcPr>
            <w:tcW w:w="1701" w:type="dxa"/>
            <w:tcBorders>
              <w:top w:val="nil"/>
              <w:left w:val="single" w:sz="4" w:space="0" w:color="auto"/>
              <w:bottom w:val="nil"/>
              <w:right w:val="single" w:sz="4" w:space="0" w:color="auto"/>
            </w:tcBorders>
            <w:vAlign w:val="center"/>
          </w:tcPr>
          <w:p w14:paraId="7E044B1C" w14:textId="19BE03C4"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Plzeňský</w:t>
            </w:r>
          </w:p>
        </w:tc>
        <w:tc>
          <w:tcPr>
            <w:tcW w:w="2086" w:type="dxa"/>
            <w:tcBorders>
              <w:top w:val="nil"/>
              <w:left w:val="single" w:sz="4" w:space="0" w:color="auto"/>
              <w:bottom w:val="nil"/>
              <w:right w:val="single" w:sz="4" w:space="0" w:color="auto"/>
            </w:tcBorders>
            <w:shd w:val="clear" w:color="auto" w:fill="auto"/>
            <w:noWrap/>
            <w:vAlign w:val="center"/>
          </w:tcPr>
          <w:p w14:paraId="717F7EDF" w14:textId="29A33D63"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83,3</w:t>
            </w:r>
          </w:p>
        </w:tc>
      </w:tr>
      <w:tr w:rsidR="00D73A51" w:rsidRPr="00D73A51" w14:paraId="111993E6" w14:textId="77777777" w:rsidTr="007009DA">
        <w:trPr>
          <w:trHeight w:val="285"/>
        </w:trPr>
        <w:tc>
          <w:tcPr>
            <w:tcW w:w="2126" w:type="dxa"/>
            <w:tcBorders>
              <w:top w:val="nil"/>
              <w:left w:val="single" w:sz="4" w:space="0" w:color="auto"/>
              <w:bottom w:val="nil"/>
              <w:right w:val="single" w:sz="4" w:space="0" w:color="auto"/>
            </w:tcBorders>
            <w:shd w:val="clear" w:color="auto" w:fill="auto"/>
            <w:noWrap/>
            <w:vAlign w:val="center"/>
          </w:tcPr>
          <w:p w14:paraId="196D70C6" w14:textId="7676C7DE"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Těšovice</w:t>
            </w:r>
          </w:p>
        </w:tc>
        <w:tc>
          <w:tcPr>
            <w:tcW w:w="2268" w:type="dxa"/>
            <w:tcBorders>
              <w:top w:val="nil"/>
              <w:left w:val="nil"/>
              <w:bottom w:val="nil"/>
              <w:right w:val="nil"/>
            </w:tcBorders>
            <w:shd w:val="clear" w:color="auto" w:fill="auto"/>
            <w:noWrap/>
            <w:vAlign w:val="center"/>
          </w:tcPr>
          <w:p w14:paraId="168C1A1F" w14:textId="45DE85BC" w:rsidR="00D73A51" w:rsidRPr="004F61C7"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Sokolov</w:t>
            </w:r>
          </w:p>
        </w:tc>
        <w:tc>
          <w:tcPr>
            <w:tcW w:w="1701" w:type="dxa"/>
            <w:tcBorders>
              <w:top w:val="nil"/>
              <w:left w:val="single" w:sz="4" w:space="0" w:color="auto"/>
              <w:bottom w:val="nil"/>
              <w:right w:val="single" w:sz="4" w:space="0" w:color="auto"/>
            </w:tcBorders>
            <w:vAlign w:val="center"/>
          </w:tcPr>
          <w:p w14:paraId="10D1B2A0" w14:textId="04BD6155"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Karlovarský</w:t>
            </w:r>
          </w:p>
        </w:tc>
        <w:tc>
          <w:tcPr>
            <w:tcW w:w="2086" w:type="dxa"/>
            <w:tcBorders>
              <w:top w:val="nil"/>
              <w:left w:val="single" w:sz="4" w:space="0" w:color="auto"/>
              <w:bottom w:val="nil"/>
              <w:right w:val="single" w:sz="4" w:space="0" w:color="auto"/>
            </w:tcBorders>
            <w:shd w:val="clear" w:color="auto" w:fill="auto"/>
            <w:noWrap/>
            <w:vAlign w:val="center"/>
          </w:tcPr>
          <w:p w14:paraId="17D2E7F6" w14:textId="704B99CC"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75,8</w:t>
            </w:r>
          </w:p>
        </w:tc>
      </w:tr>
      <w:tr w:rsidR="00D73A51" w:rsidRPr="00D73A51" w14:paraId="4DA45F90" w14:textId="77777777" w:rsidTr="007009DA">
        <w:trPr>
          <w:trHeight w:val="285"/>
        </w:trPr>
        <w:tc>
          <w:tcPr>
            <w:tcW w:w="2126" w:type="dxa"/>
            <w:tcBorders>
              <w:top w:val="nil"/>
              <w:left w:val="single" w:sz="4" w:space="0" w:color="auto"/>
              <w:bottom w:val="nil"/>
              <w:right w:val="single" w:sz="4" w:space="0" w:color="auto"/>
            </w:tcBorders>
            <w:shd w:val="clear" w:color="auto" w:fill="auto"/>
            <w:noWrap/>
            <w:vAlign w:val="center"/>
          </w:tcPr>
          <w:p w14:paraId="1D4B95A1" w14:textId="1F580F7D"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Andělská Hora</w:t>
            </w:r>
          </w:p>
        </w:tc>
        <w:tc>
          <w:tcPr>
            <w:tcW w:w="2268" w:type="dxa"/>
            <w:tcBorders>
              <w:top w:val="nil"/>
              <w:left w:val="nil"/>
              <w:bottom w:val="nil"/>
              <w:right w:val="nil"/>
            </w:tcBorders>
            <w:shd w:val="clear" w:color="auto" w:fill="auto"/>
            <w:noWrap/>
            <w:vAlign w:val="center"/>
          </w:tcPr>
          <w:p w14:paraId="77B8085E" w14:textId="1056E2F0" w:rsidR="00D73A51" w:rsidRPr="004F61C7"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Karlovy Vary</w:t>
            </w:r>
          </w:p>
        </w:tc>
        <w:tc>
          <w:tcPr>
            <w:tcW w:w="1701" w:type="dxa"/>
            <w:tcBorders>
              <w:top w:val="nil"/>
              <w:left w:val="single" w:sz="4" w:space="0" w:color="auto"/>
              <w:bottom w:val="nil"/>
              <w:right w:val="single" w:sz="4" w:space="0" w:color="auto"/>
            </w:tcBorders>
            <w:vAlign w:val="center"/>
          </w:tcPr>
          <w:p w14:paraId="3A8733E3" w14:textId="704CD153"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Karlovarský</w:t>
            </w:r>
          </w:p>
        </w:tc>
        <w:tc>
          <w:tcPr>
            <w:tcW w:w="2086" w:type="dxa"/>
            <w:tcBorders>
              <w:top w:val="nil"/>
              <w:left w:val="single" w:sz="4" w:space="0" w:color="auto"/>
              <w:bottom w:val="nil"/>
              <w:right w:val="single" w:sz="4" w:space="0" w:color="auto"/>
            </w:tcBorders>
            <w:shd w:val="clear" w:color="auto" w:fill="auto"/>
            <w:noWrap/>
            <w:vAlign w:val="center"/>
          </w:tcPr>
          <w:p w14:paraId="6A25F7E8" w14:textId="4E074993"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72,6</w:t>
            </w:r>
          </w:p>
        </w:tc>
      </w:tr>
      <w:tr w:rsidR="00D73A51" w:rsidRPr="00D73A51" w14:paraId="78C4E3BD" w14:textId="77777777" w:rsidTr="007009DA">
        <w:trPr>
          <w:trHeight w:val="285"/>
        </w:trPr>
        <w:tc>
          <w:tcPr>
            <w:tcW w:w="2126" w:type="dxa"/>
            <w:tcBorders>
              <w:top w:val="nil"/>
              <w:left w:val="single" w:sz="4" w:space="0" w:color="auto"/>
              <w:bottom w:val="nil"/>
              <w:right w:val="single" w:sz="4" w:space="0" w:color="auto"/>
            </w:tcBorders>
            <w:shd w:val="clear" w:color="auto" w:fill="auto"/>
            <w:noWrap/>
            <w:vAlign w:val="center"/>
          </w:tcPr>
          <w:p w14:paraId="35F300D0" w14:textId="089E5FF3"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Šabina</w:t>
            </w:r>
          </w:p>
        </w:tc>
        <w:tc>
          <w:tcPr>
            <w:tcW w:w="2268" w:type="dxa"/>
            <w:tcBorders>
              <w:top w:val="nil"/>
              <w:left w:val="nil"/>
              <w:bottom w:val="nil"/>
              <w:right w:val="nil"/>
            </w:tcBorders>
            <w:shd w:val="clear" w:color="auto" w:fill="auto"/>
            <w:noWrap/>
            <w:vAlign w:val="center"/>
          </w:tcPr>
          <w:p w14:paraId="4672FBD0" w14:textId="3ED3B50F" w:rsidR="00D73A51" w:rsidRPr="004F61C7"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Sokolov</w:t>
            </w:r>
          </w:p>
        </w:tc>
        <w:tc>
          <w:tcPr>
            <w:tcW w:w="1701" w:type="dxa"/>
            <w:tcBorders>
              <w:top w:val="nil"/>
              <w:left w:val="single" w:sz="4" w:space="0" w:color="auto"/>
              <w:bottom w:val="nil"/>
              <w:right w:val="single" w:sz="4" w:space="0" w:color="auto"/>
            </w:tcBorders>
            <w:vAlign w:val="center"/>
          </w:tcPr>
          <w:p w14:paraId="41D89365" w14:textId="5AD5DABD"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Karlovarský</w:t>
            </w:r>
          </w:p>
        </w:tc>
        <w:tc>
          <w:tcPr>
            <w:tcW w:w="2086" w:type="dxa"/>
            <w:tcBorders>
              <w:top w:val="nil"/>
              <w:left w:val="single" w:sz="4" w:space="0" w:color="auto"/>
              <w:bottom w:val="nil"/>
              <w:right w:val="single" w:sz="4" w:space="0" w:color="auto"/>
            </w:tcBorders>
            <w:shd w:val="clear" w:color="auto" w:fill="auto"/>
            <w:noWrap/>
            <w:vAlign w:val="center"/>
          </w:tcPr>
          <w:p w14:paraId="443322A5" w14:textId="593559C7"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72,5</w:t>
            </w:r>
          </w:p>
        </w:tc>
      </w:tr>
      <w:tr w:rsidR="00D73A51" w:rsidRPr="00D73A51" w14:paraId="59952B88" w14:textId="77777777" w:rsidTr="007009DA">
        <w:trPr>
          <w:trHeight w:val="285"/>
        </w:trPr>
        <w:tc>
          <w:tcPr>
            <w:tcW w:w="2126" w:type="dxa"/>
            <w:tcBorders>
              <w:top w:val="nil"/>
              <w:left w:val="single" w:sz="4" w:space="0" w:color="auto"/>
              <w:bottom w:val="nil"/>
              <w:right w:val="single" w:sz="4" w:space="0" w:color="auto"/>
            </w:tcBorders>
            <w:shd w:val="clear" w:color="auto" w:fill="auto"/>
            <w:noWrap/>
            <w:vAlign w:val="center"/>
          </w:tcPr>
          <w:p w14:paraId="3461B4A9" w14:textId="6EC20E51"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Poustka</w:t>
            </w:r>
          </w:p>
        </w:tc>
        <w:tc>
          <w:tcPr>
            <w:tcW w:w="2268" w:type="dxa"/>
            <w:tcBorders>
              <w:top w:val="nil"/>
              <w:left w:val="nil"/>
              <w:bottom w:val="nil"/>
              <w:right w:val="nil"/>
            </w:tcBorders>
            <w:shd w:val="clear" w:color="auto" w:fill="auto"/>
            <w:noWrap/>
            <w:vAlign w:val="center"/>
          </w:tcPr>
          <w:p w14:paraId="235C798F" w14:textId="25AC3044" w:rsidR="00D73A51" w:rsidRPr="004F61C7"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Cheb</w:t>
            </w:r>
          </w:p>
        </w:tc>
        <w:tc>
          <w:tcPr>
            <w:tcW w:w="1701" w:type="dxa"/>
            <w:tcBorders>
              <w:top w:val="nil"/>
              <w:left w:val="single" w:sz="4" w:space="0" w:color="auto"/>
              <w:bottom w:val="nil"/>
              <w:right w:val="single" w:sz="4" w:space="0" w:color="auto"/>
            </w:tcBorders>
            <w:vAlign w:val="center"/>
          </w:tcPr>
          <w:p w14:paraId="62121562" w14:textId="59C45779"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Karlovarský</w:t>
            </w:r>
          </w:p>
        </w:tc>
        <w:tc>
          <w:tcPr>
            <w:tcW w:w="2086" w:type="dxa"/>
            <w:tcBorders>
              <w:top w:val="nil"/>
              <w:left w:val="single" w:sz="4" w:space="0" w:color="auto"/>
              <w:bottom w:val="nil"/>
              <w:right w:val="single" w:sz="4" w:space="0" w:color="auto"/>
            </w:tcBorders>
            <w:shd w:val="clear" w:color="auto" w:fill="auto"/>
            <w:noWrap/>
            <w:vAlign w:val="center"/>
          </w:tcPr>
          <w:p w14:paraId="2DB02556" w14:textId="5C5CB4B1"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72,2</w:t>
            </w:r>
          </w:p>
        </w:tc>
      </w:tr>
      <w:tr w:rsidR="00D73A51" w:rsidRPr="00D73A51" w14:paraId="2C6CC673" w14:textId="77777777" w:rsidTr="007009DA">
        <w:trPr>
          <w:trHeight w:val="285"/>
        </w:trPr>
        <w:tc>
          <w:tcPr>
            <w:tcW w:w="2126" w:type="dxa"/>
            <w:tcBorders>
              <w:top w:val="nil"/>
              <w:left w:val="single" w:sz="4" w:space="0" w:color="auto"/>
              <w:bottom w:val="nil"/>
              <w:right w:val="single" w:sz="4" w:space="0" w:color="auto"/>
            </w:tcBorders>
            <w:shd w:val="clear" w:color="auto" w:fill="auto"/>
            <w:noWrap/>
            <w:vAlign w:val="center"/>
          </w:tcPr>
          <w:p w14:paraId="4AB3F1B3" w14:textId="6B8CCE2E"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Sobíšky</w:t>
            </w:r>
          </w:p>
        </w:tc>
        <w:tc>
          <w:tcPr>
            <w:tcW w:w="2268" w:type="dxa"/>
            <w:tcBorders>
              <w:top w:val="nil"/>
              <w:left w:val="nil"/>
              <w:bottom w:val="nil"/>
              <w:right w:val="nil"/>
            </w:tcBorders>
            <w:shd w:val="clear" w:color="auto" w:fill="auto"/>
            <w:noWrap/>
            <w:vAlign w:val="center"/>
          </w:tcPr>
          <w:p w14:paraId="744C2C14" w14:textId="13CE996C" w:rsidR="00D73A51" w:rsidRPr="004F61C7"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Přerov</w:t>
            </w:r>
          </w:p>
        </w:tc>
        <w:tc>
          <w:tcPr>
            <w:tcW w:w="1701" w:type="dxa"/>
            <w:tcBorders>
              <w:top w:val="nil"/>
              <w:left w:val="single" w:sz="4" w:space="0" w:color="auto"/>
              <w:bottom w:val="nil"/>
              <w:right w:val="single" w:sz="4" w:space="0" w:color="auto"/>
            </w:tcBorders>
            <w:vAlign w:val="center"/>
          </w:tcPr>
          <w:p w14:paraId="13C28DB4" w14:textId="77E08E7C"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Olomoucký</w:t>
            </w:r>
          </w:p>
        </w:tc>
        <w:tc>
          <w:tcPr>
            <w:tcW w:w="2086" w:type="dxa"/>
            <w:tcBorders>
              <w:top w:val="nil"/>
              <w:left w:val="single" w:sz="4" w:space="0" w:color="auto"/>
              <w:bottom w:val="nil"/>
              <w:right w:val="single" w:sz="4" w:space="0" w:color="auto"/>
            </w:tcBorders>
            <w:shd w:val="clear" w:color="auto" w:fill="auto"/>
            <w:noWrap/>
            <w:vAlign w:val="center"/>
          </w:tcPr>
          <w:p w14:paraId="2943E31E" w14:textId="7CC72B78"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72,1</w:t>
            </w:r>
          </w:p>
        </w:tc>
      </w:tr>
      <w:tr w:rsidR="00D73A51" w:rsidRPr="00D73A51" w14:paraId="04F6A13F" w14:textId="77777777" w:rsidTr="007009DA">
        <w:trPr>
          <w:trHeight w:val="285"/>
        </w:trPr>
        <w:tc>
          <w:tcPr>
            <w:tcW w:w="2126" w:type="dxa"/>
            <w:tcBorders>
              <w:top w:val="nil"/>
              <w:left w:val="single" w:sz="4" w:space="0" w:color="auto"/>
              <w:right w:val="single" w:sz="4" w:space="0" w:color="auto"/>
            </w:tcBorders>
            <w:shd w:val="clear" w:color="auto" w:fill="auto"/>
            <w:noWrap/>
            <w:vAlign w:val="center"/>
          </w:tcPr>
          <w:p w14:paraId="6405E75E" w14:textId="7FDBA7AE"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Doubravčice</w:t>
            </w:r>
          </w:p>
        </w:tc>
        <w:tc>
          <w:tcPr>
            <w:tcW w:w="2268" w:type="dxa"/>
            <w:tcBorders>
              <w:top w:val="nil"/>
              <w:left w:val="nil"/>
              <w:right w:val="nil"/>
            </w:tcBorders>
            <w:shd w:val="clear" w:color="auto" w:fill="auto"/>
            <w:noWrap/>
            <w:vAlign w:val="center"/>
          </w:tcPr>
          <w:p w14:paraId="5189E6D3" w14:textId="28BCBF9D" w:rsidR="00D73A51" w:rsidRPr="004F61C7"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Kolín</w:t>
            </w:r>
          </w:p>
        </w:tc>
        <w:tc>
          <w:tcPr>
            <w:tcW w:w="1701" w:type="dxa"/>
            <w:tcBorders>
              <w:top w:val="nil"/>
              <w:left w:val="single" w:sz="4" w:space="0" w:color="auto"/>
              <w:right w:val="single" w:sz="4" w:space="0" w:color="auto"/>
            </w:tcBorders>
            <w:vAlign w:val="center"/>
          </w:tcPr>
          <w:p w14:paraId="34A8CAF1" w14:textId="6C0FB82F"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Středočeský</w:t>
            </w:r>
          </w:p>
        </w:tc>
        <w:tc>
          <w:tcPr>
            <w:tcW w:w="2086" w:type="dxa"/>
            <w:tcBorders>
              <w:top w:val="nil"/>
              <w:left w:val="single" w:sz="4" w:space="0" w:color="auto"/>
              <w:right w:val="single" w:sz="4" w:space="0" w:color="auto"/>
            </w:tcBorders>
            <w:shd w:val="clear" w:color="auto" w:fill="auto"/>
            <w:noWrap/>
            <w:vAlign w:val="center"/>
          </w:tcPr>
          <w:p w14:paraId="32691926" w14:textId="3219CE39" w:rsidR="00D73A51" w:rsidRPr="004F61C7"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71,2</w:t>
            </w:r>
          </w:p>
        </w:tc>
      </w:tr>
      <w:tr w:rsidR="00D73A51" w:rsidRPr="00D73A51" w14:paraId="3568A68B" w14:textId="77777777" w:rsidTr="007009DA">
        <w:trPr>
          <w:trHeight w:val="285"/>
        </w:trPr>
        <w:tc>
          <w:tcPr>
            <w:tcW w:w="2126" w:type="dxa"/>
            <w:tcBorders>
              <w:top w:val="nil"/>
              <w:left w:val="single" w:sz="4" w:space="0" w:color="auto"/>
              <w:bottom w:val="nil"/>
              <w:right w:val="single" w:sz="4" w:space="0" w:color="auto"/>
            </w:tcBorders>
            <w:shd w:val="clear" w:color="auto" w:fill="auto"/>
            <w:noWrap/>
            <w:vAlign w:val="center"/>
          </w:tcPr>
          <w:p w14:paraId="773AEC4A" w14:textId="230930F5"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Líšnice</w:t>
            </w:r>
          </w:p>
        </w:tc>
        <w:tc>
          <w:tcPr>
            <w:tcW w:w="2268" w:type="dxa"/>
            <w:tcBorders>
              <w:top w:val="nil"/>
              <w:left w:val="nil"/>
              <w:bottom w:val="nil"/>
              <w:right w:val="nil"/>
            </w:tcBorders>
            <w:shd w:val="clear" w:color="auto" w:fill="auto"/>
            <w:noWrap/>
            <w:vAlign w:val="center"/>
          </w:tcPr>
          <w:p w14:paraId="2A87DA5B" w14:textId="32A7EF16" w:rsidR="00D73A51" w:rsidRPr="00D73A51"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Praha-západ</w:t>
            </w:r>
          </w:p>
        </w:tc>
        <w:tc>
          <w:tcPr>
            <w:tcW w:w="1701" w:type="dxa"/>
            <w:tcBorders>
              <w:top w:val="nil"/>
              <w:left w:val="single" w:sz="4" w:space="0" w:color="auto"/>
              <w:bottom w:val="nil"/>
              <w:right w:val="single" w:sz="4" w:space="0" w:color="auto"/>
            </w:tcBorders>
            <w:vAlign w:val="center"/>
          </w:tcPr>
          <w:p w14:paraId="6C326342" w14:textId="6F8BEECA" w:rsidR="00D73A51" w:rsidRPr="00D73A51" w:rsidRDefault="00D73A51" w:rsidP="00D73A51">
            <w:pPr>
              <w:suppressAutoHyphens w:val="0"/>
              <w:jc w:val="center"/>
              <w:rPr>
                <w:rFonts w:cs="Arial"/>
                <w:color w:val="000000"/>
                <w:szCs w:val="20"/>
                <w:lang w:val="cs-CZ"/>
              </w:rPr>
            </w:pPr>
            <w:r w:rsidRPr="00D73A51">
              <w:rPr>
                <w:rFonts w:ascii="Calibri" w:hAnsi="Calibri" w:cs="Calibri"/>
                <w:color w:val="000000"/>
                <w:sz w:val="22"/>
                <w:szCs w:val="22"/>
                <w:lang w:val="cs-CZ"/>
              </w:rPr>
              <w:t>Středočeský</w:t>
            </w:r>
          </w:p>
        </w:tc>
        <w:tc>
          <w:tcPr>
            <w:tcW w:w="2086" w:type="dxa"/>
            <w:tcBorders>
              <w:top w:val="nil"/>
              <w:left w:val="single" w:sz="4" w:space="0" w:color="auto"/>
              <w:bottom w:val="nil"/>
              <w:right w:val="single" w:sz="4" w:space="0" w:color="auto"/>
            </w:tcBorders>
            <w:shd w:val="clear" w:color="auto" w:fill="auto"/>
            <w:noWrap/>
            <w:vAlign w:val="center"/>
          </w:tcPr>
          <w:p w14:paraId="38D0981F" w14:textId="6654A661"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71,1</w:t>
            </w:r>
          </w:p>
        </w:tc>
      </w:tr>
      <w:tr w:rsidR="00D73A51" w:rsidRPr="00D73A51" w14:paraId="48A232E9" w14:textId="77777777" w:rsidTr="007009DA">
        <w:trPr>
          <w:trHeight w:val="285"/>
        </w:trPr>
        <w:tc>
          <w:tcPr>
            <w:tcW w:w="2126" w:type="dxa"/>
            <w:tcBorders>
              <w:top w:val="nil"/>
              <w:left w:val="single" w:sz="4" w:space="0" w:color="auto"/>
              <w:bottom w:val="single" w:sz="4" w:space="0" w:color="auto"/>
              <w:right w:val="single" w:sz="4" w:space="0" w:color="auto"/>
            </w:tcBorders>
            <w:shd w:val="clear" w:color="auto" w:fill="auto"/>
            <w:noWrap/>
            <w:vAlign w:val="center"/>
          </w:tcPr>
          <w:p w14:paraId="45C72DF8" w14:textId="587FBFC3"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lastRenderedPageBreak/>
              <w:t>Čakovičky</w:t>
            </w:r>
          </w:p>
        </w:tc>
        <w:tc>
          <w:tcPr>
            <w:tcW w:w="2268" w:type="dxa"/>
            <w:tcBorders>
              <w:top w:val="nil"/>
              <w:left w:val="nil"/>
              <w:bottom w:val="single" w:sz="4" w:space="0" w:color="auto"/>
              <w:right w:val="nil"/>
            </w:tcBorders>
            <w:shd w:val="clear" w:color="auto" w:fill="auto"/>
            <w:noWrap/>
            <w:vAlign w:val="center"/>
          </w:tcPr>
          <w:p w14:paraId="053B5106" w14:textId="37EC8497" w:rsidR="00D73A51" w:rsidRPr="00D73A51" w:rsidRDefault="00D73A51" w:rsidP="00D73A51">
            <w:pPr>
              <w:suppressAutoHyphens w:val="0"/>
              <w:jc w:val="center"/>
              <w:rPr>
                <w:rFonts w:eastAsia="Times New Roman" w:cs="Arial"/>
                <w:szCs w:val="22"/>
                <w:lang w:val="cs-CZ" w:eastAsia="cs-CZ"/>
              </w:rPr>
            </w:pPr>
            <w:r w:rsidRPr="00D73A51">
              <w:rPr>
                <w:rFonts w:ascii="Arial CE" w:hAnsi="Arial CE" w:cs="Calibri"/>
                <w:szCs w:val="20"/>
                <w:lang w:val="cs-CZ"/>
              </w:rPr>
              <w:t>Mělník</w:t>
            </w:r>
          </w:p>
        </w:tc>
        <w:tc>
          <w:tcPr>
            <w:tcW w:w="1701" w:type="dxa"/>
            <w:tcBorders>
              <w:top w:val="nil"/>
              <w:left w:val="single" w:sz="4" w:space="0" w:color="auto"/>
              <w:bottom w:val="single" w:sz="4" w:space="0" w:color="auto"/>
              <w:right w:val="single" w:sz="4" w:space="0" w:color="auto"/>
            </w:tcBorders>
            <w:vAlign w:val="center"/>
          </w:tcPr>
          <w:p w14:paraId="574E7A39" w14:textId="07A76C27" w:rsidR="00D73A51" w:rsidRPr="00D73A51" w:rsidRDefault="00D73A51" w:rsidP="00D73A51">
            <w:pPr>
              <w:suppressAutoHyphens w:val="0"/>
              <w:jc w:val="center"/>
              <w:rPr>
                <w:rFonts w:cs="Arial"/>
                <w:color w:val="000000"/>
                <w:szCs w:val="20"/>
                <w:lang w:val="cs-CZ"/>
              </w:rPr>
            </w:pPr>
            <w:r w:rsidRPr="00D73A51">
              <w:rPr>
                <w:rFonts w:ascii="Calibri" w:hAnsi="Calibri" w:cs="Calibri"/>
                <w:color w:val="000000"/>
                <w:sz w:val="22"/>
                <w:szCs w:val="22"/>
                <w:lang w:val="cs-CZ"/>
              </w:rPr>
              <w:t>Středočeský</w:t>
            </w:r>
          </w:p>
        </w:tc>
        <w:tc>
          <w:tcPr>
            <w:tcW w:w="2086" w:type="dxa"/>
            <w:tcBorders>
              <w:top w:val="nil"/>
              <w:left w:val="single" w:sz="4" w:space="0" w:color="auto"/>
              <w:bottom w:val="single" w:sz="4" w:space="0" w:color="auto"/>
              <w:right w:val="single" w:sz="4" w:space="0" w:color="auto"/>
            </w:tcBorders>
            <w:shd w:val="clear" w:color="auto" w:fill="auto"/>
            <w:noWrap/>
            <w:vAlign w:val="center"/>
          </w:tcPr>
          <w:p w14:paraId="4FA0030F" w14:textId="3CECB8BC" w:rsidR="00D73A51" w:rsidRPr="00D73A51" w:rsidRDefault="00D73A51" w:rsidP="00D73A51">
            <w:pPr>
              <w:suppressAutoHyphens w:val="0"/>
              <w:jc w:val="center"/>
              <w:rPr>
                <w:rFonts w:eastAsia="Times New Roman" w:cs="Arial"/>
                <w:color w:val="000000"/>
                <w:szCs w:val="22"/>
                <w:lang w:val="cs-CZ" w:eastAsia="cs-CZ"/>
              </w:rPr>
            </w:pPr>
            <w:r w:rsidRPr="00D73A51">
              <w:rPr>
                <w:rFonts w:ascii="Calibri" w:hAnsi="Calibri" w:cs="Calibri"/>
                <w:color w:val="000000"/>
                <w:sz w:val="22"/>
                <w:szCs w:val="22"/>
                <w:lang w:val="cs-CZ"/>
              </w:rPr>
              <w:t>70,8</w:t>
            </w:r>
          </w:p>
        </w:tc>
      </w:tr>
    </w:tbl>
    <w:p w14:paraId="702BE6FD" w14:textId="473778CC" w:rsidR="004F61C7" w:rsidRDefault="004F61C7">
      <w:pPr>
        <w:jc w:val="both"/>
        <w:rPr>
          <w:rFonts w:ascii="Arial Unicode MS" w:hAnsi="Arial Unicode MS" w:cs="Arial Unicode MS"/>
          <w:lang w:val="cs-CZ"/>
        </w:rPr>
      </w:pPr>
    </w:p>
    <w:p w14:paraId="18FD4FEA" w14:textId="76DF037C" w:rsidR="004F61C7" w:rsidRPr="00E03546" w:rsidRDefault="004F61C7" w:rsidP="004F61C7">
      <w:pPr>
        <w:ind w:left="709" w:hanging="709"/>
        <w:jc w:val="both"/>
        <w:rPr>
          <w:rFonts w:eastAsia="Arial" w:cs="Arial"/>
          <w:lang w:val="cs-CZ"/>
        </w:rPr>
      </w:pPr>
      <w:r w:rsidRPr="00E03546">
        <w:rPr>
          <w:rFonts w:cs="Arial"/>
          <w:lang w:val="cs-CZ"/>
        </w:rPr>
        <w:t xml:space="preserve">Pozn.: </w:t>
      </w:r>
      <w:r>
        <w:rPr>
          <w:rFonts w:cs="Arial"/>
          <w:lang w:val="cs-CZ"/>
        </w:rPr>
        <w:tab/>
      </w:r>
      <w:r w:rsidRPr="00E03546">
        <w:rPr>
          <w:rFonts w:eastAsia="Arial" w:cs="Arial"/>
          <w:lang w:val="cs-CZ"/>
        </w:rPr>
        <w:t>Za jeden byt je možné odeslat více než jeden formulář, uvedený ukazatel tak nepředstav</w:t>
      </w:r>
      <w:r w:rsidR="007E0767">
        <w:rPr>
          <w:rFonts w:eastAsia="Arial" w:cs="Arial"/>
          <w:lang w:val="cs-CZ"/>
        </w:rPr>
        <w:t>uje podíl sečtených bytů v dané obci</w:t>
      </w:r>
      <w:r w:rsidRPr="00E03546">
        <w:rPr>
          <w:rFonts w:eastAsia="Arial" w:cs="Arial"/>
          <w:lang w:val="cs-CZ"/>
        </w:rPr>
        <w:t>.</w:t>
      </w:r>
    </w:p>
    <w:p w14:paraId="5A26C04B" w14:textId="77777777" w:rsidR="004F61C7" w:rsidRDefault="004F61C7">
      <w:pPr>
        <w:jc w:val="both"/>
        <w:rPr>
          <w:rFonts w:ascii="Arial Unicode MS" w:hAnsi="Arial Unicode MS" w:cs="Arial Unicode MS"/>
          <w:lang w:val="cs-CZ"/>
        </w:rPr>
      </w:pPr>
    </w:p>
    <w:p w14:paraId="4EA41B21" w14:textId="77777777" w:rsidR="004F61C7" w:rsidRPr="00C9433A" w:rsidRDefault="004F61C7">
      <w:pPr>
        <w:jc w:val="both"/>
        <w:rPr>
          <w:rFonts w:ascii="Arial Unicode MS" w:hAnsi="Arial Unicode MS" w:cs="Arial Unicode MS"/>
          <w:lang w:val="cs-CZ"/>
        </w:rPr>
      </w:pPr>
    </w:p>
    <w:p w14:paraId="3E2A862A" w14:textId="77777777" w:rsidR="006359FC" w:rsidRPr="00C9433A" w:rsidRDefault="006359FC"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D2409" w14:textId="77777777" w:rsidR="005D5EA1" w:rsidRDefault="005D5EA1">
      <w:r>
        <w:separator/>
      </w:r>
    </w:p>
  </w:endnote>
  <w:endnote w:type="continuationSeparator" w:id="0">
    <w:p w14:paraId="13674708" w14:textId="77777777" w:rsidR="005D5EA1" w:rsidRDefault="005D5EA1">
      <w:r>
        <w:continuationSeparator/>
      </w:r>
    </w:p>
  </w:endnote>
  <w:endnote w:type="continuationNotice" w:id="1">
    <w:p w14:paraId="743DE93A" w14:textId="77777777" w:rsidR="005D5EA1" w:rsidRDefault="005D5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324D6B7A"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92674A">
                            <w:rPr>
                              <w:rFonts w:cs="Arial"/>
                              <w:b/>
                              <w:noProof/>
                              <w:color w:val="22168B"/>
                            </w:rPr>
                            <w:t>1</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324D6B7A"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92674A">
                      <w:rPr>
                        <w:rFonts w:cs="Arial"/>
                        <w:b/>
                        <w:noProof/>
                        <w:color w:val="22168B"/>
                      </w:rPr>
                      <w:t>1</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A7541" w14:textId="77777777" w:rsidR="005D5EA1" w:rsidRDefault="005D5EA1">
      <w:r>
        <w:separator/>
      </w:r>
    </w:p>
  </w:footnote>
  <w:footnote w:type="continuationSeparator" w:id="0">
    <w:p w14:paraId="79081735" w14:textId="77777777" w:rsidR="005D5EA1" w:rsidRDefault="005D5EA1">
      <w:r>
        <w:continuationSeparator/>
      </w:r>
    </w:p>
  </w:footnote>
  <w:footnote w:type="continuationNotice" w:id="1">
    <w:p w14:paraId="34A18F99" w14:textId="77777777" w:rsidR="005D5EA1" w:rsidRDefault="005D5E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16DA"/>
    <w:rsid w:val="000139E6"/>
    <w:rsid w:val="0002135A"/>
    <w:rsid w:val="00045C0E"/>
    <w:rsid w:val="00054F73"/>
    <w:rsid w:val="00057518"/>
    <w:rsid w:val="0006245A"/>
    <w:rsid w:val="00063FE6"/>
    <w:rsid w:val="000932F1"/>
    <w:rsid w:val="000A3A6B"/>
    <w:rsid w:val="000A4B59"/>
    <w:rsid w:val="000C1555"/>
    <w:rsid w:val="000F67F8"/>
    <w:rsid w:val="00100762"/>
    <w:rsid w:val="00142118"/>
    <w:rsid w:val="00142D45"/>
    <w:rsid w:val="001D3EE8"/>
    <w:rsid w:val="001F6122"/>
    <w:rsid w:val="0020489F"/>
    <w:rsid w:val="0022048A"/>
    <w:rsid w:val="002477A9"/>
    <w:rsid w:val="00261228"/>
    <w:rsid w:val="00261FC1"/>
    <w:rsid w:val="00262CFA"/>
    <w:rsid w:val="00290C29"/>
    <w:rsid w:val="002A30AF"/>
    <w:rsid w:val="002C16FE"/>
    <w:rsid w:val="002E4690"/>
    <w:rsid w:val="002E7D80"/>
    <w:rsid w:val="003209D5"/>
    <w:rsid w:val="00330C17"/>
    <w:rsid w:val="00333F1F"/>
    <w:rsid w:val="00371AEC"/>
    <w:rsid w:val="003814A1"/>
    <w:rsid w:val="00396AC7"/>
    <w:rsid w:val="003B3F79"/>
    <w:rsid w:val="003B510D"/>
    <w:rsid w:val="003C29B8"/>
    <w:rsid w:val="003C3E4A"/>
    <w:rsid w:val="003D1071"/>
    <w:rsid w:val="003F2518"/>
    <w:rsid w:val="003F68CC"/>
    <w:rsid w:val="00401489"/>
    <w:rsid w:val="00405D6D"/>
    <w:rsid w:val="0040633C"/>
    <w:rsid w:val="00410EC5"/>
    <w:rsid w:val="00414DDA"/>
    <w:rsid w:val="00433DA3"/>
    <w:rsid w:val="00462FE4"/>
    <w:rsid w:val="00476EA6"/>
    <w:rsid w:val="00486C0E"/>
    <w:rsid w:val="004875F7"/>
    <w:rsid w:val="004950FD"/>
    <w:rsid w:val="004C6172"/>
    <w:rsid w:val="004D2A1F"/>
    <w:rsid w:val="004E1E8D"/>
    <w:rsid w:val="004E7A4E"/>
    <w:rsid w:val="004F61C7"/>
    <w:rsid w:val="005244D6"/>
    <w:rsid w:val="0053794C"/>
    <w:rsid w:val="0054454C"/>
    <w:rsid w:val="00547658"/>
    <w:rsid w:val="0056331A"/>
    <w:rsid w:val="0056775C"/>
    <w:rsid w:val="00572B50"/>
    <w:rsid w:val="00591A88"/>
    <w:rsid w:val="005946D8"/>
    <w:rsid w:val="005A383A"/>
    <w:rsid w:val="005C1901"/>
    <w:rsid w:val="005D1555"/>
    <w:rsid w:val="005D4803"/>
    <w:rsid w:val="005D5EA1"/>
    <w:rsid w:val="005D626B"/>
    <w:rsid w:val="005E1D83"/>
    <w:rsid w:val="005F39DD"/>
    <w:rsid w:val="005F56FA"/>
    <w:rsid w:val="00604854"/>
    <w:rsid w:val="006359FC"/>
    <w:rsid w:val="006822A7"/>
    <w:rsid w:val="00682568"/>
    <w:rsid w:val="0069039C"/>
    <w:rsid w:val="00696F23"/>
    <w:rsid w:val="006A7085"/>
    <w:rsid w:val="006C1840"/>
    <w:rsid w:val="006C4560"/>
    <w:rsid w:val="006D7C34"/>
    <w:rsid w:val="006E5B13"/>
    <w:rsid w:val="007009DA"/>
    <w:rsid w:val="00714F3E"/>
    <w:rsid w:val="0074436A"/>
    <w:rsid w:val="00750510"/>
    <w:rsid w:val="00780760"/>
    <w:rsid w:val="007814E4"/>
    <w:rsid w:val="00791AA0"/>
    <w:rsid w:val="0079477A"/>
    <w:rsid w:val="0079508B"/>
    <w:rsid w:val="007A5E86"/>
    <w:rsid w:val="007C0F14"/>
    <w:rsid w:val="007C6F24"/>
    <w:rsid w:val="007D7227"/>
    <w:rsid w:val="007E0767"/>
    <w:rsid w:val="007E17CD"/>
    <w:rsid w:val="007E6F95"/>
    <w:rsid w:val="00804F33"/>
    <w:rsid w:val="00807790"/>
    <w:rsid w:val="008156AC"/>
    <w:rsid w:val="0082697E"/>
    <w:rsid w:val="00836C6B"/>
    <w:rsid w:val="008521B6"/>
    <w:rsid w:val="00853F8B"/>
    <w:rsid w:val="0085714D"/>
    <w:rsid w:val="0086194D"/>
    <w:rsid w:val="00862585"/>
    <w:rsid w:val="00867F8C"/>
    <w:rsid w:val="008768B8"/>
    <w:rsid w:val="00885A80"/>
    <w:rsid w:val="00887BC3"/>
    <w:rsid w:val="00897D83"/>
    <w:rsid w:val="008A5F03"/>
    <w:rsid w:val="008B293A"/>
    <w:rsid w:val="008C01CC"/>
    <w:rsid w:val="008C1AB9"/>
    <w:rsid w:val="008C36A4"/>
    <w:rsid w:val="008F3191"/>
    <w:rsid w:val="00915D6A"/>
    <w:rsid w:val="009236CC"/>
    <w:rsid w:val="0092674A"/>
    <w:rsid w:val="0093013D"/>
    <w:rsid w:val="00931583"/>
    <w:rsid w:val="009456A3"/>
    <w:rsid w:val="00966895"/>
    <w:rsid w:val="00990538"/>
    <w:rsid w:val="00994A76"/>
    <w:rsid w:val="009A7AF5"/>
    <w:rsid w:val="009C60C6"/>
    <w:rsid w:val="009E64A2"/>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A16ED"/>
    <w:rsid w:val="00AA79D0"/>
    <w:rsid w:val="00AB7A8B"/>
    <w:rsid w:val="00AC0EA8"/>
    <w:rsid w:val="00AE7BE1"/>
    <w:rsid w:val="00AF0593"/>
    <w:rsid w:val="00AF3889"/>
    <w:rsid w:val="00AF7DC4"/>
    <w:rsid w:val="00B0600F"/>
    <w:rsid w:val="00B2513D"/>
    <w:rsid w:val="00B2667C"/>
    <w:rsid w:val="00B318A6"/>
    <w:rsid w:val="00B663D2"/>
    <w:rsid w:val="00B67FEE"/>
    <w:rsid w:val="00B7654E"/>
    <w:rsid w:val="00B86432"/>
    <w:rsid w:val="00B931DD"/>
    <w:rsid w:val="00B96F68"/>
    <w:rsid w:val="00BC084F"/>
    <w:rsid w:val="00BD1AA1"/>
    <w:rsid w:val="00BE073A"/>
    <w:rsid w:val="00BF0197"/>
    <w:rsid w:val="00BF05B9"/>
    <w:rsid w:val="00BF1DC3"/>
    <w:rsid w:val="00C0535A"/>
    <w:rsid w:val="00C1020C"/>
    <w:rsid w:val="00C14DC2"/>
    <w:rsid w:val="00C42878"/>
    <w:rsid w:val="00C5098C"/>
    <w:rsid w:val="00C51AD5"/>
    <w:rsid w:val="00C5558F"/>
    <w:rsid w:val="00C6005B"/>
    <w:rsid w:val="00C92D0A"/>
    <w:rsid w:val="00C9433A"/>
    <w:rsid w:val="00CA1533"/>
    <w:rsid w:val="00CA41D7"/>
    <w:rsid w:val="00CA63D7"/>
    <w:rsid w:val="00CA7912"/>
    <w:rsid w:val="00CB56A5"/>
    <w:rsid w:val="00CC0736"/>
    <w:rsid w:val="00CF78E3"/>
    <w:rsid w:val="00CF79F5"/>
    <w:rsid w:val="00D152BB"/>
    <w:rsid w:val="00D222B4"/>
    <w:rsid w:val="00D22933"/>
    <w:rsid w:val="00D500BC"/>
    <w:rsid w:val="00D51B36"/>
    <w:rsid w:val="00D71C79"/>
    <w:rsid w:val="00D73A51"/>
    <w:rsid w:val="00D76C48"/>
    <w:rsid w:val="00DA761C"/>
    <w:rsid w:val="00DB586F"/>
    <w:rsid w:val="00DC7501"/>
    <w:rsid w:val="00DC7E8D"/>
    <w:rsid w:val="00DE2CF4"/>
    <w:rsid w:val="00DE3D41"/>
    <w:rsid w:val="00DE417E"/>
    <w:rsid w:val="00DE4819"/>
    <w:rsid w:val="00E12BF9"/>
    <w:rsid w:val="00E43140"/>
    <w:rsid w:val="00E50298"/>
    <w:rsid w:val="00E62472"/>
    <w:rsid w:val="00E754C2"/>
    <w:rsid w:val="00E93CF8"/>
    <w:rsid w:val="00EA5BA7"/>
    <w:rsid w:val="00EB05CA"/>
    <w:rsid w:val="00EB1BFD"/>
    <w:rsid w:val="00EC0BEB"/>
    <w:rsid w:val="00EC3153"/>
    <w:rsid w:val="00EE066B"/>
    <w:rsid w:val="00EE2412"/>
    <w:rsid w:val="00EF0956"/>
    <w:rsid w:val="00EFFE5A"/>
    <w:rsid w:val="00F06663"/>
    <w:rsid w:val="00F1033F"/>
    <w:rsid w:val="00F2053B"/>
    <w:rsid w:val="00F279F4"/>
    <w:rsid w:val="00F306AB"/>
    <w:rsid w:val="00F30717"/>
    <w:rsid w:val="00F35CD9"/>
    <w:rsid w:val="00F73D9F"/>
    <w:rsid w:val="00F9564F"/>
    <w:rsid w:val="00FA3F8B"/>
    <w:rsid w:val="00FA5A0C"/>
    <w:rsid w:val="00FB07C6"/>
    <w:rsid w:val="00FB161D"/>
    <w:rsid w:val="00FC768D"/>
    <w:rsid w:val="00FE0CFE"/>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455099295">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0F6B4-A861-4EA1-834D-B0E30AA4DC73}">
  <ds:schemaRefs>
    <ds:schemaRef ds:uri="http://schemas.microsoft.com/sharepoint/v3/contenttype/forms"/>
  </ds:schemaRefs>
</ds:datastoreItem>
</file>

<file path=customXml/itemProps3.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2106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cieslar35132</cp:lastModifiedBy>
  <cp:revision>3</cp:revision>
  <dcterms:created xsi:type="dcterms:W3CDTF">2021-04-12T13:51:00Z</dcterms:created>
  <dcterms:modified xsi:type="dcterms:W3CDTF">2021-04-12T14:03:00Z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