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3C4A" w14:textId="24B90694" w:rsidR="00EB05CA" w:rsidRPr="00414DDA" w:rsidRDefault="6304D884" w:rsidP="4E784506">
      <w:pPr>
        <w:pStyle w:val="H1"/>
        <w:rPr>
          <w:rStyle w:val="dnA"/>
          <w:color w:val="2B4D89"/>
          <w:sz w:val="32"/>
          <w:lang w:val="cs-CZ"/>
        </w:rPr>
      </w:pPr>
      <w:bookmarkStart w:id="0" w:name="_GoBack"/>
      <w:bookmarkEnd w:id="0"/>
      <w:r w:rsidRPr="4E784506">
        <w:rPr>
          <w:rStyle w:val="dnA"/>
          <w:color w:val="2B4D89"/>
          <w:sz w:val="32"/>
          <w:lang w:val="cs-CZ"/>
        </w:rPr>
        <w:t>Tisková zpráva</w:t>
      </w:r>
    </w:p>
    <w:p w14:paraId="21CCBA1A" w14:textId="162DE884" w:rsidR="00EB05CA" w:rsidRPr="00414DDA" w:rsidRDefault="006B1E51" w:rsidP="4E784506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>
        <w:rPr>
          <w:rStyle w:val="dnA"/>
          <w:color w:val="2B4D89"/>
          <w:sz w:val="20"/>
          <w:szCs w:val="20"/>
          <w:lang w:val="cs-CZ"/>
        </w:rPr>
        <w:t>5</w:t>
      </w:r>
      <w:r w:rsidR="00B318A6" w:rsidRPr="4E784506">
        <w:rPr>
          <w:rStyle w:val="dnA"/>
          <w:color w:val="2B4D89"/>
          <w:sz w:val="20"/>
          <w:szCs w:val="20"/>
          <w:lang w:val="cs-CZ"/>
        </w:rPr>
        <w:t xml:space="preserve">. </w:t>
      </w:r>
      <w:r w:rsidR="7A59ED2F" w:rsidRPr="4E784506">
        <w:rPr>
          <w:rStyle w:val="dnA"/>
          <w:color w:val="2B4D89"/>
          <w:sz w:val="20"/>
          <w:szCs w:val="20"/>
          <w:lang w:val="cs-CZ"/>
        </w:rPr>
        <w:t xml:space="preserve">dubna </w:t>
      </w:r>
      <w:r w:rsidR="00B318A6" w:rsidRPr="4E784506">
        <w:rPr>
          <w:rStyle w:val="dnA"/>
          <w:color w:val="2B4D89"/>
          <w:sz w:val="20"/>
          <w:szCs w:val="20"/>
          <w:lang w:val="cs-CZ"/>
        </w:rPr>
        <w:t>2021</w:t>
      </w:r>
    </w:p>
    <w:p w14:paraId="4352BFC0" w14:textId="6996CD82" w:rsidR="05A2CAA9" w:rsidRDefault="1D94094E" w:rsidP="4E784506">
      <w:pPr>
        <w:pStyle w:val="H2"/>
        <w:spacing w:line="259" w:lineRule="auto"/>
        <w:rPr>
          <w:color w:val="2B4D89"/>
          <w:sz w:val="32"/>
          <w:szCs w:val="32"/>
        </w:rPr>
      </w:pPr>
      <w:r w:rsidRPr="141C97B3">
        <w:rPr>
          <w:color w:val="2B4D89"/>
          <w:sz w:val="32"/>
          <w:szCs w:val="32"/>
        </w:rPr>
        <w:t xml:space="preserve">Při sčítání uvádějte skutečné, nikoliv </w:t>
      </w:r>
      <w:r w:rsidR="00A43385" w:rsidRPr="141C97B3">
        <w:rPr>
          <w:color w:val="2B4D89"/>
          <w:sz w:val="32"/>
          <w:szCs w:val="32"/>
        </w:rPr>
        <w:t xml:space="preserve">úředně hlášené </w:t>
      </w:r>
      <w:r w:rsidRPr="141C97B3">
        <w:rPr>
          <w:color w:val="2B4D89"/>
          <w:sz w:val="32"/>
          <w:szCs w:val="32"/>
        </w:rPr>
        <w:t xml:space="preserve">bydliště </w:t>
      </w:r>
      <w:r w:rsidR="2315F051" w:rsidRPr="141C97B3">
        <w:rPr>
          <w:color w:val="2B4D89"/>
          <w:sz w:val="32"/>
          <w:szCs w:val="32"/>
        </w:rPr>
        <w:t xml:space="preserve"> </w:t>
      </w:r>
    </w:p>
    <w:p w14:paraId="5CF6A0BD" w14:textId="24DDEE17" w:rsidR="00CA7912" w:rsidRDefault="62E5B21D" w:rsidP="4E784506">
      <w:pPr>
        <w:pStyle w:val="Perex"/>
        <w:spacing w:line="259" w:lineRule="auto"/>
        <w:rPr>
          <w:color w:val="2B4D89"/>
          <w:lang w:val="cs-CZ"/>
        </w:rPr>
      </w:pPr>
      <w:r w:rsidRPr="26B9644F">
        <w:rPr>
          <w:color w:val="2B4D89"/>
          <w:lang w:val="cs-CZ"/>
        </w:rPr>
        <w:t xml:space="preserve">Jedním z největších přínosů sčítání </w:t>
      </w:r>
      <w:r w:rsidR="609A4A10" w:rsidRPr="26B9644F">
        <w:rPr>
          <w:color w:val="2B4D89"/>
          <w:lang w:val="cs-CZ"/>
        </w:rPr>
        <w:t xml:space="preserve">je </w:t>
      </w:r>
      <w:r w:rsidR="17EEE7D7" w:rsidRPr="26B9644F">
        <w:rPr>
          <w:color w:val="2B4D89"/>
          <w:lang w:val="cs-CZ"/>
        </w:rPr>
        <w:t xml:space="preserve">šance získat </w:t>
      </w:r>
      <w:r w:rsidR="33BD2695" w:rsidRPr="26B9644F">
        <w:rPr>
          <w:color w:val="2B4D89"/>
          <w:lang w:val="cs-CZ"/>
        </w:rPr>
        <w:t>reálný</w:t>
      </w:r>
      <w:r w:rsidR="609A4A10" w:rsidRPr="26B9644F">
        <w:rPr>
          <w:color w:val="2B4D89"/>
          <w:lang w:val="cs-CZ"/>
        </w:rPr>
        <w:t xml:space="preserve"> obrázek o tom, kde lidé bydlí a pracují. </w:t>
      </w:r>
      <w:r w:rsidR="5A4D183E" w:rsidRPr="26B9644F">
        <w:rPr>
          <w:color w:val="2B4D89"/>
          <w:lang w:val="cs-CZ"/>
        </w:rPr>
        <w:t xml:space="preserve">To umožňuje </w:t>
      </w:r>
      <w:r w:rsidR="5DA86D68" w:rsidRPr="26B9644F">
        <w:rPr>
          <w:color w:val="2B4D89"/>
          <w:lang w:val="cs-CZ"/>
        </w:rPr>
        <w:t>cílit</w:t>
      </w:r>
      <w:r w:rsidR="5A4D183E" w:rsidRPr="26B9644F">
        <w:rPr>
          <w:color w:val="2B4D89"/>
          <w:lang w:val="cs-CZ"/>
        </w:rPr>
        <w:t xml:space="preserve"> veřejné služby tam, kde jsou </w:t>
      </w:r>
      <w:r w:rsidR="10D66555" w:rsidRPr="26B9644F">
        <w:rPr>
          <w:color w:val="2B4D89"/>
          <w:lang w:val="cs-CZ"/>
        </w:rPr>
        <w:t xml:space="preserve">skutečně zapotřebí. </w:t>
      </w:r>
      <w:r w:rsidR="01819BDC" w:rsidRPr="26B9644F">
        <w:rPr>
          <w:color w:val="2B4D89"/>
          <w:lang w:val="cs-CZ"/>
        </w:rPr>
        <w:t>Z toho důvodu se sčítací formulář neptá na trval</w:t>
      </w:r>
      <w:r w:rsidR="47644DDC" w:rsidRPr="26B9644F">
        <w:rPr>
          <w:color w:val="2B4D89"/>
          <w:lang w:val="cs-CZ"/>
        </w:rPr>
        <w:t>ý</w:t>
      </w:r>
      <w:r w:rsidR="01819BDC" w:rsidRPr="26B9644F">
        <w:rPr>
          <w:color w:val="2B4D89"/>
          <w:lang w:val="cs-CZ"/>
        </w:rPr>
        <w:t xml:space="preserve"> pobyt</w:t>
      </w:r>
      <w:r w:rsidR="5F014F8E" w:rsidRPr="26B9644F">
        <w:rPr>
          <w:color w:val="2B4D89"/>
          <w:lang w:val="cs-CZ"/>
        </w:rPr>
        <w:t>,</w:t>
      </w:r>
      <w:r w:rsidR="01819BDC" w:rsidRPr="26B9644F">
        <w:rPr>
          <w:color w:val="2B4D89"/>
          <w:lang w:val="cs-CZ"/>
        </w:rPr>
        <w:t xml:space="preserve"> ale na </w:t>
      </w:r>
      <w:r w:rsidR="1A05580E" w:rsidRPr="26B9644F">
        <w:rPr>
          <w:color w:val="2B4D89"/>
          <w:lang w:val="cs-CZ"/>
        </w:rPr>
        <w:t>obvyklou adresu.</w:t>
      </w:r>
      <w:r w:rsidR="65E3675A" w:rsidRPr="26B9644F">
        <w:rPr>
          <w:color w:val="2B4D89"/>
          <w:lang w:val="cs-CZ"/>
        </w:rPr>
        <w:t xml:space="preserve"> Jde</w:t>
      </w:r>
      <w:r w:rsidR="2AD7566B" w:rsidRPr="26B9644F">
        <w:rPr>
          <w:color w:val="2B4D89"/>
          <w:lang w:val="cs-CZ"/>
        </w:rPr>
        <w:t xml:space="preserve"> přitom</w:t>
      </w:r>
      <w:r w:rsidR="65E3675A" w:rsidRPr="26B9644F">
        <w:rPr>
          <w:color w:val="2B4D89"/>
          <w:lang w:val="cs-CZ"/>
        </w:rPr>
        <w:t xml:space="preserve"> o</w:t>
      </w:r>
      <w:r w:rsidR="00A63F1F">
        <w:rPr>
          <w:color w:val="2B4D89"/>
          <w:lang w:val="cs-CZ"/>
        </w:rPr>
        <w:t> </w:t>
      </w:r>
      <w:r w:rsidR="65E3675A" w:rsidRPr="26B9644F">
        <w:rPr>
          <w:color w:val="2B4D89"/>
          <w:lang w:val="cs-CZ"/>
        </w:rPr>
        <w:t>zcela unikátní data, která nelze zjistit jiným způsobem.</w:t>
      </w:r>
    </w:p>
    <w:p w14:paraId="2E53A694" w14:textId="4063D9EA" w:rsidR="00CA7912" w:rsidRPr="00A2516B" w:rsidRDefault="1FA30DBE" w:rsidP="252B575A">
      <w:pPr>
        <w:jc w:val="both"/>
        <w:rPr>
          <w:rFonts w:eastAsia="Arial" w:cs="Arial"/>
          <w:strike/>
          <w:lang w:val="cs-CZ"/>
        </w:rPr>
      </w:pPr>
      <w:r w:rsidRPr="00A2516B">
        <w:rPr>
          <w:rFonts w:eastAsia="Arial" w:cs="Arial"/>
          <w:lang w:val="cs-CZ"/>
        </w:rPr>
        <w:t>Český statistický úřad v maximální m</w:t>
      </w:r>
      <w:r w:rsidR="4E1F3169" w:rsidRPr="252B575A">
        <w:rPr>
          <w:rFonts w:eastAsia="Arial" w:cs="Arial"/>
          <w:lang w:val="cs-CZ"/>
        </w:rPr>
        <w:t>í</w:t>
      </w:r>
      <w:r w:rsidRPr="00A2516B">
        <w:rPr>
          <w:rFonts w:eastAsia="Arial" w:cs="Arial"/>
          <w:lang w:val="cs-CZ"/>
        </w:rPr>
        <w:t xml:space="preserve">ře využívá </w:t>
      </w:r>
      <w:r w:rsidR="11A51161" w:rsidRPr="252B575A">
        <w:rPr>
          <w:lang w:val="cs-CZ"/>
        </w:rPr>
        <w:t>data z veřejných registrů. V</w:t>
      </w:r>
      <w:r w:rsidR="357AAD1A" w:rsidRPr="252B575A">
        <w:rPr>
          <w:lang w:val="cs-CZ"/>
        </w:rPr>
        <w:t>e formulářích</w:t>
      </w:r>
      <w:r w:rsidR="00A2516B">
        <w:rPr>
          <w:lang w:val="cs-CZ"/>
        </w:rPr>
        <w:t xml:space="preserve"> </w:t>
      </w:r>
      <w:r w:rsidR="11A51161" w:rsidRPr="252B575A">
        <w:rPr>
          <w:lang w:val="cs-CZ"/>
        </w:rPr>
        <w:t xml:space="preserve">se ptá pouze na to, co nelze zjistit z jiných zdrojů. Namísto adresy trvalého bydliště je pro </w:t>
      </w:r>
      <w:r w:rsidR="64AE8953" w:rsidRPr="252B575A">
        <w:rPr>
          <w:lang w:val="cs-CZ"/>
        </w:rPr>
        <w:t xml:space="preserve">největší statistické šetření v zemi podstatná informace o tom, kde lidé </w:t>
      </w:r>
      <w:r w:rsidR="1D710A43" w:rsidRPr="252B575A">
        <w:rPr>
          <w:lang w:val="cs-CZ"/>
        </w:rPr>
        <w:t xml:space="preserve">reálně žijí. </w:t>
      </w:r>
      <w:r w:rsidR="00D6181B">
        <w:rPr>
          <w:i/>
          <w:iCs/>
          <w:lang w:val="cs-CZ"/>
        </w:rPr>
        <w:t>„</w:t>
      </w:r>
      <w:r w:rsidR="4C4CB8D6" w:rsidRPr="252B575A">
        <w:rPr>
          <w:rFonts w:eastAsia="Arial" w:cs="Arial"/>
          <w:i/>
          <w:iCs/>
          <w:lang w:val="cs-CZ"/>
        </w:rPr>
        <w:t xml:space="preserve">Při sčítání se zjišťuje tzv. obvyklé bydliště. </w:t>
      </w:r>
      <w:r w:rsidR="61DD5B01" w:rsidRPr="252B575A">
        <w:rPr>
          <w:rFonts w:eastAsia="Arial" w:cs="Arial"/>
          <w:i/>
          <w:iCs/>
          <w:lang w:val="cs-CZ"/>
        </w:rPr>
        <w:t>Tedy</w:t>
      </w:r>
      <w:r w:rsidR="4C4CB8D6" w:rsidRPr="252B575A">
        <w:rPr>
          <w:rFonts w:eastAsia="Arial" w:cs="Arial"/>
          <w:i/>
          <w:iCs/>
          <w:lang w:val="cs-CZ"/>
        </w:rPr>
        <w:t xml:space="preserve"> místo, kde skutečně bydlíte a kde máte svou domácnost,</w:t>
      </w:r>
      <w:r w:rsidR="00A60037">
        <w:rPr>
          <w:rFonts w:eastAsia="Arial" w:cs="Arial"/>
          <w:i/>
          <w:iCs/>
          <w:lang w:val="cs-CZ"/>
        </w:rPr>
        <w:t xml:space="preserve"> případně rodinu</w:t>
      </w:r>
      <w:r w:rsidR="4C4CB8D6" w:rsidRPr="252B575A">
        <w:rPr>
          <w:rFonts w:eastAsia="Arial" w:cs="Arial"/>
          <w:i/>
          <w:iCs/>
          <w:lang w:val="cs-CZ"/>
        </w:rPr>
        <w:t xml:space="preserve">,“ </w:t>
      </w:r>
      <w:r w:rsidR="1648D975" w:rsidRPr="252B575A">
        <w:rPr>
          <w:rFonts w:eastAsia="Arial" w:cs="Arial"/>
          <w:lang w:val="cs-CZ"/>
        </w:rPr>
        <w:t>vysvětluje</w:t>
      </w:r>
      <w:r w:rsidR="00A2516B">
        <w:rPr>
          <w:rFonts w:eastAsia="Arial" w:cs="Arial"/>
          <w:lang w:val="cs-CZ"/>
        </w:rPr>
        <w:t xml:space="preserve"> </w:t>
      </w:r>
      <w:r w:rsidR="00A2516B" w:rsidRPr="252B575A">
        <w:rPr>
          <w:rFonts w:eastAsia="Arial" w:cs="Arial"/>
          <w:lang w:val="cs-CZ"/>
        </w:rPr>
        <w:t>Robert Šanda</w:t>
      </w:r>
      <w:r w:rsidR="00A2516B">
        <w:rPr>
          <w:rFonts w:eastAsia="Arial" w:cs="Arial"/>
          <w:lang w:val="cs-CZ"/>
        </w:rPr>
        <w:t>, věcný gestor Sčítání 2021</w:t>
      </w:r>
      <w:r w:rsidR="23F5DF53" w:rsidRPr="252B575A">
        <w:rPr>
          <w:rFonts w:eastAsia="Arial" w:cs="Arial"/>
          <w:lang w:val="cs-CZ"/>
        </w:rPr>
        <w:t>.</w:t>
      </w:r>
    </w:p>
    <w:p w14:paraId="5EB02E81" w14:textId="410CE428" w:rsidR="00CA7912" w:rsidRDefault="00CA7912" w:rsidP="4E784506">
      <w:pPr>
        <w:jc w:val="both"/>
        <w:rPr>
          <w:rFonts w:eastAsia="Arial" w:cs="Arial"/>
          <w:lang w:val="cs-CZ"/>
        </w:rPr>
      </w:pPr>
    </w:p>
    <w:p w14:paraId="6F9D6284" w14:textId="47B2BA8E" w:rsidR="00CA7912" w:rsidRDefault="78994F6A" w:rsidP="4E784506">
      <w:pPr>
        <w:jc w:val="both"/>
        <w:rPr>
          <w:rFonts w:eastAsia="Arial" w:cs="Arial"/>
          <w:lang w:val="cs-CZ"/>
        </w:rPr>
      </w:pPr>
      <w:r w:rsidRPr="252B575A">
        <w:rPr>
          <w:rFonts w:eastAsia="Arial" w:cs="Arial"/>
          <w:lang w:val="cs-CZ"/>
        </w:rPr>
        <w:t xml:space="preserve">Mnoho osob </w:t>
      </w:r>
      <w:r w:rsidR="59502178" w:rsidRPr="252B575A">
        <w:rPr>
          <w:rFonts w:eastAsia="Arial" w:cs="Arial"/>
          <w:lang w:val="cs-CZ"/>
        </w:rPr>
        <w:t xml:space="preserve">má </w:t>
      </w:r>
      <w:r w:rsidRPr="252B575A">
        <w:rPr>
          <w:rFonts w:eastAsia="Arial" w:cs="Arial"/>
          <w:lang w:val="cs-CZ"/>
        </w:rPr>
        <w:t>trval</w:t>
      </w:r>
      <w:r w:rsidR="6685016C" w:rsidRPr="252B575A">
        <w:rPr>
          <w:rFonts w:eastAsia="Arial" w:cs="Arial"/>
          <w:lang w:val="cs-CZ"/>
        </w:rPr>
        <w:t>ý</w:t>
      </w:r>
      <w:r w:rsidRPr="252B575A">
        <w:rPr>
          <w:rFonts w:eastAsia="Arial" w:cs="Arial"/>
          <w:lang w:val="cs-CZ"/>
        </w:rPr>
        <w:t xml:space="preserve"> pobyt </w:t>
      </w:r>
      <w:r w:rsidR="442DF16B" w:rsidRPr="252B575A">
        <w:rPr>
          <w:rFonts w:eastAsia="Arial" w:cs="Arial"/>
          <w:lang w:val="cs-CZ"/>
        </w:rPr>
        <w:t xml:space="preserve">hlášen </w:t>
      </w:r>
      <w:r w:rsidRPr="252B575A">
        <w:rPr>
          <w:rFonts w:eastAsia="Arial" w:cs="Arial"/>
          <w:lang w:val="cs-CZ"/>
        </w:rPr>
        <w:t>na adrese, kde se nezdržuj</w:t>
      </w:r>
      <w:r w:rsidR="45966D8F" w:rsidRPr="252B575A">
        <w:rPr>
          <w:rFonts w:eastAsia="Arial" w:cs="Arial"/>
          <w:lang w:val="cs-CZ"/>
        </w:rPr>
        <w:t>e</w:t>
      </w:r>
      <w:r w:rsidR="70DB71F5" w:rsidRPr="252B575A">
        <w:rPr>
          <w:rFonts w:eastAsia="Arial" w:cs="Arial"/>
          <w:lang w:val="cs-CZ"/>
        </w:rPr>
        <w:t xml:space="preserve">. Typické je to u mladých lidí, kteří </w:t>
      </w:r>
      <w:r w:rsidR="00EA2CC2" w:rsidRPr="252B575A">
        <w:rPr>
          <w:rFonts w:eastAsia="Arial" w:cs="Arial"/>
          <w:lang w:val="cs-CZ"/>
        </w:rPr>
        <w:t xml:space="preserve">mají stále trvalé bydliště u rodičů, přestože </w:t>
      </w:r>
      <w:r w:rsidR="4E114072" w:rsidRPr="252B575A">
        <w:rPr>
          <w:rFonts w:eastAsia="Arial" w:cs="Arial"/>
          <w:lang w:val="cs-CZ"/>
        </w:rPr>
        <w:t xml:space="preserve">se už postavili na vlastní nohy a </w:t>
      </w:r>
      <w:r w:rsidR="299E1D96" w:rsidRPr="252B575A">
        <w:rPr>
          <w:rFonts w:eastAsia="Arial" w:cs="Arial"/>
          <w:lang w:val="cs-CZ"/>
        </w:rPr>
        <w:t xml:space="preserve">žijí jinde. </w:t>
      </w:r>
      <w:r w:rsidR="54E69F80" w:rsidRPr="252B575A">
        <w:rPr>
          <w:rFonts w:eastAsia="Arial" w:cs="Arial"/>
          <w:lang w:val="cs-CZ"/>
        </w:rPr>
        <w:t xml:space="preserve">Podobně to mají vysokoškoláci nebo lidé, kteří se kvůli práci přestěhovali do jiného města </w:t>
      </w:r>
      <w:r w:rsidR="7EB82946" w:rsidRPr="252B575A">
        <w:rPr>
          <w:rFonts w:eastAsia="Arial" w:cs="Arial"/>
          <w:lang w:val="cs-CZ"/>
        </w:rPr>
        <w:t>nebo do ciziny a do místa trvalého pobytu jen čas od času dojíždějí.</w:t>
      </w:r>
      <w:r w:rsidR="7EB82946" w:rsidRPr="006A2E2A">
        <w:rPr>
          <w:rFonts w:eastAsia="Arial" w:cs="Arial"/>
          <w:i/>
          <w:iCs/>
          <w:lang w:val="cs-CZ"/>
        </w:rPr>
        <w:t xml:space="preserve"> </w:t>
      </w:r>
      <w:r w:rsidR="00D6181B" w:rsidRPr="006A2E2A">
        <w:rPr>
          <w:rFonts w:eastAsia="Arial" w:cs="Arial"/>
          <w:i/>
          <w:iCs/>
          <w:lang w:val="cs-CZ"/>
        </w:rPr>
        <w:t>„</w:t>
      </w:r>
      <w:r w:rsidR="2C641973" w:rsidRPr="00A2516B">
        <w:rPr>
          <w:rFonts w:eastAsia="Arial" w:cs="Arial"/>
          <w:i/>
          <w:iCs/>
          <w:lang w:val="cs-CZ"/>
        </w:rPr>
        <w:t>Existují případy, kdy například rodiče zapíšou své děti na adrese jiné městské části kvůli tomu, aby měly vyšší šanci při zápisu do školy. Přitom třeba právě pro plánování škol a školek je důležité vědět, kde rodiny skutečně bydlí</w:t>
      </w:r>
      <w:r w:rsidR="64942F9E" w:rsidRPr="00A63F1F">
        <w:rPr>
          <w:rFonts w:eastAsia="Arial" w:cs="Arial"/>
          <w:i/>
          <w:iCs/>
          <w:lang w:val="cs-CZ"/>
        </w:rPr>
        <w:t>,</w:t>
      </w:r>
      <w:r w:rsidR="64942F9E" w:rsidRPr="006A2E2A">
        <w:rPr>
          <w:rFonts w:eastAsia="Arial" w:cs="Arial"/>
          <w:i/>
          <w:iCs/>
          <w:lang w:val="cs-CZ"/>
        </w:rPr>
        <w:t xml:space="preserve">” </w:t>
      </w:r>
      <w:r w:rsidR="7F85DD95" w:rsidRPr="252B575A">
        <w:rPr>
          <w:rFonts w:eastAsia="Arial" w:cs="Arial"/>
          <w:lang w:val="cs-CZ"/>
        </w:rPr>
        <w:t>dopl</w:t>
      </w:r>
      <w:r w:rsidR="64942F9E" w:rsidRPr="252B575A">
        <w:rPr>
          <w:rFonts w:eastAsia="Arial" w:cs="Arial"/>
          <w:lang w:val="cs-CZ"/>
        </w:rPr>
        <w:t>ňuje Robert Šanda.</w:t>
      </w:r>
      <w:r w:rsidR="2C641973" w:rsidRPr="252B575A">
        <w:rPr>
          <w:rFonts w:eastAsia="Arial" w:cs="Arial"/>
          <w:lang w:val="cs-CZ"/>
        </w:rPr>
        <w:t xml:space="preserve"> Údaje ze sčítání pak mohou být podkladem pro navýšení kapacity škol v jejich obci </w:t>
      </w:r>
      <w:r w:rsidR="54299C73" w:rsidRPr="252B575A">
        <w:rPr>
          <w:rFonts w:eastAsia="Arial" w:cs="Arial"/>
          <w:lang w:val="cs-CZ"/>
        </w:rPr>
        <w:t>nebo</w:t>
      </w:r>
      <w:r w:rsidR="2C641973" w:rsidRPr="252B575A">
        <w:rPr>
          <w:rFonts w:eastAsia="Arial" w:cs="Arial"/>
          <w:lang w:val="cs-CZ"/>
        </w:rPr>
        <w:t xml:space="preserve"> městské části.</w:t>
      </w:r>
    </w:p>
    <w:p w14:paraId="74026E2A" w14:textId="0F4D43FC" w:rsidR="607ADA15" w:rsidRDefault="607ADA15" w:rsidP="607ADA15">
      <w:pPr>
        <w:jc w:val="both"/>
        <w:rPr>
          <w:lang w:val="cs-CZ"/>
        </w:rPr>
      </w:pPr>
    </w:p>
    <w:p w14:paraId="1D5A5F5D" w14:textId="26FE6F19" w:rsidR="00CA7912" w:rsidRDefault="2C641973" w:rsidP="26B9644F">
      <w:pPr>
        <w:jc w:val="both"/>
        <w:rPr>
          <w:lang w:val="cs-CZ"/>
        </w:rPr>
      </w:pPr>
      <w:r w:rsidRPr="26B9644F">
        <w:rPr>
          <w:rFonts w:eastAsia="Arial" w:cs="Arial"/>
          <w:lang w:val="cs-CZ"/>
        </w:rPr>
        <w:t>Sčítání lidu, domů a bytů ukazuje reálný stav věcí</w:t>
      </w:r>
      <w:r w:rsidR="50645AC9" w:rsidRPr="26B9644F">
        <w:rPr>
          <w:rFonts w:eastAsia="Arial" w:cs="Arial"/>
          <w:lang w:val="cs-CZ"/>
        </w:rPr>
        <w:t>,</w:t>
      </w:r>
      <w:r w:rsidRPr="26B9644F">
        <w:rPr>
          <w:rFonts w:eastAsia="Arial" w:cs="Arial"/>
          <w:lang w:val="cs-CZ"/>
        </w:rPr>
        <w:t xml:space="preserve"> </w:t>
      </w:r>
      <w:r w:rsidR="6999F18D" w:rsidRPr="26B9644F">
        <w:rPr>
          <w:rFonts w:eastAsia="Arial" w:cs="Arial"/>
          <w:lang w:val="cs-CZ"/>
        </w:rPr>
        <w:t>n</w:t>
      </w:r>
      <w:r w:rsidRPr="26B9644F">
        <w:rPr>
          <w:rFonts w:eastAsia="Arial" w:cs="Arial"/>
          <w:lang w:val="cs-CZ"/>
        </w:rPr>
        <w:t xml:space="preserve">a </w:t>
      </w:r>
      <w:r w:rsidR="307FA747" w:rsidRPr="26B9644F">
        <w:rPr>
          <w:rFonts w:eastAsia="Arial" w:cs="Arial"/>
          <w:lang w:val="cs-CZ"/>
        </w:rPr>
        <w:t xml:space="preserve">jehož </w:t>
      </w:r>
      <w:r w:rsidR="00E80D94">
        <w:rPr>
          <w:rFonts w:eastAsia="Arial" w:cs="Arial"/>
          <w:lang w:val="cs-CZ"/>
        </w:rPr>
        <w:t xml:space="preserve">základě </w:t>
      </w:r>
      <w:r w:rsidRPr="26B9644F">
        <w:rPr>
          <w:rFonts w:eastAsia="Arial" w:cs="Arial"/>
          <w:lang w:val="cs-CZ"/>
        </w:rPr>
        <w:t xml:space="preserve">se pak dá plánovat </w:t>
      </w:r>
      <w:r w:rsidR="00D6181B">
        <w:rPr>
          <w:rFonts w:eastAsia="Arial" w:cs="Arial"/>
          <w:lang w:val="cs-CZ"/>
        </w:rPr>
        <w:br/>
      </w:r>
      <w:r w:rsidR="2FB6CD62" w:rsidRPr="26B9644F">
        <w:rPr>
          <w:rFonts w:eastAsia="Arial" w:cs="Arial"/>
          <w:lang w:val="cs-CZ"/>
        </w:rPr>
        <w:t xml:space="preserve">i </w:t>
      </w:r>
      <w:r w:rsidRPr="26B9644F">
        <w:rPr>
          <w:rFonts w:eastAsia="Arial" w:cs="Arial"/>
          <w:lang w:val="cs-CZ"/>
        </w:rPr>
        <w:t>smysluplná občanská vybavenost.</w:t>
      </w:r>
      <w:r w:rsidR="3F119276" w:rsidRPr="26B9644F">
        <w:rPr>
          <w:rFonts w:eastAsia="Arial" w:cs="Arial"/>
          <w:lang w:val="cs-CZ"/>
        </w:rPr>
        <w:t xml:space="preserve"> </w:t>
      </w:r>
      <w:r w:rsidR="78994F6A" w:rsidRPr="26B9644F">
        <w:rPr>
          <w:rFonts w:eastAsia="Arial" w:cs="Arial"/>
          <w:lang w:val="cs-CZ"/>
        </w:rPr>
        <w:t>Získané informace mohou sloužit například jako podklad pro posílení linek MHD. Údaje o rozmístění obyvatel v kombinaci s dalšími umožňují popsat podmínky života či například dostupnost práce nebo domovů pro seniory v jednotlivých lokalitách. Přinášejí také informace, kde k</w:t>
      </w:r>
      <w:r w:rsidR="6FEDE812" w:rsidRPr="26B9644F">
        <w:rPr>
          <w:rFonts w:eastAsia="Arial" w:cs="Arial"/>
          <w:lang w:val="cs-CZ"/>
        </w:rPr>
        <w:t xml:space="preserve">onkrétní </w:t>
      </w:r>
      <w:r w:rsidR="78994F6A" w:rsidRPr="26B9644F">
        <w:rPr>
          <w:rFonts w:eastAsia="Arial" w:cs="Arial"/>
          <w:lang w:val="cs-CZ"/>
        </w:rPr>
        <w:t>profese přebývají, či naopak chybějí.</w:t>
      </w:r>
      <w:r w:rsidR="00A60037">
        <w:rPr>
          <w:rFonts w:eastAsia="Arial" w:cs="Arial"/>
          <w:lang w:val="cs-CZ"/>
        </w:rPr>
        <w:t xml:space="preserve"> Mají rovněž</w:t>
      </w:r>
      <w:r w:rsidR="00A2516B">
        <w:rPr>
          <w:rFonts w:eastAsia="Arial" w:cs="Arial"/>
          <w:lang w:val="cs-CZ"/>
        </w:rPr>
        <w:t xml:space="preserve"> vliv na spravedlivé rozdělení výnosů z daní pro jednotlivé obce.</w:t>
      </w:r>
    </w:p>
    <w:p w14:paraId="2C66647C" w14:textId="3B77962E" w:rsidR="00CA7912" w:rsidRDefault="00CA7912" w:rsidP="26B9644F">
      <w:pPr>
        <w:jc w:val="both"/>
        <w:rPr>
          <w:rFonts w:eastAsia="Arial" w:cs="Arial"/>
          <w:lang w:val="cs-CZ"/>
        </w:rPr>
      </w:pPr>
    </w:p>
    <w:p w14:paraId="67D7BFDF" w14:textId="77777777" w:rsidR="00A2516B" w:rsidRDefault="4B0E77DA" w:rsidP="26B9644F">
      <w:pPr>
        <w:jc w:val="both"/>
        <w:rPr>
          <w:rFonts w:eastAsia="Arial" w:cs="Arial"/>
          <w:lang w:val="cs-CZ"/>
        </w:rPr>
      </w:pPr>
      <w:r w:rsidRPr="26B9644F">
        <w:rPr>
          <w:rFonts w:eastAsia="Arial" w:cs="Arial"/>
          <w:lang w:val="cs-CZ"/>
        </w:rPr>
        <w:t>Počet sečtených trvale bydlících obyvatel Česka byl podle dat z posledního sčítání lidu v roce 2</w:t>
      </w:r>
      <w:r w:rsidR="3EBCB8DD" w:rsidRPr="26B9644F">
        <w:rPr>
          <w:rFonts w:eastAsia="Arial" w:cs="Arial"/>
          <w:lang w:val="cs-CZ"/>
        </w:rPr>
        <w:t xml:space="preserve">011 </w:t>
      </w:r>
      <w:r w:rsidRPr="26B9644F">
        <w:rPr>
          <w:rFonts w:eastAsia="Arial" w:cs="Arial"/>
          <w:lang w:val="cs-CZ"/>
        </w:rPr>
        <w:t>vyšší než počet obvykle bydlících. Mírně převažoval skoro ve všech krajích, nejvýrazněji v Karlovarském, Ústeckém a Moravskoslezském. Výjimku představovaly Praha a Středočeský kraj, v nichž bylo obvykle bydlících obyvatel dohromady o 53 tisíc</w:t>
      </w:r>
      <w:r w:rsidR="7786EEB6" w:rsidRPr="26B9644F">
        <w:rPr>
          <w:rFonts w:eastAsia="Arial" w:cs="Arial"/>
          <w:lang w:val="cs-CZ"/>
        </w:rPr>
        <w:t xml:space="preserve"> </w:t>
      </w:r>
      <w:r w:rsidRPr="26B9644F">
        <w:rPr>
          <w:rFonts w:eastAsia="Arial" w:cs="Arial"/>
          <w:lang w:val="cs-CZ"/>
        </w:rPr>
        <w:t>více.</w:t>
      </w:r>
      <w:r w:rsidR="56D9614F" w:rsidRPr="26B9644F">
        <w:rPr>
          <w:rFonts w:eastAsia="Arial" w:cs="Arial"/>
          <w:lang w:val="cs-CZ"/>
        </w:rPr>
        <w:t xml:space="preserve"> </w:t>
      </w:r>
      <w:r w:rsidRPr="26B9644F">
        <w:rPr>
          <w:rFonts w:eastAsia="Arial" w:cs="Arial"/>
          <w:lang w:val="cs-CZ"/>
        </w:rPr>
        <w:t>Celkově byl u 69 % obcí</w:t>
      </w:r>
      <w:r w:rsidR="0095819E" w:rsidRPr="26B9644F">
        <w:rPr>
          <w:rFonts w:eastAsia="Arial" w:cs="Arial"/>
          <w:lang w:val="cs-CZ"/>
        </w:rPr>
        <w:t xml:space="preserve"> v Česku</w:t>
      </w:r>
      <w:r w:rsidRPr="26B9644F">
        <w:rPr>
          <w:rFonts w:eastAsia="Arial" w:cs="Arial"/>
          <w:lang w:val="cs-CZ"/>
        </w:rPr>
        <w:t xml:space="preserve"> zaznamenán nižší počet obvykle bydlících obyvatel než bydl</w:t>
      </w:r>
      <w:r w:rsidR="5066AC1A" w:rsidRPr="26B9644F">
        <w:rPr>
          <w:rFonts w:eastAsia="Arial" w:cs="Arial"/>
          <w:lang w:val="cs-CZ"/>
        </w:rPr>
        <w:t>ících trvale.</w:t>
      </w:r>
      <w:r w:rsidR="7AB31D5B" w:rsidRPr="26B9644F">
        <w:rPr>
          <w:rFonts w:eastAsia="Arial" w:cs="Arial"/>
          <w:lang w:val="cs-CZ"/>
        </w:rPr>
        <w:t xml:space="preserve"> V obvodech obcí s rozšířenou působností sousedících s Prahou bylo však pouze 18 obcí ze 189, kde obvykle bydlící nepřevažovali nad trvale bydlícími.</w:t>
      </w:r>
      <w:r w:rsidR="4A00D39D" w:rsidRPr="26B9644F">
        <w:rPr>
          <w:rFonts w:eastAsia="Arial" w:cs="Arial"/>
          <w:lang w:val="cs-CZ"/>
        </w:rPr>
        <w:t xml:space="preserve"> </w:t>
      </w:r>
    </w:p>
    <w:p w14:paraId="40348A7E" w14:textId="77777777" w:rsidR="00A2516B" w:rsidRDefault="00A2516B" w:rsidP="26B9644F">
      <w:pPr>
        <w:jc w:val="both"/>
        <w:rPr>
          <w:rFonts w:eastAsia="Arial" w:cs="Arial"/>
          <w:lang w:val="cs-CZ"/>
        </w:rPr>
      </w:pPr>
    </w:p>
    <w:p w14:paraId="6872D5EB" w14:textId="34AE92D5" w:rsidR="00CA7912" w:rsidRDefault="4A00D39D">
      <w:pPr>
        <w:jc w:val="both"/>
        <w:rPr>
          <w:rFonts w:eastAsia="Arial" w:cs="Arial"/>
          <w:lang w:val="cs-CZ"/>
        </w:rPr>
      </w:pPr>
      <w:r w:rsidRPr="26B9644F">
        <w:rPr>
          <w:rFonts w:eastAsia="Arial" w:cs="Arial"/>
          <w:lang w:val="cs-CZ"/>
        </w:rPr>
        <w:t>Z celkového počtu obyvatel s trvalým i obvyklým pobytem v Česku (10 386,1 tis.) mělo</w:t>
      </w:r>
      <w:r w:rsidR="057D362A" w:rsidRPr="26B9644F">
        <w:rPr>
          <w:rFonts w:eastAsia="Arial" w:cs="Arial"/>
          <w:lang w:val="cs-CZ"/>
        </w:rPr>
        <w:t xml:space="preserve"> při minulém sčítání</w:t>
      </w:r>
      <w:r w:rsidRPr="26B9644F">
        <w:rPr>
          <w:rFonts w:eastAsia="Arial" w:cs="Arial"/>
          <w:lang w:val="cs-CZ"/>
        </w:rPr>
        <w:t xml:space="preserve"> 558,2 tisíc (5,4 %) rozdílné obce pobytů. Více než polovinu rozdílů na úrovni krajů tvořily osoby, které měly jeden z pobytů v Praze</w:t>
      </w:r>
      <w:r w:rsidR="32E60B3F" w:rsidRPr="26B9644F">
        <w:rPr>
          <w:rFonts w:eastAsia="Arial" w:cs="Arial"/>
          <w:lang w:val="cs-CZ"/>
        </w:rPr>
        <w:t>.</w:t>
      </w:r>
      <w:r w:rsidRPr="26B9644F">
        <w:rPr>
          <w:rFonts w:eastAsia="Arial" w:cs="Arial"/>
          <w:lang w:val="cs-CZ"/>
        </w:rPr>
        <w:t xml:space="preserve"> </w:t>
      </w:r>
      <w:r w:rsidR="024192DA" w:rsidRPr="26B9644F">
        <w:rPr>
          <w:rFonts w:eastAsia="Arial" w:cs="Arial"/>
          <w:lang w:val="cs-CZ"/>
        </w:rPr>
        <w:t>Č</w:t>
      </w:r>
      <w:r w:rsidRPr="26B9644F">
        <w:rPr>
          <w:rFonts w:eastAsia="Arial" w:cs="Arial"/>
          <w:lang w:val="cs-CZ"/>
        </w:rPr>
        <w:t>astá byla zejména kombinace Praha</w:t>
      </w:r>
      <w:r w:rsidR="00A63F1F">
        <w:rPr>
          <w:rFonts w:eastAsia="Arial" w:cs="Arial"/>
          <w:lang w:val="cs-CZ"/>
        </w:rPr>
        <w:t> </w:t>
      </w:r>
      <w:r w:rsidRPr="26B9644F">
        <w:rPr>
          <w:rFonts w:eastAsia="Arial" w:cs="Arial"/>
          <w:lang w:val="cs-CZ"/>
        </w:rPr>
        <w:t>–</w:t>
      </w:r>
      <w:r w:rsidR="00A63F1F">
        <w:rPr>
          <w:rFonts w:eastAsia="Arial" w:cs="Arial"/>
          <w:lang w:val="cs-CZ"/>
        </w:rPr>
        <w:t> </w:t>
      </w:r>
      <w:r w:rsidRPr="26B9644F">
        <w:rPr>
          <w:rFonts w:eastAsia="Arial" w:cs="Arial"/>
          <w:lang w:val="cs-CZ"/>
        </w:rPr>
        <w:t>Středočeský kraj</w:t>
      </w:r>
      <w:r w:rsidR="2FB9DC9A" w:rsidRPr="26B9644F">
        <w:rPr>
          <w:rFonts w:eastAsia="Arial" w:cs="Arial"/>
          <w:lang w:val="cs-CZ"/>
        </w:rPr>
        <w:t xml:space="preserve">, </w:t>
      </w:r>
      <w:r w:rsidRPr="26B9644F">
        <w:rPr>
          <w:rFonts w:eastAsia="Arial" w:cs="Arial"/>
          <w:lang w:val="cs-CZ"/>
        </w:rPr>
        <w:t>přičemž ve Středočeském kraji fakticky žilo zhruba dvakrát tolik P</w:t>
      </w:r>
      <w:r w:rsidR="00A2516B">
        <w:rPr>
          <w:rFonts w:eastAsia="Arial" w:cs="Arial"/>
          <w:lang w:val="cs-CZ"/>
        </w:rPr>
        <w:t>ražanů</w:t>
      </w:r>
      <w:r w:rsidR="00D6181B">
        <w:rPr>
          <w:rFonts w:eastAsia="Arial" w:cs="Arial"/>
          <w:lang w:val="cs-CZ"/>
        </w:rPr>
        <w:t>,</w:t>
      </w:r>
      <w:r w:rsidRPr="26B9644F">
        <w:rPr>
          <w:rFonts w:eastAsia="Arial" w:cs="Arial"/>
          <w:lang w:val="cs-CZ"/>
        </w:rPr>
        <w:t xml:space="preserve"> než kolik Středočechů žilo fakticky v Praze</w:t>
      </w:r>
      <w:r w:rsidR="5975FCE8" w:rsidRPr="26B9644F">
        <w:rPr>
          <w:rFonts w:eastAsia="Arial" w:cs="Arial"/>
          <w:lang w:val="cs-CZ"/>
        </w:rPr>
        <w:t>. V</w:t>
      </w:r>
      <w:r w:rsidRPr="26B9644F">
        <w:rPr>
          <w:rFonts w:eastAsia="Arial" w:cs="Arial"/>
          <w:lang w:val="cs-CZ"/>
        </w:rPr>
        <w:t xml:space="preserve">ýrazně ziskový byl také Jihomoravský </w:t>
      </w:r>
      <w:r w:rsidRPr="26B9644F">
        <w:rPr>
          <w:rFonts w:eastAsia="Arial" w:cs="Arial"/>
          <w:lang w:val="cs-CZ"/>
        </w:rPr>
        <w:lastRenderedPageBreak/>
        <w:t>kraj, kde ve větším počtu</w:t>
      </w:r>
      <w:r w:rsidR="6A586C9C" w:rsidRPr="26B9644F">
        <w:rPr>
          <w:rFonts w:eastAsia="Arial" w:cs="Arial"/>
          <w:lang w:val="cs-CZ"/>
        </w:rPr>
        <w:t xml:space="preserve"> </w:t>
      </w:r>
      <w:r w:rsidRPr="26B9644F">
        <w:rPr>
          <w:rFonts w:eastAsia="Arial" w:cs="Arial"/>
          <w:lang w:val="cs-CZ"/>
        </w:rPr>
        <w:t>žili obyvatelé hlášení k pobytu hlavně v Moravskoslezském a Zlínském kraji.</w:t>
      </w:r>
    </w:p>
    <w:p w14:paraId="58771B31" w14:textId="52E71D09" w:rsidR="00CA7912" w:rsidRDefault="00CA7912" w:rsidP="4E784506">
      <w:pPr>
        <w:jc w:val="both"/>
        <w:rPr>
          <w:lang w:val="cs-CZ"/>
        </w:rPr>
      </w:pPr>
    </w:p>
    <w:p w14:paraId="38E490B5" w14:textId="38998D2C" w:rsidR="00CA7912" w:rsidRDefault="022AF761" w:rsidP="26B9644F">
      <w:pPr>
        <w:jc w:val="both"/>
        <w:rPr>
          <w:rFonts w:eastAsia="Arial" w:cs="Arial"/>
          <w:lang w:val="cs-CZ"/>
        </w:rPr>
      </w:pPr>
      <w:r w:rsidRPr="26B9644F">
        <w:rPr>
          <w:rFonts w:eastAsia="Arial" w:cs="Arial"/>
          <w:lang w:val="cs-CZ"/>
        </w:rPr>
        <w:t xml:space="preserve">Údaje ze sčítání jako jediné ukážou, kde obyvatelé České republiky skutečně bydlí. </w:t>
      </w:r>
      <w:r w:rsidR="00D6181B" w:rsidRPr="00D6181B">
        <w:rPr>
          <w:rFonts w:eastAsia="Arial" w:cs="Arial"/>
          <w:lang w:val="cs-CZ"/>
        </w:rPr>
        <w:t>Právě probíhající sčítání umožní aktualizovat tyto jinak ned</w:t>
      </w:r>
      <w:r w:rsidR="00D6181B">
        <w:rPr>
          <w:rFonts w:eastAsia="Arial" w:cs="Arial"/>
          <w:lang w:val="cs-CZ"/>
        </w:rPr>
        <w:t>ostupné údaje a zjistit</w:t>
      </w:r>
      <w:r w:rsidR="00D6181B" w:rsidRPr="00D6181B">
        <w:rPr>
          <w:rFonts w:eastAsia="Arial" w:cs="Arial"/>
          <w:lang w:val="cs-CZ"/>
        </w:rPr>
        <w:t>, jak se rozložení obyvatelstva v obcích a regionech v čase proměňuje. Agregované výsledky b</w:t>
      </w:r>
      <w:r w:rsidR="00D6181B">
        <w:rPr>
          <w:rFonts w:eastAsia="Arial" w:cs="Arial"/>
          <w:lang w:val="cs-CZ"/>
        </w:rPr>
        <w:t>udou k dispozici krajům, obcím i</w:t>
      </w:r>
      <w:r w:rsidR="00D6181B" w:rsidRPr="00D6181B">
        <w:rPr>
          <w:rFonts w:eastAsia="Arial" w:cs="Arial"/>
          <w:lang w:val="cs-CZ"/>
        </w:rPr>
        <w:t xml:space="preserve"> široké veřejnosti.  </w:t>
      </w:r>
      <w:r w:rsidR="00D6181B">
        <w:rPr>
          <w:rFonts w:eastAsia="Arial" w:cs="Arial"/>
          <w:i/>
          <w:iCs/>
          <w:lang w:val="cs-CZ"/>
        </w:rPr>
        <w:t>„</w:t>
      </w:r>
      <w:r w:rsidR="7992C707" w:rsidRPr="00A2516B">
        <w:rPr>
          <w:rFonts w:eastAsia="Arial" w:cs="Arial"/>
          <w:i/>
          <w:iCs/>
          <w:lang w:val="cs-CZ"/>
        </w:rPr>
        <w:t>I</w:t>
      </w:r>
      <w:r w:rsidR="1A8DFDAA" w:rsidRPr="00A2516B">
        <w:rPr>
          <w:rFonts w:eastAsia="Arial" w:cs="Arial"/>
          <w:i/>
          <w:iCs/>
          <w:lang w:val="cs-CZ"/>
        </w:rPr>
        <w:t xml:space="preserve">nformace </w:t>
      </w:r>
      <w:r w:rsidR="088C7CF2" w:rsidRPr="00A2516B">
        <w:rPr>
          <w:rFonts w:eastAsia="Arial" w:cs="Arial"/>
          <w:i/>
          <w:iCs/>
          <w:lang w:val="cs-CZ"/>
        </w:rPr>
        <w:t>vyplněné do</w:t>
      </w:r>
      <w:r w:rsidR="1DE91B52" w:rsidRPr="00A2516B">
        <w:rPr>
          <w:rFonts w:eastAsia="Arial" w:cs="Arial"/>
          <w:i/>
          <w:iCs/>
          <w:lang w:val="cs-CZ"/>
        </w:rPr>
        <w:t xml:space="preserve"> sčítacích formulářů </w:t>
      </w:r>
      <w:r w:rsidR="1A8DFDAA" w:rsidRPr="00A2516B">
        <w:rPr>
          <w:rFonts w:eastAsia="Arial" w:cs="Arial"/>
          <w:i/>
          <w:iCs/>
          <w:lang w:val="cs-CZ"/>
        </w:rPr>
        <w:t xml:space="preserve">se </w:t>
      </w:r>
      <w:r w:rsidR="332637AC" w:rsidRPr="00A2516B">
        <w:rPr>
          <w:rFonts w:eastAsia="Arial" w:cs="Arial"/>
          <w:i/>
          <w:iCs/>
          <w:lang w:val="cs-CZ"/>
        </w:rPr>
        <w:t xml:space="preserve">po zpracování </w:t>
      </w:r>
      <w:r w:rsidR="1A8DFDAA" w:rsidRPr="00A2516B">
        <w:rPr>
          <w:rFonts w:eastAsia="Arial" w:cs="Arial"/>
          <w:i/>
          <w:iCs/>
          <w:lang w:val="cs-CZ"/>
        </w:rPr>
        <w:t>anonymizují</w:t>
      </w:r>
      <w:r w:rsidR="0DC19686" w:rsidRPr="00A2516B">
        <w:rPr>
          <w:rFonts w:eastAsia="Arial" w:cs="Arial"/>
          <w:i/>
          <w:iCs/>
          <w:lang w:val="cs-CZ"/>
        </w:rPr>
        <w:t xml:space="preserve"> </w:t>
      </w:r>
      <w:r w:rsidR="44D4BC27" w:rsidRPr="00A2516B">
        <w:rPr>
          <w:rFonts w:eastAsia="Arial" w:cs="Arial"/>
          <w:i/>
          <w:iCs/>
          <w:lang w:val="cs-CZ"/>
        </w:rPr>
        <w:t>a n</w:t>
      </w:r>
      <w:r w:rsidR="1A8DFDAA" w:rsidRPr="00A2516B">
        <w:rPr>
          <w:rFonts w:eastAsia="Arial" w:cs="Arial"/>
          <w:i/>
          <w:iCs/>
          <w:lang w:val="cs-CZ"/>
        </w:rPr>
        <w:t>ebudou zpřístupněny jiným subjektům, a to ani státním úřadům či jiným org</w:t>
      </w:r>
      <w:r w:rsidR="1A8DFDAA" w:rsidRPr="26B9644F">
        <w:rPr>
          <w:rFonts w:eastAsia="Arial" w:cs="Arial"/>
          <w:i/>
          <w:iCs/>
          <w:lang w:val="cs-CZ"/>
        </w:rPr>
        <w:t>ánům veřejné moci. Je to základní princip oficiální statistiky garantovaný zákonem</w:t>
      </w:r>
      <w:r w:rsidR="22B37D62" w:rsidRPr="00A63F1F">
        <w:rPr>
          <w:rFonts w:eastAsia="Arial" w:cs="Arial"/>
          <w:i/>
          <w:iCs/>
          <w:lang w:val="cs-CZ"/>
        </w:rPr>
        <w:t>,</w:t>
      </w:r>
      <w:r w:rsidR="22B37D62" w:rsidRPr="006A2E2A">
        <w:rPr>
          <w:rFonts w:eastAsia="Arial" w:cs="Arial"/>
          <w:i/>
          <w:iCs/>
          <w:lang w:val="cs-CZ"/>
        </w:rPr>
        <w:t>”</w:t>
      </w:r>
      <w:r w:rsidR="4EFD177C" w:rsidRPr="26B9644F">
        <w:rPr>
          <w:rFonts w:eastAsia="Arial" w:cs="Arial"/>
          <w:lang w:val="cs-CZ"/>
        </w:rPr>
        <w:t xml:space="preserve"> </w:t>
      </w:r>
      <w:r w:rsidR="0067AC9E" w:rsidRPr="26B9644F">
        <w:rPr>
          <w:rFonts w:eastAsia="Arial" w:cs="Arial"/>
          <w:lang w:val="cs-CZ"/>
        </w:rPr>
        <w:t>zdůrazňuje Marek Rojíček, předseda Českého statistického úřadu.</w:t>
      </w:r>
      <w:r w:rsidR="1A8DFDAA" w:rsidRPr="26B9644F">
        <w:rPr>
          <w:rFonts w:eastAsia="Arial" w:cs="Arial"/>
          <w:lang w:val="cs-CZ"/>
        </w:rPr>
        <w:t xml:space="preserve">  </w:t>
      </w:r>
    </w:p>
    <w:p w14:paraId="75A0E951" w14:textId="3CE815D4" w:rsidR="00CA7912" w:rsidRDefault="00CA7912" w:rsidP="4E784506">
      <w:pPr>
        <w:jc w:val="both"/>
        <w:rPr>
          <w:i/>
          <w:iCs/>
          <w:lang w:val="cs-CZ"/>
        </w:rPr>
      </w:pPr>
    </w:p>
    <w:p w14:paraId="49F0546F" w14:textId="64FDCE12" w:rsidR="55BDB2F9" w:rsidRPr="00FC61C5" w:rsidRDefault="55BDB2F9" w:rsidP="00A2516B">
      <w:pPr>
        <w:jc w:val="both"/>
        <w:rPr>
          <w:b/>
          <w:color w:val="2B4D89"/>
          <w:lang w:val="cs-CZ"/>
        </w:rPr>
      </w:pPr>
      <w:r w:rsidRPr="00FC61C5">
        <w:rPr>
          <w:b/>
          <w:color w:val="2B4D89"/>
          <w:lang w:val="cs-CZ"/>
        </w:rPr>
        <w:t>Jak mám odpovědět, když …?</w:t>
      </w:r>
      <w:r w:rsidR="2163483F" w:rsidRPr="00FC61C5">
        <w:rPr>
          <w:b/>
          <w:color w:val="2B4D89"/>
          <w:lang w:val="cs-CZ"/>
        </w:rPr>
        <w:t xml:space="preserve"> </w:t>
      </w:r>
    </w:p>
    <w:p w14:paraId="0C392AA6" w14:textId="763A0F88" w:rsidR="008A5F03" w:rsidRDefault="008A5F03" w:rsidP="4E784506">
      <w:pPr>
        <w:jc w:val="both"/>
        <w:rPr>
          <w:lang w:val="cs-CZ"/>
        </w:rPr>
      </w:pPr>
    </w:p>
    <w:p w14:paraId="6E577A66" w14:textId="78977972" w:rsidR="4D0C66E1" w:rsidRPr="00D6181B" w:rsidRDefault="4D0C66E1" w:rsidP="00D6181B">
      <w:pPr>
        <w:jc w:val="both"/>
        <w:rPr>
          <w:rFonts w:ascii="Calibri" w:eastAsia="Calibri" w:hAnsi="Calibri" w:cs="Calibri"/>
          <w:lang w:val="cs-CZ"/>
        </w:rPr>
      </w:pPr>
      <w:r w:rsidRPr="00D6181B">
        <w:rPr>
          <w:b/>
          <w:bCs/>
          <w:lang w:val="cs-CZ"/>
        </w:rPr>
        <w:t>Stěhuji se</w:t>
      </w:r>
      <w:r w:rsidR="165EB87C" w:rsidRPr="00D6181B">
        <w:rPr>
          <w:b/>
          <w:bCs/>
          <w:lang w:val="cs-CZ"/>
        </w:rPr>
        <w:t xml:space="preserve"> </w:t>
      </w:r>
    </w:p>
    <w:p w14:paraId="524584E5" w14:textId="07434894" w:rsidR="00061F0A" w:rsidRDefault="14FE24A8" w:rsidP="4E784506">
      <w:pPr>
        <w:jc w:val="both"/>
        <w:rPr>
          <w:lang w:val="cs-CZ"/>
        </w:rPr>
      </w:pPr>
      <w:r w:rsidRPr="4E784506">
        <w:rPr>
          <w:lang w:val="cs-CZ"/>
        </w:rPr>
        <w:t>Pokud se aktuálně stěhujete, napište adresu, která byla platná k rozhodnému okamžiku sčítání, tedy k 26. březnu 2021.</w:t>
      </w:r>
    </w:p>
    <w:p w14:paraId="34A74572" w14:textId="7605A987" w:rsidR="14FE24A8" w:rsidRDefault="14FE24A8" w:rsidP="4E784506">
      <w:pPr>
        <w:jc w:val="both"/>
        <w:rPr>
          <w:lang w:val="cs-CZ"/>
        </w:rPr>
      </w:pPr>
      <w:r w:rsidRPr="4E784506">
        <w:rPr>
          <w:lang w:val="cs-CZ"/>
        </w:rPr>
        <w:t xml:space="preserve"> </w:t>
      </w:r>
    </w:p>
    <w:p w14:paraId="539420AA" w14:textId="3250CA83" w:rsidR="5194380B" w:rsidRPr="00D6181B" w:rsidRDefault="5194380B" w:rsidP="00D6181B">
      <w:pPr>
        <w:jc w:val="both"/>
        <w:rPr>
          <w:rFonts w:eastAsia="Arial" w:cs="Arial"/>
          <w:b/>
          <w:bCs/>
          <w:lang w:val="cs-CZ"/>
        </w:rPr>
      </w:pPr>
      <w:r w:rsidRPr="00D6181B">
        <w:rPr>
          <w:b/>
          <w:bCs/>
          <w:lang w:val="cs-CZ"/>
        </w:rPr>
        <w:t>Bydlím střídavě na několika místec</w:t>
      </w:r>
      <w:r w:rsidR="74F0F253" w:rsidRPr="00D6181B">
        <w:rPr>
          <w:b/>
          <w:bCs/>
          <w:lang w:val="cs-CZ"/>
        </w:rPr>
        <w:t xml:space="preserve">h </w:t>
      </w:r>
    </w:p>
    <w:p w14:paraId="2F3CFE31" w14:textId="58491771" w:rsidR="14FE24A8" w:rsidRDefault="14FE24A8" w:rsidP="4E784506">
      <w:pPr>
        <w:jc w:val="both"/>
        <w:rPr>
          <w:lang w:val="cs-CZ"/>
        </w:rPr>
      </w:pPr>
      <w:r w:rsidRPr="4E784506">
        <w:rPr>
          <w:lang w:val="cs-CZ"/>
        </w:rPr>
        <w:t xml:space="preserve">Pokud například z důvodu práce nebo studia pobýváte střídavě na několika místech, jako bydliště uveďte místo, kde máte rodinné vazby, kde jste členy domácnosti, kde </w:t>
      </w:r>
      <w:r w:rsidR="14D72BAF" w:rsidRPr="4E784506">
        <w:rPr>
          <w:lang w:val="cs-CZ"/>
        </w:rPr>
        <w:t>se cítí</w:t>
      </w:r>
      <w:r w:rsidRPr="4E784506">
        <w:rPr>
          <w:lang w:val="cs-CZ"/>
        </w:rPr>
        <w:t>te doma</w:t>
      </w:r>
      <w:r w:rsidR="4EBBD22A" w:rsidRPr="4E784506">
        <w:rPr>
          <w:lang w:val="cs-CZ"/>
        </w:rPr>
        <w:t xml:space="preserve">. </w:t>
      </w:r>
      <w:r w:rsidRPr="4E784506">
        <w:rPr>
          <w:lang w:val="cs-CZ"/>
        </w:rPr>
        <w:t xml:space="preserve">Pokud </w:t>
      </w:r>
      <w:r w:rsidR="179491AA" w:rsidRPr="4E784506">
        <w:rPr>
          <w:lang w:val="cs-CZ"/>
        </w:rPr>
        <w:t xml:space="preserve">například </w:t>
      </w:r>
      <w:r w:rsidR="65AEA026" w:rsidRPr="4E784506">
        <w:rPr>
          <w:lang w:val="cs-CZ"/>
        </w:rPr>
        <w:t xml:space="preserve">přes zimu </w:t>
      </w:r>
      <w:r w:rsidR="74ADD069" w:rsidRPr="4E784506">
        <w:rPr>
          <w:lang w:val="cs-CZ"/>
        </w:rPr>
        <w:t xml:space="preserve">bydlíte ve městě, ale </w:t>
      </w:r>
      <w:r w:rsidR="42C7DEE6" w:rsidRPr="4E784506">
        <w:rPr>
          <w:lang w:val="cs-CZ"/>
        </w:rPr>
        <w:t>v létě</w:t>
      </w:r>
      <w:r w:rsidR="74ADD069" w:rsidRPr="4E784506">
        <w:rPr>
          <w:lang w:val="cs-CZ"/>
        </w:rPr>
        <w:t xml:space="preserve"> žijete na chalupě, </w:t>
      </w:r>
      <w:r w:rsidRPr="4E784506">
        <w:rPr>
          <w:lang w:val="cs-CZ"/>
        </w:rPr>
        <w:t xml:space="preserve">a nemůžete se rozhodnout, které </w:t>
      </w:r>
      <w:r w:rsidR="7D3F618C" w:rsidRPr="4E784506">
        <w:rPr>
          <w:lang w:val="cs-CZ"/>
        </w:rPr>
        <w:t xml:space="preserve">místo </w:t>
      </w:r>
      <w:r w:rsidRPr="4E784506">
        <w:rPr>
          <w:lang w:val="cs-CZ"/>
        </w:rPr>
        <w:t xml:space="preserve">vybrat, vyplňte bydliště, ve kterém bydlíte převážnou část roku, nebo místo, kde jste bydleli k rozhodnému okamžiku sčítání, tedy k 26. březnu 2021. </w:t>
      </w:r>
    </w:p>
    <w:p w14:paraId="0715276A" w14:textId="77777777" w:rsidR="00061F0A" w:rsidRDefault="00061F0A" w:rsidP="4E784506">
      <w:pPr>
        <w:jc w:val="both"/>
        <w:rPr>
          <w:lang w:val="cs-CZ"/>
        </w:rPr>
      </w:pPr>
    </w:p>
    <w:p w14:paraId="52A2BDBA" w14:textId="77777777" w:rsidR="00D6181B" w:rsidRPr="00D6181B" w:rsidRDefault="39710B69" w:rsidP="00D6181B">
      <w:pPr>
        <w:jc w:val="both"/>
        <w:rPr>
          <w:lang w:val="cs-CZ"/>
        </w:rPr>
      </w:pPr>
      <w:r w:rsidRPr="00D6181B">
        <w:rPr>
          <w:b/>
          <w:bCs/>
          <w:lang w:val="cs-CZ"/>
        </w:rPr>
        <w:t>Bydlím v zahraničí</w:t>
      </w:r>
      <w:r w:rsidR="70394AF7" w:rsidRPr="00D6181B">
        <w:rPr>
          <w:b/>
          <w:bCs/>
          <w:lang w:val="cs-CZ"/>
        </w:rPr>
        <w:t xml:space="preserve"> </w:t>
      </w:r>
    </w:p>
    <w:p w14:paraId="7CB91FF3" w14:textId="2843D0DE" w:rsidR="00FC61C5" w:rsidRDefault="14FE24A8" w:rsidP="00D6181B">
      <w:pPr>
        <w:jc w:val="both"/>
        <w:rPr>
          <w:lang w:val="cs-CZ"/>
        </w:rPr>
      </w:pPr>
      <w:r w:rsidRPr="00D6181B">
        <w:rPr>
          <w:lang w:val="cs-CZ"/>
        </w:rPr>
        <w:t xml:space="preserve">Bydlíte-li v zahraničí, </w:t>
      </w:r>
      <w:r w:rsidR="01E203CA" w:rsidRPr="00D6181B">
        <w:rPr>
          <w:lang w:val="cs-CZ"/>
        </w:rPr>
        <w:t>uveďte jen název státu.</w:t>
      </w:r>
      <w:r w:rsidR="00D6181B">
        <w:rPr>
          <w:lang w:val="cs-CZ"/>
        </w:rPr>
        <w:t xml:space="preserve"> N</w:t>
      </w:r>
      <w:r w:rsidR="00D6181B" w:rsidRPr="00D6181B">
        <w:rPr>
          <w:lang w:val="cs-CZ"/>
        </w:rPr>
        <w:t>ení třeba uvádět přesnou adresu místa v</w:t>
      </w:r>
      <w:r w:rsidR="00A63F1F">
        <w:rPr>
          <w:lang w:val="cs-CZ"/>
        </w:rPr>
        <w:t> </w:t>
      </w:r>
      <w:r w:rsidR="00D6181B" w:rsidRPr="00D6181B">
        <w:rPr>
          <w:lang w:val="cs-CZ"/>
        </w:rPr>
        <w:t>zahraničí.</w:t>
      </w:r>
      <w:r w:rsidR="01E203CA" w:rsidRPr="00D6181B">
        <w:rPr>
          <w:lang w:val="cs-CZ"/>
        </w:rPr>
        <w:t xml:space="preserve"> </w:t>
      </w:r>
      <w:r w:rsidR="5F7F74AB" w:rsidRPr="00D6181B">
        <w:rPr>
          <w:lang w:val="cs-CZ"/>
        </w:rPr>
        <w:t>Elektronický sčítací formulář pak automaticky přeskočí část o</w:t>
      </w:r>
      <w:r w:rsidR="060F6655" w:rsidRPr="00D6181B">
        <w:rPr>
          <w:lang w:val="cs-CZ"/>
        </w:rPr>
        <w:t xml:space="preserve"> bydlení, protože p</w:t>
      </w:r>
      <w:r w:rsidR="01E203CA" w:rsidRPr="00D6181B">
        <w:rPr>
          <w:lang w:val="cs-CZ"/>
        </w:rPr>
        <w:t xml:space="preserve">arametry bydlení u osob v zahraničí </w:t>
      </w:r>
      <w:r w:rsidR="17399157" w:rsidRPr="00D6181B">
        <w:rPr>
          <w:lang w:val="cs-CZ"/>
        </w:rPr>
        <w:t>n</w:t>
      </w:r>
      <w:r w:rsidR="01E203CA" w:rsidRPr="00D6181B">
        <w:rPr>
          <w:lang w:val="cs-CZ"/>
        </w:rPr>
        <w:t xml:space="preserve">ejsou předmětem </w:t>
      </w:r>
      <w:r w:rsidR="23F10651" w:rsidRPr="00D6181B">
        <w:rPr>
          <w:lang w:val="cs-CZ"/>
        </w:rPr>
        <w:t xml:space="preserve">sčítání. </w:t>
      </w:r>
    </w:p>
    <w:p w14:paraId="57105CBC" w14:textId="77777777" w:rsidR="00FC61C5" w:rsidRDefault="00FC61C5" w:rsidP="00D6181B">
      <w:pPr>
        <w:jc w:val="both"/>
        <w:rPr>
          <w:lang w:val="cs-CZ"/>
        </w:rPr>
      </w:pPr>
    </w:p>
    <w:p w14:paraId="7FF157AF" w14:textId="4442C069" w:rsidR="00FC61C5" w:rsidRDefault="00FC61C5" w:rsidP="00D6181B">
      <w:pPr>
        <w:jc w:val="both"/>
        <w:rPr>
          <w:lang w:val="cs-CZ"/>
        </w:rPr>
      </w:pPr>
    </w:p>
    <w:p w14:paraId="4FDC6857" w14:textId="66AA1C7B" w:rsidR="00FC61C5" w:rsidRPr="00D6181B" w:rsidRDefault="00FC61C5" w:rsidP="00D6181B">
      <w:pPr>
        <w:jc w:val="both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7138EF9" wp14:editId="1C682374">
            <wp:extent cx="5288280" cy="373380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čítání 20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2693A" w14:textId="6B2437CB" w:rsidR="4E784506" w:rsidRDefault="4E784506" w:rsidP="4E784506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4659C8C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B252" w14:textId="77777777" w:rsidR="00A855D4" w:rsidRDefault="00A855D4">
      <w:r>
        <w:separator/>
      </w:r>
    </w:p>
  </w:endnote>
  <w:endnote w:type="continuationSeparator" w:id="0">
    <w:p w14:paraId="53512E31" w14:textId="77777777" w:rsidR="00A855D4" w:rsidRDefault="00A855D4">
      <w:r>
        <w:continuationSeparator/>
      </w:r>
    </w:p>
  </w:endnote>
  <w:endnote w:type="continuationNotice" w:id="1">
    <w:p w14:paraId="1F263137" w14:textId="77777777" w:rsidR="00A855D4" w:rsidRDefault="00A85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6C2D3EC2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A2E2A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6C2D3EC2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A2E2A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545B" w14:textId="77777777" w:rsidR="00A855D4" w:rsidRDefault="00A855D4">
      <w:r>
        <w:separator/>
      </w:r>
    </w:p>
  </w:footnote>
  <w:footnote w:type="continuationSeparator" w:id="0">
    <w:p w14:paraId="1034221F" w14:textId="77777777" w:rsidR="00A855D4" w:rsidRDefault="00A855D4">
      <w:r>
        <w:continuationSeparator/>
      </w:r>
    </w:p>
  </w:footnote>
  <w:footnote w:type="continuationNotice" w:id="1">
    <w:p w14:paraId="18804379" w14:textId="77777777" w:rsidR="00A855D4" w:rsidRDefault="00A85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778"/>
    <w:multiLevelType w:val="hybridMultilevel"/>
    <w:tmpl w:val="0F7ED766"/>
    <w:lvl w:ilvl="0" w:tplc="DFD0D1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A7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65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6D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A1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45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C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E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AB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5844"/>
    <w:multiLevelType w:val="hybridMultilevel"/>
    <w:tmpl w:val="D6609A1E"/>
    <w:lvl w:ilvl="0" w:tplc="01800E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6AD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01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F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C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89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3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6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DF9"/>
    <w:multiLevelType w:val="hybridMultilevel"/>
    <w:tmpl w:val="83225130"/>
    <w:lvl w:ilvl="0" w:tplc="18720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E7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0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2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00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62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E1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2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28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709B"/>
    <w:multiLevelType w:val="hybridMultilevel"/>
    <w:tmpl w:val="50926CEE"/>
    <w:lvl w:ilvl="0" w:tplc="597434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E6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A1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03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8C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E0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2135A"/>
    <w:rsid w:val="00045C0E"/>
    <w:rsid w:val="00057518"/>
    <w:rsid w:val="00061F0A"/>
    <w:rsid w:val="0006245A"/>
    <w:rsid w:val="00063FE6"/>
    <w:rsid w:val="000A4B59"/>
    <w:rsid w:val="000A4B98"/>
    <w:rsid w:val="000C1555"/>
    <w:rsid w:val="000F67F8"/>
    <w:rsid w:val="00142118"/>
    <w:rsid w:val="00142D45"/>
    <w:rsid w:val="001D3EE8"/>
    <w:rsid w:val="0020489F"/>
    <w:rsid w:val="0022048A"/>
    <w:rsid w:val="002477A9"/>
    <w:rsid w:val="00261FC1"/>
    <w:rsid w:val="00262CFA"/>
    <w:rsid w:val="0026920B"/>
    <w:rsid w:val="00286112"/>
    <w:rsid w:val="00290C29"/>
    <w:rsid w:val="002C16FE"/>
    <w:rsid w:val="002E4690"/>
    <w:rsid w:val="002E7D80"/>
    <w:rsid w:val="003209D5"/>
    <w:rsid w:val="00330C17"/>
    <w:rsid w:val="00333F1F"/>
    <w:rsid w:val="00371AEC"/>
    <w:rsid w:val="003C29B8"/>
    <w:rsid w:val="003C3E4A"/>
    <w:rsid w:val="003F2518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5244D6"/>
    <w:rsid w:val="0054454C"/>
    <w:rsid w:val="00547658"/>
    <w:rsid w:val="0056331A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604854"/>
    <w:rsid w:val="0067AC9E"/>
    <w:rsid w:val="006822A7"/>
    <w:rsid w:val="00682568"/>
    <w:rsid w:val="0069039C"/>
    <w:rsid w:val="006A2E2A"/>
    <w:rsid w:val="006A7085"/>
    <w:rsid w:val="006B1E51"/>
    <w:rsid w:val="006C184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804F33"/>
    <w:rsid w:val="00807790"/>
    <w:rsid w:val="00836C6B"/>
    <w:rsid w:val="008521B6"/>
    <w:rsid w:val="0085714D"/>
    <w:rsid w:val="0086194D"/>
    <w:rsid w:val="00862585"/>
    <w:rsid w:val="00885A80"/>
    <w:rsid w:val="008A4B93"/>
    <w:rsid w:val="008A5F03"/>
    <w:rsid w:val="008B293A"/>
    <w:rsid w:val="008C01CC"/>
    <w:rsid w:val="008C1AB9"/>
    <w:rsid w:val="008C36A4"/>
    <w:rsid w:val="00915D6A"/>
    <w:rsid w:val="009236CC"/>
    <w:rsid w:val="0093013D"/>
    <w:rsid w:val="00931583"/>
    <w:rsid w:val="009456A3"/>
    <w:rsid w:val="0095819E"/>
    <w:rsid w:val="00966895"/>
    <w:rsid w:val="00990538"/>
    <w:rsid w:val="0099573E"/>
    <w:rsid w:val="009A7AF5"/>
    <w:rsid w:val="009F31E9"/>
    <w:rsid w:val="009F7E75"/>
    <w:rsid w:val="00A00933"/>
    <w:rsid w:val="00A05400"/>
    <w:rsid w:val="00A066C4"/>
    <w:rsid w:val="00A2516B"/>
    <w:rsid w:val="00A26B36"/>
    <w:rsid w:val="00A32CA3"/>
    <w:rsid w:val="00A42CB5"/>
    <w:rsid w:val="00A43385"/>
    <w:rsid w:val="00A44D60"/>
    <w:rsid w:val="00A44F4B"/>
    <w:rsid w:val="00A5564E"/>
    <w:rsid w:val="00A60037"/>
    <w:rsid w:val="00A63F1F"/>
    <w:rsid w:val="00A64459"/>
    <w:rsid w:val="00A65374"/>
    <w:rsid w:val="00A80690"/>
    <w:rsid w:val="00A855D4"/>
    <w:rsid w:val="00AA79D0"/>
    <w:rsid w:val="00AC0EA8"/>
    <w:rsid w:val="00AE7BE1"/>
    <w:rsid w:val="00AF0593"/>
    <w:rsid w:val="00AF3889"/>
    <w:rsid w:val="00B2513D"/>
    <w:rsid w:val="00B318A6"/>
    <w:rsid w:val="00B86432"/>
    <w:rsid w:val="00B931DD"/>
    <w:rsid w:val="00B96F68"/>
    <w:rsid w:val="00BC084F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A7912"/>
    <w:rsid w:val="00CF78E3"/>
    <w:rsid w:val="00CF79F5"/>
    <w:rsid w:val="00D222B4"/>
    <w:rsid w:val="00D22933"/>
    <w:rsid w:val="00D6181B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3290D"/>
    <w:rsid w:val="00E43140"/>
    <w:rsid w:val="00E80D94"/>
    <w:rsid w:val="00EA2CC2"/>
    <w:rsid w:val="00EA3F99"/>
    <w:rsid w:val="00EA5BA7"/>
    <w:rsid w:val="00EB05CA"/>
    <w:rsid w:val="00EB1BFD"/>
    <w:rsid w:val="00EC0BEB"/>
    <w:rsid w:val="00EE066B"/>
    <w:rsid w:val="00EE2412"/>
    <w:rsid w:val="00EF0956"/>
    <w:rsid w:val="00F1033F"/>
    <w:rsid w:val="00F2053B"/>
    <w:rsid w:val="00F306AB"/>
    <w:rsid w:val="00F35CD9"/>
    <w:rsid w:val="00F73D9F"/>
    <w:rsid w:val="00FA3F8B"/>
    <w:rsid w:val="00FB07C6"/>
    <w:rsid w:val="00FB161D"/>
    <w:rsid w:val="00FC61C5"/>
    <w:rsid w:val="00FC768D"/>
    <w:rsid w:val="00FF645A"/>
    <w:rsid w:val="00FF6554"/>
    <w:rsid w:val="01177C4F"/>
    <w:rsid w:val="01819BDC"/>
    <w:rsid w:val="01A59A57"/>
    <w:rsid w:val="01E203CA"/>
    <w:rsid w:val="022AF761"/>
    <w:rsid w:val="024192DA"/>
    <w:rsid w:val="02A3CEE0"/>
    <w:rsid w:val="0354D908"/>
    <w:rsid w:val="03B2EE9B"/>
    <w:rsid w:val="04078137"/>
    <w:rsid w:val="04249481"/>
    <w:rsid w:val="05503C68"/>
    <w:rsid w:val="057D362A"/>
    <w:rsid w:val="059A4BAF"/>
    <w:rsid w:val="05A2CAA9"/>
    <w:rsid w:val="05EB3570"/>
    <w:rsid w:val="05FCD58B"/>
    <w:rsid w:val="060F6655"/>
    <w:rsid w:val="07EB5A32"/>
    <w:rsid w:val="0829E93B"/>
    <w:rsid w:val="088C7CF2"/>
    <w:rsid w:val="08CEF94E"/>
    <w:rsid w:val="0A2DF7F6"/>
    <w:rsid w:val="0A88950A"/>
    <w:rsid w:val="0ABA2613"/>
    <w:rsid w:val="0CACCA4A"/>
    <w:rsid w:val="0D7D9CBD"/>
    <w:rsid w:val="0DC19686"/>
    <w:rsid w:val="0F3A5AC8"/>
    <w:rsid w:val="1005428B"/>
    <w:rsid w:val="103E6ADC"/>
    <w:rsid w:val="1052CB6E"/>
    <w:rsid w:val="10D66555"/>
    <w:rsid w:val="10E6043F"/>
    <w:rsid w:val="11A51161"/>
    <w:rsid w:val="11BF7598"/>
    <w:rsid w:val="11C46F6C"/>
    <w:rsid w:val="122ACDF9"/>
    <w:rsid w:val="12356EA0"/>
    <w:rsid w:val="141C97B3"/>
    <w:rsid w:val="144E9E92"/>
    <w:rsid w:val="14D72BAF"/>
    <w:rsid w:val="14FE24A8"/>
    <w:rsid w:val="15B4729C"/>
    <w:rsid w:val="1648D975"/>
    <w:rsid w:val="165EB87C"/>
    <w:rsid w:val="17399157"/>
    <w:rsid w:val="179491AA"/>
    <w:rsid w:val="17EEE7D7"/>
    <w:rsid w:val="1806B710"/>
    <w:rsid w:val="1899EA9D"/>
    <w:rsid w:val="1929FD3B"/>
    <w:rsid w:val="1940F98E"/>
    <w:rsid w:val="199C0E52"/>
    <w:rsid w:val="19A11118"/>
    <w:rsid w:val="19D20AA9"/>
    <w:rsid w:val="19E4D917"/>
    <w:rsid w:val="1A05580E"/>
    <w:rsid w:val="1A8DFDAA"/>
    <w:rsid w:val="1B657E45"/>
    <w:rsid w:val="1C619DFD"/>
    <w:rsid w:val="1C7407C4"/>
    <w:rsid w:val="1C8235DC"/>
    <w:rsid w:val="1CB03C4C"/>
    <w:rsid w:val="1D710A43"/>
    <w:rsid w:val="1D94094E"/>
    <w:rsid w:val="1DE91B52"/>
    <w:rsid w:val="1E4F0205"/>
    <w:rsid w:val="1E65350A"/>
    <w:rsid w:val="1ED67828"/>
    <w:rsid w:val="1F3AD772"/>
    <w:rsid w:val="1F68452E"/>
    <w:rsid w:val="1F7358E7"/>
    <w:rsid w:val="1FA30DBE"/>
    <w:rsid w:val="1FF22779"/>
    <w:rsid w:val="20158B41"/>
    <w:rsid w:val="20FC2809"/>
    <w:rsid w:val="2163483F"/>
    <w:rsid w:val="2297F86A"/>
    <w:rsid w:val="22B37D62"/>
    <w:rsid w:val="22E34948"/>
    <w:rsid w:val="2315F051"/>
    <w:rsid w:val="237184D5"/>
    <w:rsid w:val="23F10651"/>
    <w:rsid w:val="23F5DF53"/>
    <w:rsid w:val="23F94C7F"/>
    <w:rsid w:val="243BB651"/>
    <w:rsid w:val="24A2FD9D"/>
    <w:rsid w:val="24E3C3BF"/>
    <w:rsid w:val="252B575A"/>
    <w:rsid w:val="25B7F9DA"/>
    <w:rsid w:val="25BE5E55"/>
    <w:rsid w:val="26B9644F"/>
    <w:rsid w:val="272CC0FA"/>
    <w:rsid w:val="28898BE9"/>
    <w:rsid w:val="28E51180"/>
    <w:rsid w:val="293E008E"/>
    <w:rsid w:val="2952EF73"/>
    <w:rsid w:val="2958EA82"/>
    <w:rsid w:val="299E1D96"/>
    <w:rsid w:val="29E0C659"/>
    <w:rsid w:val="2AD7566B"/>
    <w:rsid w:val="2AD9D0EF"/>
    <w:rsid w:val="2ADBF166"/>
    <w:rsid w:val="2B31AF90"/>
    <w:rsid w:val="2BEFC18F"/>
    <w:rsid w:val="2C641973"/>
    <w:rsid w:val="2C9AA364"/>
    <w:rsid w:val="2D45D3DC"/>
    <w:rsid w:val="2E307507"/>
    <w:rsid w:val="2E69C3EE"/>
    <w:rsid w:val="2FA8A3F3"/>
    <w:rsid w:val="2FB6CD62"/>
    <w:rsid w:val="2FB9DC9A"/>
    <w:rsid w:val="307FA747"/>
    <w:rsid w:val="31447454"/>
    <w:rsid w:val="32060EC6"/>
    <w:rsid w:val="324DAE13"/>
    <w:rsid w:val="32E60B3F"/>
    <w:rsid w:val="332637AC"/>
    <w:rsid w:val="33A28395"/>
    <w:rsid w:val="33BD2695"/>
    <w:rsid w:val="357AAD1A"/>
    <w:rsid w:val="35D4821F"/>
    <w:rsid w:val="36692C05"/>
    <w:rsid w:val="36C84512"/>
    <w:rsid w:val="370BA86A"/>
    <w:rsid w:val="37F0A33E"/>
    <w:rsid w:val="393DBDC5"/>
    <w:rsid w:val="39710B69"/>
    <w:rsid w:val="3A0AF98D"/>
    <w:rsid w:val="3A5F694B"/>
    <w:rsid w:val="3ABAF481"/>
    <w:rsid w:val="3AD93F6E"/>
    <w:rsid w:val="3B9A1806"/>
    <w:rsid w:val="3D7F880D"/>
    <w:rsid w:val="3DC84D79"/>
    <w:rsid w:val="3E10E030"/>
    <w:rsid w:val="3EBCB8DD"/>
    <w:rsid w:val="3EC409C6"/>
    <w:rsid w:val="3F119276"/>
    <w:rsid w:val="3F1FE062"/>
    <w:rsid w:val="3F7B6465"/>
    <w:rsid w:val="4019002A"/>
    <w:rsid w:val="4073B270"/>
    <w:rsid w:val="40FF3625"/>
    <w:rsid w:val="426466D8"/>
    <w:rsid w:val="42C7DEE6"/>
    <w:rsid w:val="43108CFB"/>
    <w:rsid w:val="441FDCBC"/>
    <w:rsid w:val="442DF16B"/>
    <w:rsid w:val="447866FF"/>
    <w:rsid w:val="448B19B7"/>
    <w:rsid w:val="44D4BC27"/>
    <w:rsid w:val="4518A581"/>
    <w:rsid w:val="45966D8F"/>
    <w:rsid w:val="47644DDC"/>
    <w:rsid w:val="47BD1F4B"/>
    <w:rsid w:val="4854B907"/>
    <w:rsid w:val="4932AFC5"/>
    <w:rsid w:val="49BEDE17"/>
    <w:rsid w:val="4A00D39D"/>
    <w:rsid w:val="4B0E77DA"/>
    <w:rsid w:val="4B35D88C"/>
    <w:rsid w:val="4B84B6A2"/>
    <w:rsid w:val="4BC51038"/>
    <w:rsid w:val="4C4CB8D6"/>
    <w:rsid w:val="4C9DAF6C"/>
    <w:rsid w:val="4D0C66E1"/>
    <w:rsid w:val="4D84B150"/>
    <w:rsid w:val="4DFDA554"/>
    <w:rsid w:val="4E114072"/>
    <w:rsid w:val="4E1F3169"/>
    <w:rsid w:val="4E57244A"/>
    <w:rsid w:val="4E784506"/>
    <w:rsid w:val="4E90F484"/>
    <w:rsid w:val="4EBBD22A"/>
    <w:rsid w:val="4EDE026E"/>
    <w:rsid w:val="4EFD177C"/>
    <w:rsid w:val="4F652225"/>
    <w:rsid w:val="4FD5E7A6"/>
    <w:rsid w:val="503D8714"/>
    <w:rsid w:val="50645AC9"/>
    <w:rsid w:val="5066AC1A"/>
    <w:rsid w:val="506C22C5"/>
    <w:rsid w:val="51641F30"/>
    <w:rsid w:val="5194380B"/>
    <w:rsid w:val="51DEF1B3"/>
    <w:rsid w:val="53F3A6F1"/>
    <w:rsid w:val="53F3B284"/>
    <w:rsid w:val="54299C73"/>
    <w:rsid w:val="544EBBB5"/>
    <w:rsid w:val="54E69F80"/>
    <w:rsid w:val="553F93E8"/>
    <w:rsid w:val="55529527"/>
    <w:rsid w:val="55BDB2F9"/>
    <w:rsid w:val="5662A8AA"/>
    <w:rsid w:val="56A83F85"/>
    <w:rsid w:val="56D9614F"/>
    <w:rsid w:val="56DF4B28"/>
    <w:rsid w:val="57153478"/>
    <w:rsid w:val="579E607C"/>
    <w:rsid w:val="57B74273"/>
    <w:rsid w:val="593C5BEC"/>
    <w:rsid w:val="59502178"/>
    <w:rsid w:val="5975FCE8"/>
    <w:rsid w:val="597DF8DC"/>
    <w:rsid w:val="59ED84D5"/>
    <w:rsid w:val="5A4B8445"/>
    <w:rsid w:val="5A4D183E"/>
    <w:rsid w:val="5BFEC469"/>
    <w:rsid w:val="5C450CEC"/>
    <w:rsid w:val="5CB5999E"/>
    <w:rsid w:val="5D816C6D"/>
    <w:rsid w:val="5D838CE4"/>
    <w:rsid w:val="5DA86D68"/>
    <w:rsid w:val="5E33FF33"/>
    <w:rsid w:val="5E513B54"/>
    <w:rsid w:val="5F014F8E"/>
    <w:rsid w:val="5F1F5D45"/>
    <w:rsid w:val="5F7F74AB"/>
    <w:rsid w:val="607ADA15"/>
    <w:rsid w:val="609A4A10"/>
    <w:rsid w:val="60B90D2F"/>
    <w:rsid w:val="61AC17E7"/>
    <w:rsid w:val="61CF8878"/>
    <w:rsid w:val="61DD5B01"/>
    <w:rsid w:val="62260476"/>
    <w:rsid w:val="62E5B21D"/>
    <w:rsid w:val="62E8D870"/>
    <w:rsid w:val="6304D884"/>
    <w:rsid w:val="6399053A"/>
    <w:rsid w:val="63F4307F"/>
    <w:rsid w:val="643D5660"/>
    <w:rsid w:val="646F6FBF"/>
    <w:rsid w:val="64942F9E"/>
    <w:rsid w:val="6499156E"/>
    <w:rsid w:val="64AE8953"/>
    <w:rsid w:val="6507293A"/>
    <w:rsid w:val="65AEA026"/>
    <w:rsid w:val="65B7242E"/>
    <w:rsid w:val="65D926C1"/>
    <w:rsid w:val="65E3675A"/>
    <w:rsid w:val="665EA6F3"/>
    <w:rsid w:val="6685016C"/>
    <w:rsid w:val="6774F722"/>
    <w:rsid w:val="6775B475"/>
    <w:rsid w:val="67BCD578"/>
    <w:rsid w:val="68216BE6"/>
    <w:rsid w:val="68353A03"/>
    <w:rsid w:val="6910C783"/>
    <w:rsid w:val="6999F18D"/>
    <w:rsid w:val="69BA027E"/>
    <w:rsid w:val="6A586C9C"/>
    <w:rsid w:val="6ADE4335"/>
    <w:rsid w:val="6B08FEA4"/>
    <w:rsid w:val="6B16C4AA"/>
    <w:rsid w:val="6BA4712E"/>
    <w:rsid w:val="6C287FEF"/>
    <w:rsid w:val="6D40418F"/>
    <w:rsid w:val="6EA970FD"/>
    <w:rsid w:val="6EF123F6"/>
    <w:rsid w:val="6F1CAB4D"/>
    <w:rsid w:val="6F44DE17"/>
    <w:rsid w:val="6FB1B458"/>
    <w:rsid w:val="6FCFD4E3"/>
    <w:rsid w:val="6FE44F71"/>
    <w:rsid w:val="6FEDE812"/>
    <w:rsid w:val="70394AF7"/>
    <w:rsid w:val="70B87BAE"/>
    <w:rsid w:val="70DB71F5"/>
    <w:rsid w:val="7111E830"/>
    <w:rsid w:val="71ABEC06"/>
    <w:rsid w:val="721529A3"/>
    <w:rsid w:val="731524A7"/>
    <w:rsid w:val="735A262E"/>
    <w:rsid w:val="73A0A521"/>
    <w:rsid w:val="73BED044"/>
    <w:rsid w:val="73F7B75B"/>
    <w:rsid w:val="7445FB9B"/>
    <w:rsid w:val="74ADD069"/>
    <w:rsid w:val="74F0F253"/>
    <w:rsid w:val="758BECD1"/>
    <w:rsid w:val="76E61358"/>
    <w:rsid w:val="772F581D"/>
    <w:rsid w:val="7786EEB6"/>
    <w:rsid w:val="788E4558"/>
    <w:rsid w:val="78994F6A"/>
    <w:rsid w:val="78BBD2DE"/>
    <w:rsid w:val="7968D556"/>
    <w:rsid w:val="7992C707"/>
    <w:rsid w:val="79DBDE6F"/>
    <w:rsid w:val="7A59ED2F"/>
    <w:rsid w:val="7A744B0C"/>
    <w:rsid w:val="7AB31D5B"/>
    <w:rsid w:val="7B84F1E5"/>
    <w:rsid w:val="7C1597AE"/>
    <w:rsid w:val="7CD2D16A"/>
    <w:rsid w:val="7CF21FEA"/>
    <w:rsid w:val="7D3F618C"/>
    <w:rsid w:val="7D4E3CAF"/>
    <w:rsid w:val="7E2CD362"/>
    <w:rsid w:val="7EB82946"/>
    <w:rsid w:val="7EDF5A7D"/>
    <w:rsid w:val="7EFD86DC"/>
    <w:rsid w:val="7F85DD95"/>
    <w:rsid w:val="7FCCD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C9698-AC62-47CC-8F06-8D0F5F6E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7</cp:revision>
  <dcterms:created xsi:type="dcterms:W3CDTF">2021-04-05T10:39:00Z</dcterms:created>
  <dcterms:modified xsi:type="dcterms:W3CDTF">2021-04-05T12:11:00Z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