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BC0CF" w14:textId="117B9831" w:rsidR="00867569" w:rsidRPr="00AE6D5B" w:rsidRDefault="00061317" w:rsidP="00AE6D5B">
      <w:pPr>
        <w:pStyle w:val="Datum"/>
      </w:pPr>
      <w:r>
        <w:t>1</w:t>
      </w:r>
      <w:r w:rsidR="00625FDF" w:rsidRPr="00625FDF">
        <w:t>5.</w:t>
      </w:r>
      <w:r w:rsidR="00851076" w:rsidRPr="00625FDF">
        <w:t xml:space="preserve"> </w:t>
      </w:r>
      <w:r w:rsidR="00625FDF" w:rsidRPr="00625FDF">
        <w:t>února</w:t>
      </w:r>
      <w:r w:rsidR="004A061A" w:rsidRPr="00625FDF">
        <w:t xml:space="preserve"> 202</w:t>
      </w:r>
      <w:r w:rsidR="00625FDF" w:rsidRPr="00625FDF">
        <w:t>1</w:t>
      </w:r>
    </w:p>
    <w:p w14:paraId="7160A1F5" w14:textId="415014FC" w:rsidR="00867569" w:rsidRDefault="003B6A87" w:rsidP="000174CB">
      <w:pPr>
        <w:pStyle w:val="Nzev"/>
      </w:pPr>
      <w:bookmarkStart w:id="0" w:name="_GoBack"/>
      <w:r>
        <w:t>Penzijní závazky dosahují hodnoty 14,7 bilionu korun</w:t>
      </w:r>
    </w:p>
    <w:p w14:paraId="734C9E31" w14:textId="091CF64A" w:rsidR="00894208" w:rsidRDefault="00061317" w:rsidP="006B4614">
      <w:pPr>
        <w:pStyle w:val="Zkladntext"/>
        <w:spacing w:line="276" w:lineRule="auto"/>
        <w:jc w:val="left"/>
        <w:rPr>
          <w:rFonts w:eastAsia="Calibri" w:cs="Arial"/>
          <w:b/>
          <w:szCs w:val="18"/>
          <w:lang w:eastAsia="en-US"/>
        </w:rPr>
      </w:pPr>
      <w:bookmarkStart w:id="1" w:name="_Hlk61869670"/>
      <w:bookmarkEnd w:id="0"/>
      <w:r w:rsidRPr="00061317">
        <w:rPr>
          <w:rFonts w:eastAsia="Calibri" w:cs="Arial"/>
          <w:b/>
          <w:szCs w:val="18"/>
          <w:lang w:eastAsia="en-US"/>
        </w:rPr>
        <w:t xml:space="preserve">Český statistický úřad </w:t>
      </w:r>
      <w:r w:rsidR="003B6A87" w:rsidRPr="00061317">
        <w:rPr>
          <w:rFonts w:eastAsia="Calibri" w:cs="Arial"/>
          <w:b/>
          <w:szCs w:val="18"/>
          <w:lang w:eastAsia="en-US"/>
        </w:rPr>
        <w:t xml:space="preserve">již podruhé </w:t>
      </w:r>
      <w:r w:rsidRPr="00061317">
        <w:rPr>
          <w:rFonts w:eastAsia="Calibri" w:cs="Arial"/>
          <w:b/>
          <w:szCs w:val="18"/>
          <w:lang w:eastAsia="en-US"/>
        </w:rPr>
        <w:t xml:space="preserve">publikuje údaj o </w:t>
      </w:r>
      <w:r w:rsidR="003B6A87">
        <w:rPr>
          <w:rFonts w:eastAsia="Calibri" w:cs="Arial"/>
          <w:b/>
          <w:szCs w:val="18"/>
          <w:lang w:eastAsia="en-US"/>
        </w:rPr>
        <w:t xml:space="preserve">penzijních nárocích domácností. </w:t>
      </w:r>
      <w:r w:rsidR="003B6A87" w:rsidRPr="003B6A87">
        <w:rPr>
          <w:rFonts w:cs="Arial"/>
          <w:b/>
          <w:szCs w:val="18"/>
        </w:rPr>
        <w:t>Penzijní závazky vyjadřují hodnotu nároku současných i budoucích penzistů na starobní penze</w:t>
      </w:r>
      <w:r w:rsidR="003B6A87">
        <w:rPr>
          <w:rFonts w:cs="Arial"/>
          <w:b/>
          <w:szCs w:val="18"/>
        </w:rPr>
        <w:t>.</w:t>
      </w:r>
      <w:r w:rsidR="003B6A87" w:rsidRPr="003B6A87">
        <w:rPr>
          <w:rFonts w:eastAsia="Calibri" w:cs="Arial"/>
          <w:b/>
          <w:szCs w:val="18"/>
          <w:lang w:eastAsia="en-US"/>
        </w:rPr>
        <w:t xml:space="preserve"> </w:t>
      </w:r>
      <w:r w:rsidRPr="00061317">
        <w:rPr>
          <w:rFonts w:eastAsia="Calibri" w:cs="Arial"/>
          <w:b/>
          <w:szCs w:val="18"/>
          <w:lang w:eastAsia="en-US"/>
        </w:rPr>
        <w:t>Ke konci roku 2018</w:t>
      </w:r>
      <w:r w:rsidR="003B6A87">
        <w:rPr>
          <w:rFonts w:eastAsia="Calibri" w:cs="Arial"/>
          <w:b/>
          <w:szCs w:val="18"/>
          <w:lang w:eastAsia="en-US"/>
        </w:rPr>
        <w:t xml:space="preserve"> dosáhly celkové </w:t>
      </w:r>
      <w:r w:rsidRPr="00061317">
        <w:rPr>
          <w:rFonts w:eastAsia="Calibri" w:cs="Arial"/>
          <w:b/>
          <w:szCs w:val="18"/>
          <w:lang w:eastAsia="en-US"/>
        </w:rPr>
        <w:t xml:space="preserve">výše </w:t>
      </w:r>
      <w:r w:rsidR="003B6A87">
        <w:rPr>
          <w:rFonts w:eastAsia="Calibri" w:cs="Arial"/>
          <w:b/>
          <w:szCs w:val="18"/>
          <w:lang w:eastAsia="en-US"/>
        </w:rPr>
        <w:t>14,7 bilio</w:t>
      </w:r>
      <w:r w:rsidRPr="00061317">
        <w:rPr>
          <w:rFonts w:eastAsia="Calibri" w:cs="Arial"/>
          <w:b/>
          <w:szCs w:val="18"/>
          <w:lang w:eastAsia="en-US"/>
        </w:rPr>
        <w:t>nu Kč, což odpovídá 276 % hrubého domácího produktu.</w:t>
      </w:r>
    </w:p>
    <w:p w14:paraId="702C7FA9" w14:textId="77777777" w:rsidR="00894208" w:rsidRDefault="00894208" w:rsidP="006B4614">
      <w:pPr>
        <w:pStyle w:val="Zkladntext"/>
        <w:spacing w:line="276" w:lineRule="auto"/>
        <w:jc w:val="left"/>
        <w:rPr>
          <w:rFonts w:eastAsia="Calibri" w:cs="Arial"/>
          <w:b/>
          <w:szCs w:val="18"/>
          <w:lang w:eastAsia="en-US"/>
        </w:rPr>
      </w:pPr>
    </w:p>
    <w:p w14:paraId="153C8CDB" w14:textId="4E03D1B9" w:rsidR="00061317" w:rsidRDefault="00061317" w:rsidP="00061317">
      <w:pPr>
        <w:rPr>
          <w:rFonts w:eastAsia="Times New Roman" w:cs="Arial"/>
          <w:szCs w:val="18"/>
          <w:lang w:eastAsia="cs-CZ"/>
        </w:rPr>
      </w:pPr>
      <w:r w:rsidRPr="00061317">
        <w:rPr>
          <w:rFonts w:eastAsia="Times New Roman" w:cs="Arial"/>
          <w:szCs w:val="18"/>
          <w:lang w:eastAsia="cs-CZ"/>
        </w:rPr>
        <w:t xml:space="preserve">V České republice vyplývají nároky domácností </w:t>
      </w:r>
      <w:r w:rsidR="00EB5240">
        <w:rPr>
          <w:rFonts w:eastAsia="Times New Roman" w:cs="Arial"/>
          <w:szCs w:val="18"/>
          <w:lang w:eastAsia="cs-CZ"/>
        </w:rPr>
        <w:t xml:space="preserve">především </w:t>
      </w:r>
      <w:r w:rsidRPr="00061317">
        <w:rPr>
          <w:rFonts w:eastAsia="Times New Roman" w:cs="Arial"/>
          <w:szCs w:val="18"/>
          <w:lang w:eastAsia="cs-CZ"/>
        </w:rPr>
        <w:t xml:space="preserve">z prvního důchodového pilíře, </w:t>
      </w:r>
      <w:r w:rsidR="00A27A34">
        <w:rPr>
          <w:rFonts w:eastAsia="Times New Roman" w:cs="Arial"/>
          <w:szCs w:val="18"/>
          <w:lang w:eastAsia="cs-CZ"/>
        </w:rPr>
        <w:br/>
      </w:r>
      <w:r w:rsidRPr="00061317">
        <w:rPr>
          <w:rFonts w:eastAsia="Times New Roman" w:cs="Arial"/>
          <w:szCs w:val="18"/>
          <w:lang w:eastAsia="cs-CZ"/>
        </w:rPr>
        <w:t xml:space="preserve">tj. průběžného systému financování důchodů (dávkově definovaného důchodového pojištění) </w:t>
      </w:r>
      <w:r w:rsidR="00A27A34">
        <w:rPr>
          <w:rFonts w:eastAsia="Times New Roman" w:cs="Arial"/>
          <w:szCs w:val="18"/>
          <w:lang w:eastAsia="cs-CZ"/>
        </w:rPr>
        <w:br/>
      </w:r>
      <w:r w:rsidRPr="00061317">
        <w:rPr>
          <w:rFonts w:eastAsia="Times New Roman" w:cs="Arial"/>
          <w:szCs w:val="18"/>
          <w:lang w:eastAsia="cs-CZ"/>
        </w:rPr>
        <w:t>a třetího pilíře ve formě naspořených prostředků v penzijních fondech.</w:t>
      </w:r>
    </w:p>
    <w:p w14:paraId="31328C93" w14:textId="77777777" w:rsidR="00061317" w:rsidRPr="00061317" w:rsidRDefault="00061317" w:rsidP="00061317">
      <w:pPr>
        <w:rPr>
          <w:rFonts w:eastAsia="Times New Roman" w:cs="Arial"/>
          <w:szCs w:val="18"/>
          <w:lang w:eastAsia="cs-CZ"/>
        </w:rPr>
      </w:pPr>
    </w:p>
    <w:p w14:paraId="4EF47A5C" w14:textId="473EF1FF" w:rsidR="00061317" w:rsidRDefault="00061317" w:rsidP="00061317">
      <w:pPr>
        <w:rPr>
          <w:rFonts w:eastAsia="Times New Roman" w:cs="Arial"/>
          <w:szCs w:val="18"/>
          <w:lang w:eastAsia="cs-CZ"/>
        </w:rPr>
      </w:pPr>
      <w:r w:rsidRPr="00061317">
        <w:rPr>
          <w:rFonts w:eastAsia="Times New Roman" w:cs="Arial"/>
          <w:i/>
          <w:szCs w:val="18"/>
          <w:lang w:eastAsia="cs-CZ"/>
        </w:rPr>
        <w:t xml:space="preserve">„Většinu penzijních závazků v hodnotě 14,2 bilionu </w:t>
      </w:r>
      <w:r w:rsidR="003B6A87">
        <w:rPr>
          <w:rFonts w:eastAsia="Times New Roman" w:cs="Arial"/>
          <w:i/>
          <w:szCs w:val="18"/>
          <w:lang w:eastAsia="cs-CZ"/>
        </w:rPr>
        <w:t xml:space="preserve">korun </w:t>
      </w:r>
      <w:r w:rsidRPr="00061317">
        <w:rPr>
          <w:rFonts w:eastAsia="Times New Roman" w:cs="Arial"/>
          <w:i/>
          <w:szCs w:val="18"/>
          <w:lang w:eastAsia="cs-CZ"/>
        </w:rPr>
        <w:t>tvoří nároky domácností v rámci prvního důchodového pilíře. Zbylou část závazků ve výši 0,5 bilionu představuje naspořený zůstatek účastníků v penzijních fondech, tedy třetí důchodový pilíř,“</w:t>
      </w:r>
      <w:r w:rsidRPr="00061317">
        <w:rPr>
          <w:rFonts w:eastAsia="Times New Roman" w:cs="Arial"/>
          <w:szCs w:val="18"/>
          <w:lang w:eastAsia="cs-CZ"/>
        </w:rPr>
        <w:t xml:space="preserve"> shrnuje ředitel sekce makroekonomických statistik ČSÚ Petr Musil.</w:t>
      </w:r>
    </w:p>
    <w:p w14:paraId="57446295" w14:textId="77777777" w:rsidR="00061317" w:rsidRPr="00061317" w:rsidRDefault="00061317" w:rsidP="00061317">
      <w:pPr>
        <w:rPr>
          <w:rFonts w:eastAsia="Times New Roman" w:cs="Arial"/>
          <w:szCs w:val="18"/>
          <w:lang w:eastAsia="cs-CZ"/>
        </w:rPr>
      </w:pPr>
    </w:p>
    <w:p w14:paraId="1406FC3B" w14:textId="088E874F" w:rsidR="00061317" w:rsidRDefault="00061317" w:rsidP="00061317">
      <w:pPr>
        <w:rPr>
          <w:rFonts w:eastAsia="Times New Roman" w:cs="Arial"/>
          <w:szCs w:val="18"/>
          <w:lang w:eastAsia="cs-CZ"/>
        </w:rPr>
      </w:pPr>
      <w:r w:rsidRPr="00061317">
        <w:rPr>
          <w:rFonts w:eastAsia="Times New Roman" w:cs="Arial"/>
          <w:szCs w:val="18"/>
          <w:lang w:eastAsia="cs-CZ"/>
        </w:rPr>
        <w:t xml:space="preserve">Provedené odhady vycházejí z publikace </w:t>
      </w:r>
      <w:proofErr w:type="spellStart"/>
      <w:r w:rsidRPr="00061317">
        <w:rPr>
          <w:rFonts w:eastAsia="Times New Roman" w:cs="Arial"/>
          <w:szCs w:val="18"/>
          <w:lang w:eastAsia="cs-CZ"/>
        </w:rPr>
        <w:t>Technical</w:t>
      </w:r>
      <w:proofErr w:type="spellEnd"/>
      <w:r w:rsidRPr="00061317">
        <w:rPr>
          <w:rFonts w:eastAsia="Times New Roman" w:cs="Arial"/>
          <w:szCs w:val="18"/>
          <w:lang w:eastAsia="cs-CZ"/>
        </w:rPr>
        <w:t xml:space="preserve"> </w:t>
      </w:r>
      <w:proofErr w:type="spellStart"/>
      <w:r w:rsidRPr="00061317">
        <w:rPr>
          <w:rFonts w:eastAsia="Times New Roman" w:cs="Arial"/>
          <w:szCs w:val="18"/>
          <w:lang w:eastAsia="cs-CZ"/>
        </w:rPr>
        <w:t>Compilation</w:t>
      </w:r>
      <w:proofErr w:type="spellEnd"/>
      <w:r w:rsidRPr="00061317">
        <w:rPr>
          <w:rFonts w:eastAsia="Times New Roman" w:cs="Arial"/>
          <w:szCs w:val="18"/>
          <w:lang w:eastAsia="cs-CZ"/>
        </w:rPr>
        <w:t xml:space="preserve"> </w:t>
      </w:r>
      <w:proofErr w:type="spellStart"/>
      <w:r w:rsidRPr="00061317">
        <w:rPr>
          <w:rFonts w:eastAsia="Times New Roman" w:cs="Arial"/>
          <w:szCs w:val="18"/>
          <w:lang w:eastAsia="cs-CZ"/>
        </w:rPr>
        <w:t>Guide</w:t>
      </w:r>
      <w:proofErr w:type="spellEnd"/>
      <w:r w:rsidRPr="00061317">
        <w:rPr>
          <w:rFonts w:eastAsia="Times New Roman" w:cs="Arial"/>
          <w:szCs w:val="18"/>
          <w:lang w:eastAsia="cs-CZ"/>
        </w:rPr>
        <w:t xml:space="preserve"> </w:t>
      </w:r>
      <w:proofErr w:type="spellStart"/>
      <w:r w:rsidRPr="00061317">
        <w:rPr>
          <w:rFonts w:eastAsia="Times New Roman" w:cs="Arial"/>
          <w:szCs w:val="18"/>
          <w:lang w:eastAsia="cs-CZ"/>
        </w:rPr>
        <w:t>for</w:t>
      </w:r>
      <w:proofErr w:type="spellEnd"/>
      <w:r w:rsidRPr="00061317">
        <w:rPr>
          <w:rFonts w:eastAsia="Times New Roman" w:cs="Arial"/>
          <w:szCs w:val="18"/>
          <w:lang w:eastAsia="cs-CZ"/>
        </w:rPr>
        <w:t xml:space="preserve"> Pension Data in </w:t>
      </w:r>
      <w:proofErr w:type="spellStart"/>
      <w:r w:rsidRPr="00061317">
        <w:rPr>
          <w:rFonts w:eastAsia="Times New Roman" w:cs="Arial"/>
          <w:szCs w:val="18"/>
          <w:lang w:eastAsia="cs-CZ"/>
        </w:rPr>
        <w:t>National</w:t>
      </w:r>
      <w:proofErr w:type="spellEnd"/>
      <w:r w:rsidRPr="00061317">
        <w:rPr>
          <w:rFonts w:eastAsia="Times New Roman" w:cs="Arial"/>
          <w:szCs w:val="18"/>
          <w:lang w:eastAsia="cs-CZ"/>
        </w:rPr>
        <w:t xml:space="preserve"> </w:t>
      </w:r>
      <w:proofErr w:type="spellStart"/>
      <w:r w:rsidRPr="00061317">
        <w:rPr>
          <w:rFonts w:eastAsia="Times New Roman" w:cs="Arial"/>
          <w:szCs w:val="18"/>
          <w:lang w:eastAsia="cs-CZ"/>
        </w:rPr>
        <w:t>Accounts</w:t>
      </w:r>
      <w:proofErr w:type="spellEnd"/>
      <w:r w:rsidRPr="00061317">
        <w:rPr>
          <w:rFonts w:eastAsia="Times New Roman" w:cs="Arial"/>
          <w:szCs w:val="18"/>
          <w:lang w:eastAsia="cs-CZ"/>
        </w:rPr>
        <w:t xml:space="preserve">, vydané roku 2020 Eurostatem. Dle Transmisního programu </w:t>
      </w:r>
      <w:proofErr w:type="spellStart"/>
      <w:r w:rsidRPr="00061317">
        <w:rPr>
          <w:rFonts w:eastAsia="Times New Roman" w:cs="Arial"/>
          <w:szCs w:val="18"/>
          <w:lang w:eastAsia="cs-CZ"/>
        </w:rPr>
        <w:t>Eurostatu</w:t>
      </w:r>
      <w:proofErr w:type="spellEnd"/>
      <w:r w:rsidRPr="00061317">
        <w:rPr>
          <w:rFonts w:eastAsia="Times New Roman" w:cs="Arial"/>
          <w:szCs w:val="18"/>
          <w:lang w:eastAsia="cs-CZ"/>
        </w:rPr>
        <w:t xml:space="preserve"> jsou členské státy povinny  odhady </w:t>
      </w:r>
      <w:r w:rsidR="00A84B29">
        <w:rPr>
          <w:rFonts w:eastAsia="Times New Roman" w:cs="Arial"/>
          <w:szCs w:val="18"/>
          <w:lang w:eastAsia="cs-CZ"/>
        </w:rPr>
        <w:t xml:space="preserve">penzijních závazků publikovat </w:t>
      </w:r>
      <w:r w:rsidRPr="00061317">
        <w:rPr>
          <w:rFonts w:eastAsia="Times New Roman" w:cs="Arial"/>
          <w:szCs w:val="18"/>
          <w:lang w:eastAsia="cs-CZ"/>
        </w:rPr>
        <w:t>od konce roku 2017 v tříleté periodicitě.</w:t>
      </w:r>
    </w:p>
    <w:p w14:paraId="51344504" w14:textId="77777777" w:rsidR="00061317" w:rsidRPr="00061317" w:rsidRDefault="00061317" w:rsidP="00061317">
      <w:pPr>
        <w:rPr>
          <w:rFonts w:eastAsia="Times New Roman" w:cs="Arial"/>
          <w:szCs w:val="18"/>
          <w:lang w:eastAsia="cs-CZ"/>
        </w:rPr>
      </w:pPr>
    </w:p>
    <w:p w14:paraId="6B0730FB" w14:textId="46964465" w:rsidR="00061317" w:rsidRDefault="00061317" w:rsidP="00061317">
      <w:pPr>
        <w:rPr>
          <w:rFonts w:eastAsia="Times New Roman" w:cs="Arial"/>
          <w:szCs w:val="18"/>
          <w:lang w:eastAsia="cs-CZ"/>
        </w:rPr>
      </w:pPr>
      <w:r w:rsidRPr="00061317">
        <w:rPr>
          <w:rFonts w:eastAsia="Times New Roman" w:cs="Arial"/>
          <w:szCs w:val="18"/>
          <w:lang w:eastAsia="cs-CZ"/>
        </w:rPr>
        <w:t xml:space="preserve">Vedle metodických popisů je součástí </w:t>
      </w:r>
      <w:hyperlink r:id="rId7" w:history="1">
        <w:r w:rsidR="003B6A87" w:rsidRPr="003B6A87">
          <w:rPr>
            <w:rStyle w:val="Hypertextovodkaz"/>
            <w:rFonts w:eastAsia="Times New Roman" w:cs="Arial"/>
            <w:szCs w:val="18"/>
            <w:lang w:eastAsia="cs-CZ"/>
          </w:rPr>
          <w:t xml:space="preserve">aktuální </w:t>
        </w:r>
        <w:r w:rsidRPr="003B6A87">
          <w:rPr>
            <w:rStyle w:val="Hypertextovodkaz"/>
            <w:rFonts w:eastAsia="Times New Roman" w:cs="Arial"/>
            <w:szCs w:val="18"/>
            <w:lang w:eastAsia="cs-CZ"/>
          </w:rPr>
          <w:t>publikace</w:t>
        </w:r>
      </w:hyperlink>
      <w:r w:rsidRPr="00061317">
        <w:rPr>
          <w:rFonts w:eastAsia="Times New Roman" w:cs="Arial"/>
          <w:szCs w:val="18"/>
          <w:lang w:eastAsia="cs-CZ"/>
        </w:rPr>
        <w:t xml:space="preserve"> také analýza citlivosti celkové výše penzijních závazků na výši aplikované úrokové sazby. Úroková sazba je v modelu využita pro diskontování budoucích nároků do současné hodnoty a má tak významný vliv na výsledek modelu. Dále je výše závazků ovlivněna </w:t>
      </w:r>
      <w:r w:rsidR="00A84B29">
        <w:rPr>
          <w:rFonts w:eastAsia="Times New Roman" w:cs="Arial"/>
          <w:szCs w:val="18"/>
          <w:lang w:eastAsia="cs-CZ"/>
        </w:rPr>
        <w:t xml:space="preserve">dalšími </w:t>
      </w:r>
      <w:r w:rsidRPr="00061317">
        <w:rPr>
          <w:rFonts w:eastAsia="Times New Roman" w:cs="Arial"/>
          <w:szCs w:val="18"/>
          <w:lang w:eastAsia="cs-CZ"/>
        </w:rPr>
        <w:t>ekonomickými faktory</w:t>
      </w:r>
      <w:r w:rsidR="00A84B29">
        <w:rPr>
          <w:rFonts w:eastAsia="Times New Roman" w:cs="Arial"/>
          <w:szCs w:val="18"/>
          <w:lang w:eastAsia="cs-CZ"/>
        </w:rPr>
        <w:t>, především inflac</w:t>
      </w:r>
      <w:r w:rsidR="00EB5240">
        <w:rPr>
          <w:rFonts w:eastAsia="Times New Roman" w:cs="Arial"/>
          <w:szCs w:val="18"/>
          <w:lang w:eastAsia="cs-CZ"/>
        </w:rPr>
        <w:t>í</w:t>
      </w:r>
      <w:r w:rsidR="00A84B29">
        <w:rPr>
          <w:rFonts w:eastAsia="Times New Roman" w:cs="Arial"/>
          <w:szCs w:val="18"/>
          <w:lang w:eastAsia="cs-CZ"/>
        </w:rPr>
        <w:t xml:space="preserve"> </w:t>
      </w:r>
      <w:r w:rsidR="00A27A34">
        <w:rPr>
          <w:rFonts w:eastAsia="Times New Roman" w:cs="Arial"/>
          <w:szCs w:val="18"/>
          <w:lang w:eastAsia="cs-CZ"/>
        </w:rPr>
        <w:br/>
      </w:r>
      <w:r w:rsidR="00A84B29">
        <w:rPr>
          <w:rFonts w:eastAsia="Times New Roman" w:cs="Arial"/>
          <w:szCs w:val="18"/>
          <w:lang w:eastAsia="cs-CZ"/>
        </w:rPr>
        <w:t>a valorizac</w:t>
      </w:r>
      <w:r w:rsidR="00EB5240">
        <w:rPr>
          <w:rFonts w:eastAsia="Times New Roman" w:cs="Arial"/>
          <w:szCs w:val="18"/>
          <w:lang w:eastAsia="cs-CZ"/>
        </w:rPr>
        <w:t>í</w:t>
      </w:r>
      <w:r w:rsidR="00A84B29">
        <w:rPr>
          <w:rFonts w:eastAsia="Times New Roman" w:cs="Arial"/>
          <w:szCs w:val="18"/>
          <w:lang w:eastAsia="cs-CZ"/>
        </w:rPr>
        <w:t xml:space="preserve"> důchodů, </w:t>
      </w:r>
      <w:r w:rsidRPr="00061317">
        <w:rPr>
          <w:rFonts w:eastAsia="Times New Roman" w:cs="Arial"/>
          <w:szCs w:val="18"/>
          <w:lang w:eastAsia="cs-CZ"/>
        </w:rPr>
        <w:t xml:space="preserve"> a také počtem a stářím obyvatel, kteří mají nebo budou mít nárok na jeden z typu důchodu, tzn. starobní, invalidní, sirotčí či pozůstalostní.</w:t>
      </w:r>
    </w:p>
    <w:p w14:paraId="6FDA1E11" w14:textId="77777777" w:rsidR="00061317" w:rsidRPr="00061317" w:rsidRDefault="00061317" w:rsidP="00061317">
      <w:pPr>
        <w:rPr>
          <w:rFonts w:eastAsia="Times New Roman" w:cs="Arial"/>
          <w:szCs w:val="18"/>
          <w:lang w:eastAsia="cs-CZ"/>
        </w:rPr>
      </w:pPr>
    </w:p>
    <w:p w14:paraId="59AF5159" w14:textId="7A2AF208" w:rsidR="00DB2C1E" w:rsidRPr="00617D8C" w:rsidRDefault="00061317" w:rsidP="00061317">
      <w:r w:rsidRPr="00061317">
        <w:rPr>
          <w:rFonts w:eastAsia="Times New Roman" w:cs="Arial"/>
          <w:szCs w:val="18"/>
          <w:lang w:eastAsia="cs-CZ"/>
        </w:rPr>
        <w:t>V souladu s metodikou není hodnota penzijních nároků z průběžného systému financování důchodů (1. pilíř) součástí dluhu sektoru vládních institucí (tzv. maastrichtské kritérium).</w:t>
      </w:r>
    </w:p>
    <w:p w14:paraId="2B913CA8" w14:textId="7D643BE9" w:rsidR="000220D9" w:rsidRDefault="000220D9" w:rsidP="00632A2B">
      <w:pPr>
        <w:spacing w:line="264" w:lineRule="auto"/>
        <w:rPr>
          <w:rFonts w:cs="Arial"/>
          <w:szCs w:val="18"/>
        </w:rPr>
      </w:pPr>
    </w:p>
    <w:p w14:paraId="7107B548" w14:textId="663C788E" w:rsidR="00BC6A90" w:rsidRPr="00F50BCA" w:rsidRDefault="00BC6A90" w:rsidP="00B71AEF">
      <w:pPr>
        <w:rPr>
          <w:rFonts w:cs="Arial"/>
          <w:strike/>
          <w:szCs w:val="18"/>
        </w:rPr>
      </w:pPr>
    </w:p>
    <w:bookmarkEnd w:id="1"/>
    <w:p w14:paraId="03F66CC0" w14:textId="16987CBA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1FB6AAE3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DC69597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659481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1FED9C1" w14:textId="0DAA74F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FD702D" w:rsidRPr="006B4614">
        <w:t>jan.cieslar@czso.cz</w:t>
      </w:r>
      <w:r w:rsidR="00382D24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B9F4" w14:textId="77777777" w:rsidR="00E652C6" w:rsidRDefault="00E652C6" w:rsidP="00BA6370">
      <w:r>
        <w:separator/>
      </w:r>
    </w:p>
  </w:endnote>
  <w:endnote w:type="continuationSeparator" w:id="0">
    <w:p w14:paraId="6B9AC421" w14:textId="77777777" w:rsidR="00E652C6" w:rsidRDefault="00E652C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6920D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1A454" wp14:editId="635A1A28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3682B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44DFEAC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D3E8DC3" w14:textId="6A5834FF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27A3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1A45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11A3682B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44DFEAC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D3E8DC3" w14:textId="6A5834FF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27A3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AA6340" wp14:editId="2DAE4540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933DD" w14:textId="77777777" w:rsidR="00E652C6" w:rsidRDefault="00E652C6" w:rsidP="00BA6370">
      <w:r>
        <w:separator/>
      </w:r>
    </w:p>
  </w:footnote>
  <w:footnote w:type="continuationSeparator" w:id="0">
    <w:p w14:paraId="3D701445" w14:textId="77777777" w:rsidR="00E652C6" w:rsidRDefault="00E652C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5F7F1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D4D508" wp14:editId="5CFD3972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B62"/>
    <w:rsid w:val="00014485"/>
    <w:rsid w:val="00016115"/>
    <w:rsid w:val="0001695E"/>
    <w:rsid w:val="000174CB"/>
    <w:rsid w:val="000220D9"/>
    <w:rsid w:val="00023BA0"/>
    <w:rsid w:val="00025166"/>
    <w:rsid w:val="0003763A"/>
    <w:rsid w:val="000420F1"/>
    <w:rsid w:val="00043BF4"/>
    <w:rsid w:val="00051387"/>
    <w:rsid w:val="00061317"/>
    <w:rsid w:val="00065A00"/>
    <w:rsid w:val="000842D2"/>
    <w:rsid w:val="000843A5"/>
    <w:rsid w:val="000851E4"/>
    <w:rsid w:val="000854A7"/>
    <w:rsid w:val="0009183B"/>
    <w:rsid w:val="000B0B89"/>
    <w:rsid w:val="000B6F63"/>
    <w:rsid w:val="000C1AAC"/>
    <w:rsid w:val="000C4251"/>
    <w:rsid w:val="000C435D"/>
    <w:rsid w:val="000C59D0"/>
    <w:rsid w:val="000C681E"/>
    <w:rsid w:val="000D11CF"/>
    <w:rsid w:val="000D4D08"/>
    <w:rsid w:val="000E3422"/>
    <w:rsid w:val="000E74E0"/>
    <w:rsid w:val="000F35F5"/>
    <w:rsid w:val="001041AE"/>
    <w:rsid w:val="00125C4F"/>
    <w:rsid w:val="001404AB"/>
    <w:rsid w:val="00144327"/>
    <w:rsid w:val="00146745"/>
    <w:rsid w:val="00163A14"/>
    <w:rsid w:val="001658A9"/>
    <w:rsid w:val="0017231D"/>
    <w:rsid w:val="001776E2"/>
    <w:rsid w:val="001810DC"/>
    <w:rsid w:val="00183282"/>
    <w:rsid w:val="00183C7E"/>
    <w:rsid w:val="00183E9E"/>
    <w:rsid w:val="0019156F"/>
    <w:rsid w:val="00197485"/>
    <w:rsid w:val="001A214A"/>
    <w:rsid w:val="001A59BF"/>
    <w:rsid w:val="001B607F"/>
    <w:rsid w:val="001C596C"/>
    <w:rsid w:val="001D3199"/>
    <w:rsid w:val="001D369A"/>
    <w:rsid w:val="00205138"/>
    <w:rsid w:val="002070FB"/>
    <w:rsid w:val="00213729"/>
    <w:rsid w:val="00214943"/>
    <w:rsid w:val="002272A6"/>
    <w:rsid w:val="00234618"/>
    <w:rsid w:val="00234692"/>
    <w:rsid w:val="002406FA"/>
    <w:rsid w:val="00244F60"/>
    <w:rsid w:val="002460EA"/>
    <w:rsid w:val="00255711"/>
    <w:rsid w:val="00265596"/>
    <w:rsid w:val="00265740"/>
    <w:rsid w:val="00265D71"/>
    <w:rsid w:val="002848DA"/>
    <w:rsid w:val="00284D60"/>
    <w:rsid w:val="00290A3C"/>
    <w:rsid w:val="00291EB7"/>
    <w:rsid w:val="002964A1"/>
    <w:rsid w:val="002A6F5C"/>
    <w:rsid w:val="002A7638"/>
    <w:rsid w:val="002B1FE3"/>
    <w:rsid w:val="002B2E47"/>
    <w:rsid w:val="002B7E05"/>
    <w:rsid w:val="002C0C8E"/>
    <w:rsid w:val="002C1639"/>
    <w:rsid w:val="002C261A"/>
    <w:rsid w:val="002D6A6C"/>
    <w:rsid w:val="002D6C5D"/>
    <w:rsid w:val="002E0660"/>
    <w:rsid w:val="00300F54"/>
    <w:rsid w:val="00302BDE"/>
    <w:rsid w:val="00322412"/>
    <w:rsid w:val="003265E9"/>
    <w:rsid w:val="00327E73"/>
    <w:rsid w:val="003301A3"/>
    <w:rsid w:val="0033468B"/>
    <w:rsid w:val="00340918"/>
    <w:rsid w:val="0035578A"/>
    <w:rsid w:val="003560B1"/>
    <w:rsid w:val="0036777B"/>
    <w:rsid w:val="003677A4"/>
    <w:rsid w:val="00371E59"/>
    <w:rsid w:val="003776AE"/>
    <w:rsid w:val="0038282A"/>
    <w:rsid w:val="00382D24"/>
    <w:rsid w:val="0038349B"/>
    <w:rsid w:val="00396732"/>
    <w:rsid w:val="00397580"/>
    <w:rsid w:val="003A1794"/>
    <w:rsid w:val="003A45C8"/>
    <w:rsid w:val="003A6ED5"/>
    <w:rsid w:val="003B2671"/>
    <w:rsid w:val="003B3C66"/>
    <w:rsid w:val="003B6A87"/>
    <w:rsid w:val="003C2DCF"/>
    <w:rsid w:val="003C7A1B"/>
    <w:rsid w:val="003C7FE7"/>
    <w:rsid w:val="003D02AA"/>
    <w:rsid w:val="003D0499"/>
    <w:rsid w:val="003E0D20"/>
    <w:rsid w:val="003E5D23"/>
    <w:rsid w:val="003F436A"/>
    <w:rsid w:val="003F4D79"/>
    <w:rsid w:val="003F526A"/>
    <w:rsid w:val="004023A5"/>
    <w:rsid w:val="00405244"/>
    <w:rsid w:val="00405CEA"/>
    <w:rsid w:val="004065ED"/>
    <w:rsid w:val="00413A9D"/>
    <w:rsid w:val="0042450F"/>
    <w:rsid w:val="0042764B"/>
    <w:rsid w:val="004436EE"/>
    <w:rsid w:val="0045547F"/>
    <w:rsid w:val="00456F17"/>
    <w:rsid w:val="00462EA1"/>
    <w:rsid w:val="0047152A"/>
    <w:rsid w:val="004815A5"/>
    <w:rsid w:val="004920AD"/>
    <w:rsid w:val="00494AD2"/>
    <w:rsid w:val="00496B92"/>
    <w:rsid w:val="004A061A"/>
    <w:rsid w:val="004A66D9"/>
    <w:rsid w:val="004D05B3"/>
    <w:rsid w:val="004D6F30"/>
    <w:rsid w:val="004E479E"/>
    <w:rsid w:val="004E583B"/>
    <w:rsid w:val="004F78E6"/>
    <w:rsid w:val="00507D5A"/>
    <w:rsid w:val="00512D03"/>
    <w:rsid w:val="00512D99"/>
    <w:rsid w:val="00525665"/>
    <w:rsid w:val="0052753B"/>
    <w:rsid w:val="00531DBB"/>
    <w:rsid w:val="00534250"/>
    <w:rsid w:val="00544FE5"/>
    <w:rsid w:val="005515A2"/>
    <w:rsid w:val="00552710"/>
    <w:rsid w:val="00562ACA"/>
    <w:rsid w:val="00563EE7"/>
    <w:rsid w:val="00580128"/>
    <w:rsid w:val="00582FE3"/>
    <w:rsid w:val="005850A0"/>
    <w:rsid w:val="005A093B"/>
    <w:rsid w:val="005B4E85"/>
    <w:rsid w:val="005B7394"/>
    <w:rsid w:val="005C230B"/>
    <w:rsid w:val="005C2769"/>
    <w:rsid w:val="005C43C9"/>
    <w:rsid w:val="005F3FB7"/>
    <w:rsid w:val="005F699D"/>
    <w:rsid w:val="005F79FB"/>
    <w:rsid w:val="006002C1"/>
    <w:rsid w:val="006013C3"/>
    <w:rsid w:val="00601D11"/>
    <w:rsid w:val="00604406"/>
    <w:rsid w:val="00605F4A"/>
    <w:rsid w:val="006063A0"/>
    <w:rsid w:val="00607822"/>
    <w:rsid w:val="006103AA"/>
    <w:rsid w:val="006113AB"/>
    <w:rsid w:val="00612C34"/>
    <w:rsid w:val="00613BBF"/>
    <w:rsid w:val="00617D8C"/>
    <w:rsid w:val="00622B80"/>
    <w:rsid w:val="00625FDF"/>
    <w:rsid w:val="00632A2B"/>
    <w:rsid w:val="00632AF7"/>
    <w:rsid w:val="0064139A"/>
    <w:rsid w:val="0064566E"/>
    <w:rsid w:val="00654CFF"/>
    <w:rsid w:val="00675D16"/>
    <w:rsid w:val="00682D23"/>
    <w:rsid w:val="006A586A"/>
    <w:rsid w:val="006B4614"/>
    <w:rsid w:val="006B7C96"/>
    <w:rsid w:val="006C0ED2"/>
    <w:rsid w:val="006D2F17"/>
    <w:rsid w:val="006D4B15"/>
    <w:rsid w:val="006E024F"/>
    <w:rsid w:val="006E4E81"/>
    <w:rsid w:val="007020EA"/>
    <w:rsid w:val="00702B03"/>
    <w:rsid w:val="00706DB3"/>
    <w:rsid w:val="00707F7D"/>
    <w:rsid w:val="00717EC5"/>
    <w:rsid w:val="00722922"/>
    <w:rsid w:val="00727525"/>
    <w:rsid w:val="00737B80"/>
    <w:rsid w:val="00737CEF"/>
    <w:rsid w:val="00742E86"/>
    <w:rsid w:val="00745B38"/>
    <w:rsid w:val="007535B3"/>
    <w:rsid w:val="00770C95"/>
    <w:rsid w:val="00775362"/>
    <w:rsid w:val="00777DF3"/>
    <w:rsid w:val="00782F3C"/>
    <w:rsid w:val="00791616"/>
    <w:rsid w:val="007A57F2"/>
    <w:rsid w:val="007B1333"/>
    <w:rsid w:val="007B1757"/>
    <w:rsid w:val="007B7FA9"/>
    <w:rsid w:val="007D26B4"/>
    <w:rsid w:val="007D5D7A"/>
    <w:rsid w:val="007E1BBE"/>
    <w:rsid w:val="007E1DDD"/>
    <w:rsid w:val="007F4AEB"/>
    <w:rsid w:val="007F75B2"/>
    <w:rsid w:val="00800842"/>
    <w:rsid w:val="008043C4"/>
    <w:rsid w:val="00812F6C"/>
    <w:rsid w:val="00826104"/>
    <w:rsid w:val="00831B1B"/>
    <w:rsid w:val="00851076"/>
    <w:rsid w:val="00855FC6"/>
    <w:rsid w:val="00861D0E"/>
    <w:rsid w:val="00863460"/>
    <w:rsid w:val="00867569"/>
    <w:rsid w:val="00883708"/>
    <w:rsid w:val="00894208"/>
    <w:rsid w:val="008A2F44"/>
    <w:rsid w:val="008A750A"/>
    <w:rsid w:val="008C384C"/>
    <w:rsid w:val="008D0F11"/>
    <w:rsid w:val="008D177D"/>
    <w:rsid w:val="008D24E4"/>
    <w:rsid w:val="008D6040"/>
    <w:rsid w:val="008E39CC"/>
    <w:rsid w:val="008F35B4"/>
    <w:rsid w:val="008F73B4"/>
    <w:rsid w:val="00906A0E"/>
    <w:rsid w:val="0091174D"/>
    <w:rsid w:val="00916BFD"/>
    <w:rsid w:val="009200B0"/>
    <w:rsid w:val="009209B0"/>
    <w:rsid w:val="009316FD"/>
    <w:rsid w:val="0094402F"/>
    <w:rsid w:val="0094412D"/>
    <w:rsid w:val="009510E2"/>
    <w:rsid w:val="00963BA3"/>
    <w:rsid w:val="009668FF"/>
    <w:rsid w:val="00992C81"/>
    <w:rsid w:val="00992E4C"/>
    <w:rsid w:val="00994C3E"/>
    <w:rsid w:val="00994EDA"/>
    <w:rsid w:val="009A5582"/>
    <w:rsid w:val="009A572A"/>
    <w:rsid w:val="009A7B0C"/>
    <w:rsid w:val="009B55B1"/>
    <w:rsid w:val="009B6438"/>
    <w:rsid w:val="009C70A9"/>
    <w:rsid w:val="009D552B"/>
    <w:rsid w:val="009D5DAA"/>
    <w:rsid w:val="009E47C6"/>
    <w:rsid w:val="009E4AD8"/>
    <w:rsid w:val="009F1185"/>
    <w:rsid w:val="009F5037"/>
    <w:rsid w:val="00A00672"/>
    <w:rsid w:val="00A17E9D"/>
    <w:rsid w:val="00A20BF8"/>
    <w:rsid w:val="00A278C8"/>
    <w:rsid w:val="00A27A34"/>
    <w:rsid w:val="00A30F31"/>
    <w:rsid w:val="00A334D1"/>
    <w:rsid w:val="00A4343D"/>
    <w:rsid w:val="00A4554C"/>
    <w:rsid w:val="00A502F1"/>
    <w:rsid w:val="00A65191"/>
    <w:rsid w:val="00A70A83"/>
    <w:rsid w:val="00A81EB3"/>
    <w:rsid w:val="00A842CF"/>
    <w:rsid w:val="00A84B29"/>
    <w:rsid w:val="00A853A7"/>
    <w:rsid w:val="00A918C5"/>
    <w:rsid w:val="00AA43EA"/>
    <w:rsid w:val="00AE61DB"/>
    <w:rsid w:val="00AE6D5B"/>
    <w:rsid w:val="00B00C1D"/>
    <w:rsid w:val="00B03E21"/>
    <w:rsid w:val="00B15755"/>
    <w:rsid w:val="00B22916"/>
    <w:rsid w:val="00B31381"/>
    <w:rsid w:val="00B4271A"/>
    <w:rsid w:val="00B539A9"/>
    <w:rsid w:val="00B62CA1"/>
    <w:rsid w:val="00B633EC"/>
    <w:rsid w:val="00B71AEF"/>
    <w:rsid w:val="00BA1697"/>
    <w:rsid w:val="00BA439F"/>
    <w:rsid w:val="00BA6370"/>
    <w:rsid w:val="00BB2897"/>
    <w:rsid w:val="00BB6F70"/>
    <w:rsid w:val="00BC6A90"/>
    <w:rsid w:val="00BD2D57"/>
    <w:rsid w:val="00BD4284"/>
    <w:rsid w:val="00BD52B6"/>
    <w:rsid w:val="00BD5437"/>
    <w:rsid w:val="00BE11D8"/>
    <w:rsid w:val="00BE26BF"/>
    <w:rsid w:val="00BE2A1E"/>
    <w:rsid w:val="00BE3DEA"/>
    <w:rsid w:val="00BE513E"/>
    <w:rsid w:val="00BF242E"/>
    <w:rsid w:val="00C00750"/>
    <w:rsid w:val="00C048E8"/>
    <w:rsid w:val="00C269D4"/>
    <w:rsid w:val="00C36CC1"/>
    <w:rsid w:val="00C4160D"/>
    <w:rsid w:val="00C42B81"/>
    <w:rsid w:val="00C52466"/>
    <w:rsid w:val="00C5651B"/>
    <w:rsid w:val="00C71958"/>
    <w:rsid w:val="00C71F98"/>
    <w:rsid w:val="00C83A3E"/>
    <w:rsid w:val="00C8406E"/>
    <w:rsid w:val="00C8711A"/>
    <w:rsid w:val="00C9686E"/>
    <w:rsid w:val="00C96A20"/>
    <w:rsid w:val="00CA33BC"/>
    <w:rsid w:val="00CB2709"/>
    <w:rsid w:val="00CB6F89"/>
    <w:rsid w:val="00CC46C7"/>
    <w:rsid w:val="00CD39B3"/>
    <w:rsid w:val="00CE1B6B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51BCD"/>
    <w:rsid w:val="00D666C3"/>
    <w:rsid w:val="00D8497E"/>
    <w:rsid w:val="00D851AF"/>
    <w:rsid w:val="00DB2C1E"/>
    <w:rsid w:val="00DB3587"/>
    <w:rsid w:val="00DB4A37"/>
    <w:rsid w:val="00DD4220"/>
    <w:rsid w:val="00DD5C97"/>
    <w:rsid w:val="00DE4AD8"/>
    <w:rsid w:val="00DF47FE"/>
    <w:rsid w:val="00E101B2"/>
    <w:rsid w:val="00E2374E"/>
    <w:rsid w:val="00E26704"/>
    <w:rsid w:val="00E27C40"/>
    <w:rsid w:val="00E31980"/>
    <w:rsid w:val="00E4106B"/>
    <w:rsid w:val="00E46AD7"/>
    <w:rsid w:val="00E60DF9"/>
    <w:rsid w:val="00E62D97"/>
    <w:rsid w:val="00E6423C"/>
    <w:rsid w:val="00E652C6"/>
    <w:rsid w:val="00E6563C"/>
    <w:rsid w:val="00E65B40"/>
    <w:rsid w:val="00E7275D"/>
    <w:rsid w:val="00E863CB"/>
    <w:rsid w:val="00E935F4"/>
    <w:rsid w:val="00E93830"/>
    <w:rsid w:val="00E93E0E"/>
    <w:rsid w:val="00EA06B7"/>
    <w:rsid w:val="00EA3BCE"/>
    <w:rsid w:val="00EB1ED3"/>
    <w:rsid w:val="00EB5240"/>
    <w:rsid w:val="00EC2D51"/>
    <w:rsid w:val="00EC4767"/>
    <w:rsid w:val="00EC4F00"/>
    <w:rsid w:val="00ED4391"/>
    <w:rsid w:val="00ED598A"/>
    <w:rsid w:val="00EE6E05"/>
    <w:rsid w:val="00EF2115"/>
    <w:rsid w:val="00F07A99"/>
    <w:rsid w:val="00F14705"/>
    <w:rsid w:val="00F1586E"/>
    <w:rsid w:val="00F17E44"/>
    <w:rsid w:val="00F22452"/>
    <w:rsid w:val="00F26395"/>
    <w:rsid w:val="00F300FD"/>
    <w:rsid w:val="00F3248C"/>
    <w:rsid w:val="00F42389"/>
    <w:rsid w:val="00F46F18"/>
    <w:rsid w:val="00F50BCA"/>
    <w:rsid w:val="00F7411B"/>
    <w:rsid w:val="00F82191"/>
    <w:rsid w:val="00F9224C"/>
    <w:rsid w:val="00F9237E"/>
    <w:rsid w:val="00F92A57"/>
    <w:rsid w:val="00FB005B"/>
    <w:rsid w:val="00FB0336"/>
    <w:rsid w:val="00FB27B4"/>
    <w:rsid w:val="00FB3A56"/>
    <w:rsid w:val="00FB687C"/>
    <w:rsid w:val="00FC15E1"/>
    <w:rsid w:val="00FC78A1"/>
    <w:rsid w:val="00FD702D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11366D8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groupwisereplyheader">
    <w:name w:val="groupwisereplyheader"/>
    <w:basedOn w:val="Standardnpsmoodstavce"/>
    <w:rsid w:val="00340918"/>
  </w:style>
  <w:style w:type="character" w:styleId="Odkaznakoment">
    <w:name w:val="annotation reference"/>
    <w:basedOn w:val="Standardnpsmoodstavce"/>
    <w:uiPriority w:val="99"/>
    <w:semiHidden/>
    <w:unhideWhenUsed/>
    <w:rsid w:val="002C1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63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63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639"/>
    <w:rPr>
      <w:rFonts w:ascii="Arial" w:hAnsi="Arial"/>
      <w:b/>
      <w:bCs/>
      <w:lang w:eastAsia="en-US"/>
    </w:rPr>
  </w:style>
  <w:style w:type="character" w:customStyle="1" w:styleId="highlight">
    <w:name w:val="highlight"/>
    <w:basedOn w:val="Standardnpsmoodstavce"/>
    <w:rsid w:val="00C71958"/>
  </w:style>
  <w:style w:type="paragraph" w:styleId="Zkladntext">
    <w:name w:val="Body Text"/>
    <w:basedOn w:val="Normln"/>
    <w:link w:val="ZkladntextChar"/>
    <w:semiHidden/>
    <w:rsid w:val="00E60DF9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60DF9"/>
    <w:rPr>
      <w:rFonts w:ascii="Arial" w:eastAsia="Times New Roman" w:hAnsi="Arial"/>
      <w:szCs w:val="24"/>
    </w:rPr>
  </w:style>
  <w:style w:type="paragraph" w:styleId="Revize">
    <w:name w:val="Revision"/>
    <w:hidden/>
    <w:uiPriority w:val="99"/>
    <w:semiHidden/>
    <w:rsid w:val="00065A00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84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l.czso.cz/pll/rocenka/rocenkaout.pension_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31E6-6807-4CB3-AF51-36EF8196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2091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2</cp:revision>
  <cp:lastPrinted>2020-08-05T09:20:00Z</cp:lastPrinted>
  <dcterms:created xsi:type="dcterms:W3CDTF">2021-02-12T21:01:00Z</dcterms:created>
  <dcterms:modified xsi:type="dcterms:W3CDTF">2021-02-12T21:01:00Z</dcterms:modified>
</cp:coreProperties>
</file>