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77777777" w:rsidR="00867569" w:rsidRPr="00AE6D5B" w:rsidRDefault="007704D0" w:rsidP="00AE6D5B">
      <w:pPr>
        <w:pStyle w:val="Datum"/>
      </w:pPr>
      <w:r>
        <w:t>2. února 2021</w:t>
      </w:r>
    </w:p>
    <w:p w14:paraId="55FA4011" w14:textId="3C56A66D" w:rsidR="00867569" w:rsidRPr="00AE6D5B" w:rsidRDefault="007704D0" w:rsidP="00AE6D5B">
      <w:pPr>
        <w:pStyle w:val="Nzev"/>
      </w:pPr>
      <w:r>
        <w:t xml:space="preserve">V roce 2020 zemřelo </w:t>
      </w:r>
      <w:r w:rsidR="00BB2EE8">
        <w:t xml:space="preserve">přes </w:t>
      </w:r>
      <w:r>
        <w:t>129 tisíc obyvatel Česka</w:t>
      </w:r>
    </w:p>
    <w:p w14:paraId="7C78BC57" w14:textId="249E6212" w:rsidR="00916BFD" w:rsidRDefault="00A918C5" w:rsidP="00A43A5E">
      <w:pPr>
        <w:pStyle w:val="Perex"/>
        <w:spacing w:after="220"/>
      </w:pPr>
      <w:r w:rsidRPr="00A918C5">
        <w:t>Podle dosud dost</w:t>
      </w:r>
      <w:r w:rsidR="006D2F17">
        <w:t xml:space="preserve">upných údajů </w:t>
      </w:r>
      <w:r w:rsidR="007704D0" w:rsidRPr="007704D0">
        <w:t xml:space="preserve">z hlášení úmrtí </w:t>
      </w:r>
      <w:r w:rsidR="006D2F17">
        <w:t>zemřelo</w:t>
      </w:r>
      <w:r w:rsidR="007704D0">
        <w:t xml:space="preserve"> v loňském roce 129,</w:t>
      </w:r>
      <w:r w:rsidR="00D91B14">
        <w:t>1</w:t>
      </w:r>
      <w:r w:rsidR="007704D0">
        <w:t xml:space="preserve"> tisíce</w:t>
      </w:r>
      <w:r w:rsidR="006D2F17">
        <w:t xml:space="preserve"> obyvatel České republiky, </w:t>
      </w:r>
      <w:r w:rsidR="00533BE8">
        <w:t>což je</w:t>
      </w:r>
      <w:r w:rsidR="007704D0">
        <w:t xml:space="preserve"> </w:t>
      </w:r>
      <w:r w:rsidR="00533BE8">
        <w:t xml:space="preserve">o téměř 17 </w:t>
      </w:r>
      <w:r w:rsidR="007704D0">
        <w:t>tis</w:t>
      </w:r>
      <w:r w:rsidR="00AB3303">
        <w:t>íc</w:t>
      </w:r>
      <w:r w:rsidR="007704D0">
        <w:t xml:space="preserve"> více než v roce 2019. </w:t>
      </w:r>
      <w:r w:rsidR="00106A44">
        <w:t>Nejvíce se umíralo v listopadu a n</w:t>
      </w:r>
      <w:r w:rsidR="00AB3303">
        <w:t xml:space="preserve">árůst úmrtí postihl </w:t>
      </w:r>
      <w:r w:rsidR="009D2AEF">
        <w:t>nej</w:t>
      </w:r>
      <w:r w:rsidR="00AB3303">
        <w:t>výrazněji věkovou kategorii</w:t>
      </w:r>
      <w:r w:rsidR="007704D0">
        <w:t xml:space="preserve"> </w:t>
      </w:r>
      <w:r w:rsidR="009D2AEF">
        <w:t>75–</w:t>
      </w:r>
      <w:r w:rsidR="003F32BE" w:rsidRPr="009D2AEF">
        <w:t>84letých</w:t>
      </w:r>
      <w:r w:rsidR="008E2F02">
        <w:t xml:space="preserve"> </w:t>
      </w:r>
      <w:r w:rsidR="00AB3303">
        <w:t xml:space="preserve">a </w:t>
      </w:r>
      <w:r w:rsidR="009D2AEF">
        <w:t xml:space="preserve">více </w:t>
      </w:r>
      <w:r w:rsidR="00AB3303">
        <w:t>muže</w:t>
      </w:r>
      <w:r w:rsidR="009D2AEF">
        <w:t xml:space="preserve"> než ženy</w:t>
      </w:r>
      <w:r w:rsidR="00AB3303">
        <w:t xml:space="preserve">. Z regionálního </w:t>
      </w:r>
      <w:r w:rsidR="00106A44">
        <w:t xml:space="preserve">pohledu </w:t>
      </w:r>
      <w:r w:rsidR="00AB3303">
        <w:t>došlo k </w:t>
      </w:r>
      <w:r w:rsidR="009D2AEF">
        <w:t xml:space="preserve">největšímu relativnímu </w:t>
      </w:r>
      <w:r w:rsidR="00AB3303">
        <w:t xml:space="preserve">nárůstu </w:t>
      </w:r>
      <w:r w:rsidR="00533BE8">
        <w:t xml:space="preserve">počtu </w:t>
      </w:r>
      <w:r w:rsidR="00AB3303" w:rsidRPr="009D2AEF">
        <w:t>zemřelých v</w:t>
      </w:r>
      <w:r w:rsidR="00D91B14" w:rsidRPr="009D2AEF">
        <w:t>e Zlínském kraji</w:t>
      </w:r>
      <w:r w:rsidR="00AB3303" w:rsidRPr="009D2AEF">
        <w:t>.</w:t>
      </w:r>
    </w:p>
    <w:p w14:paraId="2D1CB631" w14:textId="201746D4" w:rsidR="00DF3385" w:rsidRPr="009D2AEF" w:rsidRDefault="00533BE8" w:rsidP="00A43A5E">
      <w:pPr>
        <w:spacing w:line="247" w:lineRule="auto"/>
        <w:rPr>
          <w:rFonts w:cs="Arial"/>
          <w:szCs w:val="20"/>
        </w:rPr>
      </w:pPr>
      <w:r w:rsidRPr="00856834">
        <w:rPr>
          <w:rFonts w:cs="Arial"/>
          <w:i/>
          <w:szCs w:val="20"/>
        </w:rPr>
        <w:t xml:space="preserve">„Již nyní je z předběžných dat zřejmé, že počet zemřelých za rok 2020 bude převyšovat </w:t>
      </w:r>
      <w:r w:rsidR="00DF3385" w:rsidRPr="00856834">
        <w:rPr>
          <w:rFonts w:cs="Arial"/>
          <w:i/>
          <w:szCs w:val="20"/>
        </w:rPr>
        <w:t>112,4 tisíce mrtvých</w:t>
      </w:r>
      <w:r w:rsidR="009D2AEF" w:rsidRPr="00856834">
        <w:rPr>
          <w:rFonts w:cs="Arial"/>
          <w:i/>
          <w:szCs w:val="20"/>
        </w:rPr>
        <w:t xml:space="preserve"> </w:t>
      </w:r>
      <w:r w:rsidRPr="00856834">
        <w:rPr>
          <w:rFonts w:cs="Arial"/>
          <w:i/>
          <w:szCs w:val="20"/>
        </w:rPr>
        <w:t>z roku 2019 o více než 16,</w:t>
      </w:r>
      <w:r w:rsidR="00D91B14" w:rsidRPr="00856834">
        <w:rPr>
          <w:rFonts w:cs="Arial"/>
          <w:i/>
          <w:szCs w:val="20"/>
        </w:rPr>
        <w:t>7</w:t>
      </w:r>
      <w:r w:rsidRPr="00856834">
        <w:rPr>
          <w:rFonts w:cs="Arial"/>
          <w:i/>
          <w:szCs w:val="20"/>
        </w:rPr>
        <w:t xml:space="preserve"> tisíce osob</w:t>
      </w:r>
      <w:r w:rsidR="003C52E5" w:rsidRPr="00856834">
        <w:rPr>
          <w:rFonts w:cs="Arial"/>
          <w:i/>
          <w:szCs w:val="20"/>
        </w:rPr>
        <w:t xml:space="preserve"> a jedná se tak o patnáctiprocentní nárůst. </w:t>
      </w:r>
      <w:r w:rsidRPr="00856834">
        <w:rPr>
          <w:rFonts w:cs="Arial"/>
          <w:i/>
          <w:szCs w:val="20"/>
        </w:rPr>
        <w:t>Takto výrazná meziroční změna</w:t>
      </w:r>
      <w:r w:rsidR="003C52E5" w:rsidRPr="00856834">
        <w:rPr>
          <w:rFonts w:cs="Arial"/>
          <w:i/>
          <w:szCs w:val="20"/>
        </w:rPr>
        <w:t xml:space="preserve"> je </w:t>
      </w:r>
      <w:r w:rsidRPr="00856834">
        <w:rPr>
          <w:rFonts w:cs="Arial"/>
          <w:i/>
          <w:szCs w:val="20"/>
        </w:rPr>
        <w:t>v</w:t>
      </w:r>
      <w:r w:rsidR="003C52E5" w:rsidRPr="00856834">
        <w:rPr>
          <w:rFonts w:cs="Arial"/>
          <w:i/>
          <w:szCs w:val="20"/>
        </w:rPr>
        <w:t xml:space="preserve"> naší historii</w:t>
      </w:r>
      <w:r w:rsidRPr="00856834">
        <w:rPr>
          <w:rFonts w:cs="Arial"/>
          <w:i/>
          <w:szCs w:val="20"/>
        </w:rPr>
        <w:t xml:space="preserve"> po roce 1950 </w:t>
      </w:r>
      <w:r w:rsidR="003C52E5" w:rsidRPr="00856834">
        <w:rPr>
          <w:rFonts w:cs="Arial"/>
          <w:i/>
          <w:szCs w:val="20"/>
        </w:rPr>
        <w:t>zcela výjimečná,“</w:t>
      </w:r>
      <w:r w:rsidR="003C52E5" w:rsidRPr="00856834">
        <w:rPr>
          <w:rFonts w:cs="Arial"/>
          <w:szCs w:val="20"/>
        </w:rPr>
        <w:t xml:space="preserve"> říká Marek Rojíček, předseda Českého statistického úřadu.</w:t>
      </w:r>
      <w:r w:rsidRPr="00856834">
        <w:rPr>
          <w:rFonts w:cs="Arial"/>
          <w:szCs w:val="20"/>
        </w:rPr>
        <w:t xml:space="preserve"> V tomto století se meziroční změny dosud </w:t>
      </w:r>
      <w:r w:rsidR="003C52E5" w:rsidRPr="00856834">
        <w:rPr>
          <w:rFonts w:cs="Arial"/>
          <w:szCs w:val="20"/>
        </w:rPr>
        <w:t>pohybovaly od -4,1 tisíce (rok 2004) do +5,5 tisíce (rok</w:t>
      </w:r>
      <w:r w:rsidRPr="00856834">
        <w:rPr>
          <w:rFonts w:cs="Arial"/>
          <w:szCs w:val="20"/>
        </w:rPr>
        <w:t xml:space="preserve"> 2015), resp. od –4 do +5 %.</w:t>
      </w:r>
      <w:r w:rsidR="003C52E5" w:rsidRPr="00856834">
        <w:rPr>
          <w:rFonts w:cs="Arial"/>
          <w:szCs w:val="20"/>
        </w:rPr>
        <w:t xml:space="preserve"> </w:t>
      </w:r>
      <w:r w:rsidR="00DF3385" w:rsidRPr="00856834">
        <w:rPr>
          <w:rFonts w:cs="Arial"/>
          <w:szCs w:val="20"/>
        </w:rPr>
        <w:t>Po o</w:t>
      </w:r>
      <w:r w:rsidR="003943A9" w:rsidRPr="00856834">
        <w:rPr>
          <w:rFonts w:cs="Arial"/>
          <w:szCs w:val="20"/>
        </w:rPr>
        <w:t xml:space="preserve">čištění dat od vlivu pokračujícího stárnutí obyvatel </w:t>
      </w:r>
      <w:r w:rsidR="00DF3385" w:rsidRPr="00856834">
        <w:rPr>
          <w:rFonts w:cs="Arial"/>
          <w:szCs w:val="20"/>
        </w:rPr>
        <w:t xml:space="preserve">se </w:t>
      </w:r>
      <w:r w:rsidR="007D70D0" w:rsidRPr="00856834">
        <w:rPr>
          <w:rFonts w:cs="Arial"/>
          <w:szCs w:val="20"/>
        </w:rPr>
        <w:t xml:space="preserve">ukazuje, že </w:t>
      </w:r>
      <w:r w:rsidR="00DF3385" w:rsidRPr="00856834">
        <w:rPr>
          <w:rFonts w:cs="Arial"/>
          <w:szCs w:val="20"/>
        </w:rPr>
        <w:t>pokud by</w:t>
      </w:r>
      <w:r w:rsidR="007555DD" w:rsidRPr="00856834">
        <w:rPr>
          <w:rFonts w:cs="Arial"/>
          <w:szCs w:val="20"/>
        </w:rPr>
        <w:t xml:space="preserve"> v roce 2020 byla stejná úmrtnost jako v roce 2019, </w:t>
      </w:r>
      <w:r w:rsidR="003943A9" w:rsidRPr="00856834">
        <w:rPr>
          <w:rFonts w:cs="Arial"/>
          <w:szCs w:val="20"/>
        </w:rPr>
        <w:t xml:space="preserve">počet zemřelých </w:t>
      </w:r>
      <w:r w:rsidR="00DF3385" w:rsidRPr="00856834">
        <w:rPr>
          <w:rFonts w:cs="Arial"/>
          <w:szCs w:val="20"/>
        </w:rPr>
        <w:t xml:space="preserve">by </w:t>
      </w:r>
      <w:r w:rsidR="003943A9" w:rsidRPr="00856834">
        <w:rPr>
          <w:rFonts w:cs="Arial"/>
          <w:szCs w:val="20"/>
        </w:rPr>
        <w:t>vzrostl pouze o 2 tisíce osob</w:t>
      </w:r>
      <w:r w:rsidR="007555DD" w:rsidRPr="00856834">
        <w:rPr>
          <w:rFonts w:cs="Arial"/>
          <w:szCs w:val="20"/>
        </w:rPr>
        <w:t>.</w:t>
      </w:r>
    </w:p>
    <w:p w14:paraId="74357FCC" w14:textId="77777777" w:rsidR="008E2F02" w:rsidRDefault="007555DD" w:rsidP="00A43A5E">
      <w:pPr>
        <w:spacing w:line="247" w:lineRule="auto"/>
        <w:rPr>
          <w:rFonts w:cs="Arial"/>
          <w:szCs w:val="20"/>
        </w:rPr>
      </w:pPr>
      <w:r w:rsidRPr="009D2AEF">
        <w:rPr>
          <w:rFonts w:cs="Arial"/>
          <w:szCs w:val="20"/>
        </w:rPr>
        <w:t xml:space="preserve"> </w:t>
      </w:r>
    </w:p>
    <w:p w14:paraId="625CF61A" w14:textId="302AC788" w:rsidR="007D70D0" w:rsidRPr="00492DC8" w:rsidRDefault="00B00F3C" w:rsidP="00A43A5E">
      <w:pPr>
        <w:spacing w:line="247" w:lineRule="auto"/>
        <w:rPr>
          <w:rFonts w:cs="Arial"/>
          <w:szCs w:val="20"/>
        </w:rPr>
      </w:pPr>
      <w:r w:rsidRPr="009D2AEF">
        <w:rPr>
          <w:rFonts w:cs="Arial"/>
          <w:i/>
          <w:szCs w:val="20"/>
        </w:rPr>
        <w:t>„</w:t>
      </w:r>
      <w:r w:rsidR="00B178E1" w:rsidRPr="009D2AEF">
        <w:rPr>
          <w:rFonts w:cs="Arial"/>
          <w:i/>
          <w:szCs w:val="20"/>
        </w:rPr>
        <w:t xml:space="preserve">První odhad naděje dožití při narození pro rok 2020 ukazuje na 75,3 roku pro muže a 81,4 pro ženy. Ve srovnání s rokem 2019 jde o pokles o </w:t>
      </w:r>
      <w:r w:rsidR="00856834">
        <w:rPr>
          <w:rFonts w:cs="Arial"/>
          <w:i/>
          <w:szCs w:val="20"/>
        </w:rPr>
        <w:t>1 rok</w:t>
      </w:r>
      <w:r w:rsidR="00B178E1" w:rsidRPr="009D2AEF">
        <w:rPr>
          <w:rFonts w:cs="Arial"/>
          <w:i/>
          <w:szCs w:val="20"/>
        </w:rPr>
        <w:t xml:space="preserve"> u mužů a o 0,7 roku u žen. Nepříznivá epidemická situace v roce 2020 se tak projevila více u mužů. </w:t>
      </w:r>
      <w:r w:rsidR="00B178E1" w:rsidRPr="009D2AEF">
        <w:rPr>
          <w:rStyle w:val="normaltextrun"/>
          <w:rFonts w:cs="Arial"/>
          <w:i/>
          <w:color w:val="000000"/>
          <w:szCs w:val="20"/>
          <w:shd w:val="clear" w:color="auto" w:fill="FFFFFF"/>
        </w:rPr>
        <w:t>Naděje dožití z roku 2020 odpovídá zhruba situaci v roce 2013, jde tedy o návrat o 7 let zpátky</w:t>
      </w:r>
      <w:r w:rsidR="00492DC8" w:rsidRPr="009D2AEF">
        <w:rPr>
          <w:rStyle w:val="eop"/>
          <w:rFonts w:cs="Arial"/>
          <w:i/>
          <w:color w:val="000000"/>
          <w:szCs w:val="20"/>
          <w:shd w:val="clear" w:color="auto" w:fill="FFFFFF"/>
        </w:rPr>
        <w:t>,</w:t>
      </w:r>
      <w:r w:rsidR="00B178E1" w:rsidRPr="009D2AEF">
        <w:rPr>
          <w:rFonts w:cs="Arial"/>
          <w:i/>
          <w:szCs w:val="20"/>
        </w:rPr>
        <w:t>“</w:t>
      </w:r>
      <w:r w:rsidR="00B178E1" w:rsidRPr="00492DC8">
        <w:rPr>
          <w:rFonts w:cs="Arial"/>
          <w:szCs w:val="20"/>
        </w:rPr>
        <w:t xml:space="preserve"> upozorňuje Terezie Štyglerová, vedoucí oddělení demografické statistiky</w:t>
      </w:r>
      <w:r w:rsidR="00492DC8">
        <w:rPr>
          <w:rFonts w:cs="Arial"/>
          <w:szCs w:val="20"/>
        </w:rPr>
        <w:t xml:space="preserve"> ČSÚ</w:t>
      </w:r>
      <w:r w:rsidR="00B178E1" w:rsidRPr="00492DC8">
        <w:rPr>
          <w:rFonts w:cs="Arial"/>
          <w:szCs w:val="20"/>
        </w:rPr>
        <w:t>.</w:t>
      </w:r>
    </w:p>
    <w:p w14:paraId="235A2813" w14:textId="77777777" w:rsidR="007704D0" w:rsidRPr="00492DC8" w:rsidRDefault="007704D0" w:rsidP="00A43A5E">
      <w:pPr>
        <w:spacing w:line="247" w:lineRule="auto"/>
        <w:rPr>
          <w:rFonts w:cs="Arial"/>
          <w:szCs w:val="20"/>
        </w:rPr>
      </w:pPr>
      <w:r w:rsidRPr="00492DC8">
        <w:rPr>
          <w:rFonts w:cs="Arial"/>
          <w:szCs w:val="20"/>
        </w:rPr>
        <w:t xml:space="preserve">  </w:t>
      </w:r>
    </w:p>
    <w:p w14:paraId="54C03891" w14:textId="02135093" w:rsidR="000D3599" w:rsidRPr="00A93DF0" w:rsidRDefault="007555DD" w:rsidP="00A43A5E">
      <w:pPr>
        <w:spacing w:line="247" w:lineRule="auto"/>
        <w:rPr>
          <w:rFonts w:cs="Arial"/>
          <w:szCs w:val="20"/>
        </w:rPr>
      </w:pPr>
      <w:r w:rsidRPr="00856834">
        <w:rPr>
          <w:rFonts w:cs="Arial"/>
          <w:i/>
          <w:szCs w:val="20"/>
        </w:rPr>
        <w:t>„</w:t>
      </w:r>
      <w:r w:rsidR="000D3599" w:rsidRPr="00856834">
        <w:rPr>
          <w:rFonts w:cs="Arial"/>
          <w:i/>
          <w:szCs w:val="20"/>
        </w:rPr>
        <w:t>K</w:t>
      </w:r>
      <w:r w:rsidR="00560183" w:rsidRPr="00856834">
        <w:rPr>
          <w:rFonts w:cs="Arial"/>
          <w:i/>
          <w:szCs w:val="20"/>
        </w:rPr>
        <w:t xml:space="preserve"> nejvíce úmrtím</w:t>
      </w:r>
      <w:r w:rsidR="008E2F02">
        <w:rPr>
          <w:rFonts w:cs="Arial"/>
          <w:i/>
          <w:szCs w:val="20"/>
        </w:rPr>
        <w:t xml:space="preserve"> </w:t>
      </w:r>
      <w:r w:rsidR="00A93DF0" w:rsidRPr="002F2617">
        <w:rPr>
          <w:rFonts w:cs="Arial"/>
          <w:i/>
          <w:szCs w:val="20"/>
        </w:rPr>
        <w:t>došlo v</w:t>
      </w:r>
      <w:r w:rsidR="00856834">
        <w:rPr>
          <w:rFonts w:cs="Arial"/>
          <w:i/>
          <w:szCs w:val="20"/>
        </w:rPr>
        <w:t> </w:t>
      </w:r>
      <w:r w:rsidR="00A93DF0" w:rsidRPr="002F2617">
        <w:rPr>
          <w:rFonts w:cs="Arial"/>
          <w:i/>
          <w:szCs w:val="20"/>
        </w:rPr>
        <w:t>listopadu</w:t>
      </w:r>
      <w:r w:rsidR="00856834">
        <w:rPr>
          <w:rFonts w:cs="Arial"/>
          <w:i/>
          <w:szCs w:val="20"/>
        </w:rPr>
        <w:t xml:space="preserve">, </w:t>
      </w:r>
      <w:r w:rsidR="00B47AA2">
        <w:rPr>
          <w:rFonts w:cs="Arial"/>
          <w:i/>
          <w:szCs w:val="20"/>
        </w:rPr>
        <w:t xml:space="preserve">kdy jich </w:t>
      </w:r>
      <w:r w:rsidR="00856834">
        <w:rPr>
          <w:rFonts w:cs="Arial"/>
          <w:i/>
          <w:szCs w:val="20"/>
        </w:rPr>
        <w:t>bylo 15,7 tisíce</w:t>
      </w:r>
      <w:r w:rsidR="00560183" w:rsidRPr="00856834">
        <w:rPr>
          <w:rFonts w:cs="Arial"/>
          <w:i/>
          <w:szCs w:val="20"/>
        </w:rPr>
        <w:t>. Dalších 14,2 tisíce obyvatel zemřelo v říjnu a 14,0 tisíce v prosinci. Přes 1</w:t>
      </w:r>
      <w:r w:rsidR="00B47AA2">
        <w:rPr>
          <w:rFonts w:cs="Arial"/>
          <w:i/>
          <w:szCs w:val="20"/>
        </w:rPr>
        <w:t>4</w:t>
      </w:r>
      <w:r w:rsidR="00560183" w:rsidRPr="00856834">
        <w:rPr>
          <w:rFonts w:cs="Arial"/>
          <w:i/>
          <w:szCs w:val="20"/>
        </w:rPr>
        <w:t xml:space="preserve"> tisíc zemřelých za měsíc bylo přitom naposledy registrováno v prosinci 1995,</w:t>
      </w:r>
      <w:r w:rsidRPr="00856834">
        <w:rPr>
          <w:rFonts w:cs="Arial"/>
          <w:i/>
          <w:szCs w:val="20"/>
        </w:rPr>
        <w:t>“</w:t>
      </w:r>
      <w:r w:rsidR="00B00F3C" w:rsidRPr="00A93DF0">
        <w:rPr>
          <w:rFonts w:cs="Arial"/>
          <w:szCs w:val="20"/>
        </w:rPr>
        <w:t xml:space="preserve"> uvádí Michaela Němečková</w:t>
      </w:r>
      <w:r w:rsidR="00A93DF0">
        <w:rPr>
          <w:rFonts w:cs="Arial"/>
          <w:szCs w:val="20"/>
        </w:rPr>
        <w:t xml:space="preserve"> </w:t>
      </w:r>
      <w:r w:rsidR="00A93DF0">
        <w:t>z oddělení demografické statistiky ČSÚ</w:t>
      </w:r>
      <w:r w:rsidR="00A93DF0" w:rsidRPr="005B4347">
        <w:t>.</w:t>
      </w:r>
      <w:r w:rsidR="000D3599" w:rsidRPr="005B4347">
        <w:rPr>
          <w:rFonts w:cs="Arial"/>
          <w:szCs w:val="20"/>
        </w:rPr>
        <w:t xml:space="preserve"> </w:t>
      </w:r>
      <w:r w:rsidR="000D3599" w:rsidRPr="00856834">
        <w:rPr>
          <w:rFonts w:cs="Arial"/>
          <w:szCs w:val="20"/>
        </w:rPr>
        <w:t>Počty úmrtí se začaly nad průměr předchozích pěti let pravidelně zvedat v první polovině září. Týdenní počty zemřelých vrcholily na přelomu října a listopadu, kdy ve 44. a 45. týdnu přesahovaly 4,2 tisíce osob, tedy dvojnásobek obvyklého počtu úmrtí v této části roku</w:t>
      </w:r>
      <w:r w:rsidR="007D5762" w:rsidRPr="005B4347">
        <w:rPr>
          <w:rFonts w:cs="Arial"/>
          <w:szCs w:val="20"/>
        </w:rPr>
        <w:t>.</w:t>
      </w:r>
      <w:r w:rsidR="000D3599" w:rsidRPr="00492DC8">
        <w:rPr>
          <w:rFonts w:cs="Arial"/>
          <w:szCs w:val="20"/>
        </w:rPr>
        <w:t xml:space="preserve"> Následující týdny </w:t>
      </w:r>
      <w:r w:rsidR="002E428A">
        <w:rPr>
          <w:rFonts w:cs="Arial"/>
          <w:szCs w:val="20"/>
        </w:rPr>
        <w:t xml:space="preserve">počty </w:t>
      </w:r>
      <w:r w:rsidR="007D70D0" w:rsidRPr="00492DC8">
        <w:rPr>
          <w:rFonts w:cs="Arial"/>
          <w:szCs w:val="20"/>
        </w:rPr>
        <w:t>mírně klesaly, avšak zůstávaly</w:t>
      </w:r>
      <w:r w:rsidR="003F32BE" w:rsidRPr="00A93DF0">
        <w:rPr>
          <w:rFonts w:cs="Arial"/>
          <w:szCs w:val="20"/>
        </w:rPr>
        <w:t xml:space="preserve"> </w:t>
      </w:r>
      <w:r w:rsidR="008A6456" w:rsidRPr="00A93DF0">
        <w:rPr>
          <w:rFonts w:cs="Arial"/>
          <w:szCs w:val="20"/>
        </w:rPr>
        <w:t>nadprůměrné</w:t>
      </w:r>
      <w:r w:rsidR="00A93DF0">
        <w:rPr>
          <w:rFonts w:cs="Arial"/>
          <w:szCs w:val="20"/>
        </w:rPr>
        <w:t>.</w:t>
      </w:r>
      <w:r w:rsidR="007D70D0" w:rsidRPr="00A93DF0">
        <w:rPr>
          <w:rFonts w:cs="Arial"/>
          <w:szCs w:val="20"/>
        </w:rPr>
        <w:t xml:space="preserve"> </w:t>
      </w:r>
      <w:r w:rsidR="00A93DF0">
        <w:rPr>
          <w:rFonts w:cs="Arial"/>
          <w:szCs w:val="20"/>
        </w:rPr>
        <w:t>J</w:t>
      </w:r>
      <w:r w:rsidR="007D70D0" w:rsidRPr="00A93DF0">
        <w:rPr>
          <w:rFonts w:cs="Arial"/>
          <w:szCs w:val="20"/>
        </w:rPr>
        <w:t>eště</w:t>
      </w:r>
      <w:r w:rsidR="008A6456" w:rsidRPr="00A93DF0">
        <w:rPr>
          <w:rFonts w:cs="Arial"/>
          <w:szCs w:val="20"/>
        </w:rPr>
        <w:t xml:space="preserve"> </w:t>
      </w:r>
      <w:r w:rsidR="000D3599" w:rsidRPr="00A93DF0">
        <w:rPr>
          <w:rFonts w:cs="Arial"/>
          <w:szCs w:val="20"/>
        </w:rPr>
        <w:t xml:space="preserve">v 50. týdnu </w:t>
      </w:r>
      <w:r w:rsidR="003F32BE" w:rsidRPr="00A93DF0">
        <w:rPr>
          <w:rFonts w:cs="Arial"/>
          <w:szCs w:val="20"/>
        </w:rPr>
        <w:t xml:space="preserve">byly </w:t>
      </w:r>
      <w:r w:rsidR="002E428A">
        <w:rPr>
          <w:rFonts w:cs="Arial"/>
          <w:szCs w:val="20"/>
        </w:rPr>
        <w:br/>
      </w:r>
      <w:r w:rsidR="000D3599" w:rsidRPr="00A93DF0">
        <w:rPr>
          <w:rFonts w:cs="Arial"/>
          <w:szCs w:val="20"/>
        </w:rPr>
        <w:t>o 40 % vyšší</w:t>
      </w:r>
      <w:r w:rsidR="00A93DF0">
        <w:rPr>
          <w:rFonts w:cs="Arial"/>
          <w:szCs w:val="20"/>
        </w:rPr>
        <w:t xml:space="preserve">, </w:t>
      </w:r>
      <w:r w:rsidR="008A6456" w:rsidRPr="00A93DF0">
        <w:rPr>
          <w:rFonts w:cs="Arial"/>
          <w:szCs w:val="20"/>
        </w:rPr>
        <w:t xml:space="preserve">než </w:t>
      </w:r>
      <w:r w:rsidR="009813A3" w:rsidRPr="00A93DF0">
        <w:rPr>
          <w:rFonts w:cs="Arial"/>
          <w:szCs w:val="20"/>
        </w:rPr>
        <w:t xml:space="preserve">je v tomto týdnu </w:t>
      </w:r>
      <w:r w:rsidR="008A6456" w:rsidRPr="00A93DF0">
        <w:rPr>
          <w:rFonts w:cs="Arial"/>
          <w:szCs w:val="20"/>
        </w:rPr>
        <w:t>běžn</w:t>
      </w:r>
      <w:r w:rsidR="009813A3" w:rsidRPr="00A93DF0">
        <w:rPr>
          <w:rFonts w:cs="Arial"/>
          <w:szCs w:val="20"/>
        </w:rPr>
        <w:t>é</w:t>
      </w:r>
      <w:r w:rsidR="00B47AA2">
        <w:rPr>
          <w:rFonts w:cs="Arial"/>
          <w:szCs w:val="20"/>
        </w:rPr>
        <w:t>,</w:t>
      </w:r>
      <w:r w:rsidR="00856834">
        <w:rPr>
          <w:rFonts w:cs="Arial"/>
          <w:szCs w:val="20"/>
        </w:rPr>
        <w:t xml:space="preserve"> a</w:t>
      </w:r>
      <w:r w:rsidR="008A6456" w:rsidRPr="00A93DF0">
        <w:rPr>
          <w:rFonts w:cs="Arial"/>
          <w:szCs w:val="20"/>
        </w:rPr>
        <w:t xml:space="preserve"> </w:t>
      </w:r>
      <w:r w:rsidR="00B47AA2">
        <w:rPr>
          <w:rFonts w:cs="Arial"/>
          <w:szCs w:val="20"/>
        </w:rPr>
        <w:t>po zbytek roku se dále již nesnižovaly</w:t>
      </w:r>
      <w:r w:rsidR="00856834">
        <w:t xml:space="preserve">. </w:t>
      </w:r>
      <w:r w:rsidR="000D3599" w:rsidRPr="00492DC8">
        <w:rPr>
          <w:rFonts w:cs="Arial"/>
          <w:szCs w:val="20"/>
        </w:rPr>
        <w:t xml:space="preserve">Rekordní hodnoty zaznamenaly v roce 2020 také statistiky denních počtů úmrtí. </w:t>
      </w:r>
      <w:r w:rsidR="000D3599" w:rsidRPr="00856834">
        <w:rPr>
          <w:rFonts w:cs="Arial"/>
          <w:szCs w:val="20"/>
        </w:rPr>
        <w:t>Zatímco v předcházejícím pětiletém období 2015–2019 překročil denní počet zemřelých hodnotu 450 pouze jedenkrát</w:t>
      </w:r>
      <w:r w:rsidR="00A93DF0">
        <w:rPr>
          <w:rFonts w:cs="Arial"/>
          <w:szCs w:val="20"/>
        </w:rPr>
        <w:t>,</w:t>
      </w:r>
      <w:r w:rsidR="009813A3" w:rsidRPr="00856834">
        <w:rPr>
          <w:rFonts w:cs="Arial"/>
          <w:szCs w:val="20"/>
        </w:rPr>
        <w:t xml:space="preserve"> </w:t>
      </w:r>
      <w:r w:rsidR="008E2F02">
        <w:rPr>
          <w:rFonts w:cs="Arial"/>
          <w:szCs w:val="20"/>
        </w:rPr>
        <w:br/>
      </w:r>
      <w:r w:rsidR="000D3599" w:rsidRPr="00856834">
        <w:rPr>
          <w:rFonts w:cs="Arial"/>
          <w:szCs w:val="20"/>
        </w:rPr>
        <w:t>v roce 2020 byl denní počet úmrtí takto vysoký n</w:t>
      </w:r>
      <w:r w:rsidR="00047BC7" w:rsidRPr="00856834">
        <w:rPr>
          <w:rFonts w:cs="Arial"/>
          <w:szCs w:val="20"/>
        </w:rPr>
        <w:t>epřetržitě od 18. října do 19. l</w:t>
      </w:r>
      <w:r w:rsidR="005E696B" w:rsidRPr="00856834">
        <w:rPr>
          <w:rFonts w:cs="Arial"/>
          <w:szCs w:val="20"/>
        </w:rPr>
        <w:t>istopadu. Denního maxima 65</w:t>
      </w:r>
      <w:r w:rsidR="00472FC5" w:rsidRPr="00856834">
        <w:rPr>
          <w:rFonts w:cs="Arial"/>
          <w:szCs w:val="20"/>
        </w:rPr>
        <w:t>6</w:t>
      </w:r>
      <w:r w:rsidR="005E696B" w:rsidRPr="00856834">
        <w:rPr>
          <w:rFonts w:cs="Arial"/>
          <w:szCs w:val="20"/>
        </w:rPr>
        <w:t xml:space="preserve"> osob</w:t>
      </w:r>
      <w:r w:rsidR="000D3599" w:rsidRPr="00856834">
        <w:rPr>
          <w:rFonts w:cs="Arial"/>
          <w:szCs w:val="20"/>
        </w:rPr>
        <w:t xml:space="preserve"> bylo </w:t>
      </w:r>
      <w:r w:rsidR="005E696B" w:rsidRPr="00856834">
        <w:rPr>
          <w:rFonts w:cs="Arial"/>
          <w:szCs w:val="20"/>
        </w:rPr>
        <w:t>dosaženo počátkem listopadu</w:t>
      </w:r>
      <w:r w:rsidR="00472FC5" w:rsidRPr="00856834">
        <w:rPr>
          <w:rFonts w:cs="Arial"/>
          <w:szCs w:val="20"/>
        </w:rPr>
        <w:t xml:space="preserve"> (2.11.)</w:t>
      </w:r>
      <w:r w:rsidR="003F32BE" w:rsidRPr="00856834">
        <w:rPr>
          <w:rFonts w:cs="Arial"/>
          <w:szCs w:val="20"/>
        </w:rPr>
        <w:t>.</w:t>
      </w:r>
      <w:r w:rsidR="005E696B" w:rsidRPr="005B4347">
        <w:rPr>
          <w:rFonts w:cs="Arial"/>
          <w:szCs w:val="20"/>
        </w:rPr>
        <w:t xml:space="preserve"> Denní počet úmrtí </w:t>
      </w:r>
      <w:r w:rsidR="000D3599" w:rsidRPr="005B4347">
        <w:rPr>
          <w:rFonts w:cs="Arial"/>
          <w:szCs w:val="20"/>
        </w:rPr>
        <w:t>oscilující kolem hladiny 450 zemřelých</w:t>
      </w:r>
      <w:r w:rsidR="000D3599" w:rsidRPr="00A93DF0">
        <w:rPr>
          <w:rFonts w:cs="Arial"/>
          <w:szCs w:val="20"/>
        </w:rPr>
        <w:t xml:space="preserve"> byl </w:t>
      </w:r>
      <w:r w:rsidR="005E696B" w:rsidRPr="00A93DF0">
        <w:rPr>
          <w:rFonts w:cs="Arial"/>
          <w:szCs w:val="20"/>
        </w:rPr>
        <w:t>přitom evidován až do konce</w:t>
      </w:r>
      <w:r w:rsidR="000D3599" w:rsidRPr="00A93DF0">
        <w:rPr>
          <w:rFonts w:cs="Arial"/>
          <w:szCs w:val="20"/>
        </w:rPr>
        <w:t xml:space="preserve"> roku.</w:t>
      </w:r>
    </w:p>
    <w:p w14:paraId="54B27A8A" w14:textId="77777777" w:rsidR="00A93DF0" w:rsidRPr="005B4347" w:rsidRDefault="00A93DF0" w:rsidP="00A43A5E">
      <w:pPr>
        <w:spacing w:line="247" w:lineRule="auto"/>
        <w:rPr>
          <w:rFonts w:cs="Arial"/>
          <w:szCs w:val="20"/>
        </w:rPr>
      </w:pPr>
    </w:p>
    <w:p w14:paraId="6109AB0C" w14:textId="4F5D026F" w:rsidR="00A93DF0" w:rsidRDefault="00472FC5" w:rsidP="00A43A5E">
      <w:pPr>
        <w:spacing w:line="247" w:lineRule="auto"/>
        <w:rPr>
          <w:b/>
        </w:rPr>
      </w:pPr>
      <w:r w:rsidRPr="005B4347">
        <w:rPr>
          <w:rFonts w:cs="Arial"/>
          <w:szCs w:val="20"/>
        </w:rPr>
        <w:t>Absolutní počet zemřelých meziročně vzrostl ve všech krajích</w:t>
      </w:r>
      <w:r w:rsidR="00A93DF0">
        <w:rPr>
          <w:rFonts w:cs="Arial"/>
          <w:szCs w:val="20"/>
        </w:rPr>
        <w:t>.</w:t>
      </w:r>
      <w:r w:rsidRPr="005B4347">
        <w:rPr>
          <w:rFonts w:cs="Arial"/>
          <w:szCs w:val="20"/>
        </w:rPr>
        <w:t xml:space="preserve"> </w:t>
      </w:r>
      <w:r w:rsidR="00A93DF0">
        <w:rPr>
          <w:rFonts w:cs="Arial"/>
          <w:szCs w:val="20"/>
        </w:rPr>
        <w:t>N</w:t>
      </w:r>
      <w:r w:rsidRPr="005B4347">
        <w:rPr>
          <w:rFonts w:cs="Arial"/>
          <w:szCs w:val="20"/>
        </w:rPr>
        <w:t>ejvíce ve Zlínském kraji, kde počet zemřelých v roce 2020 převýšil počet z roku 2019 o téměř jednu čtvrtinu</w:t>
      </w:r>
      <w:r w:rsidR="00B47AA2">
        <w:rPr>
          <w:rFonts w:cs="Arial"/>
          <w:szCs w:val="20"/>
        </w:rPr>
        <w:t xml:space="preserve"> (24 %)</w:t>
      </w:r>
      <w:r w:rsidRPr="00492DC8">
        <w:rPr>
          <w:rFonts w:cs="Arial"/>
          <w:szCs w:val="20"/>
        </w:rPr>
        <w:t>. Dalšími kraji s nejvíce nadprůměrným nárůstem byly kraj Karlovarský a Olomoucký (18 a 17%</w:t>
      </w:r>
      <w:r w:rsidR="003F32BE" w:rsidRPr="00492DC8">
        <w:rPr>
          <w:rFonts w:cs="Arial"/>
          <w:szCs w:val="20"/>
        </w:rPr>
        <w:t xml:space="preserve"> nárůst</w:t>
      </w:r>
      <w:r w:rsidRPr="00492DC8">
        <w:rPr>
          <w:rFonts w:cs="Arial"/>
          <w:szCs w:val="20"/>
        </w:rPr>
        <w:t xml:space="preserve">). </w:t>
      </w:r>
      <w:r w:rsidRPr="00A93DF0">
        <w:rPr>
          <w:rFonts w:cs="Arial"/>
          <w:szCs w:val="20"/>
        </w:rPr>
        <w:t xml:space="preserve">Naopak </w:t>
      </w:r>
      <w:r w:rsidR="003F32BE" w:rsidRPr="00A93DF0">
        <w:rPr>
          <w:rFonts w:cs="Arial"/>
          <w:szCs w:val="20"/>
        </w:rPr>
        <w:t>Plzeňský kraj a Hlavní město Praha byly s</w:t>
      </w:r>
      <w:r w:rsidR="00B47AA2">
        <w:rPr>
          <w:rFonts w:cs="Arial"/>
          <w:szCs w:val="20"/>
        </w:rPr>
        <w:t> </w:t>
      </w:r>
      <w:r w:rsidR="003F32BE" w:rsidRPr="00A93DF0">
        <w:rPr>
          <w:rFonts w:cs="Arial"/>
          <w:szCs w:val="20"/>
        </w:rPr>
        <w:t>11</w:t>
      </w:r>
      <w:r w:rsidR="00B47AA2">
        <w:rPr>
          <w:rFonts w:cs="Arial"/>
          <w:szCs w:val="20"/>
        </w:rPr>
        <w:t xml:space="preserve"> a 12 </w:t>
      </w:r>
      <w:r w:rsidR="003F32BE" w:rsidRPr="00A93DF0">
        <w:rPr>
          <w:rFonts w:cs="Arial"/>
          <w:szCs w:val="20"/>
        </w:rPr>
        <w:t xml:space="preserve">% nárůstem </w:t>
      </w:r>
      <w:r w:rsidRPr="00A93DF0">
        <w:rPr>
          <w:rFonts w:cs="Arial"/>
          <w:szCs w:val="20"/>
        </w:rPr>
        <w:t>k</w:t>
      </w:r>
      <w:r w:rsidRPr="005B4347">
        <w:rPr>
          <w:rFonts w:cs="Arial"/>
          <w:szCs w:val="20"/>
        </w:rPr>
        <w:t>raji s nejmenším meziročním zvýšením počtu zemřelých</w:t>
      </w:r>
      <w:r w:rsidR="00A93DF0">
        <w:rPr>
          <w:rFonts w:cs="Arial"/>
          <w:szCs w:val="20"/>
        </w:rPr>
        <w:t>.</w:t>
      </w:r>
    </w:p>
    <w:p w14:paraId="2BD750DC" w14:textId="77777777" w:rsidR="00D67374" w:rsidRDefault="00D67374" w:rsidP="00FE7928">
      <w:pPr>
        <w:rPr>
          <w:b/>
        </w:rPr>
      </w:pPr>
    </w:p>
    <w:p w14:paraId="0651478B" w14:textId="3840DFD2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73263C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6E30BB6" w14:textId="47D1A3BC" w:rsidR="002E428A" w:rsidRDefault="00FE7928" w:rsidP="00902A5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2C1066" w:rsidRPr="00955DE6">
          <w:rPr>
            <w:rStyle w:val="Hypertextovodkaz"/>
            <w:rFonts w:cs="Arial"/>
          </w:rPr>
          <w:t>jan.cieslar@czso.cz</w:t>
        </w:r>
      </w:hyperlink>
      <w:r w:rsidR="002C1066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14:paraId="0CB5816C" w14:textId="5A3FA67E" w:rsidR="009A380B" w:rsidRPr="00902A52" w:rsidRDefault="009A380B" w:rsidP="00902A52">
      <w:pPr>
        <w:spacing w:line="240" w:lineRule="auto"/>
        <w:rPr>
          <w:rFonts w:cs="Arial"/>
        </w:rPr>
      </w:pPr>
      <w:r>
        <w:rPr>
          <w:b/>
        </w:rPr>
        <w:lastRenderedPageBreak/>
        <w:t>Metodická část:</w:t>
      </w:r>
    </w:p>
    <w:p w14:paraId="2A32CD0D" w14:textId="77777777" w:rsidR="009A380B" w:rsidRDefault="009A380B" w:rsidP="00125C4F">
      <w:pPr>
        <w:rPr>
          <w:b/>
        </w:rPr>
      </w:pPr>
    </w:p>
    <w:p w14:paraId="5339EF22" w14:textId="59FD21C3" w:rsidR="00BC6EFA" w:rsidRDefault="006F5DE4" w:rsidP="00EF72C2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BC6EFA">
        <w:rPr>
          <w:rFonts w:cs="Arial"/>
          <w:szCs w:val="18"/>
        </w:rPr>
        <w:t> </w:t>
      </w:r>
      <w:r>
        <w:rPr>
          <w:rFonts w:cs="Arial"/>
          <w:szCs w:val="18"/>
        </w:rPr>
        <w:t>týdenní</w:t>
      </w:r>
      <w:r w:rsidR="00BC6EFA">
        <w:rPr>
          <w:rFonts w:cs="Arial"/>
          <w:szCs w:val="18"/>
        </w:rPr>
        <w:t xml:space="preserve">ch </w:t>
      </w:r>
      <w:r>
        <w:rPr>
          <w:rFonts w:cs="Arial"/>
          <w:szCs w:val="18"/>
        </w:rPr>
        <w:t xml:space="preserve">počtech zemřelých, pravidelně zveřejňovaných na </w:t>
      </w:r>
      <w:hyperlink r:id="rId8" w:history="1">
        <w:r w:rsidRPr="008E2F02">
          <w:rPr>
            <w:rStyle w:val="Hypertextovodkaz"/>
            <w:rFonts w:cs="Arial"/>
            <w:szCs w:val="18"/>
          </w:rPr>
          <w:t>webových stránkách ČSÚ</w:t>
        </w:r>
      </w:hyperlink>
      <w:r>
        <w:rPr>
          <w:rFonts w:cs="Arial"/>
          <w:szCs w:val="18"/>
        </w:rPr>
        <w:t xml:space="preserve">, jsou v Grafech </w:t>
      </w:r>
      <w:r w:rsidR="008E2F02">
        <w:rPr>
          <w:rFonts w:cs="Arial"/>
          <w:szCs w:val="18"/>
        </w:rPr>
        <w:t xml:space="preserve">1 a 2 uvedeny počty zemřelých v </w:t>
      </w:r>
      <w:r>
        <w:rPr>
          <w:rFonts w:cs="Arial"/>
          <w:szCs w:val="18"/>
        </w:rPr>
        <w:t>1.</w:t>
      </w:r>
      <w:r w:rsidR="00BB2EE8">
        <w:rPr>
          <w:rFonts w:cs="Arial"/>
          <w:szCs w:val="18"/>
        </w:rPr>
        <w:t>–</w:t>
      </w:r>
      <w:r w:rsidR="008E2F02">
        <w:rPr>
          <w:rFonts w:cs="Arial"/>
          <w:szCs w:val="18"/>
        </w:rPr>
        <w:t xml:space="preserve">52. týdnu roku 2020, </w:t>
      </w:r>
      <w:r>
        <w:rPr>
          <w:rFonts w:cs="Arial"/>
          <w:szCs w:val="18"/>
        </w:rPr>
        <w:t>tj. od 30.</w:t>
      </w:r>
      <w:r w:rsidR="00BB2EE8">
        <w:rPr>
          <w:rFonts w:cs="Arial"/>
          <w:szCs w:val="18"/>
        </w:rPr>
        <w:t> </w:t>
      </w:r>
      <w:r>
        <w:rPr>
          <w:rFonts w:cs="Arial"/>
          <w:szCs w:val="18"/>
        </w:rPr>
        <w:t>12.</w:t>
      </w:r>
      <w:r w:rsidR="00BB2EE8">
        <w:rPr>
          <w:rFonts w:cs="Arial"/>
          <w:szCs w:val="18"/>
        </w:rPr>
        <w:t> </w:t>
      </w:r>
      <w:r>
        <w:rPr>
          <w:rFonts w:cs="Arial"/>
          <w:szCs w:val="18"/>
        </w:rPr>
        <w:t>2019 do 27.</w:t>
      </w:r>
      <w:r w:rsidR="00BC6EF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12.</w:t>
      </w:r>
      <w:r w:rsidR="00BC6EF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2020, kdežto soubor s Grafem 3 se vztahuje k datům </w:t>
      </w:r>
      <w:r w:rsidR="00BB2EE8">
        <w:rPr>
          <w:rFonts w:cs="Arial"/>
          <w:szCs w:val="18"/>
        </w:rPr>
        <w:t>kalendářního</w:t>
      </w:r>
      <w:r>
        <w:rPr>
          <w:rFonts w:cs="Arial"/>
          <w:szCs w:val="18"/>
        </w:rPr>
        <w:t xml:space="preserve"> roku 2020, tj. od 1.</w:t>
      </w:r>
      <w:r w:rsidR="00BB2EE8">
        <w:rPr>
          <w:rFonts w:cs="Arial"/>
          <w:szCs w:val="18"/>
        </w:rPr>
        <w:t> </w:t>
      </w:r>
      <w:r>
        <w:rPr>
          <w:rFonts w:cs="Arial"/>
          <w:szCs w:val="18"/>
        </w:rPr>
        <w:t>1. do 31.</w:t>
      </w:r>
      <w:r w:rsidR="00BB2EE8">
        <w:rPr>
          <w:rFonts w:cs="Arial"/>
          <w:szCs w:val="18"/>
        </w:rPr>
        <w:t> </w:t>
      </w:r>
      <w:r>
        <w:rPr>
          <w:rFonts w:cs="Arial"/>
          <w:szCs w:val="18"/>
        </w:rPr>
        <w:t>12.</w:t>
      </w:r>
      <w:r w:rsidR="00BB2EE8">
        <w:rPr>
          <w:rFonts w:cs="Arial"/>
          <w:szCs w:val="18"/>
        </w:rPr>
        <w:t> 2020.</w:t>
      </w:r>
    </w:p>
    <w:p w14:paraId="79F123C4" w14:textId="1B03844E" w:rsidR="006F5DE4" w:rsidRDefault="006F5DE4" w:rsidP="00EF72C2">
      <w:pPr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14:paraId="32F61150" w14:textId="4232C645" w:rsidR="00EF72C2" w:rsidRDefault="00BB2EE8" w:rsidP="00EF72C2">
      <w:pPr>
        <w:rPr>
          <w:rFonts w:cs="Arial"/>
          <w:szCs w:val="18"/>
        </w:rPr>
      </w:pPr>
      <w:r>
        <w:t xml:space="preserve">Údaj o celkovém počtu zemřelých v roce 2020 bude v příštích týdnech ještě mírně růst </w:t>
      </w:r>
      <w:r w:rsidR="008E2F02">
        <w:br/>
      </w:r>
      <w:r>
        <w:t xml:space="preserve">v důsledku dodatečných hlášení (zejména těch o úmrtí v zahraničí). Data tak </w:t>
      </w:r>
      <w:r w:rsidRPr="007704D0">
        <w:rPr>
          <w:rFonts w:cs="Arial"/>
          <w:szCs w:val="18"/>
        </w:rPr>
        <w:t xml:space="preserve">budou nadále </w:t>
      </w:r>
      <w:r w:rsidR="008E2F02">
        <w:rPr>
          <w:rFonts w:cs="Arial"/>
          <w:szCs w:val="18"/>
        </w:rPr>
        <w:br/>
      </w:r>
      <w:r w:rsidRPr="007704D0">
        <w:rPr>
          <w:rFonts w:cs="Arial"/>
          <w:szCs w:val="18"/>
        </w:rPr>
        <w:t>v týdenní periodicitě aktualiz</w:t>
      </w:r>
      <w:r>
        <w:rPr>
          <w:rFonts w:cs="Arial"/>
          <w:szCs w:val="18"/>
        </w:rPr>
        <w:t>ována na webových stránkách ČSÚ.</w:t>
      </w:r>
      <w:r w:rsidR="008E2F02">
        <w:rPr>
          <w:rFonts w:cs="Arial"/>
          <w:szCs w:val="18"/>
        </w:rPr>
        <w:t xml:space="preserve"> </w:t>
      </w:r>
      <w:r w:rsidR="00EF72C2" w:rsidRPr="007704D0">
        <w:rPr>
          <w:rFonts w:cs="Arial"/>
          <w:szCs w:val="18"/>
        </w:rPr>
        <w:t>Konečný celkový počet zemřelých za rok 2020 vycházející ze statistiky ČSÚ by měl být zveřejněn 22.</w:t>
      </w:r>
      <w:r w:rsidR="00EF72C2">
        <w:rPr>
          <w:rFonts w:cs="Arial"/>
          <w:szCs w:val="18"/>
        </w:rPr>
        <w:t xml:space="preserve"> </w:t>
      </w:r>
      <w:r w:rsidR="00EF72C2" w:rsidRPr="007704D0">
        <w:rPr>
          <w:rFonts w:cs="Arial"/>
          <w:szCs w:val="18"/>
        </w:rPr>
        <w:t>3.</w:t>
      </w:r>
      <w:r w:rsidR="00EF72C2">
        <w:rPr>
          <w:rFonts w:cs="Arial"/>
          <w:szCs w:val="18"/>
        </w:rPr>
        <w:t xml:space="preserve"> 2021</w:t>
      </w:r>
      <w:r w:rsidR="00EF72C2" w:rsidRPr="007704D0">
        <w:rPr>
          <w:rFonts w:cs="Arial"/>
          <w:szCs w:val="18"/>
        </w:rPr>
        <w:t xml:space="preserve"> spolu </w:t>
      </w:r>
      <w:r w:rsidR="008E2F02">
        <w:rPr>
          <w:rFonts w:cs="Arial"/>
          <w:szCs w:val="18"/>
        </w:rPr>
        <w:br/>
      </w:r>
      <w:r w:rsidR="00EF72C2" w:rsidRPr="007704D0">
        <w:rPr>
          <w:rFonts w:cs="Arial"/>
          <w:szCs w:val="18"/>
        </w:rPr>
        <w:t xml:space="preserve">s předběžnými výsledky celé demografické statistiky. </w:t>
      </w:r>
    </w:p>
    <w:p w14:paraId="1FD70D65" w14:textId="77777777" w:rsidR="008E2F02" w:rsidRDefault="008E2F02" w:rsidP="00125C4F"/>
    <w:p w14:paraId="2502EE53" w14:textId="5AF55910" w:rsidR="009A380B" w:rsidRPr="009A380B" w:rsidRDefault="009A380B" w:rsidP="00125C4F">
      <w:r w:rsidRPr="009A380B">
        <w:t>Data o s</w:t>
      </w:r>
      <w:r w:rsidR="00BB2EE8">
        <w:t xml:space="preserve">truktuře zemřelých v roce 2020 </w:t>
      </w:r>
      <w:r w:rsidRPr="009A380B">
        <w:t>podle příčin smrti nejsou zatím dostupná. Statistika příčin smrti vzniká propojováním dat ze statistického hlášení o úmrtí (Obyv 3-12), které ČSÚ obdrží od matričních úřadů za každé úmrtí (ve lhůtách stanovených vyhláškou o Programu statistických zjišťování), s údaji z Listu o prohlídce zemřelého (LPZ), které ohledávající/pitvající lékaři posílají Ústav</w:t>
      </w:r>
      <w:r>
        <w:t>u zdravotnických info</w:t>
      </w:r>
      <w:r w:rsidR="006F5DE4">
        <w:t>r</w:t>
      </w:r>
      <w:r>
        <w:t xml:space="preserve">mací </w:t>
      </w:r>
      <w:r w:rsidRPr="009A380B">
        <w:t xml:space="preserve">a statistiky ČR </w:t>
      </w:r>
      <w:r>
        <w:t xml:space="preserve">(ÚZIS), a to </w:t>
      </w:r>
      <w:r w:rsidRPr="009A380B">
        <w:t>ve formě a lhůtách stanovených vyhláškou č. 297/20</w:t>
      </w:r>
      <w:r>
        <w:t>12 Sb. o LPZ, v aktuálním znění</w:t>
      </w:r>
      <w:r w:rsidRPr="009A380B">
        <w:t xml:space="preserve">. </w:t>
      </w:r>
    </w:p>
    <w:p w14:paraId="7C7DABD5" w14:textId="77777777" w:rsidR="009A380B" w:rsidRDefault="009A380B" w:rsidP="00125C4F">
      <w:pPr>
        <w:rPr>
          <w:b/>
        </w:rPr>
      </w:pPr>
    </w:p>
    <w:p w14:paraId="7C3607BB" w14:textId="77777777" w:rsidR="00FE7928" w:rsidRDefault="00B4271A" w:rsidP="00125C4F">
      <w:pPr>
        <w:rPr>
          <w:b/>
        </w:rPr>
      </w:pPr>
      <w:r>
        <w:rPr>
          <w:b/>
        </w:rPr>
        <w:t>Grafická</w:t>
      </w:r>
      <w:r w:rsidR="00FE7928" w:rsidRPr="00FE7928">
        <w:rPr>
          <w:b/>
        </w:rPr>
        <w:t xml:space="preserve"> část:</w:t>
      </w:r>
    </w:p>
    <w:p w14:paraId="3FD38CCA" w14:textId="77777777" w:rsidR="00FE7928" w:rsidRPr="00FE7928" w:rsidRDefault="00FE7928" w:rsidP="00125C4F">
      <w:pPr>
        <w:rPr>
          <w:b/>
        </w:rPr>
      </w:pPr>
    </w:p>
    <w:p w14:paraId="31CD04F7" w14:textId="070AED08" w:rsidR="00FE7928" w:rsidRDefault="00A95E79" w:rsidP="004A061A">
      <w:pPr>
        <w:spacing w:line="240" w:lineRule="auto"/>
        <w:rPr>
          <w:rFonts w:cs="Arial"/>
        </w:rPr>
      </w:pPr>
      <w:r w:rsidRPr="00A95E79">
        <w:rPr>
          <w:rFonts w:cs="Arial"/>
          <w:noProof/>
          <w:lang w:eastAsia="cs-CZ"/>
        </w:rPr>
        <w:drawing>
          <wp:inline distT="0" distB="0" distL="0" distR="0" wp14:anchorId="22949142" wp14:editId="1D2302D7">
            <wp:extent cx="5472430" cy="3521118"/>
            <wp:effectExtent l="0" t="0" r="0" b="3175"/>
            <wp:docPr id="13" name="Obrázek 13" descr="C:\Users\cieslar35132\AppData\Local\Temp\Graf_zemreli_2020T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eslar35132\AppData\Local\Temp\Graf_zemreli_2020T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352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3A92" w14:textId="77777777" w:rsidR="00FE7928" w:rsidRDefault="00FE7928" w:rsidP="00FE7928">
      <w:pPr>
        <w:spacing w:line="240" w:lineRule="auto"/>
        <w:rPr>
          <w:rFonts w:cs="Arial"/>
        </w:rPr>
      </w:pPr>
    </w:p>
    <w:p w14:paraId="5187A76A" w14:textId="728AED48" w:rsidR="006F5DE4" w:rsidRDefault="00B70509" w:rsidP="00FE7928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lastRenderedPageBreak/>
        <w:drawing>
          <wp:inline distT="0" distB="0" distL="0" distR="0" wp14:anchorId="525E92CA" wp14:editId="2CEA0B80">
            <wp:extent cx="5273536" cy="3420000"/>
            <wp:effectExtent l="0" t="0" r="381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36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E6612" w14:textId="0184011D" w:rsidR="001C2179" w:rsidRDefault="001C2179" w:rsidP="00FE7928">
      <w:pPr>
        <w:spacing w:line="240" w:lineRule="auto"/>
        <w:rPr>
          <w:rFonts w:cs="Arial"/>
        </w:rPr>
      </w:pPr>
    </w:p>
    <w:p w14:paraId="7B0EB533" w14:textId="311C4AEF" w:rsidR="00B70509" w:rsidRDefault="00B70509" w:rsidP="00FE7928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3A6AAF2A" wp14:editId="055300AC">
            <wp:extent cx="5263004" cy="3420000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04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371C4" w14:textId="77777777" w:rsidR="00B70509" w:rsidRDefault="00B70509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488BAA97" w14:textId="5CF99E58" w:rsidR="001C2179" w:rsidRPr="00FE7928" w:rsidRDefault="00B70509" w:rsidP="00FE7928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lastRenderedPageBreak/>
        <w:drawing>
          <wp:inline distT="0" distB="0" distL="0" distR="0" wp14:anchorId="5AC63673" wp14:editId="17C8C280">
            <wp:extent cx="5263200" cy="3102096"/>
            <wp:effectExtent l="0" t="0" r="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00" cy="310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2179" w:rsidRPr="00FE7928" w:rsidSect="00D67374">
      <w:headerReference w:type="default" r:id="rId13"/>
      <w:footerReference w:type="default" r:id="rId14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4B267" w14:textId="77777777" w:rsidR="00E25AE6" w:rsidRDefault="00E25AE6" w:rsidP="00BA6370">
      <w:r>
        <w:separator/>
      </w:r>
    </w:p>
  </w:endnote>
  <w:endnote w:type="continuationSeparator" w:id="0">
    <w:p w14:paraId="39C1685D" w14:textId="77777777" w:rsidR="00E25AE6" w:rsidRDefault="00E25A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86BC77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705D1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7566FDF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C106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E6705D1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7566FDF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C1066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8BB2" w14:textId="77777777" w:rsidR="00E25AE6" w:rsidRDefault="00E25AE6" w:rsidP="00BA6370">
      <w:r>
        <w:separator/>
      </w:r>
    </w:p>
  </w:footnote>
  <w:footnote w:type="continuationSeparator" w:id="0">
    <w:p w14:paraId="2E26114A" w14:textId="77777777" w:rsidR="00E25AE6" w:rsidRDefault="00E25A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71DCC1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64D0"/>
    <w:rsid w:val="00043BF4"/>
    <w:rsid w:val="00047BC7"/>
    <w:rsid w:val="0007136C"/>
    <w:rsid w:val="000842D2"/>
    <w:rsid w:val="000843A5"/>
    <w:rsid w:val="000B6F63"/>
    <w:rsid w:val="000C1AAC"/>
    <w:rsid w:val="000C435D"/>
    <w:rsid w:val="000D3599"/>
    <w:rsid w:val="000E3422"/>
    <w:rsid w:val="000E74E0"/>
    <w:rsid w:val="000F35F5"/>
    <w:rsid w:val="00106A44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A16A5"/>
    <w:rsid w:val="001A214A"/>
    <w:rsid w:val="001A59BF"/>
    <w:rsid w:val="001B607F"/>
    <w:rsid w:val="001B6EC8"/>
    <w:rsid w:val="001C2179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B1FE3"/>
    <w:rsid w:val="002B2E47"/>
    <w:rsid w:val="002C1066"/>
    <w:rsid w:val="002D6A6C"/>
    <w:rsid w:val="002E428A"/>
    <w:rsid w:val="00310505"/>
    <w:rsid w:val="00322412"/>
    <w:rsid w:val="003265E9"/>
    <w:rsid w:val="003301A3"/>
    <w:rsid w:val="0035578A"/>
    <w:rsid w:val="0036777B"/>
    <w:rsid w:val="003677A4"/>
    <w:rsid w:val="0038282A"/>
    <w:rsid w:val="0038349B"/>
    <w:rsid w:val="003943A9"/>
    <w:rsid w:val="00396732"/>
    <w:rsid w:val="00397580"/>
    <w:rsid w:val="003A1794"/>
    <w:rsid w:val="003A45C8"/>
    <w:rsid w:val="003A6ED5"/>
    <w:rsid w:val="003C2DCF"/>
    <w:rsid w:val="003C52E5"/>
    <w:rsid w:val="003C7FE7"/>
    <w:rsid w:val="003D02AA"/>
    <w:rsid w:val="003D0499"/>
    <w:rsid w:val="003F32BE"/>
    <w:rsid w:val="003F526A"/>
    <w:rsid w:val="004023A5"/>
    <w:rsid w:val="00405244"/>
    <w:rsid w:val="00413A9D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D05B3"/>
    <w:rsid w:val="004E479E"/>
    <w:rsid w:val="004E583B"/>
    <w:rsid w:val="004F78E6"/>
    <w:rsid w:val="00512D03"/>
    <w:rsid w:val="00512D99"/>
    <w:rsid w:val="00531DBB"/>
    <w:rsid w:val="00533BE8"/>
    <w:rsid w:val="00560183"/>
    <w:rsid w:val="005A093B"/>
    <w:rsid w:val="005B4347"/>
    <w:rsid w:val="005C230B"/>
    <w:rsid w:val="005E696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D2F17"/>
    <w:rsid w:val="006E024F"/>
    <w:rsid w:val="006E4E81"/>
    <w:rsid w:val="006F5DE4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55DD"/>
    <w:rsid w:val="007704D0"/>
    <w:rsid w:val="007A57F2"/>
    <w:rsid w:val="007B0FE1"/>
    <w:rsid w:val="007B1333"/>
    <w:rsid w:val="007C1809"/>
    <w:rsid w:val="007D5762"/>
    <w:rsid w:val="007D70D0"/>
    <w:rsid w:val="007F4AEB"/>
    <w:rsid w:val="007F75B2"/>
    <w:rsid w:val="00800842"/>
    <w:rsid w:val="008043C4"/>
    <w:rsid w:val="00831B1B"/>
    <w:rsid w:val="00856834"/>
    <w:rsid w:val="00861D0E"/>
    <w:rsid w:val="00867569"/>
    <w:rsid w:val="00883708"/>
    <w:rsid w:val="008A6456"/>
    <w:rsid w:val="008A750A"/>
    <w:rsid w:val="008C384C"/>
    <w:rsid w:val="008C4B91"/>
    <w:rsid w:val="008D0F11"/>
    <w:rsid w:val="008D24E4"/>
    <w:rsid w:val="008E2F02"/>
    <w:rsid w:val="008F35B4"/>
    <w:rsid w:val="008F73B4"/>
    <w:rsid w:val="00902A52"/>
    <w:rsid w:val="00906A0E"/>
    <w:rsid w:val="00916BFD"/>
    <w:rsid w:val="0094402F"/>
    <w:rsid w:val="009510E2"/>
    <w:rsid w:val="009668FF"/>
    <w:rsid w:val="009813A3"/>
    <w:rsid w:val="009A380B"/>
    <w:rsid w:val="009A572A"/>
    <w:rsid w:val="009B55B1"/>
    <w:rsid w:val="009B6438"/>
    <w:rsid w:val="009D2AEF"/>
    <w:rsid w:val="00A00672"/>
    <w:rsid w:val="00A4343D"/>
    <w:rsid w:val="00A43A5E"/>
    <w:rsid w:val="00A502F1"/>
    <w:rsid w:val="00A65191"/>
    <w:rsid w:val="00A70A83"/>
    <w:rsid w:val="00A81EB3"/>
    <w:rsid w:val="00A842CF"/>
    <w:rsid w:val="00A918C5"/>
    <w:rsid w:val="00A93DF0"/>
    <w:rsid w:val="00A95E79"/>
    <w:rsid w:val="00AA43EA"/>
    <w:rsid w:val="00AB0212"/>
    <w:rsid w:val="00AB3303"/>
    <w:rsid w:val="00AE6D5B"/>
    <w:rsid w:val="00B00C1D"/>
    <w:rsid w:val="00B00F3C"/>
    <w:rsid w:val="00B03E21"/>
    <w:rsid w:val="00B178E1"/>
    <w:rsid w:val="00B22916"/>
    <w:rsid w:val="00B31381"/>
    <w:rsid w:val="00B4271A"/>
    <w:rsid w:val="00B47AA2"/>
    <w:rsid w:val="00B70509"/>
    <w:rsid w:val="00BA1697"/>
    <w:rsid w:val="00BA439F"/>
    <w:rsid w:val="00BA6370"/>
    <w:rsid w:val="00BB2EE8"/>
    <w:rsid w:val="00BB6F70"/>
    <w:rsid w:val="00BC6EFA"/>
    <w:rsid w:val="00BD2D57"/>
    <w:rsid w:val="00BE11D8"/>
    <w:rsid w:val="00BE3DEA"/>
    <w:rsid w:val="00BF242E"/>
    <w:rsid w:val="00C048E8"/>
    <w:rsid w:val="00C269D4"/>
    <w:rsid w:val="00C36CC1"/>
    <w:rsid w:val="00C4160D"/>
    <w:rsid w:val="00C52466"/>
    <w:rsid w:val="00C75992"/>
    <w:rsid w:val="00C83A3E"/>
    <w:rsid w:val="00C8406E"/>
    <w:rsid w:val="00C9686E"/>
    <w:rsid w:val="00CB2709"/>
    <w:rsid w:val="00CB6F89"/>
    <w:rsid w:val="00CE228C"/>
    <w:rsid w:val="00CE40D1"/>
    <w:rsid w:val="00CF545B"/>
    <w:rsid w:val="00D018F0"/>
    <w:rsid w:val="00D20FEE"/>
    <w:rsid w:val="00D27074"/>
    <w:rsid w:val="00D27D69"/>
    <w:rsid w:val="00D448C2"/>
    <w:rsid w:val="00D45EA7"/>
    <w:rsid w:val="00D666C3"/>
    <w:rsid w:val="00D67374"/>
    <w:rsid w:val="00D91B14"/>
    <w:rsid w:val="00DB033B"/>
    <w:rsid w:val="00DB3587"/>
    <w:rsid w:val="00DD5C97"/>
    <w:rsid w:val="00DE4AD8"/>
    <w:rsid w:val="00DF3385"/>
    <w:rsid w:val="00DF47FE"/>
    <w:rsid w:val="00E2374E"/>
    <w:rsid w:val="00E25AE6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F2115"/>
    <w:rsid w:val="00EF72C2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bypz_c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1F1F-10D2-4D95-8623-85CEC790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4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3</cp:revision>
  <cp:lastPrinted>2020-03-09T15:41:00Z</cp:lastPrinted>
  <dcterms:created xsi:type="dcterms:W3CDTF">2021-02-01T17:18:00Z</dcterms:created>
  <dcterms:modified xsi:type="dcterms:W3CDTF">2021-02-01T17:37:00Z</dcterms:modified>
</cp:coreProperties>
</file>