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B71C" w14:textId="77777777" w:rsidR="00681583" w:rsidRPr="00A47EFF" w:rsidRDefault="00241BD9">
      <w:pPr>
        <w:pStyle w:val="Nadpis3"/>
        <w:spacing w:before="0" w:after="0"/>
        <w:jc w:val="center"/>
        <w:rPr>
          <w:sz w:val="28"/>
        </w:rPr>
      </w:pPr>
      <w:r w:rsidRPr="00A47EFF">
        <w:rPr>
          <w:sz w:val="28"/>
          <w:lang w:val="en-GB"/>
        </w:rPr>
        <w:t>Commentary</w:t>
      </w:r>
    </w:p>
    <w:p w14:paraId="2C0985E3" w14:textId="77777777" w:rsidR="00681583" w:rsidRPr="00A47EFF" w:rsidRDefault="00681583">
      <w:pPr>
        <w:pStyle w:val="Zkladntext"/>
        <w:spacing w:line="276" w:lineRule="auto"/>
        <w:rPr>
          <w:lang w:val="en-GB"/>
        </w:rPr>
      </w:pPr>
    </w:p>
    <w:p w14:paraId="046231B5" w14:textId="77777777" w:rsidR="00681583" w:rsidRPr="00A47EFF" w:rsidRDefault="00241BD9">
      <w:pPr>
        <w:spacing w:line="276" w:lineRule="auto"/>
        <w:rPr>
          <w:lang w:val="en-GB"/>
        </w:rPr>
      </w:pPr>
      <w:r w:rsidRPr="00A47EFF">
        <w:rPr>
          <w:rFonts w:cs="Arial"/>
          <w:lang w:val="en-GB"/>
        </w:rPr>
        <w:t>According to the results of the Structural Survey on Vineyards 2020, in total 16 541 vine growers maintained 18 099 ha of vineyards. In comparison with the previous survey, conducted in 2015, the number of vine growers decreased by 9.2% (</w:t>
      </w:r>
      <w:r w:rsidRPr="00A47EFF">
        <w:rPr>
          <w:rFonts w:cs="Arial"/>
          <w:sz w:val="18"/>
          <w:szCs w:val="18"/>
          <w:lang w:val="en-GB"/>
        </w:rPr>
        <w:t>−</w:t>
      </w:r>
      <w:r w:rsidRPr="00A47EFF">
        <w:rPr>
          <w:rFonts w:cs="Arial"/>
          <w:szCs w:val="20"/>
          <w:lang w:val="en-GB"/>
        </w:rPr>
        <w:t>1 675 holdings) and the area of vineyards grew by 2.3% (+411 ha). The average area of vineyards per one holding rose from 0.97 ha to 1.09 ha (+12.7%).</w:t>
      </w:r>
    </w:p>
    <w:p w14:paraId="461990DF" w14:textId="77777777" w:rsidR="00681583" w:rsidRPr="00A47EFF" w:rsidRDefault="00681583">
      <w:pPr>
        <w:pStyle w:val="Zkladntext"/>
        <w:spacing w:line="276" w:lineRule="auto"/>
      </w:pPr>
    </w:p>
    <w:p w14:paraId="5DD7839E" w14:textId="77777777" w:rsidR="00681583" w:rsidRPr="00A47EFF" w:rsidRDefault="00241BD9">
      <w:pPr>
        <w:pStyle w:val="Zkladntext"/>
        <w:spacing w:line="276" w:lineRule="auto"/>
        <w:rPr>
          <w:lang w:val="en-GB"/>
        </w:rPr>
      </w:pPr>
      <w:r w:rsidRPr="00A47EFF">
        <w:rPr>
          <w:lang w:val="en-GB"/>
        </w:rPr>
        <w:t xml:space="preserve">The vast majority of vine growers in the Czech Republic were natural persons (16 159 vine </w:t>
      </w:r>
      <w:proofErr w:type="gramStart"/>
      <w:r w:rsidRPr="00A47EFF">
        <w:rPr>
          <w:lang w:val="en-GB"/>
        </w:rPr>
        <w:t>growers;</w:t>
      </w:r>
      <w:proofErr w:type="gramEnd"/>
      <w:r w:rsidRPr="00A47EFF">
        <w:rPr>
          <w:lang w:val="en-GB"/>
        </w:rPr>
        <w:t xml:space="preserve"> 97.7% of the holdings). They maintained 7 556 ha of vineyards (41.7%) and their average vineyard area was 0.47 ha. There were only 382 legal persons, </w:t>
      </w:r>
      <w:proofErr w:type="gramStart"/>
      <w:r w:rsidRPr="00A47EFF">
        <w:rPr>
          <w:lang w:val="en-GB"/>
        </w:rPr>
        <w:t>i.e.</w:t>
      </w:r>
      <w:proofErr w:type="gramEnd"/>
      <w:r w:rsidRPr="00A47EFF">
        <w:rPr>
          <w:lang w:val="en-GB"/>
        </w:rPr>
        <w:t xml:space="preserve"> 2.3% of the total number of vine growers; however, they utilised more than </w:t>
      </w:r>
      <w:r w:rsidR="00272D67" w:rsidRPr="00A47EFF">
        <w:rPr>
          <w:lang w:val="en-GB"/>
        </w:rPr>
        <w:t>one</w:t>
      </w:r>
      <w:r w:rsidRPr="00A47EFF">
        <w:rPr>
          <w:lang w:val="en-GB"/>
        </w:rPr>
        <w:t xml:space="preserve"> half of the total vineyard area (10 544 ha; 58.3%). The average vineyard area of a legal person – 27.60 ha – was distinctly higher in comparison with the average for a natural person. </w:t>
      </w:r>
    </w:p>
    <w:p w14:paraId="2FE11E9D" w14:textId="77777777" w:rsidR="00681583" w:rsidRPr="00A47EFF" w:rsidRDefault="00681583">
      <w:pPr>
        <w:pStyle w:val="Zkladntext"/>
        <w:spacing w:line="276" w:lineRule="auto"/>
        <w:rPr>
          <w:lang w:val="en-GB"/>
        </w:rPr>
      </w:pPr>
    </w:p>
    <w:p w14:paraId="6A603B2F" w14:textId="77777777" w:rsidR="00681583" w:rsidRPr="00A47EFF" w:rsidRDefault="00241BD9">
      <w:pPr>
        <w:pStyle w:val="Zkladntext"/>
        <w:spacing w:line="276" w:lineRule="auto"/>
        <w:rPr>
          <w:lang w:val="en-GB"/>
        </w:rPr>
      </w:pPr>
      <w:r w:rsidRPr="00A47EFF">
        <w:rPr>
          <w:lang w:val="en-GB"/>
        </w:rPr>
        <w:t xml:space="preserve">The size structure of vine growers did not distinctly </w:t>
      </w:r>
      <w:r w:rsidR="00272D67" w:rsidRPr="00A47EFF">
        <w:rPr>
          <w:lang w:val="en-GB"/>
        </w:rPr>
        <w:t xml:space="preserve">change </w:t>
      </w:r>
      <w:r w:rsidRPr="00A47EFF">
        <w:rPr>
          <w:lang w:val="en-GB"/>
        </w:rPr>
        <w:t xml:space="preserve">during the last five years. Small vine growers with their vineyard area up to </w:t>
      </w:r>
      <w:r w:rsidR="00B6774C" w:rsidRPr="00A47EFF">
        <w:rPr>
          <w:lang w:val="en-GB"/>
        </w:rPr>
        <w:t>1 ha</w:t>
      </w:r>
      <w:r w:rsidRPr="00A47EFF">
        <w:rPr>
          <w:lang w:val="en-GB"/>
        </w:rPr>
        <w:t xml:space="preserve"> prevailed also in 2020 (15 305 holdings; 92.5%). These growers with their average vineyard area of 0.15 ha utilised 2</w:t>
      </w:r>
      <w:r w:rsidR="00272D67" w:rsidRPr="00A47EFF">
        <w:rPr>
          <w:lang w:val="en-GB"/>
        </w:rPr>
        <w:t> </w:t>
      </w:r>
      <w:r w:rsidRPr="00A47EFF">
        <w:rPr>
          <w:lang w:val="en-GB"/>
        </w:rPr>
        <w:t>292</w:t>
      </w:r>
      <w:r w:rsidR="00272D67" w:rsidRPr="00A47EFF">
        <w:rPr>
          <w:lang w:val="en-GB"/>
        </w:rPr>
        <w:t xml:space="preserve"> </w:t>
      </w:r>
      <w:r w:rsidRPr="00A47EFF">
        <w:rPr>
          <w:lang w:val="en-GB"/>
        </w:rPr>
        <w:t xml:space="preserve">ha, i.e. 12.7% of the total vineyard area. The size class from 1 ha to 30 ha involved 1 125 vine growers (6.8%) having almost one third of the vineyard area (5 472 ha; 30.2%); their average vineyard size was 4.86 ha. More than one half of vineyards (10 336 ha; 57.1%) was </w:t>
      </w:r>
      <w:r w:rsidR="00CD4C8B" w:rsidRPr="00A47EFF">
        <w:rPr>
          <w:lang w:val="en-GB"/>
        </w:rPr>
        <w:t>maintained</w:t>
      </w:r>
      <w:r w:rsidRPr="00A47EFF">
        <w:rPr>
          <w:lang w:val="en-GB"/>
        </w:rPr>
        <w:t xml:space="preserve"> by 111 holdings (0.7%) in the highest size category of above 30 ha. The average vineyard area in this category reached 93.11 ha.</w:t>
      </w:r>
    </w:p>
    <w:p w14:paraId="08CB653A" w14:textId="77777777" w:rsidR="00681583" w:rsidRPr="00A47EFF" w:rsidRDefault="00681583">
      <w:pPr>
        <w:pStyle w:val="Zkladntext"/>
        <w:spacing w:line="276" w:lineRule="auto"/>
        <w:rPr>
          <w:lang w:val="en-GB"/>
        </w:rPr>
      </w:pPr>
    </w:p>
    <w:p w14:paraId="7DF70BCD" w14:textId="77777777" w:rsidR="00681583" w:rsidRPr="00A47EFF" w:rsidRDefault="00241BD9">
      <w:pPr>
        <w:pStyle w:val="Zkladntext"/>
        <w:spacing w:line="276" w:lineRule="auto"/>
        <w:rPr>
          <w:lang w:val="en-GB"/>
        </w:rPr>
      </w:pPr>
      <w:r w:rsidRPr="00A47EFF">
        <w:rPr>
          <w:lang w:val="en-GB"/>
        </w:rPr>
        <w:t>During the last five years, the number of the smallest vine growers (up to 1 ha of vineyards) decreased by 1 718 holdings (</w:t>
      </w:r>
      <w:r w:rsidRPr="00A47EFF">
        <w:rPr>
          <w:rFonts w:cs="Arial"/>
          <w:sz w:val="18"/>
          <w:szCs w:val="18"/>
          <w:lang w:val="en-GB"/>
        </w:rPr>
        <w:t>−</w:t>
      </w:r>
      <w:r w:rsidRPr="00A47EFF">
        <w:rPr>
          <w:rFonts w:cs="Arial"/>
          <w:szCs w:val="20"/>
          <w:lang w:val="en-GB"/>
        </w:rPr>
        <w:t>10.1%)</w:t>
      </w:r>
      <w:r w:rsidRPr="00A47EFF">
        <w:rPr>
          <w:lang w:val="en-GB"/>
        </w:rPr>
        <w:t>; area of their vineyards went down by 337 ha (</w:t>
      </w:r>
      <w:r w:rsidRPr="00A47EFF">
        <w:rPr>
          <w:rFonts w:cs="Arial"/>
          <w:sz w:val="18"/>
          <w:szCs w:val="18"/>
          <w:lang w:val="en-GB"/>
        </w:rPr>
        <w:t>−</w:t>
      </w:r>
      <w:r w:rsidRPr="00A47EFF">
        <w:rPr>
          <w:rFonts w:cs="Arial"/>
          <w:szCs w:val="20"/>
          <w:lang w:val="en-GB"/>
        </w:rPr>
        <w:t xml:space="preserve">12.8%). There were transfers of the vineyard area among the growers; the area of vineyards belonging to growers in size class of 1 to 30 ha grew by 194 ha (+3.7%) and that of growers in size class of above 30 ha by 554 ha (+5.7%). The number of vine growers in these two categories did not change distinctly (+39 and +4 </w:t>
      </w:r>
      <w:r w:rsidR="00D11671" w:rsidRPr="00A47EFF">
        <w:rPr>
          <w:rFonts w:cs="Arial"/>
          <w:szCs w:val="20"/>
          <w:lang w:val="en-GB"/>
        </w:rPr>
        <w:t>holdings</w:t>
      </w:r>
      <w:r w:rsidRPr="00A47EFF">
        <w:rPr>
          <w:rFonts w:cs="Arial"/>
          <w:szCs w:val="20"/>
          <w:lang w:val="en-GB"/>
        </w:rPr>
        <w:t>, respectively).</w:t>
      </w:r>
    </w:p>
    <w:p w14:paraId="098CBE59" w14:textId="77777777" w:rsidR="00681583" w:rsidRPr="00A47EFF" w:rsidRDefault="00681583">
      <w:pPr>
        <w:pStyle w:val="Zkladntext"/>
        <w:spacing w:line="276" w:lineRule="auto"/>
        <w:rPr>
          <w:lang w:val="en-GB"/>
        </w:rPr>
      </w:pPr>
    </w:p>
    <w:p w14:paraId="776F0E02" w14:textId="77777777" w:rsidR="00681583" w:rsidRPr="00A47EFF" w:rsidRDefault="00241BD9">
      <w:pPr>
        <w:pStyle w:val="Zkladntext"/>
        <w:spacing w:line="276" w:lineRule="auto"/>
        <w:rPr>
          <w:lang w:val="en-GB"/>
        </w:rPr>
      </w:pPr>
      <w:r w:rsidRPr="00A47EFF">
        <w:rPr>
          <w:lang w:val="en-GB"/>
        </w:rPr>
        <w:t xml:space="preserve">As concerns </w:t>
      </w:r>
      <w:r w:rsidR="00C637B6" w:rsidRPr="00A47EFF">
        <w:rPr>
          <w:lang w:val="en-GB"/>
        </w:rPr>
        <w:t xml:space="preserve">the </w:t>
      </w:r>
      <w:r w:rsidRPr="00A47EFF">
        <w:rPr>
          <w:lang w:val="en-GB"/>
        </w:rPr>
        <w:t xml:space="preserve">production type, </w:t>
      </w:r>
      <w:r w:rsidRPr="00A47EFF">
        <w:rPr>
          <w:rFonts w:cs="Arial"/>
          <w:lang w:val="en-GB"/>
        </w:rPr>
        <w:t xml:space="preserve">vineyards with wine grape varieties suitable for the production of wines with protected designation of origin </w:t>
      </w:r>
      <w:r w:rsidRPr="00A47EFF">
        <w:rPr>
          <w:lang w:val="en-GB"/>
        </w:rPr>
        <w:t xml:space="preserve">(PDO) prevailed. In 2020 they covered 17 970 ha (99.3% of the total vineyard area). Vineyards with </w:t>
      </w:r>
      <w:r w:rsidRPr="00A47EFF">
        <w:rPr>
          <w:rFonts w:cs="Arial"/>
          <w:lang w:val="en-GB"/>
        </w:rPr>
        <w:t xml:space="preserve">wine grape varieties suitable for the production of wines with protected geographical indication (PGI) were planted on </w:t>
      </w:r>
      <w:r w:rsidRPr="00A47EFF">
        <w:rPr>
          <w:lang w:val="en-GB"/>
        </w:rPr>
        <w:t>107 ha (0.6%) and the area of other vineyards, i.e. vineyards intended to produce vegetative propagation material, breeding plots and gene pool, was 23 ha (0.1%).</w:t>
      </w:r>
    </w:p>
    <w:p w14:paraId="7A794CF9" w14:textId="77777777" w:rsidR="00681583" w:rsidRPr="00A47EFF" w:rsidRDefault="00681583">
      <w:pPr>
        <w:spacing w:line="276" w:lineRule="auto"/>
        <w:rPr>
          <w:rFonts w:cs="Arial"/>
          <w:lang w:val="en-GB"/>
        </w:rPr>
      </w:pPr>
    </w:p>
    <w:p w14:paraId="1A8ADC2D" w14:textId="77777777" w:rsidR="00681583" w:rsidRPr="00A47EFF" w:rsidRDefault="00241BD9">
      <w:pPr>
        <w:spacing w:line="276" w:lineRule="auto"/>
        <w:rPr>
          <w:rFonts w:cs="Arial"/>
          <w:lang w:val="en-GB"/>
        </w:rPr>
      </w:pPr>
      <w:r w:rsidRPr="00A47EFF">
        <w:rPr>
          <w:lang w:val="en-GB"/>
        </w:rPr>
        <w:t xml:space="preserve">Vineyards in production covered </w:t>
      </w:r>
      <w:r w:rsidRPr="00A47EFF">
        <w:rPr>
          <w:rFonts w:cs="Arial"/>
          <w:lang w:val="en-GB"/>
        </w:rPr>
        <w:t>16 819 ha; i.e. the vast majority (93.0%) of the total area of vineyards with wine grape varieties. Vineyards not yet in production were planted on 1 258 ha (7.0%).</w:t>
      </w:r>
    </w:p>
    <w:p w14:paraId="5C2D7D97" w14:textId="77777777" w:rsidR="00681583" w:rsidRPr="00A47EFF" w:rsidRDefault="00681583">
      <w:pPr>
        <w:spacing w:line="276" w:lineRule="auto"/>
        <w:rPr>
          <w:rFonts w:cs="Arial"/>
        </w:rPr>
      </w:pPr>
    </w:p>
    <w:p w14:paraId="5838027D" w14:textId="6AB034D5" w:rsidR="00681583" w:rsidRPr="00A47EFF" w:rsidRDefault="00241BD9">
      <w:pPr>
        <w:pStyle w:val="Zkladntext"/>
        <w:spacing w:line="276" w:lineRule="auto"/>
        <w:rPr>
          <w:lang w:val="en-GB"/>
        </w:rPr>
      </w:pPr>
      <w:r w:rsidRPr="00A47EFF">
        <w:rPr>
          <w:lang w:val="en-GB"/>
        </w:rPr>
        <w:t xml:space="preserve">Prevailing part of vine growers specialise in vineyards intended for production of wines with PDO. In total 15 525 holdings (93.9%) with </w:t>
      </w:r>
      <w:r w:rsidRPr="00A47EFF">
        <w:rPr>
          <w:color w:val="000000"/>
          <w:lang w:val="en-GB"/>
        </w:rPr>
        <w:t>16 630 </w:t>
      </w:r>
      <w:r w:rsidRPr="00A47EFF">
        <w:rPr>
          <w:lang w:val="en-GB"/>
        </w:rPr>
        <w:t xml:space="preserve">ha of vineyards (91.9% of the total vineyard area) belonged to this category. Vineyards exclusively intended for production of wines with PGI were grown by 762 vine growers (4.6%) with their area of 78 ha (0.4%). Vineyards suitable exclusively for production of wines with PDO </w:t>
      </w:r>
      <w:r w:rsidR="00F605D1" w:rsidRPr="00A47EFF">
        <w:rPr>
          <w:lang w:val="en-GB"/>
        </w:rPr>
        <w:t>and</w:t>
      </w:r>
      <w:r w:rsidRPr="00A47EFF">
        <w:rPr>
          <w:lang w:val="en-GB"/>
        </w:rPr>
        <w:t xml:space="preserve"> PGI were cultivated by 236 holdings (1.4%) and their area was 564 ha (3.1%). Other vine growers (18 holdings; 0.1%) with 827 ha (4.6%) had vineyards intended for </w:t>
      </w:r>
      <w:r w:rsidR="002B3AFF" w:rsidRPr="00A47EFF">
        <w:rPr>
          <w:lang w:val="en-GB"/>
        </w:rPr>
        <w:t>wine</w:t>
      </w:r>
      <w:r w:rsidRPr="00A47EFF">
        <w:rPr>
          <w:lang w:val="en-GB"/>
        </w:rPr>
        <w:t xml:space="preserve"> production </w:t>
      </w:r>
      <w:r w:rsidR="002B3AFF" w:rsidRPr="00A47EFF">
        <w:rPr>
          <w:lang w:val="en-GB"/>
        </w:rPr>
        <w:t>in combination with</w:t>
      </w:r>
      <w:r w:rsidRPr="00A47EFF">
        <w:rPr>
          <w:lang w:val="en-GB"/>
        </w:rPr>
        <w:t xml:space="preserve"> other than wine production. </w:t>
      </w:r>
    </w:p>
    <w:p w14:paraId="77C4602E" w14:textId="77777777" w:rsidR="00681583" w:rsidRPr="00A47EFF" w:rsidRDefault="00681583">
      <w:pPr>
        <w:pStyle w:val="Zkladntext"/>
        <w:spacing w:line="276" w:lineRule="auto"/>
      </w:pPr>
    </w:p>
    <w:p w14:paraId="43AABEB2" w14:textId="77777777" w:rsidR="00681583" w:rsidRPr="00A47EFF" w:rsidRDefault="00241BD9">
      <w:pPr>
        <w:pStyle w:val="Zkladntext"/>
        <w:spacing w:line="276" w:lineRule="auto"/>
        <w:rPr>
          <w:lang w:val="en-GB"/>
        </w:rPr>
      </w:pPr>
      <w:r w:rsidRPr="00A47EFF">
        <w:rPr>
          <w:lang w:val="en-GB"/>
        </w:rPr>
        <w:t>White vine varieties prevailed on vineyards in Czechia: they were planted on 10 976 ha (60.6%). Red varieties were cultivated on almost one third of the area (5 112 ha; 28.2%), and other varieties on one tenth of the area (2 011 ha; 11.1%).</w:t>
      </w:r>
    </w:p>
    <w:p w14:paraId="0862816B" w14:textId="77777777" w:rsidR="00681583" w:rsidRPr="00A47EFF" w:rsidRDefault="00681583">
      <w:pPr>
        <w:spacing w:line="276" w:lineRule="auto"/>
        <w:rPr>
          <w:lang w:val="en-GB"/>
        </w:rPr>
      </w:pPr>
    </w:p>
    <w:p w14:paraId="460B95AD" w14:textId="77777777" w:rsidR="00681583" w:rsidRPr="00A47EFF" w:rsidRDefault="00241BD9">
      <w:pPr>
        <w:spacing w:line="276" w:lineRule="auto"/>
      </w:pPr>
      <w:r w:rsidRPr="00A47EFF">
        <w:rPr>
          <w:lang w:val="en-GB"/>
        </w:rPr>
        <w:t xml:space="preserve">Veltliner </w:t>
      </w:r>
      <w:proofErr w:type="spellStart"/>
      <w:r w:rsidRPr="00A47EFF">
        <w:rPr>
          <w:color w:val="000000"/>
          <w:lang w:val="en-GB"/>
        </w:rPr>
        <w:t>grün</w:t>
      </w:r>
      <w:proofErr w:type="spellEnd"/>
      <w:r w:rsidRPr="00A47EFF">
        <w:rPr>
          <w:color w:val="000000"/>
          <w:lang w:val="en-GB"/>
        </w:rPr>
        <w:t xml:space="preserve"> (1 637 ha; 9.0% of the total vineyard area), Müller Thurgau </w:t>
      </w:r>
      <w:proofErr w:type="spellStart"/>
      <w:r w:rsidRPr="00A47EFF">
        <w:rPr>
          <w:color w:val="000000"/>
          <w:lang w:val="en-GB"/>
        </w:rPr>
        <w:t>weiss</w:t>
      </w:r>
      <w:proofErr w:type="spellEnd"/>
      <w:r w:rsidRPr="00A47EFF">
        <w:rPr>
          <w:color w:val="000000"/>
          <w:lang w:val="en-GB"/>
        </w:rPr>
        <w:t xml:space="preserve"> (1 409 ha; 7.8%), and Riesling </w:t>
      </w:r>
      <w:proofErr w:type="spellStart"/>
      <w:r w:rsidRPr="00A47EFF">
        <w:rPr>
          <w:color w:val="000000"/>
          <w:lang w:val="en-GB"/>
        </w:rPr>
        <w:t>weiss</w:t>
      </w:r>
      <w:proofErr w:type="spellEnd"/>
      <w:r w:rsidRPr="00A47EFF">
        <w:rPr>
          <w:color w:val="000000"/>
          <w:lang w:val="en-GB"/>
        </w:rPr>
        <w:t xml:space="preserve"> </w:t>
      </w:r>
      <w:r w:rsidRPr="00A47EFF">
        <w:rPr>
          <w:lang w:val="en-GB"/>
        </w:rPr>
        <w:t xml:space="preserve">(1 364 ha; 7.5%) were recorded as white varieties with the largest area. </w:t>
      </w:r>
      <w:r w:rsidR="00851E82" w:rsidRPr="00A47EFF">
        <w:rPr>
          <w:lang w:val="en-GB"/>
        </w:rPr>
        <w:t>R</w:t>
      </w:r>
      <w:r w:rsidRPr="00A47EFF">
        <w:rPr>
          <w:lang w:val="en-GB"/>
        </w:rPr>
        <w:t xml:space="preserve">ed varieties </w:t>
      </w:r>
      <w:r w:rsidR="00851E82" w:rsidRPr="00A47EFF">
        <w:rPr>
          <w:lang w:val="en-GB"/>
        </w:rPr>
        <w:t xml:space="preserve">planted the most </w:t>
      </w:r>
      <w:r w:rsidRPr="00A47EFF">
        <w:rPr>
          <w:lang w:val="en-GB"/>
        </w:rPr>
        <w:t xml:space="preserve">were </w:t>
      </w:r>
      <w:proofErr w:type="spellStart"/>
      <w:r w:rsidRPr="00A47EFF">
        <w:rPr>
          <w:lang w:val="en-GB"/>
        </w:rPr>
        <w:t>Blaufränkisch</w:t>
      </w:r>
      <w:proofErr w:type="spellEnd"/>
      <w:r w:rsidRPr="00A47EFF">
        <w:rPr>
          <w:lang w:val="en-GB"/>
        </w:rPr>
        <w:t xml:space="preserve"> (1 030 ha; 5.7%) and Saint Laurent (997 ha; 5.4%). Pinot </w:t>
      </w:r>
      <w:proofErr w:type="spellStart"/>
      <w:r w:rsidRPr="00A47EFF">
        <w:rPr>
          <w:lang w:val="en-GB"/>
        </w:rPr>
        <w:t>gris</w:t>
      </w:r>
      <w:proofErr w:type="spellEnd"/>
      <w:r w:rsidRPr="00A47EFF">
        <w:rPr>
          <w:lang w:val="en-GB"/>
        </w:rPr>
        <w:t xml:space="preserve"> was the most </w:t>
      </w:r>
      <w:r w:rsidR="00851E82" w:rsidRPr="00A47EFF">
        <w:rPr>
          <w:lang w:val="en-GB"/>
        </w:rPr>
        <w:t>frequent</w:t>
      </w:r>
      <w:r w:rsidRPr="00A47EFF">
        <w:rPr>
          <w:lang w:val="en-GB"/>
        </w:rPr>
        <w:t xml:space="preserve"> </w:t>
      </w:r>
      <w:r w:rsidR="007E7A01" w:rsidRPr="00A47EFF">
        <w:rPr>
          <w:lang w:val="en-GB"/>
        </w:rPr>
        <w:t>among</w:t>
      </w:r>
      <w:r w:rsidRPr="00A47EFF">
        <w:rPr>
          <w:lang w:val="en-GB"/>
        </w:rPr>
        <w:t xml:space="preserve"> other varieties (1 022 </w:t>
      </w:r>
      <w:proofErr w:type="gramStart"/>
      <w:r w:rsidRPr="00A47EFF">
        <w:rPr>
          <w:lang w:val="en-GB"/>
        </w:rPr>
        <w:t>ha;</w:t>
      </w:r>
      <w:proofErr w:type="gramEnd"/>
      <w:r w:rsidRPr="00A47EFF">
        <w:rPr>
          <w:lang w:val="en-GB"/>
        </w:rPr>
        <w:t xml:space="preserve"> 5.6%).</w:t>
      </w:r>
    </w:p>
    <w:p w14:paraId="4579E357" w14:textId="77777777" w:rsidR="00681583" w:rsidRPr="00A47EFF" w:rsidRDefault="00681583">
      <w:pPr>
        <w:pStyle w:val="Zkladntext"/>
        <w:spacing w:line="276" w:lineRule="auto"/>
      </w:pPr>
    </w:p>
    <w:p w14:paraId="7013641C" w14:textId="77777777" w:rsidR="00681583" w:rsidRPr="00A47EFF" w:rsidRDefault="00241BD9">
      <w:pPr>
        <w:pStyle w:val="Zkladntext"/>
        <w:spacing w:line="276" w:lineRule="auto"/>
      </w:pPr>
      <w:r w:rsidRPr="00A47EFF">
        <w:rPr>
          <w:lang w:val="en-GB"/>
        </w:rPr>
        <w:t xml:space="preserve">More than </w:t>
      </w:r>
      <w:r w:rsidR="009337D0" w:rsidRPr="00A47EFF">
        <w:rPr>
          <w:lang w:val="en-GB"/>
        </w:rPr>
        <w:t>one</w:t>
      </w:r>
      <w:r w:rsidRPr="00A47EFF">
        <w:rPr>
          <w:lang w:val="en-GB"/>
        </w:rPr>
        <w:t xml:space="preserve"> half of vine growers planted their vineyards with Veltliner</w:t>
      </w:r>
      <w:r w:rsidRPr="00A47EFF">
        <w:rPr>
          <w:color w:val="000000"/>
          <w:lang w:val="en-GB"/>
        </w:rPr>
        <w:t xml:space="preserve"> </w:t>
      </w:r>
      <w:proofErr w:type="spellStart"/>
      <w:r w:rsidRPr="00A47EFF">
        <w:rPr>
          <w:color w:val="000000"/>
          <w:lang w:val="en-GB"/>
        </w:rPr>
        <w:t>grün</w:t>
      </w:r>
      <w:proofErr w:type="spellEnd"/>
      <w:r w:rsidRPr="00A47EFF">
        <w:rPr>
          <w:color w:val="000000"/>
          <w:lang w:val="en-GB"/>
        </w:rPr>
        <w:t xml:space="preserve"> (9 222 holdings; 55.8% of the total number of vine growers). Further favourite varieties were Müller Thurgau </w:t>
      </w:r>
      <w:proofErr w:type="spellStart"/>
      <w:r w:rsidRPr="00A47EFF">
        <w:rPr>
          <w:color w:val="000000"/>
          <w:lang w:val="en-GB"/>
        </w:rPr>
        <w:t>weiss</w:t>
      </w:r>
      <w:proofErr w:type="spellEnd"/>
      <w:r w:rsidRPr="00A47EFF">
        <w:rPr>
          <w:color w:val="000000"/>
          <w:lang w:val="en-GB"/>
        </w:rPr>
        <w:t xml:space="preserve"> (</w:t>
      </w:r>
      <w:r w:rsidRPr="00A47EFF">
        <w:rPr>
          <w:lang w:val="en-GB"/>
        </w:rPr>
        <w:t xml:space="preserve">7 807 holdings; 47.2%), Saint Laurent (7 389 holdings; 44.7%), and </w:t>
      </w:r>
      <w:proofErr w:type="spellStart"/>
      <w:r w:rsidRPr="00A47EFF">
        <w:rPr>
          <w:lang w:val="en-GB"/>
        </w:rPr>
        <w:t>Welschriesling</w:t>
      </w:r>
      <w:proofErr w:type="spellEnd"/>
      <w:r w:rsidRPr="00A47EFF">
        <w:rPr>
          <w:lang w:val="en-GB"/>
        </w:rPr>
        <w:t xml:space="preserve"> (6 764 holdings; 40.9%). </w:t>
      </w:r>
    </w:p>
    <w:p w14:paraId="32F46867" w14:textId="77777777" w:rsidR="00681583" w:rsidRPr="00A47EFF" w:rsidRDefault="00681583">
      <w:pPr>
        <w:pStyle w:val="Zkladntext"/>
        <w:spacing w:line="276" w:lineRule="auto"/>
        <w:rPr>
          <w:lang w:val="en-GB"/>
        </w:rPr>
      </w:pPr>
    </w:p>
    <w:p w14:paraId="6556165A" w14:textId="04E7CEC3" w:rsidR="00681583" w:rsidRPr="00A47EFF" w:rsidRDefault="00241BD9">
      <w:pPr>
        <w:spacing w:line="276" w:lineRule="auto"/>
      </w:pPr>
      <w:r w:rsidRPr="00A47EFF">
        <w:rPr>
          <w:lang w:val="en-GB"/>
        </w:rPr>
        <w:t xml:space="preserve">Varieties, which recorded the highest </w:t>
      </w:r>
      <w:r w:rsidR="009337D0" w:rsidRPr="00A47EFF">
        <w:rPr>
          <w:lang w:val="en-GB"/>
        </w:rPr>
        <w:t>enlargement</w:t>
      </w:r>
      <w:r w:rsidRPr="00A47EFF">
        <w:rPr>
          <w:lang w:val="en-GB"/>
        </w:rPr>
        <w:t xml:space="preserve"> of their area, compared to the survey in 2015, were Riesling </w:t>
      </w:r>
      <w:proofErr w:type="spellStart"/>
      <w:r w:rsidRPr="00A47EFF">
        <w:rPr>
          <w:color w:val="000000"/>
          <w:lang w:val="en-GB"/>
        </w:rPr>
        <w:t>weiss</w:t>
      </w:r>
      <w:proofErr w:type="spellEnd"/>
      <w:r w:rsidRPr="00A47EFF">
        <w:rPr>
          <w:color w:val="000000"/>
          <w:lang w:val="en-GB"/>
        </w:rPr>
        <w:t xml:space="preserve">; its area grew by 138 ha (+11.3%) </w:t>
      </w:r>
      <w:proofErr w:type="gramStart"/>
      <w:r w:rsidRPr="00A47EFF">
        <w:rPr>
          <w:color w:val="000000"/>
          <w:lang w:val="en-GB"/>
        </w:rPr>
        <w:t>during</w:t>
      </w:r>
      <w:proofErr w:type="gramEnd"/>
      <w:r w:rsidRPr="00A47EFF">
        <w:rPr>
          <w:color w:val="000000"/>
          <w:lang w:val="en-GB"/>
        </w:rPr>
        <w:t xml:space="preserve"> 5 years, followed by Pinot </w:t>
      </w:r>
      <w:proofErr w:type="spellStart"/>
      <w:r w:rsidRPr="00A47EFF">
        <w:rPr>
          <w:color w:val="000000"/>
          <w:lang w:val="en-GB"/>
        </w:rPr>
        <w:t>gris</w:t>
      </w:r>
      <w:proofErr w:type="spellEnd"/>
      <w:r w:rsidRPr="00A47EFF">
        <w:rPr>
          <w:color w:val="000000"/>
          <w:lang w:val="en-GB"/>
        </w:rPr>
        <w:t xml:space="preserve"> (by 116 ha; +12.8%) and Chardonnay blanc (by 88 ha; +9.8%). On the contrary, the largest decrease was observed among traditional varieties: by 207 ha (</w:t>
      </w:r>
      <w:r w:rsidRPr="00A47EFF">
        <w:rPr>
          <w:color w:val="000000"/>
          <w:sz w:val="18"/>
          <w:szCs w:val="18"/>
          <w:lang w:val="en-GB"/>
        </w:rPr>
        <w:t>−</w:t>
      </w:r>
      <w:r w:rsidRPr="00A47EFF">
        <w:rPr>
          <w:color w:val="000000"/>
          <w:szCs w:val="20"/>
          <w:lang w:val="en-GB"/>
        </w:rPr>
        <w:t>17.5%) for Saint Laurent, by 146 ha (</w:t>
      </w:r>
      <w:r w:rsidRPr="00A47EFF">
        <w:rPr>
          <w:color w:val="000000"/>
          <w:sz w:val="18"/>
          <w:szCs w:val="18"/>
          <w:lang w:val="en-GB"/>
        </w:rPr>
        <w:t>−</w:t>
      </w:r>
      <w:r w:rsidRPr="00A47EFF">
        <w:rPr>
          <w:color w:val="000000"/>
          <w:szCs w:val="20"/>
          <w:lang w:val="en-GB"/>
        </w:rPr>
        <w:t xml:space="preserve">9.4%) for Müller Thurgau </w:t>
      </w:r>
      <w:proofErr w:type="spellStart"/>
      <w:r w:rsidRPr="00A47EFF">
        <w:rPr>
          <w:color w:val="000000"/>
          <w:lang w:val="en-GB"/>
        </w:rPr>
        <w:t>weiss</w:t>
      </w:r>
      <w:proofErr w:type="spellEnd"/>
      <w:r w:rsidRPr="00A47EFF">
        <w:rPr>
          <w:color w:val="000000"/>
          <w:lang w:val="en-GB"/>
        </w:rPr>
        <w:t>, and by 116 ha (</w:t>
      </w:r>
      <w:r w:rsidRPr="00A47EFF">
        <w:rPr>
          <w:color w:val="000000"/>
          <w:sz w:val="18"/>
          <w:szCs w:val="18"/>
          <w:lang w:val="en-GB"/>
        </w:rPr>
        <w:t>−</w:t>
      </w:r>
      <w:r w:rsidRPr="00A47EFF">
        <w:rPr>
          <w:color w:val="000000"/>
          <w:szCs w:val="20"/>
          <w:lang w:val="en-GB"/>
        </w:rPr>
        <w:t xml:space="preserve">10.2%) for </w:t>
      </w:r>
      <w:proofErr w:type="spellStart"/>
      <w:r w:rsidRPr="00A47EFF">
        <w:rPr>
          <w:rFonts w:cs="Arial"/>
          <w:color w:val="000000"/>
          <w:szCs w:val="20"/>
          <w:lang w:val="en-GB"/>
        </w:rPr>
        <w:t>Blaufränkisch</w:t>
      </w:r>
      <w:proofErr w:type="spellEnd"/>
      <w:r w:rsidRPr="00A47EFF">
        <w:rPr>
          <w:rFonts w:cs="Arial"/>
          <w:color w:val="000000"/>
          <w:szCs w:val="20"/>
          <w:lang w:val="en-GB"/>
        </w:rPr>
        <w:t>. The total area of red varieties declined by 404 ha</w:t>
      </w:r>
      <w:r w:rsidRPr="00A47EFF">
        <w:rPr>
          <w:rFonts w:cs="Arial"/>
          <w:color w:val="000000"/>
          <w:sz w:val="18"/>
          <w:szCs w:val="18"/>
          <w:lang w:val="en-GB"/>
        </w:rPr>
        <w:t xml:space="preserve"> (−</w:t>
      </w:r>
      <w:r w:rsidRPr="00A47EFF">
        <w:rPr>
          <w:rFonts w:cs="Arial"/>
          <w:color w:val="000000"/>
          <w:szCs w:val="20"/>
          <w:lang w:val="en-GB"/>
        </w:rPr>
        <w:t xml:space="preserve">7.3%) while the area planted by white varieties rose by 628 ha (+6.1%) and the area of other varieties by 187 ha (+10.2%). </w:t>
      </w:r>
    </w:p>
    <w:p w14:paraId="32A459DB" w14:textId="77777777" w:rsidR="00681583" w:rsidRPr="00A47EFF" w:rsidRDefault="00681583">
      <w:pPr>
        <w:pStyle w:val="Zkladntext"/>
        <w:spacing w:line="276" w:lineRule="auto"/>
        <w:rPr>
          <w:lang w:val="en-GB"/>
        </w:rPr>
      </w:pPr>
    </w:p>
    <w:p w14:paraId="6617F442" w14:textId="77777777" w:rsidR="00681583" w:rsidRPr="00A47EFF" w:rsidRDefault="00241BD9">
      <w:pPr>
        <w:pStyle w:val="Zkladntext"/>
        <w:spacing w:line="276" w:lineRule="auto"/>
      </w:pPr>
      <w:r w:rsidRPr="00A47EFF">
        <w:rPr>
          <w:lang w:val="en-GB"/>
        </w:rPr>
        <w:t xml:space="preserve">The age structure of vineyards was dominated by ones fully in production aged between 10 and 29 years. This category involved 8 660 ha, </w:t>
      </w:r>
      <w:proofErr w:type="gramStart"/>
      <w:r w:rsidRPr="00A47EFF">
        <w:rPr>
          <w:lang w:val="en-GB"/>
        </w:rPr>
        <w:t>i.e.</w:t>
      </w:r>
      <w:proofErr w:type="gramEnd"/>
      <w:r w:rsidRPr="00A47EFF">
        <w:rPr>
          <w:lang w:val="en-GB"/>
        </w:rPr>
        <w:t xml:space="preserve"> almost one half of the total vineyard area (47.8%). The proportion of varieties was even. Compared to 2015, the area of vineyards fully in production declined by 993 ha (</w:t>
      </w:r>
      <w:r w:rsidRPr="00A47EFF">
        <w:rPr>
          <w:sz w:val="18"/>
          <w:szCs w:val="18"/>
          <w:lang w:val="en-GB"/>
        </w:rPr>
        <w:t>−</w:t>
      </w:r>
      <w:r w:rsidRPr="00A47EFF">
        <w:rPr>
          <w:lang w:val="en-GB"/>
        </w:rPr>
        <w:t>10.3%).</w:t>
      </w:r>
    </w:p>
    <w:p w14:paraId="40026FAD" w14:textId="77777777" w:rsidR="00681583" w:rsidRPr="00A47EFF" w:rsidRDefault="00681583">
      <w:pPr>
        <w:pStyle w:val="Zkladntext"/>
        <w:spacing w:line="276" w:lineRule="auto"/>
        <w:rPr>
          <w:lang w:val="en-GB"/>
        </w:rPr>
      </w:pPr>
    </w:p>
    <w:p w14:paraId="388328AC" w14:textId="77777777" w:rsidR="00681583" w:rsidRPr="00A47EFF" w:rsidRDefault="00241BD9">
      <w:pPr>
        <w:pStyle w:val="Zkladntext"/>
        <w:spacing w:line="276" w:lineRule="auto"/>
      </w:pPr>
      <w:r w:rsidRPr="00A47EFF">
        <w:rPr>
          <w:lang w:val="en-GB"/>
        </w:rPr>
        <w:t xml:space="preserve">New vineyards aged up to 2 years were planted on 1 263 ha (7.0% of the total area of vineyards). The largest share in new plantations were represented by varieties </w:t>
      </w:r>
      <w:proofErr w:type="spellStart"/>
      <w:r w:rsidRPr="00A47EFF">
        <w:rPr>
          <w:lang w:val="en-GB"/>
        </w:rPr>
        <w:t>Pálava</w:t>
      </w:r>
      <w:proofErr w:type="spellEnd"/>
      <w:r w:rsidRPr="00A47EFF">
        <w:rPr>
          <w:lang w:val="en-GB"/>
        </w:rPr>
        <w:t>, Veltl</w:t>
      </w:r>
      <w:r w:rsidRPr="00A47EFF">
        <w:rPr>
          <w:color w:val="000000"/>
          <w:lang w:val="en-GB"/>
        </w:rPr>
        <w:t xml:space="preserve">iner </w:t>
      </w:r>
      <w:proofErr w:type="spellStart"/>
      <w:r w:rsidRPr="00A47EFF">
        <w:rPr>
          <w:color w:val="000000"/>
          <w:lang w:val="en-GB"/>
        </w:rPr>
        <w:t>grün</w:t>
      </w:r>
      <w:proofErr w:type="spellEnd"/>
      <w:r w:rsidRPr="00A47EFF">
        <w:rPr>
          <w:color w:val="000000"/>
          <w:lang w:val="en-GB"/>
        </w:rPr>
        <w:t>, a</w:t>
      </w:r>
      <w:r w:rsidRPr="00A47EFF">
        <w:rPr>
          <w:lang w:val="en-GB"/>
        </w:rPr>
        <w:t xml:space="preserve">nd Pinot </w:t>
      </w:r>
      <w:proofErr w:type="spellStart"/>
      <w:r w:rsidRPr="00A47EFF">
        <w:rPr>
          <w:lang w:val="en-GB"/>
        </w:rPr>
        <w:t>gris</w:t>
      </w:r>
      <w:proofErr w:type="spellEnd"/>
      <w:r w:rsidRPr="00A47EFF">
        <w:rPr>
          <w:lang w:val="en-GB"/>
        </w:rPr>
        <w:t>, which covered almost one third (31.2%) of this age category. In comparison with the previous survey, the vineyard area in new plantations grew by 76 ha (+6.4%).</w:t>
      </w:r>
    </w:p>
    <w:p w14:paraId="1ABC2CBF" w14:textId="77777777" w:rsidR="00681583" w:rsidRPr="00A47EFF" w:rsidRDefault="00681583">
      <w:pPr>
        <w:pStyle w:val="Zkladntext"/>
        <w:spacing w:line="276" w:lineRule="auto"/>
        <w:rPr>
          <w:lang w:val="en-GB"/>
        </w:rPr>
      </w:pPr>
    </w:p>
    <w:p w14:paraId="400D6232" w14:textId="77777777" w:rsidR="00681583" w:rsidRPr="00A47EFF" w:rsidRDefault="00241BD9">
      <w:pPr>
        <w:pStyle w:val="Zkladntext"/>
        <w:spacing w:line="276" w:lineRule="auto"/>
      </w:pPr>
      <w:r w:rsidRPr="00A47EFF">
        <w:rPr>
          <w:lang w:val="en-GB"/>
        </w:rPr>
        <w:t xml:space="preserve">Young vineyards aged 3 to 9 years covered 2 766 ha (15.3% of the total area). Prevailing varieties were </w:t>
      </w:r>
      <w:proofErr w:type="spellStart"/>
      <w:r w:rsidRPr="00A47EFF">
        <w:rPr>
          <w:lang w:val="en-GB"/>
        </w:rPr>
        <w:t>Pálava</w:t>
      </w:r>
      <w:proofErr w:type="spellEnd"/>
      <w:r w:rsidRPr="00A47EFF">
        <w:rPr>
          <w:lang w:val="en-GB"/>
        </w:rPr>
        <w:t>, Veltl</w:t>
      </w:r>
      <w:r w:rsidRPr="00A47EFF">
        <w:rPr>
          <w:color w:val="000000"/>
          <w:lang w:val="en-GB"/>
        </w:rPr>
        <w:t xml:space="preserve">iner </w:t>
      </w:r>
      <w:proofErr w:type="spellStart"/>
      <w:r w:rsidRPr="00A47EFF">
        <w:rPr>
          <w:color w:val="000000"/>
          <w:lang w:val="en-GB"/>
        </w:rPr>
        <w:t>grün</w:t>
      </w:r>
      <w:proofErr w:type="spellEnd"/>
      <w:r w:rsidRPr="00A47EFF">
        <w:rPr>
          <w:color w:val="000000"/>
          <w:lang w:val="en-GB"/>
        </w:rPr>
        <w:t xml:space="preserve">, and </w:t>
      </w:r>
      <w:r w:rsidRPr="00A47EFF">
        <w:rPr>
          <w:lang w:val="en-GB"/>
        </w:rPr>
        <w:t xml:space="preserve">Pinot </w:t>
      </w:r>
      <w:proofErr w:type="spellStart"/>
      <w:r w:rsidRPr="00A47EFF">
        <w:rPr>
          <w:lang w:val="en-GB"/>
        </w:rPr>
        <w:t>gris</w:t>
      </w:r>
      <w:proofErr w:type="spellEnd"/>
      <w:r w:rsidRPr="00A47EFF">
        <w:rPr>
          <w:lang w:val="en-GB"/>
        </w:rPr>
        <w:t>, which together were planted on 26.9% of young plantations. Compared to 2015, the vineyard area in this age category increased by 1 092 ha (+65.3%).</w:t>
      </w:r>
    </w:p>
    <w:p w14:paraId="5C7CE497" w14:textId="77777777" w:rsidR="00681583" w:rsidRPr="00A47EFF" w:rsidRDefault="00681583">
      <w:pPr>
        <w:pStyle w:val="Zkladntext"/>
        <w:spacing w:line="276" w:lineRule="auto"/>
        <w:rPr>
          <w:lang w:val="en-GB"/>
        </w:rPr>
      </w:pPr>
    </w:p>
    <w:p w14:paraId="3E5A592F" w14:textId="77777777" w:rsidR="00681583" w:rsidRPr="00A47EFF" w:rsidRDefault="00241BD9">
      <w:pPr>
        <w:pStyle w:val="Zkladntext"/>
        <w:spacing w:line="276" w:lineRule="auto"/>
      </w:pPr>
      <w:r w:rsidRPr="00A47EFF">
        <w:rPr>
          <w:lang w:val="en-GB"/>
        </w:rPr>
        <w:t>The oldest plantations aged over 30 years comprised nearly one third of vineyards: 5 410 ha (29.9%). The largest share was represented by varieties Veltl</w:t>
      </w:r>
      <w:r w:rsidRPr="00A47EFF">
        <w:rPr>
          <w:color w:val="000000"/>
          <w:lang w:val="en-GB"/>
        </w:rPr>
        <w:t xml:space="preserve">iner </w:t>
      </w:r>
      <w:proofErr w:type="spellStart"/>
      <w:r w:rsidRPr="00A47EFF">
        <w:rPr>
          <w:color w:val="000000"/>
          <w:lang w:val="en-GB"/>
        </w:rPr>
        <w:t>grün</w:t>
      </w:r>
      <w:proofErr w:type="spellEnd"/>
      <w:r w:rsidRPr="00A47EFF">
        <w:rPr>
          <w:color w:val="000000"/>
          <w:lang w:val="en-GB"/>
        </w:rPr>
        <w:t xml:space="preserve">, Müller Thurgau </w:t>
      </w:r>
      <w:proofErr w:type="spellStart"/>
      <w:r w:rsidRPr="00A47EFF">
        <w:rPr>
          <w:color w:val="000000"/>
          <w:lang w:val="en-GB"/>
        </w:rPr>
        <w:t>weiss</w:t>
      </w:r>
      <w:proofErr w:type="spellEnd"/>
      <w:r w:rsidRPr="00A47EFF">
        <w:rPr>
          <w:color w:val="000000"/>
          <w:lang w:val="en-GB"/>
        </w:rPr>
        <w:t xml:space="preserve">, </w:t>
      </w:r>
      <w:proofErr w:type="spellStart"/>
      <w:r w:rsidRPr="00A47EFF">
        <w:rPr>
          <w:color w:val="000000"/>
          <w:lang w:val="en-GB"/>
        </w:rPr>
        <w:t>Welschriesling</w:t>
      </w:r>
      <w:proofErr w:type="spellEnd"/>
      <w:r w:rsidRPr="00A47EFF">
        <w:rPr>
          <w:color w:val="000000"/>
          <w:lang w:val="en-GB"/>
        </w:rPr>
        <w:t>, and Saint Laurent, which together co</w:t>
      </w:r>
      <w:r w:rsidR="003B03B8" w:rsidRPr="00A47EFF">
        <w:rPr>
          <w:color w:val="000000"/>
          <w:lang w:val="en-GB"/>
        </w:rPr>
        <w:t>ver</w:t>
      </w:r>
      <w:r w:rsidRPr="00A47EFF">
        <w:rPr>
          <w:color w:val="000000"/>
          <w:lang w:val="en-GB"/>
        </w:rPr>
        <w:t xml:space="preserve">ed more than one half of vineyards in this age category </w:t>
      </w:r>
      <w:r w:rsidRPr="00A47EFF">
        <w:rPr>
          <w:lang w:val="en-GB"/>
        </w:rPr>
        <w:t>(52.5%). The area of the oldest vineyards rose by 235 ha (+4.5%) in comparison with 2015.</w:t>
      </w:r>
    </w:p>
    <w:p w14:paraId="2B1C423B" w14:textId="77777777" w:rsidR="00681583" w:rsidRPr="00A47EFF" w:rsidRDefault="00681583">
      <w:pPr>
        <w:pStyle w:val="Zkladntext"/>
        <w:spacing w:line="276" w:lineRule="auto"/>
        <w:rPr>
          <w:lang w:val="en-GB"/>
        </w:rPr>
      </w:pPr>
    </w:p>
    <w:p w14:paraId="7625A952" w14:textId="77777777" w:rsidR="00681583" w:rsidRPr="00A47EFF" w:rsidRDefault="00241BD9">
      <w:pPr>
        <w:pStyle w:val="Zkladntext"/>
        <w:spacing w:line="276" w:lineRule="auto"/>
      </w:pPr>
      <w:r w:rsidRPr="00A47EFF">
        <w:rPr>
          <w:lang w:val="en-GB"/>
        </w:rPr>
        <w:t xml:space="preserve">Varieties </w:t>
      </w:r>
      <w:proofErr w:type="spellStart"/>
      <w:r w:rsidRPr="00A47EFF">
        <w:rPr>
          <w:lang w:val="en-GB"/>
        </w:rPr>
        <w:t>Pálava</w:t>
      </w:r>
      <w:proofErr w:type="spellEnd"/>
      <w:r w:rsidRPr="00A47EFF">
        <w:rPr>
          <w:lang w:val="en-GB"/>
        </w:rPr>
        <w:t xml:space="preserve">, Pinot </w:t>
      </w:r>
      <w:proofErr w:type="spellStart"/>
      <w:r w:rsidRPr="00A47EFF">
        <w:rPr>
          <w:lang w:val="en-GB"/>
        </w:rPr>
        <w:t>gris</w:t>
      </w:r>
      <w:proofErr w:type="spellEnd"/>
      <w:r w:rsidRPr="00A47EFF">
        <w:rPr>
          <w:lang w:val="en-GB"/>
        </w:rPr>
        <w:t>,</w:t>
      </w:r>
      <w:r w:rsidR="008802A6" w:rsidRPr="00A47EFF">
        <w:rPr>
          <w:lang w:val="en-GB"/>
        </w:rPr>
        <w:t xml:space="preserve"> </w:t>
      </w:r>
      <w:r w:rsidRPr="00A47EFF">
        <w:rPr>
          <w:color w:val="000000"/>
          <w:lang w:val="en-GB"/>
        </w:rPr>
        <w:t>Gew</w:t>
      </w:r>
      <w:r w:rsidRPr="00A47EFF">
        <w:rPr>
          <w:lang w:val="en-GB"/>
        </w:rPr>
        <w:t xml:space="preserve">ürztraminer, </w:t>
      </w:r>
      <w:r w:rsidRPr="00A47EFF">
        <w:rPr>
          <w:color w:val="000000"/>
          <w:lang w:val="en-GB"/>
        </w:rPr>
        <w:t xml:space="preserve">and </w:t>
      </w:r>
      <w:r w:rsidRPr="00A47EFF">
        <w:rPr>
          <w:lang w:val="en-GB"/>
        </w:rPr>
        <w:t>Char</w:t>
      </w:r>
      <w:r w:rsidRPr="00A47EFF">
        <w:rPr>
          <w:color w:val="000000"/>
          <w:lang w:val="en-GB"/>
        </w:rPr>
        <w:t xml:space="preserve">donnay blanc </w:t>
      </w:r>
      <w:r w:rsidRPr="00A47EFF">
        <w:rPr>
          <w:lang w:val="en-GB"/>
        </w:rPr>
        <w:t>shared the largest part of young plantations up to 9 years of age</w:t>
      </w:r>
      <w:r w:rsidRPr="00A47EFF">
        <w:t xml:space="preserve"> (</w:t>
      </w:r>
      <w:r w:rsidRPr="00A47EFF">
        <w:rPr>
          <w:lang w:val="en-GB"/>
        </w:rPr>
        <w:t xml:space="preserve">63.4%, 28.2%, 25.5%, and 25.4%, respectively, of the total area of these varieties). The largest shares in the oldest age category over 30 years were recorded for traditional varieties </w:t>
      </w:r>
      <w:r w:rsidR="00896F5F" w:rsidRPr="00A47EFF">
        <w:rPr>
          <w:lang w:val="en-GB"/>
        </w:rPr>
        <w:t xml:space="preserve">- </w:t>
      </w:r>
      <w:r w:rsidRPr="00A47EFF">
        <w:rPr>
          <w:lang w:val="en-GB"/>
        </w:rPr>
        <w:t xml:space="preserve">Veltliner </w:t>
      </w:r>
      <w:proofErr w:type="spellStart"/>
      <w:r w:rsidRPr="00A47EFF">
        <w:rPr>
          <w:lang w:val="en-GB"/>
        </w:rPr>
        <w:t>grün</w:t>
      </w:r>
      <w:proofErr w:type="spellEnd"/>
      <w:r w:rsidRPr="00A47EFF">
        <w:rPr>
          <w:lang w:val="en-GB"/>
        </w:rPr>
        <w:t xml:space="preserve">, Saint Laurent, Müller Thurgau </w:t>
      </w:r>
      <w:proofErr w:type="spellStart"/>
      <w:r w:rsidRPr="00A47EFF">
        <w:rPr>
          <w:lang w:val="en-GB"/>
        </w:rPr>
        <w:t>weiss</w:t>
      </w:r>
      <w:proofErr w:type="spellEnd"/>
      <w:r w:rsidRPr="00A47EFF">
        <w:rPr>
          <w:lang w:val="en-GB"/>
        </w:rPr>
        <w:t xml:space="preserve">, and </w:t>
      </w:r>
      <w:proofErr w:type="spellStart"/>
      <w:r w:rsidRPr="00A47EFF">
        <w:rPr>
          <w:lang w:val="en-GB"/>
        </w:rPr>
        <w:t>Welschriesling</w:t>
      </w:r>
      <w:proofErr w:type="spellEnd"/>
      <w:r w:rsidRPr="00A47EFF">
        <w:rPr>
          <w:lang w:val="en-GB"/>
        </w:rPr>
        <w:t xml:space="preserve"> (56.2%, 55.4%, 54.5%, and 53.0%, respectively, of the total area of these varieties).</w:t>
      </w:r>
    </w:p>
    <w:p w14:paraId="1DDDB177" w14:textId="77777777" w:rsidR="00681583" w:rsidRPr="00A47EFF" w:rsidRDefault="00681583">
      <w:pPr>
        <w:spacing w:line="276" w:lineRule="auto"/>
        <w:rPr>
          <w:strike/>
        </w:rPr>
      </w:pPr>
    </w:p>
    <w:p w14:paraId="5CEDF3AD" w14:textId="77777777" w:rsidR="00681583" w:rsidRPr="00A47EFF" w:rsidRDefault="00241BD9">
      <w:pPr>
        <w:spacing w:line="276" w:lineRule="auto"/>
      </w:pPr>
      <w:r w:rsidRPr="00A47EFF">
        <w:rPr>
          <w:lang w:val="en-GB"/>
        </w:rPr>
        <w:t xml:space="preserve">The vast majority of vineyards (16 957 ha; 93.7%) as well as vine growers (15 972 holdings; 96.6%) were located in </w:t>
      </w:r>
      <w:proofErr w:type="spellStart"/>
      <w:r w:rsidRPr="00A47EFF">
        <w:rPr>
          <w:lang w:val="en-GB"/>
        </w:rPr>
        <w:t>Jihomoravský</w:t>
      </w:r>
      <w:proofErr w:type="spellEnd"/>
      <w:r w:rsidRPr="00A47EFF">
        <w:rPr>
          <w:lang w:val="en-GB"/>
        </w:rPr>
        <w:t xml:space="preserve"> Region. A much lesser extent of </w:t>
      </w:r>
      <w:r w:rsidR="008E7852" w:rsidRPr="00A47EFF">
        <w:rPr>
          <w:lang w:val="en-GB"/>
        </w:rPr>
        <w:t>vine planting</w:t>
      </w:r>
      <w:r w:rsidRPr="00A47EFF">
        <w:rPr>
          <w:lang w:val="en-GB"/>
        </w:rPr>
        <w:t xml:space="preserve"> was recorded in </w:t>
      </w:r>
      <w:proofErr w:type="spellStart"/>
      <w:r w:rsidRPr="00A47EFF">
        <w:rPr>
          <w:lang w:val="en-GB"/>
        </w:rPr>
        <w:t>Zlínský</w:t>
      </w:r>
      <w:proofErr w:type="spellEnd"/>
      <w:r w:rsidRPr="00A47EFF">
        <w:rPr>
          <w:lang w:val="en-GB"/>
        </w:rPr>
        <w:t xml:space="preserve"> Region, where 404 vine growers maintained 459 ha of vineyards (2.5%)</w:t>
      </w:r>
      <w:r w:rsidR="00896F5F" w:rsidRPr="00A47EFF">
        <w:rPr>
          <w:lang w:val="en-GB"/>
        </w:rPr>
        <w:t>.</w:t>
      </w:r>
      <w:r w:rsidRPr="00A47EFF">
        <w:rPr>
          <w:lang w:val="en-GB"/>
        </w:rPr>
        <w:t xml:space="preserve"> </w:t>
      </w:r>
      <w:r w:rsidR="00896F5F" w:rsidRPr="00A47EFF">
        <w:rPr>
          <w:lang w:val="en-GB"/>
        </w:rPr>
        <w:t>T</w:t>
      </w:r>
      <w:r w:rsidRPr="00A47EFF">
        <w:rPr>
          <w:lang w:val="en-GB"/>
        </w:rPr>
        <w:t xml:space="preserve">here were 73 vine growers with 332 ha (1.8%) </w:t>
      </w:r>
      <w:r w:rsidR="00896F5F" w:rsidRPr="00A47EFF">
        <w:rPr>
          <w:lang w:val="en-GB"/>
        </w:rPr>
        <w:t xml:space="preserve">in </w:t>
      </w:r>
      <w:proofErr w:type="spellStart"/>
      <w:r w:rsidR="00896F5F" w:rsidRPr="00A47EFF">
        <w:rPr>
          <w:lang w:val="en-GB"/>
        </w:rPr>
        <w:t>Středočeský</w:t>
      </w:r>
      <w:proofErr w:type="spellEnd"/>
      <w:r w:rsidR="00896F5F" w:rsidRPr="00A47EFF">
        <w:rPr>
          <w:lang w:val="en-GB"/>
        </w:rPr>
        <w:t xml:space="preserve"> Region, 49 vine growers with 325 ha (1.8%) </w:t>
      </w:r>
      <w:r w:rsidRPr="00A47EFF">
        <w:rPr>
          <w:lang w:val="en-GB"/>
        </w:rPr>
        <w:t xml:space="preserve">in </w:t>
      </w:r>
      <w:proofErr w:type="spellStart"/>
      <w:r w:rsidRPr="00A47EFF">
        <w:rPr>
          <w:lang w:val="en-GB"/>
        </w:rPr>
        <w:t>Ústecký</w:t>
      </w:r>
      <w:proofErr w:type="spellEnd"/>
      <w:r w:rsidRPr="00A47EFF">
        <w:rPr>
          <w:lang w:val="en-GB"/>
        </w:rPr>
        <w:t xml:space="preserve"> Region, and</w:t>
      </w:r>
      <w:r w:rsidR="00896F5F" w:rsidRPr="00A47EFF">
        <w:rPr>
          <w:lang w:val="en-GB"/>
        </w:rPr>
        <w:t xml:space="preserve"> 14 vine growers with 15 ha (0.1%)</w:t>
      </w:r>
      <w:r w:rsidRPr="00A47EFF">
        <w:rPr>
          <w:lang w:val="en-GB"/>
        </w:rPr>
        <w:t xml:space="preserve"> in </w:t>
      </w:r>
      <w:proofErr w:type="spellStart"/>
      <w:r w:rsidRPr="00A47EFF">
        <w:rPr>
          <w:lang w:val="en-GB"/>
        </w:rPr>
        <w:t>Hlavní</w:t>
      </w:r>
      <w:proofErr w:type="spellEnd"/>
      <w:r w:rsidRPr="00A47EFF">
        <w:rPr>
          <w:lang w:val="en-GB"/>
        </w:rPr>
        <w:t xml:space="preserve"> </w:t>
      </w:r>
      <w:proofErr w:type="spellStart"/>
      <w:r w:rsidRPr="00A47EFF">
        <w:rPr>
          <w:lang w:val="en-GB"/>
        </w:rPr>
        <w:t>město</w:t>
      </w:r>
      <w:proofErr w:type="spellEnd"/>
      <w:r w:rsidRPr="00A47EFF">
        <w:rPr>
          <w:lang w:val="en-GB"/>
        </w:rPr>
        <w:t xml:space="preserve"> Praha. In all other </w:t>
      </w:r>
      <w:r w:rsidR="00896F5F" w:rsidRPr="00A47EFF">
        <w:rPr>
          <w:lang w:val="en-GB"/>
        </w:rPr>
        <w:t>regions,</w:t>
      </w:r>
      <w:r w:rsidRPr="00A47EFF">
        <w:rPr>
          <w:lang w:val="en-GB"/>
        </w:rPr>
        <w:t xml:space="preserve"> the vine cultivation was marginal</w:t>
      </w:r>
      <w:r w:rsidR="00896F5F" w:rsidRPr="00A47EFF">
        <w:rPr>
          <w:lang w:val="en-GB"/>
        </w:rPr>
        <w:t xml:space="preserve"> as</w:t>
      </w:r>
      <w:r w:rsidRPr="00A47EFF">
        <w:rPr>
          <w:lang w:val="en-GB"/>
        </w:rPr>
        <w:t xml:space="preserve"> the number of vine growers did not exceed 10 holdings per region and the vineyard area </w:t>
      </w:r>
      <w:r w:rsidR="00843EE2" w:rsidRPr="00A47EFF">
        <w:rPr>
          <w:lang w:val="en-GB"/>
        </w:rPr>
        <w:t>was</w:t>
      </w:r>
      <w:r w:rsidRPr="00A47EFF">
        <w:rPr>
          <w:lang w:val="en-GB"/>
        </w:rPr>
        <w:t xml:space="preserve"> negligible</w:t>
      </w:r>
      <w:r w:rsidR="00843EE2" w:rsidRPr="00A47EFF">
        <w:rPr>
          <w:lang w:val="en-GB"/>
        </w:rPr>
        <w:t xml:space="preserve"> as well</w:t>
      </w:r>
      <w:r w:rsidRPr="00A47EFF">
        <w:rPr>
          <w:lang w:val="en-GB"/>
        </w:rPr>
        <w:t xml:space="preserve">. The only region with no vineyards registered was </w:t>
      </w:r>
      <w:proofErr w:type="spellStart"/>
      <w:r w:rsidRPr="00A47EFF">
        <w:rPr>
          <w:lang w:val="en-GB"/>
        </w:rPr>
        <w:t>Karlovarský</w:t>
      </w:r>
      <w:proofErr w:type="spellEnd"/>
      <w:r w:rsidRPr="00A47EFF">
        <w:rPr>
          <w:lang w:val="en-GB"/>
        </w:rPr>
        <w:t xml:space="preserve"> Region. </w:t>
      </w:r>
    </w:p>
    <w:p w14:paraId="2FAA1EB2" w14:textId="77777777" w:rsidR="00681583" w:rsidRPr="00A47EFF" w:rsidRDefault="00681583">
      <w:pPr>
        <w:pStyle w:val="Zkladntext"/>
        <w:spacing w:line="276" w:lineRule="auto"/>
        <w:rPr>
          <w:lang w:val="en-GB"/>
        </w:rPr>
      </w:pPr>
    </w:p>
    <w:p w14:paraId="2C686D41" w14:textId="3D14001C" w:rsidR="00681583" w:rsidRPr="00A47EFF" w:rsidRDefault="00241BD9">
      <w:pPr>
        <w:pStyle w:val="Zkladntext"/>
        <w:spacing w:line="276" w:lineRule="auto"/>
      </w:pPr>
      <w:r w:rsidRPr="00A47EFF">
        <w:rPr>
          <w:lang w:val="en-GB"/>
        </w:rPr>
        <w:t xml:space="preserve">In comparison </w:t>
      </w:r>
      <w:r w:rsidR="004E656E" w:rsidRPr="00A47EFF">
        <w:rPr>
          <w:lang w:val="en-GB"/>
        </w:rPr>
        <w:t>w</w:t>
      </w:r>
      <w:r w:rsidRPr="00A47EFF">
        <w:rPr>
          <w:lang w:val="en-GB"/>
        </w:rPr>
        <w:t xml:space="preserve">ith 2015, the largest changes were recorded in </w:t>
      </w:r>
      <w:proofErr w:type="spellStart"/>
      <w:r w:rsidRPr="00A47EFF">
        <w:rPr>
          <w:lang w:val="en-GB"/>
        </w:rPr>
        <w:t>Jihomoravský</w:t>
      </w:r>
      <w:proofErr w:type="spellEnd"/>
      <w:r w:rsidRPr="00A47EFF">
        <w:rPr>
          <w:lang w:val="en-GB"/>
        </w:rPr>
        <w:t xml:space="preserve"> Region, where the number of vine growers went down by 1 647 holdings (</w:t>
      </w:r>
      <w:r w:rsidRPr="00A47EFF">
        <w:rPr>
          <w:rFonts w:cs="Arial"/>
          <w:sz w:val="18"/>
          <w:szCs w:val="18"/>
          <w:lang w:val="en-GB"/>
        </w:rPr>
        <w:t>−</w:t>
      </w:r>
      <w:r w:rsidRPr="00A47EFF">
        <w:rPr>
          <w:rFonts w:cs="Arial"/>
          <w:szCs w:val="20"/>
          <w:lang w:val="en-GB"/>
        </w:rPr>
        <w:t xml:space="preserve">9.3%) but the area of vineyards rose by 268 ha (+1.6%). The vineyard area grew also in </w:t>
      </w:r>
      <w:proofErr w:type="spellStart"/>
      <w:r w:rsidRPr="00A47EFF">
        <w:rPr>
          <w:rFonts w:cs="Arial"/>
          <w:szCs w:val="20"/>
          <w:lang w:val="en-GB"/>
        </w:rPr>
        <w:t>Zlínský</w:t>
      </w:r>
      <w:proofErr w:type="spellEnd"/>
      <w:r w:rsidRPr="00A47EFF">
        <w:rPr>
          <w:rFonts w:cs="Arial"/>
          <w:szCs w:val="20"/>
          <w:lang w:val="en-GB"/>
        </w:rPr>
        <w:t xml:space="preserve"> </w:t>
      </w:r>
      <w:proofErr w:type="spellStart"/>
      <w:r w:rsidRPr="00A47EFF">
        <w:rPr>
          <w:rFonts w:cs="Arial"/>
          <w:szCs w:val="20"/>
          <w:lang w:val="en-GB"/>
        </w:rPr>
        <w:t>kraj</w:t>
      </w:r>
      <w:proofErr w:type="spellEnd"/>
      <w:r w:rsidRPr="00A47EFF">
        <w:rPr>
          <w:rFonts w:cs="Arial"/>
          <w:szCs w:val="20"/>
          <w:lang w:val="en-GB"/>
        </w:rPr>
        <w:t>, where 1</w:t>
      </w:r>
      <w:r w:rsidR="004503F2" w:rsidRPr="00A47EFF">
        <w:rPr>
          <w:rFonts w:cs="Arial"/>
          <w:szCs w:val="20"/>
          <w:lang w:val="en-GB"/>
        </w:rPr>
        <w:t>1</w:t>
      </w:r>
      <w:r w:rsidRPr="00A47EFF">
        <w:rPr>
          <w:rFonts w:cs="Arial"/>
          <w:szCs w:val="20"/>
          <w:lang w:val="en-GB"/>
        </w:rPr>
        <w:t xml:space="preserve">7 ha of vineyards - </w:t>
      </w:r>
      <w:proofErr w:type="gramStart"/>
      <w:r w:rsidRPr="00A47EFF">
        <w:rPr>
          <w:rFonts w:cs="Arial"/>
          <w:szCs w:val="20"/>
          <w:lang w:val="en-GB"/>
        </w:rPr>
        <w:t>i.e.</w:t>
      </w:r>
      <w:proofErr w:type="gramEnd"/>
      <w:r w:rsidRPr="00A47EFF">
        <w:rPr>
          <w:rFonts w:cs="Arial"/>
          <w:szCs w:val="20"/>
          <w:lang w:val="en-GB"/>
        </w:rPr>
        <w:t xml:space="preserve"> by one third more (+34.1%) - were newly cultivated; however, the number of vine growers decreased by 32 holdings (</w:t>
      </w:r>
      <w:r w:rsidRPr="00A47EFF">
        <w:rPr>
          <w:rFonts w:cs="Arial"/>
          <w:sz w:val="18"/>
          <w:szCs w:val="18"/>
          <w:lang w:val="en-GB"/>
        </w:rPr>
        <w:t>−</w:t>
      </w:r>
      <w:r w:rsidRPr="00A47EFF">
        <w:rPr>
          <w:rFonts w:cs="Arial"/>
          <w:szCs w:val="20"/>
          <w:lang w:val="en-GB"/>
        </w:rPr>
        <w:t xml:space="preserve">7.3%). </w:t>
      </w:r>
    </w:p>
    <w:p w14:paraId="3D34213E" w14:textId="77777777" w:rsidR="00681583" w:rsidRPr="00A47EFF" w:rsidRDefault="00681583">
      <w:pPr>
        <w:pStyle w:val="Zkladntext"/>
        <w:spacing w:line="276" w:lineRule="auto"/>
        <w:rPr>
          <w:lang w:val="en-GB"/>
        </w:rPr>
      </w:pPr>
    </w:p>
    <w:p w14:paraId="13EC1E12" w14:textId="2C686835" w:rsidR="00681583" w:rsidRPr="00A47EFF" w:rsidRDefault="00140BE2">
      <w:pPr>
        <w:pStyle w:val="Zkladntext"/>
        <w:spacing w:line="276" w:lineRule="auto"/>
      </w:pPr>
      <w:r w:rsidRPr="00A47EFF">
        <w:rPr>
          <w:lang w:val="en-GB"/>
        </w:rPr>
        <w:t>Further</w:t>
      </w:r>
      <w:r w:rsidR="00241BD9" w:rsidRPr="00A47EFF">
        <w:rPr>
          <w:lang w:val="en-GB"/>
        </w:rPr>
        <w:t xml:space="preserve"> detailed data </w:t>
      </w:r>
      <w:r w:rsidR="0083462E" w:rsidRPr="00A47EFF">
        <w:rPr>
          <w:lang w:val="en-GB"/>
        </w:rPr>
        <w:t xml:space="preserve">on </w:t>
      </w:r>
      <w:r w:rsidR="00241BD9" w:rsidRPr="00A47EFF">
        <w:rPr>
          <w:lang w:val="en-GB"/>
        </w:rPr>
        <w:t>production type, specialisation</w:t>
      </w:r>
      <w:r w:rsidRPr="00A47EFF">
        <w:rPr>
          <w:lang w:val="en-GB"/>
        </w:rPr>
        <w:t>,</w:t>
      </w:r>
      <w:r w:rsidR="00241BD9" w:rsidRPr="00A47EFF">
        <w:rPr>
          <w:lang w:val="en-GB"/>
        </w:rPr>
        <w:t xml:space="preserve"> and on varietal and age structure of vineyards</w:t>
      </w:r>
      <w:r w:rsidRPr="00A47EFF">
        <w:rPr>
          <w:lang w:val="en-GB"/>
        </w:rPr>
        <w:t xml:space="preserve"> are presented in the publication Vineyards (structural survey) 2020</w:t>
      </w:r>
      <w:r w:rsidR="00241BD9" w:rsidRPr="00A47EFF">
        <w:rPr>
          <w:lang w:val="en-GB"/>
        </w:rPr>
        <w:t>.</w:t>
      </w:r>
    </w:p>
    <w:p w14:paraId="644A4425" w14:textId="77777777" w:rsidR="00681583" w:rsidRPr="00A47EFF" w:rsidRDefault="00681583">
      <w:pPr>
        <w:pStyle w:val="Zkladntext"/>
        <w:spacing w:line="276" w:lineRule="auto"/>
      </w:pPr>
    </w:p>
    <w:sectPr w:rsidR="00681583" w:rsidRPr="00A47EFF">
      <w:footerReference w:type="default" r:id="rId7"/>
      <w:pgSz w:w="11906" w:h="16838"/>
      <w:pgMar w:top="1134" w:right="1134" w:bottom="1134" w:left="1134" w:header="0"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88CE" w14:textId="77777777" w:rsidR="00F97765" w:rsidRDefault="00F97765">
      <w:r>
        <w:separator/>
      </w:r>
    </w:p>
  </w:endnote>
  <w:endnote w:type="continuationSeparator" w:id="0">
    <w:p w14:paraId="1811A1D4" w14:textId="77777777" w:rsidR="00F97765" w:rsidRDefault="00F9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379F" w14:textId="77777777" w:rsidR="00681583" w:rsidRDefault="00241BD9">
    <w:pPr>
      <w:pStyle w:val="Zpat"/>
      <w:jc w:val="center"/>
    </w:pPr>
    <w:r>
      <w:rPr>
        <w:noProof/>
      </w:rPr>
      <mc:AlternateContent>
        <mc:Choice Requires="wps">
          <w:drawing>
            <wp:anchor distT="0" distB="0" distL="0" distR="0" simplePos="0" relativeHeight="3" behindDoc="1" locked="0" layoutInCell="1" allowOverlap="1" wp14:anchorId="655611AD" wp14:editId="31F1091E">
              <wp:simplePos x="0" y="0"/>
              <wp:positionH relativeFrom="margin">
                <wp:align>center</wp:align>
              </wp:positionH>
              <wp:positionV relativeFrom="paragraph">
                <wp:posOffset>635</wp:posOffset>
              </wp:positionV>
              <wp:extent cx="18415" cy="14541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764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06F793A0" w14:textId="77777777" w:rsidR="00681583" w:rsidRDefault="00681583">
                          <w:pPr>
                            <w:pStyle w:val="Zpat"/>
                            <w:rPr>
                              <w:color w:val="000000"/>
                            </w:rPr>
                          </w:pPr>
                        </w:p>
                      </w:txbxContent>
                    </wps:txbx>
                    <wps:bodyPr lIns="0" tIns="0" rIns="0" bIns="0">
                      <a:spAutoFit/>
                    </wps:bodyPr>
                  </wps:wsp>
                </a:graphicData>
              </a:graphic>
            </wp:anchor>
          </w:drawing>
        </mc:Choice>
        <mc:Fallback>
          <w:pict>
            <v:rect id="shape_0" ID="Frame1" stroked="f" style="position:absolute;margin-left:240.25pt;margin-top:0.05pt;width:1.35pt;height:11.35pt;mso-position-horizontal:center;mso-position-horizontal-relative:margin">
              <w10:wrap type="none"/>
              <v:fill o:detectmouseclick="t" on="false"/>
              <v:stroke color="#3465a4" joinstyle="round" endcap="flat"/>
              <v:textbox>
                <w:txbxContent>
                  <w:p>
                    <w:pPr>
                      <w:pStyle w:val="Footer"/>
                      <w:rPr>
                        <w:color w:val="000000"/>
                      </w:rPr>
                    </w:pPr>
                    <w:r>
                      <w:rPr>
                        <w:color w:val="000000"/>
                      </w:rPr>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F754" w14:textId="77777777" w:rsidR="00F97765" w:rsidRDefault="00F97765">
      <w:r>
        <w:separator/>
      </w:r>
    </w:p>
  </w:footnote>
  <w:footnote w:type="continuationSeparator" w:id="0">
    <w:p w14:paraId="6E6F560E" w14:textId="77777777" w:rsidR="00F97765" w:rsidRDefault="00F9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83"/>
    <w:rsid w:val="00140BE2"/>
    <w:rsid w:val="00241BD9"/>
    <w:rsid w:val="00272D67"/>
    <w:rsid w:val="002B3AFF"/>
    <w:rsid w:val="003B03B8"/>
    <w:rsid w:val="004503F2"/>
    <w:rsid w:val="004E656E"/>
    <w:rsid w:val="00681583"/>
    <w:rsid w:val="007E7A01"/>
    <w:rsid w:val="007F1184"/>
    <w:rsid w:val="0083462E"/>
    <w:rsid w:val="00843EE2"/>
    <w:rsid w:val="00851E82"/>
    <w:rsid w:val="008802A6"/>
    <w:rsid w:val="00896F5F"/>
    <w:rsid w:val="008E7852"/>
    <w:rsid w:val="00912A6D"/>
    <w:rsid w:val="009337D0"/>
    <w:rsid w:val="00A47EFF"/>
    <w:rsid w:val="00AF5F64"/>
    <w:rsid w:val="00B6774C"/>
    <w:rsid w:val="00C21FA9"/>
    <w:rsid w:val="00C637B6"/>
    <w:rsid w:val="00CD4C8B"/>
    <w:rsid w:val="00D11671"/>
    <w:rsid w:val="00D96B4C"/>
    <w:rsid w:val="00F605D1"/>
    <w:rsid w:val="00F977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8E2F"/>
  <w15:docId w15:val="{DF9BB217-A01B-4532-989A-55808828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F66796"/>
    <w:rPr>
      <w:rFonts w:ascii="Tahoma" w:hAnsi="Tahoma" w:cs="Tahoma"/>
      <w:sz w:val="16"/>
      <w:szCs w:val="16"/>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styleId="Nzev">
    <w:name w:val="Title"/>
    <w:basedOn w:val="Normln"/>
    <w:qFormat/>
    <w:pPr>
      <w:spacing w:before="240" w:after="240"/>
      <w:jc w:val="center"/>
      <w:outlineLvl w:val="0"/>
    </w:pPr>
    <w:rPr>
      <w:rFonts w:cs="Arial"/>
      <w:b/>
      <w:bCs/>
      <w:kern w:val="2"/>
      <w:sz w:val="28"/>
      <w:szCs w:val="32"/>
    </w:rPr>
  </w:style>
  <w:style w:type="paragraph" w:customStyle="1" w:styleId="normalnsodrkami">
    <w:name w:val="normalní s odrážkami"/>
    <w:basedOn w:val="Normln"/>
    <w:qFormat/>
  </w:style>
  <w:style w:type="paragraph" w:customStyle="1" w:styleId="HeaderandFooter">
    <w:name w:val="Header and Footer"/>
    <w:basedOn w:val="Normln"/>
    <w:qFormat/>
  </w:style>
  <w:style w:type="paragraph" w:styleId="Zpat">
    <w:name w:val="footer"/>
    <w:basedOn w:val="Normln"/>
    <w:semiHidden/>
    <w:pPr>
      <w:tabs>
        <w:tab w:val="center" w:pos="4536"/>
        <w:tab w:val="right" w:pos="9072"/>
      </w:tabs>
    </w:pPr>
  </w:style>
  <w:style w:type="paragraph" w:styleId="Zkladntextodsazen2">
    <w:name w:val="Body Text Indent 2"/>
    <w:basedOn w:val="Normln"/>
    <w:semiHidden/>
    <w:qFormat/>
    <w:pPr>
      <w:spacing w:line="360" w:lineRule="auto"/>
      <w:ind w:firstLine="709"/>
    </w:pPr>
    <w:rPr>
      <w:rFonts w:cs="Arial"/>
      <w:sz w:val="24"/>
    </w:rPr>
  </w:style>
  <w:style w:type="paragraph" w:styleId="Zkladntext2">
    <w:name w:val="Body Text 2"/>
    <w:basedOn w:val="Normln"/>
    <w:semiHidden/>
    <w:qFormat/>
    <w:pPr>
      <w:jc w:val="left"/>
    </w:pPr>
    <w:rPr>
      <w:rFonts w:ascii="Times New Roman" w:hAnsi="Times New Roman"/>
      <w:sz w:val="24"/>
    </w:rPr>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qFormat/>
    <w:rsid w:val="00F66796"/>
    <w:rPr>
      <w:rFonts w:ascii="Tahoma" w:hAnsi="Tahoma"/>
      <w:sz w:val="16"/>
      <w:szCs w:val="16"/>
      <w:lang w:val="x-none" w:eastAsia="x-none"/>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AB48-E62F-45C1-8B70-37D0D563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6982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subject/>
  <dc:creator>system service</dc:creator>
  <dc:description/>
  <cp:lastModifiedBy>Lhotský Zdeněk</cp:lastModifiedBy>
  <cp:revision>2</cp:revision>
  <cp:lastPrinted>2021-01-21T07:21:00Z</cp:lastPrinted>
  <dcterms:created xsi:type="dcterms:W3CDTF">2021-01-21T13:17:00Z</dcterms:created>
  <dcterms:modified xsi:type="dcterms:W3CDTF">2021-01-21T13:17:00Z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