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rawings/drawing3.xml" ContentType="application/vnd.openxmlformats-officedocument.drawingml.chartshapes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drawings/drawing4.xml" ContentType="application/vnd.openxmlformats-officedocument.drawingml.chartshapes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drawings/drawing5.xml" ContentType="application/vnd.openxmlformats-officedocument.drawingml.chartshapes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drawings/drawing6.xml" ContentType="application/vnd.openxmlformats-officedocument.drawingml.chartshapes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drawings/drawing7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F82EB" w14:textId="6FFE1CB5" w:rsidR="00097078" w:rsidRDefault="00307E77" w:rsidP="00097078">
      <w:pPr>
        <w:pStyle w:val="Nadpis110"/>
        <w:spacing w:after="220"/>
      </w:pPr>
      <w:bookmarkStart w:id="0" w:name="_Toc57061287"/>
      <w:bookmarkStart w:id="1" w:name="_GoBack"/>
      <w:bookmarkEnd w:id="1"/>
      <w:r>
        <w:t>3</w:t>
      </w:r>
      <w:r w:rsidR="00CF20A4">
        <w:t>.</w:t>
      </w:r>
      <w:r>
        <w:t> </w:t>
      </w:r>
      <w:r w:rsidR="00097078">
        <w:t>Zaměstnanost, mzdy, produktivita</w:t>
      </w:r>
      <w:bookmarkEnd w:id="0"/>
    </w:p>
    <w:p w14:paraId="240E3EA0" w14:textId="2CC9F20D" w:rsidR="00097078" w:rsidRPr="00723AEA" w:rsidRDefault="00097078" w:rsidP="00097078">
      <w:pPr>
        <w:pStyle w:val="Nadpis2"/>
        <w:rPr>
          <w:rFonts w:cs="Arial"/>
          <w:b w:val="0"/>
        </w:rPr>
      </w:pPr>
      <w:bookmarkStart w:id="2" w:name="_Toc57061288"/>
      <w:r>
        <w:rPr>
          <w:rFonts w:cs="Arial"/>
        </w:rPr>
        <w:t>3.</w:t>
      </w:r>
      <w:r w:rsidR="00307E77" w:rsidRPr="00723AEA">
        <w:rPr>
          <w:rFonts w:cs="Arial"/>
        </w:rPr>
        <w:t>1</w:t>
      </w:r>
      <w:r w:rsidR="00307E77">
        <w:rPr>
          <w:rFonts w:cs="Arial"/>
        </w:rPr>
        <w:t> </w:t>
      </w:r>
      <w:r w:rsidRPr="00723AEA">
        <w:rPr>
          <w:rFonts w:cs="Arial"/>
        </w:rPr>
        <w:t>Zaměstnanost v tuzemském průmyslu</w:t>
      </w:r>
      <w:bookmarkEnd w:id="2"/>
    </w:p>
    <w:tbl>
      <w:tblPr>
        <w:tblW w:w="964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84"/>
        <w:gridCol w:w="195"/>
        <w:gridCol w:w="7670"/>
      </w:tblGrid>
      <w:tr w:rsidR="000774EC" w14:paraId="4041FCF4" w14:textId="77777777" w:rsidTr="0014314C">
        <w:trPr>
          <w:trHeight w:val="14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53E04" w14:textId="77777777" w:rsidR="00097078" w:rsidRDefault="00097078" w:rsidP="00044059">
            <w:pPr>
              <w:pStyle w:val="Marginlie"/>
              <w:rPr>
                <w:spacing w:val="-4"/>
              </w:rPr>
            </w:pPr>
            <w:r w:rsidRPr="0057186E">
              <w:rPr>
                <w:spacing w:val="-4"/>
              </w:rPr>
              <w:t>Zaměstnanost v průmyslu má</w:t>
            </w:r>
            <w:r>
              <w:rPr>
                <w:spacing w:val="-4"/>
              </w:rPr>
              <w:t xml:space="preserve"> výrazně procyklický charakter.</w:t>
            </w:r>
          </w:p>
          <w:p w14:paraId="7FA8FAA3" w14:textId="77777777" w:rsidR="00097078" w:rsidRDefault="00097078" w:rsidP="00044059">
            <w:pPr>
              <w:pStyle w:val="Marginlie"/>
              <w:rPr>
                <w:spacing w:val="-4"/>
              </w:rPr>
            </w:pPr>
          </w:p>
          <w:p w14:paraId="10A44198" w14:textId="77777777" w:rsidR="00097078" w:rsidRDefault="00097078" w:rsidP="00044059">
            <w:pPr>
              <w:pStyle w:val="Marginlie"/>
              <w:rPr>
                <w:spacing w:val="-4"/>
              </w:rPr>
            </w:pPr>
          </w:p>
          <w:p w14:paraId="087519CC" w14:textId="34551175" w:rsidR="00097078" w:rsidRDefault="00097078" w:rsidP="00044059">
            <w:pPr>
              <w:pStyle w:val="Marginlie"/>
              <w:rPr>
                <w:spacing w:val="-4"/>
              </w:rPr>
            </w:pPr>
          </w:p>
          <w:p w14:paraId="3E8B8AB3" w14:textId="57140C57" w:rsidR="00E517AE" w:rsidRDefault="00E517AE" w:rsidP="00044059">
            <w:pPr>
              <w:pStyle w:val="Marginlie"/>
              <w:rPr>
                <w:spacing w:val="-4"/>
              </w:rPr>
            </w:pPr>
          </w:p>
          <w:p w14:paraId="372A47BA" w14:textId="77777777" w:rsidR="00E517AE" w:rsidRPr="0057186E" w:rsidRDefault="00E517AE" w:rsidP="00044059">
            <w:pPr>
              <w:pStyle w:val="Marginlie"/>
              <w:rPr>
                <w:spacing w:val="-4"/>
              </w:rPr>
            </w:pPr>
          </w:p>
          <w:p w14:paraId="0F6B55B8" w14:textId="77777777" w:rsidR="00097078" w:rsidRPr="0057186E" w:rsidRDefault="00097078" w:rsidP="00044059">
            <w:pPr>
              <w:pStyle w:val="Marginlie"/>
              <w:rPr>
                <w:spacing w:val="-4"/>
              </w:rPr>
            </w:pPr>
          </w:p>
          <w:p w14:paraId="42770894" w14:textId="77777777" w:rsidR="00307E77" w:rsidRDefault="00097078" w:rsidP="00044059">
            <w:pPr>
              <w:pStyle w:val="Marginlie"/>
              <w:rPr>
                <w:spacing w:val="-4"/>
              </w:rPr>
            </w:pPr>
            <w:r>
              <w:rPr>
                <w:spacing w:val="-4"/>
              </w:rPr>
              <w:t>Přispívá k tomu vyšší</w:t>
            </w:r>
            <w:r w:rsidRPr="0057186E">
              <w:rPr>
                <w:spacing w:val="-4"/>
              </w:rPr>
              <w:t xml:space="preserve"> citlivost na změny zahraniční poptávky</w:t>
            </w:r>
            <w:r>
              <w:rPr>
                <w:spacing w:val="-4"/>
              </w:rPr>
              <w:t xml:space="preserve"> po průmyslovém zboží i</w:t>
            </w:r>
            <w:r w:rsidRPr="0057186E">
              <w:rPr>
                <w:spacing w:val="-4"/>
              </w:rPr>
              <w:t> model zaměstnanosti s výraznější rolí agenturních pracovníků.</w:t>
            </w:r>
          </w:p>
          <w:p w14:paraId="370887C1" w14:textId="60F8C3A9" w:rsidR="00097078" w:rsidRDefault="00097078" w:rsidP="00044059">
            <w:pPr>
              <w:pStyle w:val="Marginlie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CD359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4EE2C" w14:textId="25653E25" w:rsidR="00097078" w:rsidRPr="00DF514A" w:rsidRDefault="00097078" w:rsidP="002257E8">
            <w:pPr>
              <w:spacing w:after="220"/>
              <w:rPr>
                <w:spacing w:val="-2"/>
              </w:rPr>
            </w:pPr>
            <w:r w:rsidRPr="00DF514A">
              <w:rPr>
                <w:spacing w:val="-2"/>
              </w:rPr>
              <w:t xml:space="preserve">Průmysl představuje jeden z klíčových segmentů na tuzemském pracovním trhu. Svědčí </w:t>
            </w:r>
            <w:r w:rsidR="00307E77" w:rsidRPr="00DF514A">
              <w:rPr>
                <w:spacing w:val="-2"/>
              </w:rPr>
              <w:t>o</w:t>
            </w:r>
            <w:r w:rsidR="00307E77">
              <w:rPr>
                <w:spacing w:val="-2"/>
              </w:rPr>
              <w:t> </w:t>
            </w:r>
            <w:r w:rsidRPr="00DF514A">
              <w:rPr>
                <w:spacing w:val="-2"/>
              </w:rPr>
              <w:t xml:space="preserve">tom </w:t>
            </w:r>
            <w:r w:rsidR="00307E77" w:rsidRPr="00DF514A">
              <w:rPr>
                <w:spacing w:val="-2"/>
              </w:rPr>
              <w:t>i</w:t>
            </w:r>
            <w:r w:rsidR="00307E77">
              <w:rPr>
                <w:spacing w:val="-2"/>
              </w:rPr>
              <w:t> </w:t>
            </w:r>
            <w:r w:rsidRPr="00DF514A">
              <w:rPr>
                <w:spacing w:val="-2"/>
              </w:rPr>
              <w:t>skutečnost, že samotný zpracovatelský průmysl tvoří z hlediska celkové zaměstnanost</w:t>
            </w:r>
            <w:r w:rsidR="00530243">
              <w:rPr>
                <w:spacing w:val="-2"/>
              </w:rPr>
              <w:t>i</w:t>
            </w:r>
            <w:r w:rsidR="002257E8" w:rsidRPr="00DF514A">
              <w:rPr>
                <w:rStyle w:val="Znakapoznpodarou"/>
                <w:spacing w:val="-2"/>
              </w:rPr>
              <w:footnoteReference w:id="1"/>
            </w:r>
            <w:r w:rsidRPr="00DF514A">
              <w:rPr>
                <w:spacing w:val="-2"/>
              </w:rPr>
              <w:t xml:space="preserve"> s přehledem nejsilnější odvětvovou sekci ekonomiky. Ve všech dílčích odvětvích průmyslu pracovalo v roce 2019 celkem 1 561</w:t>
            </w:r>
            <w:r w:rsidR="002257E8">
              <w:rPr>
                <w:spacing w:val="-2"/>
              </w:rPr>
              <w:t xml:space="preserve"> tis. fyzických </w:t>
            </w:r>
            <w:r w:rsidRPr="00DF514A">
              <w:rPr>
                <w:spacing w:val="-2"/>
              </w:rPr>
              <w:t>osob. Vzhledem k tomu, že práce na zkrácené úvazky je zde na rozdíl od některých odvětví tržních služeb spíše okrajovou záležitostí</w:t>
            </w:r>
            <w:r w:rsidRPr="00DF514A">
              <w:rPr>
                <w:rStyle w:val="Znakapoznpodarou"/>
                <w:spacing w:val="-2"/>
              </w:rPr>
              <w:footnoteReference w:id="2"/>
            </w:r>
            <w:r w:rsidRPr="00DF514A">
              <w:rPr>
                <w:spacing w:val="-2"/>
              </w:rPr>
              <w:t>, výše uvedená četnost se tak od tzv. přepočteného počtu zaměstnanců lišila jen minimálně (1</w:t>
            </w:r>
            <w:r w:rsidR="00530243">
              <w:rPr>
                <w:spacing w:val="-2"/>
              </w:rPr>
              <w:t> </w:t>
            </w:r>
            <w:r w:rsidRPr="00DF514A">
              <w:rPr>
                <w:spacing w:val="-2"/>
              </w:rPr>
              <w:t>517</w:t>
            </w:r>
            <w:r w:rsidR="006E33D0">
              <w:rPr>
                <w:spacing w:val="-2"/>
              </w:rPr>
              <w:t> tis.</w:t>
            </w:r>
            <w:r w:rsidRPr="00DF514A">
              <w:rPr>
                <w:spacing w:val="-2"/>
              </w:rPr>
              <w:t xml:space="preserve">). Takto vyjádřený počet pracovníků v průmyslu byl téměř totožný se stavem </w:t>
            </w:r>
            <w:r w:rsidR="00307E77" w:rsidRPr="00DF514A">
              <w:rPr>
                <w:spacing w:val="-2"/>
              </w:rPr>
              <w:t>z</w:t>
            </w:r>
            <w:r w:rsidR="00307E77">
              <w:rPr>
                <w:spacing w:val="-2"/>
              </w:rPr>
              <w:t> </w:t>
            </w:r>
            <w:r w:rsidRPr="00DF514A">
              <w:rPr>
                <w:spacing w:val="-2"/>
              </w:rPr>
              <w:t>vrcholu konjunktury minulé dekády (</w:t>
            </w:r>
            <w:r w:rsidR="00307E77" w:rsidRPr="00DF514A">
              <w:rPr>
                <w:spacing w:val="-2"/>
              </w:rPr>
              <w:t>v</w:t>
            </w:r>
            <w:r w:rsidR="00307E77">
              <w:rPr>
                <w:spacing w:val="-2"/>
              </w:rPr>
              <w:t> </w:t>
            </w:r>
            <w:r w:rsidRPr="00DF514A">
              <w:rPr>
                <w:spacing w:val="-2"/>
              </w:rPr>
              <w:t xml:space="preserve">roce 2008). Dynamika zaměstnanosti v průmyslu se ve srovnání s ostatními odvětvími vyznačuje vyšší citlivostí k hospodářskému cyklu. </w:t>
            </w:r>
            <w:r w:rsidR="002B49B9">
              <w:rPr>
                <w:spacing w:val="-2"/>
              </w:rPr>
              <w:t>M</w:t>
            </w:r>
            <w:r w:rsidRPr="00DF514A">
              <w:rPr>
                <w:spacing w:val="-2"/>
              </w:rPr>
              <w:t>odel zaměstnanosti, v němž hrají stále významnější roli agenturní pracovníci</w:t>
            </w:r>
            <w:r w:rsidRPr="00DF514A">
              <w:rPr>
                <w:rStyle w:val="Znakapoznpodarou"/>
                <w:spacing w:val="-2"/>
              </w:rPr>
              <w:footnoteReference w:id="3"/>
            </w:r>
            <w:r>
              <w:rPr>
                <w:spacing w:val="-2"/>
              </w:rPr>
              <w:t xml:space="preserve"> </w:t>
            </w:r>
            <w:r w:rsidR="00954CE4">
              <w:rPr>
                <w:spacing w:val="-2"/>
              </w:rPr>
              <w:t>(mnohdy pracující na dobu určitou)</w:t>
            </w:r>
            <w:r w:rsidR="008906E1">
              <w:rPr>
                <w:spacing w:val="-2"/>
              </w:rPr>
              <w:t>,</w:t>
            </w:r>
            <w:r w:rsidR="00954CE4" w:rsidRPr="00DF514A">
              <w:rPr>
                <w:spacing w:val="-2"/>
              </w:rPr>
              <w:t xml:space="preserve"> </w:t>
            </w:r>
            <w:r>
              <w:rPr>
                <w:spacing w:val="-2"/>
              </w:rPr>
              <w:t>tvoření obvykle</w:t>
            </w:r>
            <w:r w:rsidRPr="00DF514A">
              <w:rPr>
                <w:spacing w:val="-2"/>
              </w:rPr>
              <w:t xml:space="preserve"> imigranty či pendlery</w:t>
            </w:r>
            <w:r w:rsidR="00E517AE">
              <w:rPr>
                <w:spacing w:val="-2"/>
              </w:rPr>
              <w:t xml:space="preserve"> </w:t>
            </w:r>
            <w:r w:rsidRPr="00DF514A">
              <w:rPr>
                <w:spacing w:val="-2"/>
              </w:rPr>
              <w:t>z hospodářsky méně</w:t>
            </w:r>
            <w:r w:rsidR="002B49B9">
              <w:rPr>
                <w:spacing w:val="-2"/>
              </w:rPr>
              <w:t xml:space="preserve"> vyspělých států, </w:t>
            </w:r>
            <w:r w:rsidR="00E517AE">
              <w:rPr>
                <w:spacing w:val="-2"/>
              </w:rPr>
              <w:t>vede k tomu, že průmysl dokáže pružněji reagovat na výkyvy zejména zahraniční poptávky</w:t>
            </w:r>
            <w:r w:rsidRPr="00DF514A">
              <w:rPr>
                <w:spacing w:val="-2"/>
              </w:rPr>
              <w:t xml:space="preserve">. Např. v celé ČR se v letech 2009 až 2010 počet pracovníků meziročně redukoval v průměru </w:t>
            </w:r>
            <w:r w:rsidR="008906E1">
              <w:rPr>
                <w:spacing w:val="-2"/>
              </w:rPr>
              <w:t>o </w:t>
            </w:r>
            <w:r w:rsidRPr="00DF514A">
              <w:rPr>
                <w:spacing w:val="-2"/>
              </w:rPr>
              <w:t>1,4</w:t>
            </w:r>
            <w:r w:rsidR="006E33D0">
              <w:rPr>
                <w:spacing w:val="-2"/>
              </w:rPr>
              <w:t> %</w:t>
            </w:r>
            <w:r w:rsidRPr="00DF514A">
              <w:rPr>
                <w:spacing w:val="-2"/>
              </w:rPr>
              <w:t xml:space="preserve">, v samotném odvětví průmyslu ale </w:t>
            </w:r>
            <w:r w:rsidR="00307E77" w:rsidRPr="00DF514A">
              <w:rPr>
                <w:spacing w:val="-2"/>
              </w:rPr>
              <w:t>o</w:t>
            </w:r>
            <w:r w:rsidR="00307E77">
              <w:rPr>
                <w:spacing w:val="-2"/>
              </w:rPr>
              <w:t> </w:t>
            </w:r>
            <w:r w:rsidRPr="00DF514A">
              <w:rPr>
                <w:spacing w:val="-2"/>
              </w:rPr>
              <w:t>5,3</w:t>
            </w:r>
            <w:r w:rsidR="006E33D0">
              <w:rPr>
                <w:spacing w:val="-2"/>
              </w:rPr>
              <w:t> %</w:t>
            </w:r>
            <w:r w:rsidRPr="00DF514A">
              <w:rPr>
                <w:spacing w:val="-2"/>
              </w:rPr>
              <w:t xml:space="preserve">. Na </w:t>
            </w:r>
            <w:r w:rsidR="008906E1" w:rsidRPr="00DF514A">
              <w:rPr>
                <w:spacing w:val="-2"/>
              </w:rPr>
              <w:t>druh</w:t>
            </w:r>
            <w:r w:rsidR="008906E1">
              <w:rPr>
                <w:spacing w:val="-2"/>
              </w:rPr>
              <w:t>é</w:t>
            </w:r>
            <w:r w:rsidR="008906E1" w:rsidRPr="00DF514A">
              <w:rPr>
                <w:spacing w:val="-2"/>
              </w:rPr>
              <w:t xml:space="preserve"> stran</w:t>
            </w:r>
            <w:r w:rsidR="008906E1">
              <w:rPr>
                <w:spacing w:val="-2"/>
              </w:rPr>
              <w:t>ě</w:t>
            </w:r>
            <w:r w:rsidR="008906E1" w:rsidRPr="00DF514A">
              <w:rPr>
                <w:spacing w:val="-2"/>
              </w:rPr>
              <w:t xml:space="preserve"> </w:t>
            </w:r>
            <w:r w:rsidRPr="00DF514A">
              <w:rPr>
                <w:spacing w:val="-2"/>
              </w:rPr>
              <w:t>v obdobích hospodářské expanze bývá průmysl jedním z nejdynamičtějších segmentů ekonomiky. V období 2014 až 2017 činilo průměrné roční tempo růstu zaměstnanosti v průmyslu 1,8</w:t>
            </w:r>
            <w:r w:rsidR="006E33D0">
              <w:rPr>
                <w:spacing w:val="-2"/>
              </w:rPr>
              <w:t> %</w:t>
            </w:r>
            <w:r w:rsidRPr="00DF514A">
              <w:rPr>
                <w:spacing w:val="-2"/>
              </w:rPr>
              <w:t>, v celé ekonomice pak 1,1</w:t>
            </w:r>
            <w:r w:rsidR="006E33D0">
              <w:rPr>
                <w:spacing w:val="-2"/>
              </w:rPr>
              <w:t> %</w:t>
            </w:r>
            <w:r w:rsidRPr="00DF514A">
              <w:rPr>
                <w:spacing w:val="-2"/>
              </w:rPr>
              <w:t>.</w:t>
            </w:r>
          </w:p>
        </w:tc>
      </w:tr>
      <w:tr w:rsidR="000774EC" w14:paraId="1375B505" w14:textId="77777777" w:rsidTr="0014314C">
        <w:trPr>
          <w:trHeight w:val="14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1F6DB" w14:textId="77777777" w:rsidR="00097078" w:rsidRDefault="00097078" w:rsidP="00044059">
            <w:pPr>
              <w:pStyle w:val="Marginlie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7FDB7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CF3E7" w14:textId="50F8A13E" w:rsidR="00097078" w:rsidRPr="00FB7A5C" w:rsidRDefault="004C0391" w:rsidP="00044059">
            <w:pPr>
              <w:spacing w:after="40"/>
              <w:jc w:val="left"/>
              <w:rPr>
                <w:b/>
                <w:spacing w:val="-4"/>
              </w:rPr>
            </w:pPr>
            <w:r w:rsidRPr="00FB7A5C">
              <w:rPr>
                <w:b/>
                <w:spacing w:val="-4"/>
              </w:rPr>
              <w:t>Graf</w:t>
            </w:r>
            <w:r w:rsidR="006E33D0" w:rsidRPr="00FB7A5C">
              <w:rPr>
                <w:b/>
                <w:spacing w:val="-4"/>
              </w:rPr>
              <w:t xml:space="preserve"> č. </w:t>
            </w:r>
            <w:r w:rsidR="00307E77" w:rsidRPr="00FB7A5C">
              <w:rPr>
                <w:b/>
                <w:spacing w:val="-4"/>
              </w:rPr>
              <w:t xml:space="preserve">6  </w:t>
            </w:r>
            <w:r w:rsidR="00097078" w:rsidRPr="00FB7A5C">
              <w:rPr>
                <w:b/>
                <w:spacing w:val="-4"/>
              </w:rPr>
              <w:t xml:space="preserve">Počet zaměstnanců, sebezaměstnaných </w:t>
            </w:r>
            <w:r w:rsidR="00097078" w:rsidRPr="00FB7A5C">
              <w:rPr>
                <w:spacing w:val="-4"/>
              </w:rPr>
              <w:t>(úroveň roku 2005</w:t>
            </w:r>
            <w:r w:rsidR="00A92D9F" w:rsidRPr="00FB7A5C">
              <w:rPr>
                <w:spacing w:val="-4"/>
              </w:rPr>
              <w:t> </w:t>
            </w:r>
            <w:r w:rsidR="00097078" w:rsidRPr="00FB7A5C">
              <w:rPr>
                <w:spacing w:val="-4"/>
              </w:rPr>
              <w:t>=</w:t>
            </w:r>
            <w:r w:rsidR="00A92D9F" w:rsidRPr="00FB7A5C">
              <w:rPr>
                <w:spacing w:val="-4"/>
              </w:rPr>
              <w:t> </w:t>
            </w:r>
            <w:r w:rsidR="00097078" w:rsidRPr="00FB7A5C">
              <w:rPr>
                <w:spacing w:val="-4"/>
              </w:rPr>
              <w:t xml:space="preserve">100) </w:t>
            </w:r>
            <w:r w:rsidR="00307E77" w:rsidRPr="00FB7A5C">
              <w:rPr>
                <w:b/>
                <w:spacing w:val="-4"/>
              </w:rPr>
              <w:t>a </w:t>
            </w:r>
            <w:r w:rsidR="00097078" w:rsidRPr="00FB7A5C">
              <w:rPr>
                <w:b/>
                <w:spacing w:val="-4"/>
              </w:rPr>
              <w:t xml:space="preserve">celkový počet pracovníků* v průmyslu </w:t>
            </w:r>
            <w:r w:rsidR="00307E77" w:rsidRPr="00FB7A5C">
              <w:rPr>
                <w:b/>
                <w:spacing w:val="-4"/>
              </w:rPr>
              <w:t>a </w:t>
            </w:r>
            <w:r w:rsidR="00097078" w:rsidRPr="00FB7A5C">
              <w:rPr>
                <w:b/>
                <w:spacing w:val="-4"/>
              </w:rPr>
              <w:t xml:space="preserve">národním hospodářství ČR </w:t>
            </w:r>
            <w:r w:rsidR="00097078" w:rsidRPr="00FB7A5C">
              <w:rPr>
                <w:spacing w:val="-4"/>
              </w:rPr>
              <w:t>(meziroční změna, v</w:t>
            </w:r>
            <w:r w:rsidR="006E33D0" w:rsidRPr="00FB7A5C">
              <w:rPr>
                <w:spacing w:val="-4"/>
              </w:rPr>
              <w:t> %</w:t>
            </w:r>
            <w:r w:rsidR="00097078" w:rsidRPr="00FB7A5C">
              <w:rPr>
                <w:spacing w:val="-4"/>
              </w:rPr>
              <w:t>)</w:t>
            </w:r>
          </w:p>
        </w:tc>
      </w:tr>
      <w:tr w:rsidR="00FB5B26" w14:paraId="2909D23D" w14:textId="77777777" w:rsidTr="0014314C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E4677" w14:textId="77777777" w:rsidR="00097078" w:rsidRDefault="00097078" w:rsidP="00044059">
            <w:pPr>
              <w:pStyle w:val="Marginlie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2038F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F493E" w14:textId="3A48AB91" w:rsidR="00097078" w:rsidRDefault="00FB7A5C" w:rsidP="00044059">
            <w:pPr>
              <w:spacing w:after="40"/>
            </w:pPr>
            <w:r>
              <w:rPr>
                <w:noProof/>
              </w:rPr>
              <w:drawing>
                <wp:inline distT="0" distB="0" distL="0" distR="0" wp14:anchorId="10EAA3A2" wp14:editId="1FBFD0A4">
                  <wp:extent cx="4688840" cy="3364992"/>
                  <wp:effectExtent l="0" t="0" r="0" b="6985"/>
                  <wp:docPr id="35" name="Graf 3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0774EC" w14:paraId="5A49B466" w14:textId="77777777" w:rsidTr="0014314C">
        <w:trPr>
          <w:trHeight w:val="14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33005" w14:textId="77777777" w:rsidR="00097078" w:rsidRDefault="00097078" w:rsidP="00044059">
            <w:pPr>
              <w:pStyle w:val="Marginlie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6230E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BB804" w14:textId="73A453BB" w:rsidR="00097078" w:rsidRPr="00F710D4" w:rsidRDefault="00097078" w:rsidP="00044059">
            <w:pPr>
              <w:spacing w:after="0"/>
              <w:rPr>
                <w:sz w:val="14"/>
                <w:szCs w:val="14"/>
              </w:rPr>
            </w:pPr>
            <w:r w:rsidRPr="00F710D4">
              <w:rPr>
                <w:sz w:val="14"/>
                <w:szCs w:val="14"/>
              </w:rPr>
              <w:t>*Všechny údaje vycház</w:t>
            </w:r>
            <w:r w:rsidR="00A92D9F">
              <w:rPr>
                <w:sz w:val="14"/>
                <w:szCs w:val="14"/>
              </w:rPr>
              <w:t>ej</w:t>
            </w:r>
            <w:r w:rsidRPr="00F710D4">
              <w:rPr>
                <w:sz w:val="14"/>
                <w:szCs w:val="14"/>
              </w:rPr>
              <w:t>í z údajů přepočtených na plné úvazky.</w:t>
            </w:r>
          </w:p>
          <w:p w14:paraId="7B2F2274" w14:textId="77777777" w:rsidR="00097078" w:rsidRPr="00F710D4" w:rsidRDefault="00097078" w:rsidP="00044059">
            <w:pPr>
              <w:spacing w:after="220"/>
              <w:rPr>
                <w:sz w:val="14"/>
                <w:szCs w:val="14"/>
              </w:rPr>
            </w:pPr>
            <w:r w:rsidRPr="00F710D4">
              <w:rPr>
                <w:sz w:val="14"/>
                <w:szCs w:val="14"/>
              </w:rPr>
              <w:t>Zdroj: ČSÚ (národní účty)</w:t>
            </w:r>
          </w:p>
        </w:tc>
      </w:tr>
      <w:tr w:rsidR="000774EC" w14:paraId="16816FB3" w14:textId="77777777" w:rsidTr="0014314C">
        <w:trPr>
          <w:trHeight w:val="14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F29A5" w14:textId="77777777" w:rsidR="00307E77" w:rsidRDefault="00097078" w:rsidP="00044059">
            <w:pPr>
              <w:pStyle w:val="Marginlie"/>
              <w:rPr>
                <w:spacing w:val="-4"/>
              </w:rPr>
            </w:pPr>
            <w:r w:rsidRPr="008C3C5B">
              <w:rPr>
                <w:spacing w:val="-4"/>
              </w:rPr>
              <w:lastRenderedPageBreak/>
              <w:t>Dlouhodobý vývoj počtu sebezaměstnaných v průmyslu přímou vazbu na hospodářský cyklus nevykazoval.</w:t>
            </w:r>
          </w:p>
          <w:p w14:paraId="2A8D5C9C" w14:textId="77777777" w:rsidR="00307E77" w:rsidRDefault="00307E77" w:rsidP="00044059">
            <w:pPr>
              <w:pStyle w:val="Marginlie"/>
              <w:rPr>
                <w:spacing w:val="-4"/>
              </w:rPr>
            </w:pPr>
          </w:p>
          <w:p w14:paraId="3EE08304" w14:textId="77777777" w:rsidR="00307E77" w:rsidRDefault="00097078" w:rsidP="00044059">
            <w:pPr>
              <w:pStyle w:val="Marginlie"/>
            </w:pPr>
            <w:r w:rsidRPr="00D00890">
              <w:t>Zaměstnanců v poslední dekádě vcelku plynule přibývalo, počet sebezaměstnaných v průmyslu spíše stagnoval.</w:t>
            </w:r>
          </w:p>
          <w:p w14:paraId="3D019DA2" w14:textId="0C2692F5" w:rsidR="00097078" w:rsidRDefault="00097078" w:rsidP="00044059">
            <w:pPr>
              <w:pStyle w:val="Marginlie"/>
            </w:pPr>
          </w:p>
          <w:p w14:paraId="020915C4" w14:textId="77777777" w:rsidR="00097078" w:rsidRDefault="00097078" w:rsidP="00044059">
            <w:pPr>
              <w:pStyle w:val="Marginlie"/>
            </w:pPr>
          </w:p>
          <w:p w14:paraId="31949F60" w14:textId="77777777" w:rsidR="00097078" w:rsidRDefault="00097078" w:rsidP="00044059">
            <w:pPr>
              <w:pStyle w:val="Marginlie"/>
            </w:pPr>
          </w:p>
          <w:p w14:paraId="2DB2EEEF" w14:textId="77777777" w:rsidR="00097078" w:rsidRDefault="00097078" w:rsidP="00044059">
            <w:pPr>
              <w:pStyle w:val="Marginlie"/>
            </w:pPr>
          </w:p>
          <w:p w14:paraId="44851520" w14:textId="32F8DB9D" w:rsidR="00097078" w:rsidRPr="00D00890" w:rsidRDefault="00097078" w:rsidP="00044059">
            <w:pPr>
              <w:pStyle w:val="Marginlie"/>
            </w:pPr>
            <w:r>
              <w:t>Počet pracovníků v průmyslu se v roce 2019 snížil, nejvíce za poslední</w:t>
            </w:r>
            <w:r w:rsidR="00FD32DB">
              <w:t>ch</w:t>
            </w:r>
            <w:r>
              <w:t xml:space="preserve"> devět let.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83F59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30130" w14:textId="688B19D6" w:rsidR="00097078" w:rsidRPr="005143A4" w:rsidRDefault="00097078" w:rsidP="00BE3331">
            <w:pPr>
              <w:spacing w:after="220"/>
              <w:rPr>
                <w:spacing w:val="-2"/>
                <w:szCs w:val="20"/>
              </w:rPr>
            </w:pPr>
            <w:r>
              <w:rPr>
                <w:spacing w:val="-2"/>
              </w:rPr>
              <w:t>Výše uvedená</w:t>
            </w:r>
            <w:r w:rsidRPr="005143A4">
              <w:rPr>
                <w:spacing w:val="-2"/>
              </w:rPr>
              <w:t xml:space="preserve"> cykličnost se týká primárně zaměstnanců. </w:t>
            </w:r>
            <w:r w:rsidR="00307E77" w:rsidRPr="005143A4">
              <w:rPr>
                <w:spacing w:val="-2"/>
              </w:rPr>
              <w:t>U</w:t>
            </w:r>
            <w:r w:rsidR="00307E77">
              <w:rPr>
                <w:spacing w:val="-2"/>
              </w:rPr>
              <w:t> </w:t>
            </w:r>
            <w:r w:rsidRPr="005143A4">
              <w:rPr>
                <w:spacing w:val="-2"/>
              </w:rPr>
              <w:t xml:space="preserve">sebezaměstnaných v průmyslu je vazba </w:t>
            </w:r>
            <w:r w:rsidR="00307E77" w:rsidRPr="005143A4">
              <w:rPr>
                <w:spacing w:val="-2"/>
              </w:rPr>
              <w:t>s</w:t>
            </w:r>
            <w:r w:rsidR="00307E77">
              <w:rPr>
                <w:spacing w:val="-2"/>
              </w:rPr>
              <w:t> </w:t>
            </w:r>
            <w:r w:rsidRPr="005143A4">
              <w:rPr>
                <w:spacing w:val="-2"/>
              </w:rPr>
              <w:t xml:space="preserve">hospodářským vývojem výrazně rozostřená. </w:t>
            </w:r>
            <w:r>
              <w:rPr>
                <w:spacing w:val="-2"/>
              </w:rPr>
              <w:t xml:space="preserve">Počet </w:t>
            </w:r>
            <w:r w:rsidRPr="005143A4">
              <w:rPr>
                <w:spacing w:val="-2"/>
              </w:rPr>
              <w:t>sebezaměstnaných</w:t>
            </w:r>
            <w:r>
              <w:rPr>
                <w:spacing w:val="-2"/>
              </w:rPr>
              <w:t xml:space="preserve"> plynule rostl od počátku 9</w:t>
            </w:r>
            <w:r w:rsidR="00307E77">
              <w:rPr>
                <w:spacing w:val="-2"/>
              </w:rPr>
              <w:t>0. </w:t>
            </w:r>
            <w:r>
              <w:rPr>
                <w:spacing w:val="-2"/>
              </w:rPr>
              <w:t xml:space="preserve">let až do roku 2003, tedy </w:t>
            </w:r>
            <w:r w:rsidR="00307E77">
              <w:rPr>
                <w:spacing w:val="-2"/>
              </w:rPr>
              <w:t>i </w:t>
            </w:r>
            <w:r>
              <w:rPr>
                <w:spacing w:val="-2"/>
              </w:rPr>
              <w:t xml:space="preserve">v období finanční krize </w:t>
            </w:r>
            <w:r w:rsidR="00FD32DB">
              <w:rPr>
                <w:spacing w:val="-2"/>
              </w:rPr>
              <w:t xml:space="preserve">na </w:t>
            </w:r>
            <w:r>
              <w:rPr>
                <w:spacing w:val="-2"/>
              </w:rPr>
              <w:t>konci 9</w:t>
            </w:r>
            <w:r w:rsidR="00307E77">
              <w:rPr>
                <w:spacing w:val="-2"/>
              </w:rPr>
              <w:t>0. </w:t>
            </w:r>
            <w:r>
              <w:rPr>
                <w:spacing w:val="-2"/>
              </w:rPr>
              <w:t xml:space="preserve">let. Tento vývoj souvisel se všeobecným rozvojem drobného podnikání </w:t>
            </w:r>
            <w:r w:rsidR="00307E77">
              <w:rPr>
                <w:spacing w:val="-2"/>
              </w:rPr>
              <w:t>a </w:t>
            </w:r>
            <w:r>
              <w:rPr>
                <w:spacing w:val="-2"/>
              </w:rPr>
              <w:t xml:space="preserve">nebyl zdaleka omezen pouze na průmysl. V letech 2004 až 2006, </w:t>
            </w:r>
            <w:r w:rsidR="00FD32DB">
              <w:rPr>
                <w:spacing w:val="-2"/>
              </w:rPr>
              <w:t xml:space="preserve">která byla </w:t>
            </w:r>
            <w:r>
              <w:rPr>
                <w:spacing w:val="-2"/>
              </w:rPr>
              <w:t xml:space="preserve">celkově ve znamení sílící konjunktury, zde sebezaměstnaných mírně ubývalo (zčásti patrně vlivem přelivu do zaměstnaneckých pozic v průmyslu). V letech 2007 </w:t>
            </w:r>
            <w:r w:rsidR="00FD32DB">
              <w:rPr>
                <w:spacing w:val="-2"/>
              </w:rPr>
              <w:t>a </w:t>
            </w:r>
            <w:r>
              <w:rPr>
                <w:spacing w:val="-2"/>
              </w:rPr>
              <w:t xml:space="preserve">2008 již přispívaly ke svižnému více než 2% růstu zaměstnanosti v průmyslu jak drobní podnikatelé, tak zaměstnanci. Následná hluboká recese vedla v roce </w:t>
            </w:r>
            <w:r w:rsidR="00BE3331">
              <w:rPr>
                <w:spacing w:val="-2"/>
              </w:rPr>
              <w:t xml:space="preserve">2009 </w:t>
            </w:r>
            <w:r>
              <w:rPr>
                <w:spacing w:val="-2"/>
              </w:rPr>
              <w:t>k citelné redukci zaměstnaneckých pozic (</w:t>
            </w:r>
            <w:r w:rsidR="00307E77">
              <w:rPr>
                <w:spacing w:val="-2"/>
              </w:rPr>
              <w:t>o </w:t>
            </w:r>
            <w:r>
              <w:rPr>
                <w:spacing w:val="-2"/>
              </w:rPr>
              <w:t>7,1</w:t>
            </w:r>
            <w:r w:rsidR="006E33D0">
              <w:rPr>
                <w:spacing w:val="-2"/>
              </w:rPr>
              <w:t> %</w:t>
            </w:r>
            <w:r>
              <w:rPr>
                <w:spacing w:val="-2"/>
              </w:rPr>
              <w:t xml:space="preserve"> meziročně), sebezaměstnaných ubývalo pozvolněji (</w:t>
            </w:r>
            <w:r w:rsidR="00307E77">
              <w:rPr>
                <w:spacing w:val="-2"/>
              </w:rPr>
              <w:t>o </w:t>
            </w:r>
            <w:r>
              <w:rPr>
                <w:spacing w:val="-2"/>
              </w:rPr>
              <w:t>2,2</w:t>
            </w:r>
            <w:r w:rsidR="006E33D0">
              <w:rPr>
                <w:spacing w:val="-2"/>
              </w:rPr>
              <w:t> %</w:t>
            </w:r>
            <w:r>
              <w:rPr>
                <w:spacing w:val="-2"/>
              </w:rPr>
              <w:t xml:space="preserve">). Ti tak dosáhli předkrizové úrovně zaměstnanosti již během roku 2010. </w:t>
            </w:r>
            <w:r w:rsidR="00307E77">
              <w:rPr>
                <w:spacing w:val="-2"/>
              </w:rPr>
              <w:t>U </w:t>
            </w:r>
            <w:r>
              <w:rPr>
                <w:spacing w:val="-2"/>
              </w:rPr>
              <w:t xml:space="preserve">zaměstnanců se tak stalo až v roce 2018, a to navzdory faktu, že počet obsazených pracovních míst v této kategorii po většinu poslední dekády vcelku plynule rostl. </w:t>
            </w:r>
            <w:r>
              <w:rPr>
                <w:szCs w:val="20"/>
              </w:rPr>
              <w:t xml:space="preserve">Cyklický vývoj průmyslu je patrný </w:t>
            </w:r>
            <w:r w:rsidR="00307E77">
              <w:rPr>
                <w:szCs w:val="20"/>
              </w:rPr>
              <w:t>v </w:t>
            </w:r>
            <w:r>
              <w:rPr>
                <w:szCs w:val="20"/>
              </w:rPr>
              <w:t xml:space="preserve">dynamice celkové zaměstnanosti </w:t>
            </w:r>
            <w:r w:rsidR="00307E77">
              <w:rPr>
                <w:szCs w:val="20"/>
              </w:rPr>
              <w:t>i </w:t>
            </w:r>
            <w:r>
              <w:rPr>
                <w:szCs w:val="20"/>
              </w:rPr>
              <w:t>v posledních pěti letech. Zatímco v celé ekonomice se meziroční růstové tempo počtu pracovníků v období 2015 až 2018 téměř neměnilo (</w:t>
            </w:r>
            <w:r w:rsidR="00307E77">
              <w:rPr>
                <w:szCs w:val="20"/>
              </w:rPr>
              <w:t>v </w:t>
            </w:r>
            <w:r>
              <w:rPr>
                <w:szCs w:val="20"/>
              </w:rPr>
              <w:t>průměru dosahovalo 1,3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>), v průmyslu růst slábl (</w:t>
            </w:r>
            <w:r w:rsidR="00307E77">
              <w:rPr>
                <w:szCs w:val="20"/>
              </w:rPr>
              <w:t>z </w:t>
            </w:r>
            <w:r>
              <w:rPr>
                <w:szCs w:val="20"/>
              </w:rPr>
              <w:t>vysokých 3,1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 xml:space="preserve"> na 0,8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>). V roce 2019 zde zaměstnanost již mírně klesla (</w:t>
            </w:r>
            <w:r w:rsidR="00307E77">
              <w:rPr>
                <w:szCs w:val="20"/>
              </w:rPr>
              <w:t>o </w:t>
            </w:r>
            <w:r>
              <w:rPr>
                <w:szCs w:val="20"/>
              </w:rPr>
              <w:t>0,8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>)</w:t>
            </w:r>
            <w:r w:rsidR="00FD32DB">
              <w:rPr>
                <w:szCs w:val="20"/>
              </w:rPr>
              <w:t>,</w:t>
            </w:r>
            <w:r>
              <w:rPr>
                <w:szCs w:val="20"/>
              </w:rPr>
              <w:t xml:space="preserve"> </w:t>
            </w:r>
            <w:r w:rsidR="00307E77">
              <w:rPr>
                <w:szCs w:val="20"/>
              </w:rPr>
              <w:t>a </w:t>
            </w:r>
            <w:r>
              <w:rPr>
                <w:szCs w:val="20"/>
              </w:rPr>
              <w:t>zaznamenala tak nejslabší tempo za posledních devět let. Podíleli se na tom podobnou měrou zaměstnanci (–7,7</w:t>
            </w:r>
            <w:r w:rsidR="006E33D0">
              <w:rPr>
                <w:szCs w:val="20"/>
              </w:rPr>
              <w:t> tis.</w:t>
            </w:r>
            <w:r>
              <w:rPr>
                <w:szCs w:val="20"/>
              </w:rPr>
              <w:t xml:space="preserve">) </w:t>
            </w:r>
            <w:r w:rsidR="00307E77">
              <w:rPr>
                <w:szCs w:val="20"/>
              </w:rPr>
              <w:t>i </w:t>
            </w:r>
            <w:r>
              <w:rPr>
                <w:szCs w:val="20"/>
              </w:rPr>
              <w:t>sebezaměstnaní (–5,2</w:t>
            </w:r>
            <w:r w:rsidR="006E33D0">
              <w:rPr>
                <w:szCs w:val="20"/>
              </w:rPr>
              <w:t> tis.</w:t>
            </w:r>
            <w:r>
              <w:rPr>
                <w:szCs w:val="20"/>
              </w:rPr>
              <w:t>)</w:t>
            </w:r>
            <w:r w:rsidR="00FD32DB">
              <w:rPr>
                <w:szCs w:val="20"/>
              </w:rPr>
              <w:t>.</w:t>
            </w:r>
          </w:p>
        </w:tc>
      </w:tr>
      <w:tr w:rsidR="000774EC" w14:paraId="75824B31" w14:textId="77777777" w:rsidTr="0014314C">
        <w:trPr>
          <w:trHeight w:val="14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6D0A8" w14:textId="77911BBA" w:rsidR="00097078" w:rsidRDefault="00097078" w:rsidP="00044059">
            <w:pPr>
              <w:pStyle w:val="Marginlie"/>
            </w:pPr>
            <w:r>
              <w:t xml:space="preserve">Absolutně </w:t>
            </w:r>
            <w:r w:rsidR="00307E77">
              <w:t>i </w:t>
            </w:r>
            <w:r>
              <w:t>relativně klesla v roce 2019 zaměstnanost nejvíce ve výrobě počítačů, elektronických a optických přístrojů.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FCACB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3C10F" w14:textId="7D28D3A4" w:rsidR="00097078" w:rsidRPr="00F710D4" w:rsidRDefault="00097078" w:rsidP="00E67E81">
            <w:pPr>
              <w:spacing w:after="220"/>
              <w:rPr>
                <w:szCs w:val="20"/>
              </w:rPr>
            </w:pPr>
            <w:r>
              <w:rPr>
                <w:szCs w:val="20"/>
              </w:rPr>
              <w:t xml:space="preserve">Meziroční redukce zaměstnanosti postihla v roce 2019 dvacet </w:t>
            </w:r>
            <w:r w:rsidR="00A02041">
              <w:rPr>
                <w:szCs w:val="20"/>
              </w:rPr>
              <w:t xml:space="preserve">ze </w:t>
            </w:r>
            <w:r>
              <w:rPr>
                <w:szCs w:val="20"/>
              </w:rPr>
              <w:t xml:space="preserve">čtyřiadvaceti zpracovatelských oborů. Nejintenzivněji </w:t>
            </w:r>
            <w:r w:rsidR="00A02041">
              <w:rPr>
                <w:szCs w:val="20"/>
              </w:rPr>
              <w:t xml:space="preserve">snižovali </w:t>
            </w:r>
            <w:r>
              <w:rPr>
                <w:szCs w:val="20"/>
              </w:rPr>
              <w:t xml:space="preserve">stavy výrobci počítačů, elektronických </w:t>
            </w:r>
            <w:r w:rsidR="00307E77">
              <w:rPr>
                <w:szCs w:val="20"/>
              </w:rPr>
              <w:t>a </w:t>
            </w:r>
            <w:r>
              <w:rPr>
                <w:szCs w:val="20"/>
              </w:rPr>
              <w:t>optických přístrojů (</w:t>
            </w:r>
            <w:r w:rsidR="00307E77">
              <w:rPr>
                <w:szCs w:val="20"/>
              </w:rPr>
              <w:t>o </w:t>
            </w:r>
            <w:r>
              <w:rPr>
                <w:szCs w:val="20"/>
              </w:rPr>
              <w:t>9,2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 xml:space="preserve">). Toto odvětví také nejvíce </w:t>
            </w:r>
            <w:r w:rsidR="00E67E81">
              <w:rPr>
                <w:szCs w:val="20"/>
              </w:rPr>
              <w:t xml:space="preserve">přispělo </w:t>
            </w:r>
            <w:r>
              <w:rPr>
                <w:szCs w:val="20"/>
              </w:rPr>
              <w:t>k poklesu v celém průmyslu (0,3</w:t>
            </w:r>
            <w:r w:rsidR="006E33D0">
              <w:rPr>
                <w:szCs w:val="20"/>
              </w:rPr>
              <w:t> p. b.</w:t>
            </w:r>
            <w:r>
              <w:rPr>
                <w:szCs w:val="20"/>
              </w:rPr>
              <w:t>). Následovaly při řádově mírnějším relativním úbytku míst váhově významné obory strojírenství (0,17</w:t>
            </w:r>
            <w:r w:rsidR="006E33D0">
              <w:rPr>
                <w:szCs w:val="20"/>
              </w:rPr>
              <w:t> p. b.</w:t>
            </w:r>
            <w:r>
              <w:rPr>
                <w:szCs w:val="20"/>
              </w:rPr>
              <w:t xml:space="preserve">) </w:t>
            </w:r>
            <w:r w:rsidR="00307E77">
              <w:rPr>
                <w:szCs w:val="20"/>
              </w:rPr>
              <w:t>a </w:t>
            </w:r>
            <w:r>
              <w:rPr>
                <w:szCs w:val="20"/>
              </w:rPr>
              <w:t>kovodělného průmyslu (0,1</w:t>
            </w:r>
            <w:r w:rsidR="006E33D0">
              <w:rPr>
                <w:szCs w:val="20"/>
              </w:rPr>
              <w:t> p. b.</w:t>
            </w:r>
            <w:r>
              <w:rPr>
                <w:szCs w:val="20"/>
              </w:rPr>
              <w:t>), ve kterých v předešlých osmi letech pracovníků nepřetržitě přibývalo.</w:t>
            </w:r>
          </w:p>
        </w:tc>
      </w:tr>
      <w:tr w:rsidR="000774EC" w:rsidRPr="00741856" w14:paraId="7FE4295B" w14:textId="77777777" w:rsidTr="0014314C">
        <w:trPr>
          <w:trHeight w:val="14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B82A0" w14:textId="77777777" w:rsidR="00097078" w:rsidRDefault="00097078" w:rsidP="00044059">
            <w:pPr>
              <w:pStyle w:val="Marginlie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EF649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B3746" w14:textId="059DFB19" w:rsidR="00097078" w:rsidRPr="000153F6" w:rsidRDefault="004C0391" w:rsidP="00044059">
            <w:pPr>
              <w:spacing w:after="4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Graf</w:t>
            </w:r>
            <w:r w:rsidR="006E33D0">
              <w:rPr>
                <w:b/>
                <w:szCs w:val="20"/>
              </w:rPr>
              <w:t xml:space="preserve"> č. </w:t>
            </w:r>
            <w:r w:rsidR="00307E77">
              <w:rPr>
                <w:b/>
                <w:szCs w:val="20"/>
              </w:rPr>
              <w:t xml:space="preserve">7  </w:t>
            </w:r>
            <w:r w:rsidR="00097078">
              <w:rPr>
                <w:b/>
                <w:szCs w:val="20"/>
              </w:rPr>
              <w:t xml:space="preserve">Počet zaměstnanců </w:t>
            </w:r>
            <w:r w:rsidR="00307E77">
              <w:rPr>
                <w:b/>
                <w:szCs w:val="20"/>
              </w:rPr>
              <w:t>a </w:t>
            </w:r>
            <w:r w:rsidR="00097078">
              <w:rPr>
                <w:b/>
                <w:szCs w:val="20"/>
              </w:rPr>
              <w:t>sebezaměstnaných</w:t>
            </w:r>
            <w:r w:rsidR="00097078" w:rsidRPr="000153F6">
              <w:rPr>
                <w:szCs w:val="20"/>
              </w:rPr>
              <w:t xml:space="preserve"> (v tis.</w:t>
            </w:r>
            <w:r w:rsidR="00097078">
              <w:rPr>
                <w:szCs w:val="20"/>
              </w:rPr>
              <w:t>, přepočtené osoby</w:t>
            </w:r>
            <w:r w:rsidR="00097078" w:rsidRPr="000153F6">
              <w:rPr>
                <w:szCs w:val="20"/>
              </w:rPr>
              <w:t>)</w:t>
            </w:r>
            <w:r w:rsidR="00097078">
              <w:rPr>
                <w:b/>
                <w:szCs w:val="20"/>
              </w:rPr>
              <w:t xml:space="preserve"> a</w:t>
            </w:r>
            <w:r w:rsidR="00097078" w:rsidRPr="000153F6">
              <w:rPr>
                <w:szCs w:val="20"/>
              </w:rPr>
              <w:t> </w:t>
            </w:r>
            <w:r w:rsidR="00097078">
              <w:rPr>
                <w:b/>
                <w:szCs w:val="20"/>
              </w:rPr>
              <w:t xml:space="preserve">změna celkové zaměstnanosti </w:t>
            </w:r>
            <w:r w:rsidR="00307E77">
              <w:rPr>
                <w:b/>
                <w:szCs w:val="20"/>
              </w:rPr>
              <w:t>v </w:t>
            </w:r>
            <w:r w:rsidR="00097078">
              <w:rPr>
                <w:b/>
                <w:szCs w:val="20"/>
              </w:rPr>
              <w:t xml:space="preserve">dílčích průmyslových odvětvích </w:t>
            </w:r>
            <w:r w:rsidR="00307E77" w:rsidRPr="006D1B98">
              <w:rPr>
                <w:b/>
                <w:szCs w:val="20"/>
              </w:rPr>
              <w:t>v</w:t>
            </w:r>
            <w:r w:rsidR="00307E77">
              <w:rPr>
                <w:b/>
                <w:szCs w:val="20"/>
              </w:rPr>
              <w:t> </w:t>
            </w:r>
            <w:r w:rsidR="00097078" w:rsidRPr="006D1B98">
              <w:rPr>
                <w:b/>
                <w:szCs w:val="20"/>
              </w:rPr>
              <w:t>ČR</w:t>
            </w:r>
            <w:r w:rsidR="00097078">
              <w:rPr>
                <w:szCs w:val="20"/>
              </w:rPr>
              <w:t xml:space="preserve"> (v</w:t>
            </w:r>
            <w:r w:rsidR="006E33D0">
              <w:rPr>
                <w:szCs w:val="20"/>
              </w:rPr>
              <w:t> %</w:t>
            </w:r>
            <w:r w:rsidR="00097078">
              <w:rPr>
                <w:szCs w:val="20"/>
              </w:rPr>
              <w:t>)</w:t>
            </w:r>
          </w:p>
        </w:tc>
      </w:tr>
      <w:tr w:rsidR="00FB5B26" w14:paraId="26ECC46E" w14:textId="77777777" w:rsidTr="0014314C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37959" w14:textId="77777777" w:rsidR="00097078" w:rsidRDefault="00097078" w:rsidP="00044059">
            <w:pPr>
              <w:pStyle w:val="Marginlie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33DBF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4B050" w14:textId="51BBFDEB" w:rsidR="00097078" w:rsidRPr="000153F6" w:rsidRDefault="00FB5B26" w:rsidP="00044059">
            <w:pPr>
              <w:spacing w:after="40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408FAF6" wp14:editId="30E991ED">
                  <wp:extent cx="4778746" cy="3638049"/>
                  <wp:effectExtent l="0" t="0" r="3175" b="635"/>
                  <wp:docPr id="36" name="Graf 3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0774EC" w:rsidRPr="00DE574B" w14:paraId="4B751D19" w14:textId="77777777" w:rsidTr="0014314C">
        <w:trPr>
          <w:trHeight w:val="14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881DB" w14:textId="77777777" w:rsidR="00097078" w:rsidRDefault="00097078" w:rsidP="00044059">
            <w:pPr>
              <w:pStyle w:val="Marginlie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A9CDA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03F6B" w14:textId="0994F63E" w:rsidR="00097078" w:rsidRPr="004F0CBA" w:rsidRDefault="00097078" w:rsidP="00044059">
            <w:pPr>
              <w:spacing w:after="0" w:line="240" w:lineRule="auto"/>
              <w:rPr>
                <w:sz w:val="14"/>
                <w:szCs w:val="14"/>
              </w:rPr>
            </w:pPr>
            <w:r w:rsidRPr="00F710D4">
              <w:rPr>
                <w:sz w:val="14"/>
                <w:szCs w:val="14"/>
              </w:rPr>
              <w:t xml:space="preserve">Poznámka: Sekce Vodního </w:t>
            </w:r>
            <w:r w:rsidR="00307E77">
              <w:rPr>
                <w:sz w:val="14"/>
                <w:szCs w:val="14"/>
              </w:rPr>
              <w:t>a </w:t>
            </w:r>
            <w:r>
              <w:rPr>
                <w:sz w:val="14"/>
                <w:szCs w:val="14"/>
              </w:rPr>
              <w:t xml:space="preserve">odpadového </w:t>
            </w:r>
            <w:r w:rsidRPr="00F710D4">
              <w:rPr>
                <w:sz w:val="14"/>
                <w:szCs w:val="14"/>
              </w:rPr>
              <w:t xml:space="preserve">hospodářství zahrnuje dílčí odvětví: Shromažďování, úprava </w:t>
            </w:r>
            <w:r w:rsidR="00307E77" w:rsidRPr="00F710D4">
              <w:rPr>
                <w:sz w:val="14"/>
                <w:szCs w:val="14"/>
              </w:rPr>
              <w:t>a</w:t>
            </w:r>
            <w:r w:rsidR="00307E77">
              <w:rPr>
                <w:sz w:val="14"/>
                <w:szCs w:val="14"/>
              </w:rPr>
              <w:t> </w:t>
            </w:r>
            <w:r w:rsidRPr="00F710D4">
              <w:rPr>
                <w:sz w:val="14"/>
                <w:szCs w:val="14"/>
              </w:rPr>
              <w:t>rozvod vody</w:t>
            </w:r>
            <w:r w:rsidRPr="004F0CBA">
              <w:rPr>
                <w:sz w:val="14"/>
                <w:szCs w:val="14"/>
              </w:rPr>
              <w:t>;</w:t>
            </w:r>
            <w:r w:rsidRPr="00F710D4">
              <w:rPr>
                <w:sz w:val="14"/>
                <w:szCs w:val="14"/>
              </w:rPr>
              <w:t xml:space="preserve"> Činnosti související s odpadními vodami</w:t>
            </w:r>
            <w:r w:rsidRPr="004F0CBA">
              <w:rPr>
                <w:sz w:val="14"/>
                <w:szCs w:val="14"/>
              </w:rPr>
              <w:t>;</w:t>
            </w:r>
            <w:r w:rsidRPr="00F710D4">
              <w:rPr>
                <w:sz w:val="14"/>
                <w:szCs w:val="14"/>
              </w:rPr>
              <w:t xml:space="preserve"> Shromažďování, sběr, odstraňování </w:t>
            </w:r>
            <w:r w:rsidR="00307E77" w:rsidRPr="00F710D4">
              <w:rPr>
                <w:sz w:val="14"/>
                <w:szCs w:val="14"/>
              </w:rPr>
              <w:t>a</w:t>
            </w:r>
            <w:r w:rsidR="00307E77">
              <w:rPr>
                <w:sz w:val="14"/>
                <w:szCs w:val="14"/>
              </w:rPr>
              <w:t> </w:t>
            </w:r>
            <w:r w:rsidRPr="00F710D4">
              <w:rPr>
                <w:sz w:val="14"/>
                <w:szCs w:val="14"/>
              </w:rPr>
              <w:t>úprava odpadů</w:t>
            </w:r>
            <w:r w:rsidRPr="004F0CBA">
              <w:rPr>
                <w:sz w:val="14"/>
                <w:szCs w:val="14"/>
              </w:rPr>
              <w:t>;</w:t>
            </w:r>
            <w:r w:rsidRPr="00F710D4">
              <w:rPr>
                <w:sz w:val="14"/>
                <w:szCs w:val="14"/>
              </w:rPr>
              <w:t xml:space="preserve"> Sanace </w:t>
            </w:r>
            <w:r w:rsidR="00307E77" w:rsidRPr="00F710D4">
              <w:rPr>
                <w:sz w:val="14"/>
                <w:szCs w:val="14"/>
              </w:rPr>
              <w:t>a</w:t>
            </w:r>
            <w:r w:rsidR="00307E77">
              <w:rPr>
                <w:sz w:val="14"/>
                <w:szCs w:val="14"/>
              </w:rPr>
              <w:t> </w:t>
            </w:r>
            <w:r w:rsidRPr="00F710D4">
              <w:rPr>
                <w:sz w:val="14"/>
                <w:szCs w:val="14"/>
              </w:rPr>
              <w:t>jiné činnosti související s odpady.</w:t>
            </w:r>
          </w:p>
          <w:p w14:paraId="494DDF1C" w14:textId="77777777" w:rsidR="00097078" w:rsidRPr="000E201C" w:rsidRDefault="00097078" w:rsidP="003722A4">
            <w:pPr>
              <w:spacing w:after="0"/>
              <w:rPr>
                <w:sz w:val="16"/>
                <w:szCs w:val="16"/>
              </w:rPr>
            </w:pPr>
            <w:r w:rsidRPr="00F710D4">
              <w:rPr>
                <w:sz w:val="14"/>
                <w:szCs w:val="14"/>
              </w:rPr>
              <w:t>Zdroj: ČSÚ (národní účty)</w:t>
            </w:r>
          </w:p>
        </w:tc>
      </w:tr>
      <w:tr w:rsidR="00FB5B26" w:rsidRPr="00F00A85" w14:paraId="5BEDEE84" w14:textId="77777777" w:rsidTr="0014314C">
        <w:trPr>
          <w:trHeight w:val="14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A1F72" w14:textId="791133AA" w:rsidR="00097078" w:rsidRDefault="00097078" w:rsidP="00E67E81">
            <w:pPr>
              <w:pStyle w:val="Marginlie"/>
            </w:pPr>
            <w:r>
              <w:lastRenderedPageBreak/>
              <w:t xml:space="preserve">Svižný růst zaměstnanosti v energetice kontrastoval v posledních letech </w:t>
            </w:r>
            <w:r w:rsidR="00E67E81">
              <w:t>s</w:t>
            </w:r>
            <w:r>
              <w:t> pokračujícím útlumem těžby uhlí.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550AD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4C4C8" w14:textId="1E44E2B8" w:rsidR="00097078" w:rsidRPr="00723AEA" w:rsidRDefault="00097078" w:rsidP="00E67E81">
            <w:pPr>
              <w:spacing w:after="220"/>
              <w:rPr>
                <w:spacing w:val="-2"/>
                <w:szCs w:val="20"/>
              </w:rPr>
            </w:pPr>
            <w:r w:rsidRPr="00723AEA">
              <w:rPr>
                <w:spacing w:val="-2"/>
                <w:szCs w:val="20"/>
              </w:rPr>
              <w:t>Naproti tomu v jednom z nejmenších oborů</w:t>
            </w:r>
            <w:r w:rsidR="003E4E75">
              <w:rPr>
                <w:spacing w:val="-2"/>
                <w:szCs w:val="20"/>
              </w:rPr>
              <w:t> </w:t>
            </w:r>
            <w:r w:rsidRPr="00723AEA">
              <w:rPr>
                <w:spacing w:val="-2"/>
                <w:szCs w:val="20"/>
              </w:rPr>
              <w:t>– kožedělném průmyslu</w:t>
            </w:r>
            <w:r w:rsidR="003E4E75">
              <w:rPr>
                <w:spacing w:val="-2"/>
                <w:szCs w:val="20"/>
              </w:rPr>
              <w:t> </w:t>
            </w:r>
            <w:r w:rsidRPr="00723AEA">
              <w:rPr>
                <w:spacing w:val="-2"/>
                <w:szCs w:val="20"/>
              </w:rPr>
              <w:t>– je úbytek pracovních míst dlouhodobým jevem (</w:t>
            </w:r>
            <w:r w:rsidR="00307E77" w:rsidRPr="00723AEA">
              <w:rPr>
                <w:spacing w:val="-2"/>
                <w:szCs w:val="20"/>
              </w:rPr>
              <w:t>v</w:t>
            </w:r>
            <w:r w:rsidR="00307E77">
              <w:rPr>
                <w:spacing w:val="-2"/>
                <w:szCs w:val="20"/>
              </w:rPr>
              <w:t> </w:t>
            </w:r>
            <w:r w:rsidRPr="00723AEA">
              <w:rPr>
                <w:spacing w:val="-2"/>
                <w:szCs w:val="20"/>
              </w:rPr>
              <w:t xml:space="preserve">roce 2019 šlo </w:t>
            </w:r>
            <w:r w:rsidR="00307E77" w:rsidRPr="00723AEA">
              <w:rPr>
                <w:spacing w:val="-2"/>
                <w:szCs w:val="20"/>
              </w:rPr>
              <w:t>o</w:t>
            </w:r>
            <w:r w:rsidR="00307E77">
              <w:rPr>
                <w:spacing w:val="-2"/>
                <w:szCs w:val="20"/>
              </w:rPr>
              <w:t> </w:t>
            </w:r>
            <w:r w:rsidRPr="00723AEA">
              <w:rPr>
                <w:spacing w:val="-2"/>
                <w:szCs w:val="20"/>
              </w:rPr>
              <w:t>6,5</w:t>
            </w:r>
            <w:r w:rsidR="006E33D0">
              <w:rPr>
                <w:spacing w:val="-2"/>
                <w:szCs w:val="20"/>
              </w:rPr>
              <w:t> %</w:t>
            </w:r>
            <w:r w:rsidRPr="00723AEA">
              <w:rPr>
                <w:spacing w:val="-2"/>
                <w:szCs w:val="20"/>
              </w:rPr>
              <w:t>). Po pěti silných růstových letech ubylo pracovníků také v klíčovém zpracovatelském oboru</w:t>
            </w:r>
            <w:r w:rsidR="003E4E75">
              <w:rPr>
                <w:spacing w:val="-2"/>
                <w:szCs w:val="20"/>
              </w:rPr>
              <w:t> </w:t>
            </w:r>
            <w:r w:rsidRPr="00723AEA">
              <w:rPr>
                <w:spacing w:val="-2"/>
                <w:szCs w:val="20"/>
              </w:rPr>
              <w:t>– výrobě motorových vozidel (–0,5</w:t>
            </w:r>
            <w:r w:rsidR="006E33D0">
              <w:rPr>
                <w:spacing w:val="-2"/>
                <w:szCs w:val="20"/>
              </w:rPr>
              <w:t> %</w:t>
            </w:r>
            <w:r w:rsidRPr="00723AEA">
              <w:rPr>
                <w:spacing w:val="-2"/>
                <w:szCs w:val="20"/>
              </w:rPr>
              <w:t>). To v elektrotechnickém průmyslu, jenž je jedním z nosných subdodavatelských oborů pro výrobce vozidel, zaměstnanost dále rostla (+2,4</w:t>
            </w:r>
            <w:r w:rsidR="006E33D0">
              <w:rPr>
                <w:spacing w:val="-2"/>
                <w:szCs w:val="20"/>
              </w:rPr>
              <w:t> %</w:t>
            </w:r>
            <w:r w:rsidRPr="00723AEA">
              <w:rPr>
                <w:spacing w:val="-2"/>
                <w:szCs w:val="20"/>
              </w:rPr>
              <w:t xml:space="preserve">). </w:t>
            </w:r>
            <w:r w:rsidR="00307E77" w:rsidRPr="00723AEA">
              <w:rPr>
                <w:spacing w:val="-2"/>
                <w:szCs w:val="20"/>
              </w:rPr>
              <w:t>V</w:t>
            </w:r>
            <w:r w:rsidR="00307E77">
              <w:rPr>
                <w:spacing w:val="-2"/>
                <w:szCs w:val="20"/>
              </w:rPr>
              <w:t> </w:t>
            </w:r>
            <w:r w:rsidRPr="00723AEA">
              <w:rPr>
                <w:spacing w:val="-2"/>
                <w:szCs w:val="20"/>
              </w:rPr>
              <w:t xml:space="preserve">nezpracovatelských průmyslových oborech se v roce 2019 zaměstnanost vyvíjela diferencovaně. V energetice došlo již druhým rokem v řadě k bezmála 7% růstu </w:t>
            </w:r>
            <w:r w:rsidR="00307E77" w:rsidRPr="00723AEA">
              <w:rPr>
                <w:spacing w:val="-2"/>
                <w:szCs w:val="20"/>
              </w:rPr>
              <w:t>a</w:t>
            </w:r>
            <w:r w:rsidR="00307E77">
              <w:rPr>
                <w:spacing w:val="-2"/>
                <w:szCs w:val="20"/>
              </w:rPr>
              <w:t> </w:t>
            </w:r>
            <w:r>
              <w:rPr>
                <w:spacing w:val="-2"/>
                <w:szCs w:val="20"/>
              </w:rPr>
              <w:t>vodní</w:t>
            </w:r>
            <w:r w:rsidRPr="00723AEA">
              <w:rPr>
                <w:spacing w:val="-2"/>
                <w:szCs w:val="20"/>
              </w:rPr>
              <w:t xml:space="preserve"> </w:t>
            </w:r>
            <w:r w:rsidR="00307E77" w:rsidRPr="00723AEA">
              <w:rPr>
                <w:spacing w:val="-2"/>
                <w:szCs w:val="20"/>
              </w:rPr>
              <w:t>a</w:t>
            </w:r>
            <w:r w:rsidR="00307E77">
              <w:rPr>
                <w:spacing w:val="-2"/>
                <w:szCs w:val="20"/>
              </w:rPr>
              <w:t> </w:t>
            </w:r>
            <w:r w:rsidRPr="00723AEA">
              <w:rPr>
                <w:spacing w:val="-2"/>
                <w:szCs w:val="20"/>
              </w:rPr>
              <w:t xml:space="preserve">odpadové hospodářství posílilo </w:t>
            </w:r>
            <w:r>
              <w:rPr>
                <w:spacing w:val="-2"/>
                <w:szCs w:val="20"/>
              </w:rPr>
              <w:t>o</w:t>
            </w:r>
            <w:r w:rsidRPr="00723AEA">
              <w:rPr>
                <w:spacing w:val="-2"/>
                <w:szCs w:val="20"/>
              </w:rPr>
              <w:t> </w:t>
            </w:r>
            <w:r>
              <w:rPr>
                <w:spacing w:val="-2"/>
                <w:szCs w:val="20"/>
              </w:rPr>
              <w:t>1</w:t>
            </w:r>
            <w:r w:rsidRPr="00723AEA">
              <w:rPr>
                <w:spacing w:val="-2"/>
                <w:szCs w:val="20"/>
              </w:rPr>
              <w:t xml:space="preserve"> %, na druhé straně </w:t>
            </w:r>
            <w:r w:rsidR="003E4E75">
              <w:rPr>
                <w:spacing w:val="-2"/>
                <w:szCs w:val="20"/>
              </w:rPr>
              <w:t xml:space="preserve">odvětví </w:t>
            </w:r>
            <w:r w:rsidR="003E4E75" w:rsidRPr="00723AEA">
              <w:rPr>
                <w:spacing w:val="-2"/>
                <w:szCs w:val="20"/>
              </w:rPr>
              <w:t>těžb</w:t>
            </w:r>
            <w:r w:rsidR="003E4E75">
              <w:rPr>
                <w:spacing w:val="-2"/>
                <w:szCs w:val="20"/>
              </w:rPr>
              <w:t>y</w:t>
            </w:r>
            <w:r w:rsidR="003E4E75" w:rsidRPr="00723AEA">
              <w:rPr>
                <w:spacing w:val="-2"/>
                <w:szCs w:val="20"/>
              </w:rPr>
              <w:t xml:space="preserve"> </w:t>
            </w:r>
            <w:r w:rsidR="00307E77" w:rsidRPr="00723AEA">
              <w:rPr>
                <w:spacing w:val="-2"/>
                <w:szCs w:val="20"/>
              </w:rPr>
              <w:t>a</w:t>
            </w:r>
            <w:r w:rsidR="00307E77">
              <w:rPr>
                <w:spacing w:val="-2"/>
                <w:szCs w:val="20"/>
              </w:rPr>
              <w:t> </w:t>
            </w:r>
            <w:r w:rsidRPr="00723AEA">
              <w:rPr>
                <w:spacing w:val="-2"/>
                <w:szCs w:val="20"/>
              </w:rPr>
              <w:t xml:space="preserve">dobývání si </w:t>
            </w:r>
            <w:r w:rsidR="003E4E75" w:rsidRPr="00723AEA">
              <w:rPr>
                <w:spacing w:val="-2"/>
                <w:szCs w:val="20"/>
              </w:rPr>
              <w:t>při</w:t>
            </w:r>
            <w:r w:rsidR="003E4E75">
              <w:rPr>
                <w:spacing w:val="-2"/>
                <w:szCs w:val="20"/>
              </w:rPr>
              <w:t>ps</w:t>
            </w:r>
            <w:r w:rsidR="003E4E75" w:rsidRPr="00723AEA">
              <w:rPr>
                <w:spacing w:val="-2"/>
                <w:szCs w:val="20"/>
              </w:rPr>
              <w:t>al</w:t>
            </w:r>
            <w:r w:rsidR="003E4E75">
              <w:rPr>
                <w:spacing w:val="-2"/>
                <w:szCs w:val="20"/>
              </w:rPr>
              <w:t>o</w:t>
            </w:r>
            <w:r w:rsidR="003E4E75" w:rsidRPr="00723AEA">
              <w:rPr>
                <w:spacing w:val="-2"/>
                <w:szCs w:val="20"/>
              </w:rPr>
              <w:t xml:space="preserve"> </w:t>
            </w:r>
            <w:r w:rsidRPr="00723AEA">
              <w:rPr>
                <w:spacing w:val="-2"/>
                <w:szCs w:val="20"/>
              </w:rPr>
              <w:t xml:space="preserve">téměř 4% pokles (byť šlo </w:t>
            </w:r>
            <w:r w:rsidR="00307E77" w:rsidRPr="00723AEA">
              <w:rPr>
                <w:spacing w:val="-2"/>
                <w:szCs w:val="20"/>
              </w:rPr>
              <w:t>o</w:t>
            </w:r>
            <w:r w:rsidR="00307E77">
              <w:rPr>
                <w:spacing w:val="-2"/>
                <w:szCs w:val="20"/>
              </w:rPr>
              <w:t> </w:t>
            </w:r>
            <w:r w:rsidRPr="00723AEA">
              <w:rPr>
                <w:spacing w:val="-2"/>
                <w:szCs w:val="20"/>
              </w:rPr>
              <w:t xml:space="preserve">relativně nejmenší útlum za poslední čtyři roky). Za dlouhodobým poklesem zde stála těžba </w:t>
            </w:r>
            <w:r w:rsidR="00307E77" w:rsidRPr="00723AEA">
              <w:rPr>
                <w:spacing w:val="-2"/>
                <w:szCs w:val="20"/>
              </w:rPr>
              <w:t>a</w:t>
            </w:r>
            <w:r w:rsidR="00307E77">
              <w:rPr>
                <w:spacing w:val="-2"/>
                <w:szCs w:val="20"/>
              </w:rPr>
              <w:t> </w:t>
            </w:r>
            <w:r w:rsidRPr="00723AEA">
              <w:rPr>
                <w:spacing w:val="-2"/>
                <w:szCs w:val="20"/>
              </w:rPr>
              <w:t xml:space="preserve">úprava uhlí, naproti tomu v ostatních segmentech těžebního průmyslu, např. </w:t>
            </w:r>
            <w:r w:rsidR="00EC135C">
              <w:rPr>
                <w:spacing w:val="-2"/>
                <w:szCs w:val="20"/>
              </w:rPr>
              <w:t>v </w:t>
            </w:r>
            <w:r w:rsidRPr="00723AEA">
              <w:rPr>
                <w:spacing w:val="-2"/>
                <w:szCs w:val="20"/>
              </w:rPr>
              <w:t>těžbě stavebních materiálů, k významnějším změnám v posledních letech nedocházelo.</w:t>
            </w:r>
          </w:p>
        </w:tc>
      </w:tr>
      <w:tr w:rsidR="00FB5B26" w:rsidRPr="00F00A85" w14:paraId="20977F4E" w14:textId="77777777" w:rsidTr="0014314C">
        <w:trPr>
          <w:trHeight w:val="14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43131" w14:textId="64D68433" w:rsidR="00097078" w:rsidRDefault="00097078" w:rsidP="00044059">
            <w:pPr>
              <w:pStyle w:val="Marginlie"/>
            </w:pPr>
            <w:r>
              <w:t xml:space="preserve">Průmysl se mezi roky 2013 </w:t>
            </w:r>
            <w:r w:rsidR="00307E77">
              <w:t>a </w:t>
            </w:r>
            <w:r>
              <w:t>2019 podílel na růstu zaměstnanosti v celé ekonomice téměř ze 40</w:t>
            </w:r>
            <w:r w:rsidR="006E33D0">
              <w:t> %</w:t>
            </w:r>
            <w:r>
              <w:t>. Dařilo se hlavně výrobě automobilů,…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00C94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F5332" w14:textId="2FB2F497" w:rsidR="00097078" w:rsidRPr="003E5D9B" w:rsidRDefault="00097078" w:rsidP="00044059">
            <w:pPr>
              <w:spacing w:after="220"/>
              <w:rPr>
                <w:spacing w:val="-4"/>
                <w:szCs w:val="20"/>
              </w:rPr>
            </w:pPr>
            <w:r w:rsidRPr="003E5D9B">
              <w:rPr>
                <w:spacing w:val="-4"/>
                <w:szCs w:val="20"/>
              </w:rPr>
              <w:t xml:space="preserve">Citelné oslabení dynamiky výkonu tuzemského průmyslu patrné od roku 2018, které se postupně promítlo </w:t>
            </w:r>
            <w:r w:rsidR="00307E77" w:rsidRPr="003E5D9B">
              <w:rPr>
                <w:spacing w:val="-4"/>
                <w:szCs w:val="20"/>
              </w:rPr>
              <w:t>i</w:t>
            </w:r>
            <w:r w:rsidR="00307E77">
              <w:rPr>
                <w:spacing w:val="-4"/>
                <w:szCs w:val="20"/>
              </w:rPr>
              <w:t> </w:t>
            </w:r>
            <w:r w:rsidRPr="003E5D9B">
              <w:rPr>
                <w:spacing w:val="-4"/>
                <w:szCs w:val="20"/>
              </w:rPr>
              <w:t>do zaměstnanosti, nemůže ale zastínit fakt, že toto odvětví bylo v úhrnu za celé období od konce poslední recese (</w:t>
            </w:r>
            <w:r>
              <w:rPr>
                <w:spacing w:val="-4"/>
                <w:szCs w:val="20"/>
              </w:rPr>
              <w:t xml:space="preserve">rok </w:t>
            </w:r>
            <w:r w:rsidRPr="003E5D9B">
              <w:rPr>
                <w:spacing w:val="-4"/>
                <w:szCs w:val="20"/>
              </w:rPr>
              <w:t xml:space="preserve">2013) jedním z klíčových generátorů nových pracovních příležitostí </w:t>
            </w:r>
            <w:r w:rsidR="00307E77" w:rsidRPr="003E5D9B">
              <w:rPr>
                <w:spacing w:val="-4"/>
                <w:szCs w:val="20"/>
              </w:rPr>
              <w:t>v</w:t>
            </w:r>
            <w:r w:rsidR="00307E77">
              <w:rPr>
                <w:spacing w:val="-4"/>
                <w:szCs w:val="20"/>
              </w:rPr>
              <w:t> </w:t>
            </w:r>
            <w:r w:rsidRPr="003E5D9B">
              <w:rPr>
                <w:spacing w:val="-4"/>
                <w:szCs w:val="20"/>
              </w:rPr>
              <w:t>celé ekonom</w:t>
            </w:r>
            <w:r w:rsidR="00642FB8">
              <w:rPr>
                <w:spacing w:val="-4"/>
                <w:szCs w:val="20"/>
              </w:rPr>
              <w:t>i</w:t>
            </w:r>
            <w:r w:rsidRPr="003E5D9B">
              <w:rPr>
                <w:spacing w:val="-4"/>
                <w:szCs w:val="20"/>
              </w:rPr>
              <w:t xml:space="preserve">ce. Mezi roky 2013 </w:t>
            </w:r>
            <w:r w:rsidR="00307E77" w:rsidRPr="003E5D9B">
              <w:rPr>
                <w:spacing w:val="-4"/>
                <w:szCs w:val="20"/>
              </w:rPr>
              <w:t>a</w:t>
            </w:r>
            <w:r w:rsidR="00307E77">
              <w:rPr>
                <w:spacing w:val="-4"/>
                <w:szCs w:val="20"/>
              </w:rPr>
              <w:t> </w:t>
            </w:r>
            <w:r w:rsidRPr="003E5D9B">
              <w:rPr>
                <w:spacing w:val="-4"/>
                <w:szCs w:val="20"/>
              </w:rPr>
              <w:t xml:space="preserve">2019 se zde počet pracovníků navýšil </w:t>
            </w:r>
            <w:r w:rsidR="00307E77" w:rsidRPr="003E5D9B">
              <w:rPr>
                <w:spacing w:val="-4"/>
                <w:szCs w:val="20"/>
              </w:rPr>
              <w:t>o</w:t>
            </w:r>
            <w:r w:rsidR="00307E77">
              <w:rPr>
                <w:spacing w:val="-4"/>
                <w:szCs w:val="20"/>
              </w:rPr>
              <w:t> </w:t>
            </w:r>
            <w:r w:rsidRPr="003E5D9B">
              <w:rPr>
                <w:spacing w:val="-4"/>
                <w:szCs w:val="20"/>
              </w:rPr>
              <w:t>112</w:t>
            </w:r>
            <w:r w:rsidR="006E33D0">
              <w:rPr>
                <w:spacing w:val="-4"/>
                <w:szCs w:val="20"/>
              </w:rPr>
              <w:t> tis.</w:t>
            </w:r>
            <w:r w:rsidRPr="003E5D9B">
              <w:rPr>
                <w:spacing w:val="-4"/>
                <w:szCs w:val="20"/>
              </w:rPr>
              <w:t xml:space="preserve"> (resp. </w:t>
            </w:r>
            <w:r w:rsidR="00307E77" w:rsidRPr="003E5D9B">
              <w:rPr>
                <w:spacing w:val="-4"/>
                <w:szCs w:val="20"/>
              </w:rPr>
              <w:t>o</w:t>
            </w:r>
            <w:r w:rsidR="00307E77">
              <w:rPr>
                <w:spacing w:val="-4"/>
                <w:szCs w:val="20"/>
              </w:rPr>
              <w:t> </w:t>
            </w:r>
            <w:r w:rsidRPr="003E5D9B">
              <w:rPr>
                <w:spacing w:val="-4"/>
                <w:szCs w:val="20"/>
              </w:rPr>
              <w:t>8,0</w:t>
            </w:r>
            <w:r w:rsidR="006E33D0">
              <w:rPr>
                <w:spacing w:val="-4"/>
                <w:szCs w:val="20"/>
              </w:rPr>
              <w:t> %</w:t>
            </w:r>
            <w:r w:rsidRPr="003E5D9B">
              <w:rPr>
                <w:spacing w:val="-4"/>
                <w:szCs w:val="20"/>
              </w:rPr>
              <w:t xml:space="preserve">) </w:t>
            </w:r>
            <w:r w:rsidR="00307E77" w:rsidRPr="003E5D9B">
              <w:rPr>
                <w:spacing w:val="-4"/>
                <w:szCs w:val="20"/>
              </w:rPr>
              <w:t>a</w:t>
            </w:r>
            <w:r w:rsidR="00307E77">
              <w:rPr>
                <w:spacing w:val="-4"/>
                <w:szCs w:val="20"/>
              </w:rPr>
              <w:t> </w:t>
            </w:r>
            <w:r w:rsidRPr="003E5D9B">
              <w:rPr>
                <w:spacing w:val="-4"/>
                <w:szCs w:val="20"/>
              </w:rPr>
              <w:t>na růstu zaměstnanosti v národním hospodářství se podílel téměř 40</w:t>
            </w:r>
            <w:r w:rsidR="006E33D0">
              <w:rPr>
                <w:spacing w:val="-4"/>
                <w:szCs w:val="20"/>
              </w:rPr>
              <w:t> %</w:t>
            </w:r>
            <w:r w:rsidRPr="003E5D9B">
              <w:rPr>
                <w:spacing w:val="-4"/>
                <w:szCs w:val="20"/>
              </w:rPr>
              <w:t xml:space="preserve">. Přispěla k tomu především výroba motorových vozidel, kde se </w:t>
            </w:r>
            <w:r w:rsidR="00307E77" w:rsidRPr="003E5D9B">
              <w:rPr>
                <w:spacing w:val="-4"/>
                <w:szCs w:val="20"/>
              </w:rPr>
              <w:t>v</w:t>
            </w:r>
            <w:r w:rsidR="00307E77">
              <w:rPr>
                <w:spacing w:val="-4"/>
                <w:szCs w:val="20"/>
              </w:rPr>
              <w:t> </w:t>
            </w:r>
            <w:r w:rsidRPr="003E5D9B">
              <w:rPr>
                <w:spacing w:val="-4"/>
                <w:szCs w:val="20"/>
              </w:rPr>
              <w:t>tomto období počet zaměstnaných (</w:t>
            </w:r>
            <w:r w:rsidR="006E33D0">
              <w:rPr>
                <w:spacing w:val="-4"/>
                <w:szCs w:val="20"/>
              </w:rPr>
              <w:t xml:space="preserve">včetně </w:t>
            </w:r>
            <w:r w:rsidRPr="003E5D9B">
              <w:rPr>
                <w:spacing w:val="-4"/>
                <w:szCs w:val="20"/>
              </w:rPr>
              <w:t xml:space="preserve">agenturních pracovníků) zvýšil skoro </w:t>
            </w:r>
            <w:r w:rsidR="00307E77" w:rsidRPr="003E5D9B">
              <w:rPr>
                <w:spacing w:val="-4"/>
                <w:szCs w:val="20"/>
              </w:rPr>
              <w:t>o</w:t>
            </w:r>
            <w:r w:rsidR="00307E77">
              <w:rPr>
                <w:spacing w:val="-4"/>
                <w:szCs w:val="20"/>
              </w:rPr>
              <w:t> </w:t>
            </w:r>
            <w:r w:rsidRPr="003E5D9B">
              <w:rPr>
                <w:spacing w:val="-4"/>
                <w:szCs w:val="20"/>
              </w:rPr>
              <w:t>třetinu. Toto odvětví se tak v roce 2019 stalo početně nejsilnějším průmyslovým odvětvím (201</w:t>
            </w:r>
            <w:r w:rsidR="006E33D0">
              <w:rPr>
                <w:spacing w:val="-4"/>
                <w:szCs w:val="20"/>
              </w:rPr>
              <w:t> tis.</w:t>
            </w:r>
            <w:r w:rsidRPr="003E5D9B">
              <w:rPr>
                <w:spacing w:val="-4"/>
                <w:szCs w:val="20"/>
              </w:rPr>
              <w:t xml:space="preserve">) </w:t>
            </w:r>
            <w:r w:rsidR="00307E77" w:rsidRPr="003E5D9B">
              <w:rPr>
                <w:spacing w:val="-4"/>
                <w:szCs w:val="20"/>
              </w:rPr>
              <w:t>a</w:t>
            </w:r>
            <w:r w:rsidR="00307E77">
              <w:rPr>
                <w:spacing w:val="-4"/>
                <w:szCs w:val="20"/>
              </w:rPr>
              <w:t> </w:t>
            </w:r>
            <w:r w:rsidR="00F97A48" w:rsidRPr="003E5D9B">
              <w:rPr>
                <w:spacing w:val="-4"/>
                <w:szCs w:val="20"/>
              </w:rPr>
              <w:t>tě</w:t>
            </w:r>
            <w:r w:rsidR="00F97A48">
              <w:rPr>
                <w:spacing w:val="-4"/>
                <w:szCs w:val="20"/>
              </w:rPr>
              <w:t>s</w:t>
            </w:r>
            <w:r w:rsidR="00F97A48" w:rsidRPr="003E5D9B">
              <w:rPr>
                <w:spacing w:val="-4"/>
                <w:szCs w:val="20"/>
              </w:rPr>
              <w:t xml:space="preserve">ně </w:t>
            </w:r>
            <w:r w:rsidRPr="003E5D9B">
              <w:rPr>
                <w:spacing w:val="-4"/>
                <w:szCs w:val="20"/>
              </w:rPr>
              <w:t>předstihlo do té doby vévodící kovodělný průmysl</w:t>
            </w:r>
            <w:r w:rsidRPr="003E5D9B">
              <w:rPr>
                <w:rStyle w:val="Znakapoznpodarou"/>
                <w:spacing w:val="-4"/>
              </w:rPr>
              <w:footnoteReference w:id="4"/>
            </w:r>
            <w:r w:rsidRPr="003E5D9B">
              <w:rPr>
                <w:spacing w:val="-4"/>
                <w:szCs w:val="20"/>
              </w:rPr>
              <w:t xml:space="preserve">. Takřka </w:t>
            </w:r>
            <w:r w:rsidR="00307E77" w:rsidRPr="003E5D9B">
              <w:rPr>
                <w:spacing w:val="-4"/>
                <w:szCs w:val="20"/>
              </w:rPr>
              <w:t>o</w:t>
            </w:r>
            <w:r w:rsidR="00307E77">
              <w:rPr>
                <w:spacing w:val="-4"/>
                <w:szCs w:val="20"/>
              </w:rPr>
              <w:t> </w:t>
            </w:r>
            <w:r w:rsidRPr="003E5D9B">
              <w:rPr>
                <w:spacing w:val="-4"/>
                <w:szCs w:val="20"/>
              </w:rPr>
              <w:t>pětinu narostly stavy pracovníků ve výrobě ostatních dopravních prostředků</w:t>
            </w:r>
            <w:r w:rsidRPr="003E5D9B">
              <w:rPr>
                <w:rStyle w:val="Znakapoznpodarou"/>
                <w:spacing w:val="-4"/>
              </w:rPr>
              <w:footnoteReference w:id="5"/>
            </w:r>
            <w:r w:rsidRPr="003E5D9B">
              <w:rPr>
                <w:spacing w:val="-4"/>
                <w:szCs w:val="20"/>
              </w:rPr>
              <w:t xml:space="preserve">, zhruba o šestinu pak v hlavních subdodavatelských odvětvích automobilového průmyslu (elektrotechnika, gumárenství). Více než desetinový nárůst registrovala energetika, odpadové hospodářství </w:t>
            </w:r>
            <w:r w:rsidR="00307E77" w:rsidRPr="003E5D9B">
              <w:rPr>
                <w:spacing w:val="-4"/>
                <w:szCs w:val="20"/>
              </w:rPr>
              <w:t>a</w:t>
            </w:r>
            <w:r w:rsidR="00307E77">
              <w:rPr>
                <w:spacing w:val="-4"/>
                <w:szCs w:val="20"/>
              </w:rPr>
              <w:t> </w:t>
            </w:r>
            <w:r w:rsidRPr="003E5D9B">
              <w:rPr>
                <w:spacing w:val="-4"/>
                <w:szCs w:val="20"/>
              </w:rPr>
              <w:t>papírenský průmysl.</w:t>
            </w:r>
          </w:p>
        </w:tc>
      </w:tr>
      <w:tr w:rsidR="00FB5B26" w:rsidRPr="00F00A85" w14:paraId="4342A2DC" w14:textId="77777777" w:rsidTr="0014314C">
        <w:trPr>
          <w:trHeight w:val="14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B9A84" w14:textId="208E647B" w:rsidR="00097078" w:rsidRDefault="00097078" w:rsidP="00044059">
            <w:pPr>
              <w:pStyle w:val="Marginlie"/>
            </w:pPr>
            <w:r>
              <w:t>…</w:t>
            </w:r>
            <w:r w:rsidR="006E33D0">
              <w:t> </w:t>
            </w:r>
            <w:r>
              <w:t xml:space="preserve">naopak </w:t>
            </w:r>
            <w:r w:rsidR="00F97A48">
              <w:t>v </w:t>
            </w:r>
            <w:r>
              <w:t>těžební</w:t>
            </w:r>
            <w:r w:rsidR="00F97A48">
              <w:t>m</w:t>
            </w:r>
            <w:r>
              <w:t xml:space="preserve"> či kožedělném průmyslu pokračoval dlouhodobý útlum.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3A939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FBF82" w14:textId="228D0544" w:rsidR="00097078" w:rsidRPr="003E5D9B" w:rsidRDefault="00097078" w:rsidP="00044059">
            <w:pPr>
              <w:spacing w:after="220"/>
              <w:rPr>
                <w:spacing w:val="-3"/>
                <w:szCs w:val="20"/>
              </w:rPr>
            </w:pPr>
            <w:r w:rsidRPr="003E5D9B">
              <w:rPr>
                <w:spacing w:val="-3"/>
                <w:szCs w:val="20"/>
              </w:rPr>
              <w:t xml:space="preserve">Naopak skoro čtvrtinu míst ztratil za posledních šest let kožedělný průmysl (proti roku 2005 dokonce polovinu), šestinu těžba </w:t>
            </w:r>
            <w:r w:rsidR="00307E77" w:rsidRPr="003E5D9B">
              <w:rPr>
                <w:spacing w:val="-3"/>
                <w:szCs w:val="20"/>
              </w:rPr>
              <w:t>a</w:t>
            </w:r>
            <w:r w:rsidR="00307E77">
              <w:rPr>
                <w:spacing w:val="-3"/>
                <w:szCs w:val="20"/>
              </w:rPr>
              <w:t> </w:t>
            </w:r>
            <w:r w:rsidRPr="003E5D9B">
              <w:rPr>
                <w:spacing w:val="-3"/>
                <w:szCs w:val="20"/>
              </w:rPr>
              <w:t>dobývání a desetinu výrobci nábytku. Jestliže v nábytkářství se na tom podepsal vývoj v poslední dekádě (do roku 2009 zde přetrvával růstový trend zaměstnanos</w:t>
            </w:r>
            <w:r>
              <w:rPr>
                <w:spacing w:val="-3"/>
                <w:szCs w:val="20"/>
              </w:rPr>
              <w:t>ti), ve většině oborů se silným</w:t>
            </w:r>
            <w:r w:rsidRPr="003E5D9B">
              <w:rPr>
                <w:spacing w:val="-3"/>
                <w:szCs w:val="20"/>
              </w:rPr>
              <w:t xml:space="preserve">i úbytky míst k tomu docházelo primárně vlivem náročné transformace průmyslu </w:t>
            </w:r>
            <w:r w:rsidR="00FF6B81">
              <w:rPr>
                <w:spacing w:val="-3"/>
                <w:szCs w:val="20"/>
              </w:rPr>
              <w:t>v </w:t>
            </w:r>
            <w:r w:rsidRPr="003E5D9B">
              <w:rPr>
                <w:spacing w:val="-3"/>
                <w:szCs w:val="20"/>
              </w:rPr>
              <w:t>9</w:t>
            </w:r>
            <w:r w:rsidR="00307E77" w:rsidRPr="003E5D9B">
              <w:rPr>
                <w:spacing w:val="-3"/>
                <w:szCs w:val="20"/>
              </w:rPr>
              <w:t>0</w:t>
            </w:r>
            <w:r w:rsidR="00307E77">
              <w:rPr>
                <w:spacing w:val="-3"/>
                <w:szCs w:val="20"/>
              </w:rPr>
              <w:t>. </w:t>
            </w:r>
            <w:r w:rsidRPr="003E5D9B">
              <w:rPr>
                <w:spacing w:val="-3"/>
                <w:szCs w:val="20"/>
              </w:rPr>
              <w:t>let</w:t>
            </w:r>
            <w:r w:rsidR="00FF6B81">
              <w:rPr>
                <w:spacing w:val="-3"/>
                <w:szCs w:val="20"/>
              </w:rPr>
              <w:t>ech,</w:t>
            </w:r>
            <w:r w:rsidRPr="003E5D9B">
              <w:rPr>
                <w:spacing w:val="-3"/>
                <w:szCs w:val="20"/>
              </w:rPr>
              <w:t xml:space="preserve"> spojené </w:t>
            </w:r>
            <w:r w:rsidR="00F97A48">
              <w:rPr>
                <w:spacing w:val="-3"/>
                <w:szCs w:val="20"/>
              </w:rPr>
              <w:t>s </w:t>
            </w:r>
            <w:r w:rsidRPr="003E5D9B">
              <w:rPr>
                <w:spacing w:val="-3"/>
                <w:szCs w:val="20"/>
              </w:rPr>
              <w:t>lib</w:t>
            </w:r>
            <w:r>
              <w:rPr>
                <w:spacing w:val="-3"/>
                <w:szCs w:val="20"/>
              </w:rPr>
              <w:t xml:space="preserve">eralizací zahraničního obchodu </w:t>
            </w:r>
            <w:r w:rsidR="00307E77">
              <w:rPr>
                <w:spacing w:val="-3"/>
                <w:szCs w:val="20"/>
              </w:rPr>
              <w:t>a </w:t>
            </w:r>
            <w:r w:rsidRPr="003E5D9B">
              <w:rPr>
                <w:spacing w:val="-3"/>
                <w:szCs w:val="20"/>
              </w:rPr>
              <w:t xml:space="preserve">sílícím tlakem na výrobní </w:t>
            </w:r>
            <w:r>
              <w:rPr>
                <w:spacing w:val="-3"/>
                <w:szCs w:val="20"/>
              </w:rPr>
              <w:t>náklady</w:t>
            </w:r>
            <w:r w:rsidRPr="003E5D9B">
              <w:rPr>
                <w:spacing w:val="-3"/>
                <w:szCs w:val="20"/>
              </w:rPr>
              <w:t>. Příklad</w:t>
            </w:r>
            <w:r w:rsidR="00F97A48">
              <w:rPr>
                <w:spacing w:val="-3"/>
                <w:szCs w:val="20"/>
              </w:rPr>
              <w:t>em</w:t>
            </w:r>
            <w:r w:rsidRPr="003E5D9B">
              <w:rPr>
                <w:spacing w:val="-3"/>
                <w:szCs w:val="20"/>
              </w:rPr>
              <w:t xml:space="preserve"> jsou hutnictví </w:t>
            </w:r>
            <w:r w:rsidR="00307E77" w:rsidRPr="003E5D9B">
              <w:rPr>
                <w:spacing w:val="-3"/>
                <w:szCs w:val="20"/>
              </w:rPr>
              <w:t>a</w:t>
            </w:r>
            <w:r w:rsidR="00307E77">
              <w:rPr>
                <w:spacing w:val="-3"/>
                <w:szCs w:val="20"/>
              </w:rPr>
              <w:t> </w:t>
            </w:r>
            <w:r w:rsidRPr="003E5D9B">
              <w:rPr>
                <w:spacing w:val="-3"/>
                <w:szCs w:val="20"/>
              </w:rPr>
              <w:t xml:space="preserve">slévárenství, výroba stavebních materiálů, oděvní či textilní průmysl. Zaměstnanost v těchto oborech se podařilo po roce 2010 stabilizovat, mnohdy </w:t>
            </w:r>
            <w:r w:rsidR="00307E77" w:rsidRPr="003E5D9B">
              <w:rPr>
                <w:spacing w:val="-3"/>
                <w:szCs w:val="20"/>
              </w:rPr>
              <w:t>i</w:t>
            </w:r>
            <w:r w:rsidR="00307E77">
              <w:rPr>
                <w:spacing w:val="-3"/>
                <w:szCs w:val="20"/>
              </w:rPr>
              <w:t> </w:t>
            </w:r>
            <w:r w:rsidRPr="003E5D9B">
              <w:rPr>
                <w:spacing w:val="-3"/>
                <w:szCs w:val="20"/>
              </w:rPr>
              <w:t>díky vhodnější specializaci (např. v textilním průmyslu na produkci umělých vláken užitých ve stavebnictví či posílením vazby např. s výrobci dopravních prostředků).</w:t>
            </w:r>
          </w:p>
        </w:tc>
      </w:tr>
      <w:tr w:rsidR="00FB5B26" w:rsidRPr="00F00A85" w14:paraId="30B315E5" w14:textId="77777777" w:rsidTr="0014314C">
        <w:trPr>
          <w:trHeight w:val="14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EBA72" w14:textId="24020663" w:rsidR="00097078" w:rsidRDefault="00307E77" w:rsidP="00044059">
            <w:pPr>
              <w:pStyle w:val="Marginlie"/>
            </w:pPr>
            <w:r>
              <w:t>K </w:t>
            </w:r>
            <w:r w:rsidR="00097078">
              <w:t>ne</w:t>
            </w:r>
            <w:r w:rsidR="002E4F60">
              <w:t>j</w:t>
            </w:r>
            <w:r w:rsidR="00097078">
              <w:t xml:space="preserve">průmyslovějším regionům ČR z pohledu zaměstnanosti patří dlouhodobě Liberecký </w:t>
            </w:r>
            <w:r>
              <w:t>a </w:t>
            </w:r>
            <w:r w:rsidR="00097078">
              <w:t>Zlínský kraj a </w:t>
            </w:r>
            <w:r w:rsidR="00CF04A6">
              <w:t xml:space="preserve">Kraj </w:t>
            </w:r>
            <w:r w:rsidR="00097078">
              <w:t>Vysočina.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3902A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E72B4" w14:textId="2D23FBF7" w:rsidR="00097078" w:rsidRPr="00C05BC7" w:rsidRDefault="00097078" w:rsidP="00044059">
            <w:pPr>
              <w:spacing w:after="220"/>
              <w:rPr>
                <w:spacing w:val="-4"/>
                <w:szCs w:val="20"/>
              </w:rPr>
            </w:pPr>
            <w:r w:rsidRPr="00C05BC7">
              <w:rPr>
                <w:spacing w:val="-4"/>
                <w:szCs w:val="20"/>
              </w:rPr>
              <w:t>Průmysl hraje výz</w:t>
            </w:r>
            <w:r>
              <w:rPr>
                <w:spacing w:val="-4"/>
                <w:szCs w:val="20"/>
              </w:rPr>
              <w:t xml:space="preserve">namnou roli na pracovním trhu </w:t>
            </w:r>
            <w:r w:rsidR="00307E77">
              <w:rPr>
                <w:spacing w:val="-4"/>
                <w:szCs w:val="20"/>
              </w:rPr>
              <w:t>v </w:t>
            </w:r>
            <w:r w:rsidRPr="00C05BC7">
              <w:rPr>
                <w:spacing w:val="-4"/>
                <w:szCs w:val="20"/>
              </w:rPr>
              <w:t xml:space="preserve">drtivé většině regionů ČR. K nejprůmyslovějším z nich patří dlouhodobě Liberecký </w:t>
            </w:r>
            <w:r w:rsidR="00307E77" w:rsidRPr="00C05BC7">
              <w:rPr>
                <w:spacing w:val="-4"/>
                <w:szCs w:val="20"/>
              </w:rPr>
              <w:t>a</w:t>
            </w:r>
            <w:r w:rsidR="00307E77">
              <w:rPr>
                <w:spacing w:val="-4"/>
                <w:szCs w:val="20"/>
              </w:rPr>
              <w:t> </w:t>
            </w:r>
            <w:r w:rsidRPr="00C05BC7">
              <w:rPr>
                <w:spacing w:val="-4"/>
                <w:szCs w:val="20"/>
              </w:rPr>
              <w:t>Zlíns</w:t>
            </w:r>
            <w:r>
              <w:rPr>
                <w:spacing w:val="-4"/>
                <w:szCs w:val="20"/>
              </w:rPr>
              <w:t>ký kraj. V průměru za období 2017 až 2019</w:t>
            </w:r>
            <w:r w:rsidRPr="00C05BC7">
              <w:rPr>
                <w:spacing w:val="-4"/>
                <w:szCs w:val="20"/>
              </w:rPr>
              <w:t xml:space="preserve"> představoval </w:t>
            </w:r>
            <w:r w:rsidR="008834C6">
              <w:rPr>
                <w:spacing w:val="-4"/>
                <w:szCs w:val="20"/>
              </w:rPr>
              <w:t xml:space="preserve">průmysl </w:t>
            </w:r>
            <w:r w:rsidRPr="00C05BC7">
              <w:rPr>
                <w:spacing w:val="-4"/>
                <w:szCs w:val="20"/>
              </w:rPr>
              <w:t>hlavní odvětví pro více než 40</w:t>
            </w:r>
            <w:r w:rsidR="006E33D0">
              <w:rPr>
                <w:spacing w:val="-4"/>
                <w:szCs w:val="20"/>
              </w:rPr>
              <w:t> %</w:t>
            </w:r>
            <w:r w:rsidRPr="00C05BC7">
              <w:rPr>
                <w:spacing w:val="-4"/>
                <w:szCs w:val="20"/>
              </w:rPr>
              <w:t xml:space="preserve"> zaměstnaných obyvatel bydlících v těchto krajích. S těsným odstupem následoval Kraj Vysočina (39</w:t>
            </w:r>
            <w:r w:rsidR="006E33D0">
              <w:rPr>
                <w:spacing w:val="-4"/>
                <w:szCs w:val="20"/>
              </w:rPr>
              <w:t> %</w:t>
            </w:r>
            <w:r w:rsidRPr="00C05BC7">
              <w:rPr>
                <w:spacing w:val="-4"/>
                <w:szCs w:val="20"/>
              </w:rPr>
              <w:t xml:space="preserve">). V dalších osmi krajích přesahoval jeho podíl 30% hranici. Vzhledem k silné roli spádového krajského města se silnou </w:t>
            </w:r>
            <w:r w:rsidR="00307E77" w:rsidRPr="00C05BC7">
              <w:rPr>
                <w:spacing w:val="-4"/>
                <w:szCs w:val="20"/>
              </w:rPr>
              <w:t>a</w:t>
            </w:r>
            <w:r w:rsidR="00307E77">
              <w:rPr>
                <w:spacing w:val="-4"/>
                <w:szCs w:val="20"/>
              </w:rPr>
              <w:t> </w:t>
            </w:r>
            <w:r w:rsidRPr="00C05BC7">
              <w:rPr>
                <w:spacing w:val="-4"/>
                <w:szCs w:val="20"/>
              </w:rPr>
              <w:t>pestrou nabídkou pracovních míst ve službách měl průmysl menší význam pro rezidenty v</w:t>
            </w:r>
            <w:r w:rsidR="00CF04A6">
              <w:rPr>
                <w:spacing w:val="-4"/>
                <w:szCs w:val="20"/>
              </w:rPr>
              <w:t xml:space="preserve"> krajích </w:t>
            </w:r>
            <w:r w:rsidRPr="00C05BC7">
              <w:rPr>
                <w:spacing w:val="-4"/>
                <w:szCs w:val="20"/>
              </w:rPr>
              <w:t xml:space="preserve">Jihomoravském </w:t>
            </w:r>
            <w:r>
              <w:rPr>
                <w:spacing w:val="-4"/>
                <w:szCs w:val="20"/>
              </w:rPr>
              <w:t>(28,2</w:t>
            </w:r>
            <w:r w:rsidR="006E33D0">
              <w:rPr>
                <w:spacing w:val="-4"/>
                <w:szCs w:val="20"/>
              </w:rPr>
              <w:t> %</w:t>
            </w:r>
            <w:r>
              <w:rPr>
                <w:spacing w:val="-4"/>
                <w:szCs w:val="20"/>
              </w:rPr>
              <w:t xml:space="preserve">) </w:t>
            </w:r>
            <w:r w:rsidR="00307E77">
              <w:rPr>
                <w:spacing w:val="-4"/>
                <w:szCs w:val="20"/>
              </w:rPr>
              <w:t>a </w:t>
            </w:r>
            <w:r>
              <w:rPr>
                <w:spacing w:val="-4"/>
                <w:szCs w:val="20"/>
              </w:rPr>
              <w:t>Středočeském (26,6</w:t>
            </w:r>
            <w:r w:rsidR="006E33D0">
              <w:rPr>
                <w:spacing w:val="-4"/>
                <w:szCs w:val="20"/>
              </w:rPr>
              <w:t> %</w:t>
            </w:r>
            <w:r w:rsidRPr="00C05BC7">
              <w:rPr>
                <w:spacing w:val="-4"/>
                <w:szCs w:val="20"/>
              </w:rPr>
              <w:t xml:space="preserve">) </w:t>
            </w:r>
            <w:r w:rsidR="00307E77" w:rsidRPr="00C05BC7">
              <w:rPr>
                <w:spacing w:val="-4"/>
                <w:szCs w:val="20"/>
              </w:rPr>
              <w:t>a</w:t>
            </w:r>
            <w:r w:rsidR="00307E77">
              <w:rPr>
                <w:spacing w:val="-4"/>
                <w:szCs w:val="20"/>
              </w:rPr>
              <w:t> </w:t>
            </w:r>
            <w:r w:rsidRPr="00C05BC7">
              <w:rPr>
                <w:spacing w:val="-4"/>
                <w:szCs w:val="20"/>
              </w:rPr>
              <w:t xml:space="preserve">logicky také v Praze </w:t>
            </w:r>
            <w:r>
              <w:rPr>
                <w:spacing w:val="-4"/>
                <w:szCs w:val="20"/>
              </w:rPr>
              <w:t>(10,9</w:t>
            </w:r>
            <w:r w:rsidRPr="00C05BC7">
              <w:rPr>
                <w:spacing w:val="-4"/>
                <w:szCs w:val="20"/>
              </w:rPr>
              <w:t> %)</w:t>
            </w:r>
            <w:r w:rsidRPr="003E5D9B">
              <w:rPr>
                <w:rStyle w:val="Znakapoznpodarou"/>
                <w:spacing w:val="-4"/>
              </w:rPr>
              <w:footnoteReference w:id="6"/>
            </w:r>
            <w:r w:rsidRPr="00C05BC7">
              <w:rPr>
                <w:spacing w:val="-4"/>
                <w:szCs w:val="20"/>
              </w:rPr>
              <w:t>.</w:t>
            </w:r>
            <w:r>
              <w:rPr>
                <w:spacing w:val="-4"/>
                <w:szCs w:val="20"/>
              </w:rPr>
              <w:t xml:space="preserve"> Průmysl jako odvětví svého hlavního zaměstnání uvedlo </w:t>
            </w:r>
            <w:r w:rsidR="007D7668">
              <w:rPr>
                <w:spacing w:val="-4"/>
                <w:szCs w:val="20"/>
              </w:rPr>
              <w:lastRenderedPageBreak/>
              <w:t>ve VŠPS 36</w:t>
            </w:r>
            <w:r w:rsidR="006E33D0">
              <w:rPr>
                <w:spacing w:val="-4"/>
                <w:szCs w:val="20"/>
              </w:rPr>
              <w:t> %</w:t>
            </w:r>
            <w:r>
              <w:rPr>
                <w:spacing w:val="-4"/>
                <w:szCs w:val="20"/>
              </w:rPr>
              <w:t xml:space="preserve"> zaměstnaných mužů </w:t>
            </w:r>
            <w:r w:rsidR="00307E77">
              <w:rPr>
                <w:spacing w:val="-4"/>
                <w:szCs w:val="20"/>
              </w:rPr>
              <w:t>a </w:t>
            </w:r>
            <w:r w:rsidR="007D7668">
              <w:rPr>
                <w:spacing w:val="-4"/>
                <w:szCs w:val="20"/>
              </w:rPr>
              <w:t>23</w:t>
            </w:r>
            <w:r w:rsidR="006E33D0">
              <w:rPr>
                <w:spacing w:val="-4"/>
                <w:szCs w:val="20"/>
              </w:rPr>
              <w:t> %</w:t>
            </w:r>
            <w:r>
              <w:rPr>
                <w:spacing w:val="-4"/>
                <w:szCs w:val="20"/>
              </w:rPr>
              <w:t xml:space="preserve"> žen. Územní rozložení se mezi muži </w:t>
            </w:r>
            <w:r w:rsidR="00CF04A6">
              <w:rPr>
                <w:spacing w:val="-4"/>
                <w:szCs w:val="20"/>
              </w:rPr>
              <w:t>a </w:t>
            </w:r>
            <w:r>
              <w:rPr>
                <w:spacing w:val="-4"/>
                <w:szCs w:val="20"/>
              </w:rPr>
              <w:t xml:space="preserve">ženami moc nelišilo, jen </w:t>
            </w:r>
            <w:r w:rsidR="00307E77">
              <w:rPr>
                <w:spacing w:val="-4"/>
                <w:szCs w:val="20"/>
              </w:rPr>
              <w:t>u </w:t>
            </w:r>
            <w:r>
              <w:rPr>
                <w:spacing w:val="-4"/>
                <w:szCs w:val="20"/>
              </w:rPr>
              <w:t xml:space="preserve">rezidentů Moravskoslezského </w:t>
            </w:r>
            <w:r w:rsidR="00307E77">
              <w:rPr>
                <w:spacing w:val="-4"/>
                <w:szCs w:val="20"/>
              </w:rPr>
              <w:t>a </w:t>
            </w:r>
            <w:r>
              <w:rPr>
                <w:spacing w:val="-4"/>
                <w:szCs w:val="20"/>
              </w:rPr>
              <w:t>Ústeckého kraje se projevila výrazně častější preference průmyslu u</w:t>
            </w:r>
            <w:r w:rsidRPr="00C05BC7">
              <w:rPr>
                <w:spacing w:val="-4"/>
                <w:szCs w:val="20"/>
              </w:rPr>
              <w:t> </w:t>
            </w:r>
            <w:r>
              <w:rPr>
                <w:spacing w:val="-4"/>
                <w:szCs w:val="20"/>
              </w:rPr>
              <w:t>mužů</w:t>
            </w:r>
            <w:r w:rsidRPr="003E5D9B">
              <w:rPr>
                <w:rStyle w:val="Znakapoznpodarou"/>
                <w:spacing w:val="-4"/>
              </w:rPr>
              <w:footnoteReference w:id="7"/>
            </w:r>
            <w:r>
              <w:rPr>
                <w:spacing w:val="-4"/>
                <w:szCs w:val="20"/>
              </w:rPr>
              <w:t>. To souviselo se skladbou průmyslu v těchto regionech (</w:t>
            </w:r>
            <w:r w:rsidR="00CF04A6">
              <w:rPr>
                <w:spacing w:val="-4"/>
                <w:szCs w:val="20"/>
              </w:rPr>
              <w:t>s </w:t>
            </w:r>
            <w:r>
              <w:rPr>
                <w:spacing w:val="-4"/>
                <w:szCs w:val="20"/>
              </w:rPr>
              <w:t xml:space="preserve">nadprůměrným podílem těžby </w:t>
            </w:r>
            <w:r w:rsidR="00307E77">
              <w:rPr>
                <w:spacing w:val="-4"/>
                <w:szCs w:val="20"/>
              </w:rPr>
              <w:t>a </w:t>
            </w:r>
            <w:r>
              <w:rPr>
                <w:spacing w:val="-4"/>
                <w:szCs w:val="20"/>
              </w:rPr>
              <w:t xml:space="preserve">dobývání, chemického průmyslu či hutnictví </w:t>
            </w:r>
            <w:r w:rsidR="00307E77">
              <w:rPr>
                <w:spacing w:val="-4"/>
                <w:szCs w:val="20"/>
              </w:rPr>
              <w:t>a </w:t>
            </w:r>
            <w:r>
              <w:rPr>
                <w:spacing w:val="-4"/>
                <w:szCs w:val="20"/>
              </w:rPr>
              <w:t>slévárenství).</w:t>
            </w:r>
          </w:p>
        </w:tc>
      </w:tr>
      <w:tr w:rsidR="00FB5B26" w:rsidRPr="00F00A85" w14:paraId="35525C25" w14:textId="77777777" w:rsidTr="0014314C">
        <w:trPr>
          <w:trHeight w:val="14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BB600" w14:textId="77777777" w:rsidR="00097078" w:rsidRDefault="00097078" w:rsidP="00044059">
            <w:pPr>
              <w:pStyle w:val="Marginlie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2069A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40B4D" w14:textId="7E45EBA4" w:rsidR="00097078" w:rsidRPr="00234F4B" w:rsidRDefault="004C0391" w:rsidP="00044059">
            <w:pPr>
              <w:spacing w:after="0"/>
              <w:rPr>
                <w:szCs w:val="20"/>
              </w:rPr>
            </w:pPr>
            <w:r>
              <w:rPr>
                <w:b/>
                <w:szCs w:val="20"/>
              </w:rPr>
              <w:t>Graf</w:t>
            </w:r>
            <w:r w:rsidR="006E33D0">
              <w:rPr>
                <w:b/>
                <w:szCs w:val="20"/>
              </w:rPr>
              <w:t xml:space="preserve"> č. </w:t>
            </w:r>
            <w:r w:rsidR="00307E77">
              <w:rPr>
                <w:b/>
                <w:szCs w:val="20"/>
              </w:rPr>
              <w:t xml:space="preserve">8  </w:t>
            </w:r>
            <w:r w:rsidR="00097078" w:rsidRPr="00234F4B">
              <w:rPr>
                <w:b/>
                <w:szCs w:val="20"/>
              </w:rPr>
              <w:t xml:space="preserve">Podíl průmyslu na celkové zaměstnanosti mužů </w:t>
            </w:r>
            <w:r w:rsidR="00307E77" w:rsidRPr="00234F4B">
              <w:rPr>
                <w:b/>
                <w:szCs w:val="20"/>
              </w:rPr>
              <w:t>a</w:t>
            </w:r>
            <w:r w:rsidR="00307E77">
              <w:rPr>
                <w:b/>
                <w:szCs w:val="20"/>
              </w:rPr>
              <w:t> </w:t>
            </w:r>
            <w:r w:rsidR="00097078" w:rsidRPr="00234F4B">
              <w:rPr>
                <w:b/>
                <w:szCs w:val="20"/>
              </w:rPr>
              <w:t xml:space="preserve">žen </w:t>
            </w:r>
            <w:r w:rsidR="00307E77" w:rsidRPr="00234F4B">
              <w:rPr>
                <w:b/>
                <w:szCs w:val="20"/>
              </w:rPr>
              <w:t>v</w:t>
            </w:r>
            <w:r w:rsidR="00307E77">
              <w:rPr>
                <w:b/>
                <w:szCs w:val="20"/>
              </w:rPr>
              <w:t> </w:t>
            </w:r>
            <w:r w:rsidR="00097078" w:rsidRPr="00234F4B">
              <w:rPr>
                <w:b/>
                <w:szCs w:val="20"/>
              </w:rPr>
              <w:t>krajích ČR* v obdobích 2005</w:t>
            </w:r>
            <w:r w:rsidR="00E123E5">
              <w:rPr>
                <w:b/>
                <w:szCs w:val="20"/>
              </w:rPr>
              <w:t>–</w:t>
            </w:r>
            <w:r w:rsidR="00097078" w:rsidRPr="00234F4B">
              <w:rPr>
                <w:b/>
                <w:szCs w:val="20"/>
              </w:rPr>
              <w:t>2007 a 2017</w:t>
            </w:r>
            <w:r w:rsidR="00E123E5">
              <w:rPr>
                <w:b/>
                <w:szCs w:val="20"/>
              </w:rPr>
              <w:t>–</w:t>
            </w:r>
            <w:r w:rsidR="00097078" w:rsidRPr="00234F4B">
              <w:rPr>
                <w:b/>
                <w:szCs w:val="20"/>
              </w:rPr>
              <w:t>2019</w:t>
            </w:r>
            <w:r w:rsidR="00097078" w:rsidRPr="00234F4B">
              <w:rPr>
                <w:szCs w:val="20"/>
              </w:rPr>
              <w:t xml:space="preserve"> (v</w:t>
            </w:r>
            <w:r w:rsidR="006E33D0">
              <w:rPr>
                <w:szCs w:val="20"/>
              </w:rPr>
              <w:t> %</w:t>
            </w:r>
            <w:r w:rsidR="00097078" w:rsidRPr="00234F4B">
              <w:rPr>
                <w:szCs w:val="20"/>
              </w:rPr>
              <w:t>)</w:t>
            </w:r>
          </w:p>
        </w:tc>
      </w:tr>
      <w:tr w:rsidR="00FB5B26" w:rsidRPr="00F00A85" w14:paraId="426DCABF" w14:textId="77777777" w:rsidTr="0014314C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5C2BF" w14:textId="77777777" w:rsidR="00097078" w:rsidRDefault="00097078" w:rsidP="00044059">
            <w:pPr>
              <w:pStyle w:val="Marginlie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CE1EA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3C79E" w14:textId="0E94E077" w:rsidR="00097078" w:rsidRDefault="000774EC" w:rsidP="00044059">
            <w:pPr>
              <w:spacing w:after="0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073F8BF" wp14:editId="70B1C0CC">
                  <wp:extent cx="4754880" cy="3339465"/>
                  <wp:effectExtent l="0" t="0" r="7620" b="0"/>
                  <wp:docPr id="38" name="Graf 3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FB5B26" w:rsidRPr="00F00A85" w14:paraId="1DF040D6" w14:textId="77777777" w:rsidTr="0014314C">
        <w:trPr>
          <w:trHeight w:val="14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7CCC5" w14:textId="77777777" w:rsidR="00097078" w:rsidRDefault="00097078" w:rsidP="00044059">
            <w:pPr>
              <w:pStyle w:val="Marginlie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74AB5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9AA84" w14:textId="77777777" w:rsidR="00097078" w:rsidRPr="00F710D4" w:rsidRDefault="00097078" w:rsidP="00044059">
            <w:pPr>
              <w:spacing w:after="0"/>
              <w:rPr>
                <w:sz w:val="14"/>
                <w:szCs w:val="14"/>
              </w:rPr>
            </w:pPr>
            <w:r w:rsidRPr="00F710D4">
              <w:rPr>
                <w:sz w:val="14"/>
                <w:szCs w:val="14"/>
              </w:rPr>
              <w:t>*Pracovníci jsou zařazeni do krajů dle místa svého bydliště.</w:t>
            </w:r>
          </w:p>
          <w:p w14:paraId="12DF5C9A" w14:textId="77777777" w:rsidR="00097078" w:rsidRPr="00F710D4" w:rsidRDefault="00097078" w:rsidP="00044059">
            <w:pPr>
              <w:spacing w:after="220"/>
              <w:rPr>
                <w:sz w:val="14"/>
                <w:szCs w:val="14"/>
              </w:rPr>
            </w:pPr>
            <w:r w:rsidRPr="00F710D4">
              <w:rPr>
                <w:sz w:val="14"/>
                <w:szCs w:val="14"/>
              </w:rPr>
              <w:t>Zdroj: ČSÚ (VŠPS)</w:t>
            </w:r>
          </w:p>
        </w:tc>
      </w:tr>
      <w:tr w:rsidR="00FB5B26" w:rsidRPr="00F00A85" w14:paraId="1C1554EC" w14:textId="77777777" w:rsidTr="0014314C">
        <w:trPr>
          <w:trHeight w:val="14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410C2" w14:textId="54452FE5" w:rsidR="00097078" w:rsidRDefault="00097078" w:rsidP="00044059">
            <w:pPr>
              <w:pStyle w:val="Marginlie"/>
            </w:pPr>
            <w:r>
              <w:t xml:space="preserve">Podíl v průmyslu zaměstnaných mužů v poslední dekádě mírně rostl, </w:t>
            </w:r>
            <w:r w:rsidR="00307E77">
              <w:t>u </w:t>
            </w:r>
            <w:r>
              <w:t>žen stagnoval.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3B319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AB101" w14:textId="20943CF4" w:rsidR="00097078" w:rsidRPr="001D65B8" w:rsidRDefault="00097078" w:rsidP="00044059">
            <w:pPr>
              <w:spacing w:after="220"/>
              <w:rPr>
                <w:spacing w:val="-4"/>
                <w:szCs w:val="20"/>
              </w:rPr>
            </w:pPr>
            <w:r>
              <w:rPr>
                <w:spacing w:val="-4"/>
                <w:szCs w:val="20"/>
              </w:rPr>
              <w:t xml:space="preserve">V posledních dvaceti letech se váha průmyslu </w:t>
            </w:r>
            <w:r w:rsidR="00307E77">
              <w:rPr>
                <w:spacing w:val="-4"/>
                <w:szCs w:val="20"/>
              </w:rPr>
              <w:t>v </w:t>
            </w:r>
            <w:r>
              <w:rPr>
                <w:spacing w:val="-4"/>
                <w:szCs w:val="20"/>
              </w:rPr>
              <w:t xml:space="preserve">celkové zaměstnanosti mužů </w:t>
            </w:r>
            <w:r w:rsidR="00307E77">
              <w:rPr>
                <w:spacing w:val="-4"/>
                <w:szCs w:val="20"/>
              </w:rPr>
              <w:t>a </w:t>
            </w:r>
            <w:r>
              <w:rPr>
                <w:spacing w:val="-4"/>
                <w:szCs w:val="20"/>
              </w:rPr>
              <w:t xml:space="preserve">žen v tuzemsku vyvíjela odlišně. Zatímco ve struktuře zaměstnanosti mužů role průmyslu po roce 2003 již mírně posilovala (tento trend byl krátce přerušen pouze v souvislosti s globální finanční </w:t>
            </w:r>
            <w:r w:rsidR="00307E77">
              <w:rPr>
                <w:spacing w:val="-4"/>
                <w:szCs w:val="20"/>
              </w:rPr>
              <w:t>a </w:t>
            </w:r>
            <w:r>
              <w:rPr>
                <w:spacing w:val="-4"/>
                <w:szCs w:val="20"/>
              </w:rPr>
              <w:t xml:space="preserve">hospodářskou krizí v roce 2009), </w:t>
            </w:r>
            <w:r w:rsidR="00307E77">
              <w:rPr>
                <w:spacing w:val="-4"/>
                <w:szCs w:val="20"/>
              </w:rPr>
              <w:t>u </w:t>
            </w:r>
            <w:r>
              <w:rPr>
                <w:spacing w:val="-4"/>
                <w:szCs w:val="20"/>
              </w:rPr>
              <w:t>žen se pokles spojený s transformačními procesy z 9</w:t>
            </w:r>
            <w:r w:rsidR="00307E77">
              <w:rPr>
                <w:spacing w:val="-4"/>
                <w:szCs w:val="20"/>
              </w:rPr>
              <w:t>0. </w:t>
            </w:r>
            <w:r>
              <w:rPr>
                <w:spacing w:val="-4"/>
                <w:szCs w:val="20"/>
              </w:rPr>
              <w:t xml:space="preserve">let zastavil až v roce 2005 </w:t>
            </w:r>
            <w:r w:rsidR="00307E77">
              <w:rPr>
                <w:spacing w:val="-4"/>
                <w:szCs w:val="20"/>
              </w:rPr>
              <w:t>a </w:t>
            </w:r>
            <w:r>
              <w:rPr>
                <w:spacing w:val="-4"/>
                <w:szCs w:val="20"/>
              </w:rPr>
              <w:t xml:space="preserve">po krátkém </w:t>
            </w:r>
            <w:r w:rsidR="00307E77">
              <w:rPr>
                <w:spacing w:val="-4"/>
                <w:szCs w:val="20"/>
              </w:rPr>
              <w:t>a </w:t>
            </w:r>
            <w:r>
              <w:rPr>
                <w:spacing w:val="-4"/>
                <w:szCs w:val="20"/>
              </w:rPr>
              <w:t xml:space="preserve">mírném posílení </w:t>
            </w:r>
            <w:r w:rsidR="00307E77">
              <w:rPr>
                <w:spacing w:val="-4"/>
                <w:szCs w:val="20"/>
              </w:rPr>
              <w:t>v </w:t>
            </w:r>
            <w:r>
              <w:rPr>
                <w:spacing w:val="-4"/>
                <w:szCs w:val="20"/>
              </w:rPr>
              <w:t xml:space="preserve">navazujícím období vrcholící konjunktury následoval útlum v letech 2009 </w:t>
            </w:r>
            <w:r w:rsidR="00E315D4">
              <w:rPr>
                <w:spacing w:val="-4"/>
                <w:szCs w:val="20"/>
              </w:rPr>
              <w:t>a </w:t>
            </w:r>
            <w:r>
              <w:rPr>
                <w:spacing w:val="-4"/>
                <w:szCs w:val="20"/>
              </w:rPr>
              <w:t xml:space="preserve">2010 (hlubší než </w:t>
            </w:r>
            <w:r w:rsidR="00307E77">
              <w:rPr>
                <w:spacing w:val="-4"/>
                <w:szCs w:val="20"/>
              </w:rPr>
              <w:t>u </w:t>
            </w:r>
            <w:r>
              <w:rPr>
                <w:spacing w:val="-4"/>
                <w:szCs w:val="20"/>
              </w:rPr>
              <w:t xml:space="preserve">mužů). V poslední dekádě pak podíl průmyslu na celkové zaměstnanosti žen pouze stagnoval. Tento vývoj byl patrný </w:t>
            </w:r>
            <w:r w:rsidR="00307E77">
              <w:rPr>
                <w:spacing w:val="-4"/>
                <w:szCs w:val="20"/>
              </w:rPr>
              <w:t>i v </w:t>
            </w:r>
            <w:r>
              <w:rPr>
                <w:spacing w:val="-4"/>
                <w:szCs w:val="20"/>
              </w:rPr>
              <w:t xml:space="preserve">krajích. Jestliže podíl </w:t>
            </w:r>
            <w:r w:rsidR="00307E77">
              <w:rPr>
                <w:spacing w:val="-4"/>
                <w:szCs w:val="20"/>
              </w:rPr>
              <w:t>v </w:t>
            </w:r>
            <w:r>
              <w:rPr>
                <w:spacing w:val="-4"/>
                <w:szCs w:val="20"/>
              </w:rPr>
              <w:t>průmyslu zaměstnaných mužů se mezi obdobími 2005</w:t>
            </w:r>
            <w:r w:rsidR="00E315D4">
              <w:rPr>
                <w:spacing w:val="-4"/>
                <w:szCs w:val="20"/>
              </w:rPr>
              <w:t>–</w:t>
            </w:r>
            <w:r>
              <w:rPr>
                <w:spacing w:val="-4"/>
                <w:szCs w:val="20"/>
              </w:rPr>
              <w:t xml:space="preserve">2007 </w:t>
            </w:r>
            <w:r w:rsidR="00307E77">
              <w:rPr>
                <w:spacing w:val="-4"/>
                <w:szCs w:val="20"/>
              </w:rPr>
              <w:t>a </w:t>
            </w:r>
            <w:r>
              <w:rPr>
                <w:spacing w:val="-4"/>
                <w:szCs w:val="20"/>
              </w:rPr>
              <w:t>2017</w:t>
            </w:r>
            <w:r w:rsidR="00E315D4">
              <w:rPr>
                <w:spacing w:val="-4"/>
                <w:szCs w:val="20"/>
              </w:rPr>
              <w:t>–</w:t>
            </w:r>
            <w:r>
              <w:rPr>
                <w:spacing w:val="-4"/>
                <w:szCs w:val="20"/>
              </w:rPr>
              <w:t xml:space="preserve">2019 mírně navýšil téměř ve všech krajích (vyjma Středočeského </w:t>
            </w:r>
            <w:r w:rsidR="00307E77">
              <w:rPr>
                <w:spacing w:val="-4"/>
                <w:szCs w:val="20"/>
              </w:rPr>
              <w:t>a </w:t>
            </w:r>
            <w:r>
              <w:rPr>
                <w:spacing w:val="-4"/>
                <w:szCs w:val="20"/>
              </w:rPr>
              <w:t xml:space="preserve">Libereckého), </w:t>
            </w:r>
            <w:r w:rsidR="00307E77">
              <w:rPr>
                <w:spacing w:val="-4"/>
                <w:szCs w:val="20"/>
              </w:rPr>
              <w:t>u </w:t>
            </w:r>
            <w:r>
              <w:rPr>
                <w:spacing w:val="-4"/>
                <w:szCs w:val="20"/>
              </w:rPr>
              <w:t xml:space="preserve">žen došlo zpravidla ke znatelnému poklesu s výjimkou regionů </w:t>
            </w:r>
            <w:r w:rsidR="00E315D4">
              <w:rPr>
                <w:spacing w:val="-4"/>
                <w:szCs w:val="20"/>
              </w:rPr>
              <w:t xml:space="preserve">na </w:t>
            </w:r>
            <w:r>
              <w:rPr>
                <w:spacing w:val="-4"/>
                <w:szCs w:val="20"/>
              </w:rPr>
              <w:t xml:space="preserve">střední </w:t>
            </w:r>
            <w:r w:rsidR="00307E77">
              <w:rPr>
                <w:spacing w:val="-4"/>
                <w:szCs w:val="20"/>
              </w:rPr>
              <w:t>a </w:t>
            </w:r>
            <w:r>
              <w:rPr>
                <w:spacing w:val="-4"/>
                <w:szCs w:val="20"/>
              </w:rPr>
              <w:t xml:space="preserve">severní Moravě </w:t>
            </w:r>
            <w:r w:rsidR="00307E77">
              <w:rPr>
                <w:spacing w:val="-4"/>
                <w:szCs w:val="20"/>
              </w:rPr>
              <w:t>a </w:t>
            </w:r>
            <w:r>
              <w:rPr>
                <w:spacing w:val="-4"/>
                <w:szCs w:val="20"/>
              </w:rPr>
              <w:t xml:space="preserve">také v Praze. </w:t>
            </w:r>
            <w:r w:rsidR="00307E77">
              <w:rPr>
                <w:spacing w:val="-4"/>
                <w:szCs w:val="20"/>
              </w:rPr>
              <w:t>V </w:t>
            </w:r>
            <w:r>
              <w:rPr>
                <w:spacing w:val="-4"/>
                <w:szCs w:val="20"/>
              </w:rPr>
              <w:t xml:space="preserve">rozdílné dynamice zaměstnanosti podle pohlaví se projevil fakt, že řada oborů lehkého průmyslu, </w:t>
            </w:r>
            <w:r w:rsidR="00E315D4">
              <w:rPr>
                <w:spacing w:val="-4"/>
                <w:szCs w:val="20"/>
              </w:rPr>
              <w:t xml:space="preserve">které </w:t>
            </w:r>
            <w:r>
              <w:rPr>
                <w:spacing w:val="-4"/>
                <w:szCs w:val="20"/>
              </w:rPr>
              <w:t>poskytují uplatnění spíše ženám, ve sledovaném období pracovní místa redukovala (potravinářství, textilní a kožedělný průmysl)</w:t>
            </w:r>
            <w:r w:rsidR="007E36EA">
              <w:rPr>
                <w:spacing w:val="-4"/>
                <w:szCs w:val="20"/>
              </w:rPr>
              <w:t>.</w:t>
            </w:r>
          </w:p>
        </w:tc>
      </w:tr>
      <w:tr w:rsidR="00FB5B26" w:rsidRPr="00F00A85" w14:paraId="75E7B199" w14:textId="77777777" w:rsidTr="0014314C">
        <w:trPr>
          <w:trHeight w:val="14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00F3D" w14:textId="4EFDA488" w:rsidR="00307E77" w:rsidRDefault="00097078" w:rsidP="00044059">
            <w:pPr>
              <w:pStyle w:val="Marginlie"/>
            </w:pPr>
            <w:r>
              <w:t xml:space="preserve">Dvě třetiny zaměstnaných </w:t>
            </w:r>
            <w:r w:rsidR="008B21E6">
              <w:t>v </w:t>
            </w:r>
            <w:r>
              <w:t>průmyslu tvořili manuální pracovníci.</w:t>
            </w:r>
          </w:p>
          <w:p w14:paraId="18AE2971" w14:textId="460F0B44" w:rsidR="00097078" w:rsidRDefault="00097078" w:rsidP="00044059">
            <w:pPr>
              <w:pStyle w:val="Marginlie"/>
            </w:pPr>
          </w:p>
          <w:p w14:paraId="6C78A280" w14:textId="77777777" w:rsidR="00097078" w:rsidRDefault="00097078" w:rsidP="00044059">
            <w:pPr>
              <w:pStyle w:val="Marginlie"/>
            </w:pPr>
          </w:p>
          <w:p w14:paraId="6AFEE928" w14:textId="77777777" w:rsidR="00097078" w:rsidRDefault="00097078" w:rsidP="00044059">
            <w:pPr>
              <w:pStyle w:val="Marginlie"/>
            </w:pPr>
          </w:p>
          <w:p w14:paraId="504389A8" w14:textId="026CCC44" w:rsidR="00097078" w:rsidRDefault="00097078" w:rsidP="00044059">
            <w:pPr>
              <w:pStyle w:val="Marginlie"/>
            </w:pPr>
            <w:r>
              <w:lastRenderedPageBreak/>
              <w:t xml:space="preserve">Váha specialistů na celkové zaměstnanosti </w:t>
            </w:r>
            <w:r w:rsidR="00307E77">
              <w:t>v </w:t>
            </w:r>
            <w:r>
              <w:t>průmyslu rostla.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4E20C" w14:textId="77777777" w:rsidR="00097078" w:rsidRPr="000774EC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0D567" w14:textId="55EBBCF8" w:rsidR="00097078" w:rsidRPr="000774EC" w:rsidRDefault="00097078" w:rsidP="00AC1296">
            <w:pPr>
              <w:spacing w:after="220"/>
              <w:rPr>
                <w:spacing w:val="-4"/>
                <w:szCs w:val="20"/>
              </w:rPr>
            </w:pPr>
            <w:r w:rsidRPr="000774EC">
              <w:rPr>
                <w:spacing w:val="-4"/>
                <w:szCs w:val="20"/>
              </w:rPr>
              <w:t>Vedle celkového počtu zaměstnanců je důležitá také jejich skladba. Z pohledu hlavních tříd klasifikace zaměstnání lze na základě údajů z </w:t>
            </w:r>
            <w:r w:rsidR="00AC1296" w:rsidRPr="000774EC">
              <w:rPr>
                <w:spacing w:val="-4"/>
                <w:szCs w:val="20"/>
              </w:rPr>
              <w:t xml:space="preserve">Výběrového </w:t>
            </w:r>
            <w:r w:rsidRPr="000774EC">
              <w:rPr>
                <w:spacing w:val="-4"/>
                <w:szCs w:val="20"/>
              </w:rPr>
              <w:t>šetření pracovních sil (VŠPS) konstatovat, že v průmyslu si udržují dominantní pozici převážně manuální pracovníci</w:t>
            </w:r>
            <w:r w:rsidRPr="000774EC">
              <w:rPr>
                <w:rStyle w:val="Znakapoznpodarou"/>
                <w:spacing w:val="-4"/>
              </w:rPr>
              <w:footnoteReference w:id="8"/>
            </w:r>
            <w:r w:rsidRPr="000774EC">
              <w:rPr>
                <w:spacing w:val="-4"/>
                <w:szCs w:val="20"/>
              </w:rPr>
              <w:t>, kteří zde v roce 2019 tvořili 65</w:t>
            </w:r>
            <w:r w:rsidR="006E33D0" w:rsidRPr="000774EC">
              <w:rPr>
                <w:spacing w:val="-4"/>
                <w:szCs w:val="20"/>
              </w:rPr>
              <w:t> %</w:t>
            </w:r>
            <w:r w:rsidRPr="000774EC">
              <w:rPr>
                <w:spacing w:val="-4"/>
                <w:szCs w:val="20"/>
              </w:rPr>
              <w:t xml:space="preserve"> všech zaměstnaných (</w:t>
            </w:r>
            <w:r w:rsidR="00307E77" w:rsidRPr="000774EC">
              <w:rPr>
                <w:spacing w:val="-4"/>
                <w:szCs w:val="20"/>
              </w:rPr>
              <w:t>s </w:t>
            </w:r>
            <w:r w:rsidRPr="000774EC">
              <w:rPr>
                <w:spacing w:val="-4"/>
                <w:szCs w:val="20"/>
              </w:rPr>
              <w:t xml:space="preserve">mírně vyšším zastoupením mužů než žen – </w:t>
            </w:r>
            <w:r w:rsidR="00307E77" w:rsidRPr="000774EC">
              <w:rPr>
                <w:spacing w:val="-4"/>
                <w:szCs w:val="20"/>
              </w:rPr>
              <w:t>o </w:t>
            </w:r>
            <w:r w:rsidRPr="000774EC">
              <w:rPr>
                <w:spacing w:val="-4"/>
                <w:szCs w:val="20"/>
              </w:rPr>
              <w:t>5</w:t>
            </w:r>
            <w:r w:rsidR="006E33D0" w:rsidRPr="000774EC">
              <w:rPr>
                <w:spacing w:val="-4"/>
                <w:szCs w:val="20"/>
              </w:rPr>
              <w:t> p. b.</w:t>
            </w:r>
            <w:r w:rsidRPr="000774EC">
              <w:rPr>
                <w:spacing w:val="-4"/>
                <w:szCs w:val="20"/>
              </w:rPr>
              <w:t xml:space="preserve">). Oproti roku 2011, kdy vstoupila v platnost současná klasifikace zaměstnání, nedošlo v tomto ohledu v průmyslu k významnějším strukturálním změnám. Podíl </w:t>
            </w:r>
            <w:r w:rsidRPr="000774EC">
              <w:rPr>
                <w:spacing w:val="-4"/>
                <w:szCs w:val="20"/>
              </w:rPr>
              <w:lastRenderedPageBreak/>
              <w:t xml:space="preserve">pracujících v převážně manuálních činnostech klesl </w:t>
            </w:r>
            <w:r w:rsidR="00307E77" w:rsidRPr="000774EC">
              <w:rPr>
                <w:spacing w:val="-4"/>
                <w:szCs w:val="20"/>
              </w:rPr>
              <w:t>o </w:t>
            </w:r>
            <w:r w:rsidRPr="000774EC">
              <w:rPr>
                <w:spacing w:val="-4"/>
                <w:szCs w:val="20"/>
              </w:rPr>
              <w:t>2</w:t>
            </w:r>
            <w:r w:rsidR="006E33D0" w:rsidRPr="000774EC">
              <w:rPr>
                <w:spacing w:val="-4"/>
                <w:szCs w:val="20"/>
              </w:rPr>
              <w:t> p. b.</w:t>
            </w:r>
            <w:r w:rsidRPr="000774EC">
              <w:rPr>
                <w:spacing w:val="-4"/>
                <w:szCs w:val="20"/>
              </w:rPr>
              <w:t xml:space="preserve"> (při mírném poklesu váhy třídy řemeslníků </w:t>
            </w:r>
            <w:r w:rsidR="00307E77" w:rsidRPr="000774EC">
              <w:rPr>
                <w:spacing w:val="-4"/>
                <w:szCs w:val="20"/>
              </w:rPr>
              <w:t>a </w:t>
            </w:r>
            <w:r w:rsidRPr="000774EC">
              <w:rPr>
                <w:spacing w:val="-4"/>
                <w:szCs w:val="20"/>
              </w:rPr>
              <w:t xml:space="preserve">opravářů </w:t>
            </w:r>
            <w:r w:rsidR="008B21E6" w:rsidRPr="000774EC">
              <w:rPr>
                <w:spacing w:val="-4"/>
                <w:szCs w:val="20"/>
              </w:rPr>
              <w:t>a </w:t>
            </w:r>
            <w:r w:rsidRPr="000774EC">
              <w:rPr>
                <w:spacing w:val="-4"/>
                <w:szCs w:val="20"/>
              </w:rPr>
              <w:t xml:space="preserve">protisměrně působícím nepatrném navýšení </w:t>
            </w:r>
            <w:r w:rsidR="00307E77" w:rsidRPr="000774EC">
              <w:rPr>
                <w:spacing w:val="-4"/>
                <w:szCs w:val="20"/>
              </w:rPr>
              <w:t>u </w:t>
            </w:r>
            <w:r w:rsidRPr="000774EC">
              <w:rPr>
                <w:spacing w:val="-4"/>
                <w:szCs w:val="20"/>
              </w:rPr>
              <w:t xml:space="preserve">třídy pomocných </w:t>
            </w:r>
            <w:r w:rsidR="00307E77" w:rsidRPr="000774EC">
              <w:rPr>
                <w:spacing w:val="-4"/>
                <w:szCs w:val="20"/>
              </w:rPr>
              <w:t>a </w:t>
            </w:r>
            <w:r w:rsidRPr="000774EC">
              <w:rPr>
                <w:spacing w:val="-4"/>
                <w:szCs w:val="20"/>
              </w:rPr>
              <w:t>nekvalifikovaných pracovníků). Nárůst nemanuálních pracovníků byl tažen zejména kategorií specialistů, jejichž podíl vzrostl ze</w:t>
            </w:r>
            <w:r w:rsidR="008B21E6" w:rsidRPr="000774EC">
              <w:rPr>
                <w:spacing w:val="-4"/>
                <w:szCs w:val="20"/>
              </w:rPr>
              <w:t> </w:t>
            </w:r>
            <w:r w:rsidR="00307E77" w:rsidRPr="000774EC">
              <w:rPr>
                <w:spacing w:val="-4"/>
                <w:szCs w:val="20"/>
              </w:rPr>
              <w:t>3</w:t>
            </w:r>
            <w:r w:rsidR="008B21E6" w:rsidRPr="000774EC">
              <w:rPr>
                <w:spacing w:val="-4"/>
                <w:szCs w:val="20"/>
              </w:rPr>
              <w:t xml:space="preserve"> </w:t>
            </w:r>
            <w:r w:rsidRPr="000774EC">
              <w:rPr>
                <w:spacing w:val="-4"/>
                <w:szCs w:val="20"/>
              </w:rPr>
              <w:t>na</w:t>
            </w:r>
            <w:r w:rsidR="008B21E6" w:rsidRPr="000774EC">
              <w:rPr>
                <w:spacing w:val="-4"/>
                <w:szCs w:val="20"/>
              </w:rPr>
              <w:t> </w:t>
            </w:r>
            <w:r w:rsidRPr="000774EC">
              <w:rPr>
                <w:spacing w:val="-4"/>
                <w:szCs w:val="20"/>
              </w:rPr>
              <w:t>6</w:t>
            </w:r>
            <w:r w:rsidR="006E33D0" w:rsidRPr="000774EC">
              <w:rPr>
                <w:spacing w:val="-4"/>
                <w:szCs w:val="20"/>
              </w:rPr>
              <w:t> %</w:t>
            </w:r>
            <w:r w:rsidRPr="000774EC">
              <w:rPr>
                <w:spacing w:val="-4"/>
                <w:szCs w:val="20"/>
              </w:rPr>
              <w:t>.</w:t>
            </w:r>
          </w:p>
        </w:tc>
      </w:tr>
      <w:tr w:rsidR="00FB5B26" w:rsidRPr="00F00A85" w14:paraId="3AC94EE5" w14:textId="77777777" w:rsidTr="0014314C">
        <w:trPr>
          <w:trHeight w:val="14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52AF9" w14:textId="0165D050" w:rsidR="00097078" w:rsidRDefault="00097078" w:rsidP="00044059">
            <w:pPr>
              <w:pStyle w:val="Marginlie"/>
            </w:pPr>
            <w:r>
              <w:lastRenderedPageBreak/>
              <w:t xml:space="preserve">Nejlepší kvalifikační skladbu pracovníků vykazuje z hlavních odvětví průmyslu energetika, nejhorší těžba </w:t>
            </w:r>
            <w:r w:rsidR="00307E77">
              <w:t>a </w:t>
            </w:r>
            <w:r>
              <w:t>dobývání.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E7DFA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3D2C2" w14:textId="0665B1DE" w:rsidR="00097078" w:rsidRPr="000774EC" w:rsidRDefault="00097078" w:rsidP="00044059">
            <w:pPr>
              <w:spacing w:after="220"/>
              <w:rPr>
                <w:spacing w:val="-2"/>
                <w:szCs w:val="20"/>
              </w:rPr>
            </w:pPr>
            <w:r w:rsidRPr="000774EC">
              <w:rPr>
                <w:spacing w:val="-2"/>
                <w:szCs w:val="20"/>
              </w:rPr>
              <w:t xml:space="preserve">Na rozdíl od výše uvedených vývojových tendencí lze </w:t>
            </w:r>
            <w:r w:rsidR="00307E77" w:rsidRPr="000774EC">
              <w:rPr>
                <w:spacing w:val="-2"/>
                <w:szCs w:val="20"/>
              </w:rPr>
              <w:t>u </w:t>
            </w:r>
            <w:r w:rsidRPr="000774EC">
              <w:rPr>
                <w:spacing w:val="-2"/>
                <w:szCs w:val="20"/>
              </w:rPr>
              <w:t xml:space="preserve">kvalifikační skladby pracovníků </w:t>
            </w:r>
            <w:r w:rsidR="000854CA" w:rsidRPr="000774EC">
              <w:rPr>
                <w:spacing w:val="-2"/>
                <w:szCs w:val="20"/>
              </w:rPr>
              <w:t>v </w:t>
            </w:r>
            <w:r w:rsidRPr="000774EC">
              <w:rPr>
                <w:spacing w:val="-2"/>
                <w:szCs w:val="20"/>
              </w:rPr>
              <w:t xml:space="preserve">průmyslu nalézt významné rozdíly, </w:t>
            </w:r>
            <w:r w:rsidR="00307E77" w:rsidRPr="000774EC">
              <w:rPr>
                <w:spacing w:val="-2"/>
                <w:szCs w:val="20"/>
              </w:rPr>
              <w:t>a </w:t>
            </w:r>
            <w:r w:rsidRPr="000774EC">
              <w:rPr>
                <w:spacing w:val="-2"/>
                <w:szCs w:val="20"/>
              </w:rPr>
              <w:t xml:space="preserve">to v rámci odvětví </w:t>
            </w:r>
            <w:r w:rsidR="00307E77" w:rsidRPr="000774EC">
              <w:rPr>
                <w:spacing w:val="-2"/>
                <w:szCs w:val="20"/>
              </w:rPr>
              <w:t>i </w:t>
            </w:r>
            <w:r w:rsidRPr="000774EC">
              <w:rPr>
                <w:spacing w:val="-2"/>
                <w:szCs w:val="20"/>
              </w:rPr>
              <w:t>pohlaví. V roce 2019 tvořili v dominantní odvětvové sekci</w:t>
            </w:r>
            <w:r w:rsidR="0014314C">
              <w:rPr>
                <w:spacing w:val="-2"/>
                <w:szCs w:val="20"/>
              </w:rPr>
              <w:t xml:space="preserve"> </w:t>
            </w:r>
            <w:r w:rsidRPr="000774EC">
              <w:rPr>
                <w:spacing w:val="-2"/>
                <w:szCs w:val="20"/>
              </w:rPr>
              <w:t>– zpracovatelském průmyslu</w:t>
            </w:r>
            <w:r w:rsidR="0014314C">
              <w:rPr>
                <w:spacing w:val="-2"/>
                <w:szCs w:val="20"/>
              </w:rPr>
              <w:t xml:space="preserve"> </w:t>
            </w:r>
            <w:r w:rsidRPr="000774EC">
              <w:rPr>
                <w:spacing w:val="-2"/>
                <w:szCs w:val="20"/>
              </w:rPr>
              <w:t>– 31</w:t>
            </w:r>
            <w:r w:rsidR="006E33D0" w:rsidRPr="000774EC">
              <w:rPr>
                <w:spacing w:val="-2"/>
                <w:szCs w:val="20"/>
              </w:rPr>
              <w:t> %</w:t>
            </w:r>
            <w:r w:rsidRPr="000774EC">
              <w:rPr>
                <w:spacing w:val="-2"/>
                <w:szCs w:val="20"/>
              </w:rPr>
              <w:t xml:space="preserve"> všech pracovníků řemeslníci a opraváři</w:t>
            </w:r>
            <w:r w:rsidR="000854CA" w:rsidRPr="000774EC">
              <w:rPr>
                <w:spacing w:val="-2"/>
                <w:szCs w:val="20"/>
              </w:rPr>
              <w:t>,</w:t>
            </w:r>
            <w:r w:rsidRPr="000774EC">
              <w:rPr>
                <w:spacing w:val="-2"/>
                <w:szCs w:val="20"/>
              </w:rPr>
              <w:t xml:space="preserve"> následovaní kategorií obsluha strojů </w:t>
            </w:r>
            <w:r w:rsidR="00307E77" w:rsidRPr="000774EC">
              <w:rPr>
                <w:spacing w:val="-2"/>
                <w:szCs w:val="20"/>
              </w:rPr>
              <w:t>a </w:t>
            </w:r>
            <w:r w:rsidRPr="000774EC">
              <w:rPr>
                <w:spacing w:val="-2"/>
                <w:szCs w:val="20"/>
              </w:rPr>
              <w:t>zařízení (27</w:t>
            </w:r>
            <w:r w:rsidR="006E33D0" w:rsidRPr="000774EC">
              <w:rPr>
                <w:spacing w:val="-2"/>
                <w:szCs w:val="20"/>
              </w:rPr>
              <w:t> %</w:t>
            </w:r>
            <w:r w:rsidRPr="000774EC">
              <w:rPr>
                <w:spacing w:val="-2"/>
                <w:szCs w:val="20"/>
              </w:rPr>
              <w:t>)</w:t>
            </w:r>
            <w:r w:rsidR="0009474E" w:rsidRPr="000774EC">
              <w:rPr>
                <w:spacing w:val="-2"/>
                <w:szCs w:val="20"/>
              </w:rPr>
              <w:t xml:space="preserve">. Osoby obsluhující stroje </w:t>
            </w:r>
            <w:r w:rsidR="00307E77" w:rsidRPr="000774EC">
              <w:rPr>
                <w:spacing w:val="-2"/>
                <w:szCs w:val="20"/>
              </w:rPr>
              <w:t>a </w:t>
            </w:r>
            <w:r w:rsidR="0009474E" w:rsidRPr="000774EC">
              <w:rPr>
                <w:spacing w:val="-2"/>
                <w:szCs w:val="20"/>
              </w:rPr>
              <w:t>zařízení</w:t>
            </w:r>
            <w:r w:rsidRPr="000774EC">
              <w:rPr>
                <w:spacing w:val="-2"/>
                <w:szCs w:val="20"/>
              </w:rPr>
              <w:t xml:space="preserve"> </w:t>
            </w:r>
            <w:r w:rsidR="000854CA" w:rsidRPr="000774EC">
              <w:rPr>
                <w:spacing w:val="-2"/>
                <w:szCs w:val="20"/>
              </w:rPr>
              <w:t xml:space="preserve">převažovaly </w:t>
            </w:r>
            <w:r w:rsidRPr="000774EC">
              <w:rPr>
                <w:spacing w:val="-2"/>
                <w:szCs w:val="20"/>
              </w:rPr>
              <w:t xml:space="preserve">mezi pracovníky v odvětví těžby </w:t>
            </w:r>
            <w:r w:rsidR="00307E77" w:rsidRPr="000774EC">
              <w:rPr>
                <w:spacing w:val="-2"/>
                <w:szCs w:val="20"/>
              </w:rPr>
              <w:t>a </w:t>
            </w:r>
            <w:r w:rsidRPr="000774EC">
              <w:rPr>
                <w:spacing w:val="-2"/>
                <w:szCs w:val="20"/>
              </w:rPr>
              <w:t>dobývání (40</w:t>
            </w:r>
            <w:r w:rsidR="006E33D0" w:rsidRPr="000774EC">
              <w:rPr>
                <w:spacing w:val="-2"/>
                <w:szCs w:val="20"/>
              </w:rPr>
              <w:t> %</w:t>
            </w:r>
            <w:r w:rsidRPr="000774EC">
              <w:rPr>
                <w:spacing w:val="-2"/>
                <w:szCs w:val="20"/>
              </w:rPr>
              <w:t xml:space="preserve">) </w:t>
            </w:r>
            <w:r w:rsidR="00307E77" w:rsidRPr="000774EC">
              <w:rPr>
                <w:spacing w:val="-2"/>
                <w:szCs w:val="20"/>
              </w:rPr>
              <w:t>i </w:t>
            </w:r>
            <w:r w:rsidRPr="000774EC">
              <w:rPr>
                <w:spacing w:val="-2"/>
                <w:szCs w:val="20"/>
              </w:rPr>
              <w:t xml:space="preserve">vodního </w:t>
            </w:r>
            <w:r w:rsidR="00307E77" w:rsidRPr="000774EC">
              <w:rPr>
                <w:spacing w:val="-2"/>
                <w:szCs w:val="20"/>
              </w:rPr>
              <w:t>a </w:t>
            </w:r>
            <w:r w:rsidRPr="000774EC">
              <w:rPr>
                <w:spacing w:val="-2"/>
                <w:szCs w:val="20"/>
              </w:rPr>
              <w:t>odpadového hospodářství (27 %). Nejvíce se vymykalo odvětví energetiky, v němž měli největší zastoupení techničtí a odborní pracovníci (35</w:t>
            </w:r>
            <w:r w:rsidR="006E33D0" w:rsidRPr="000774EC">
              <w:rPr>
                <w:spacing w:val="-2"/>
                <w:szCs w:val="20"/>
              </w:rPr>
              <w:t> %</w:t>
            </w:r>
            <w:r w:rsidRPr="000774EC">
              <w:rPr>
                <w:spacing w:val="-2"/>
                <w:szCs w:val="20"/>
              </w:rPr>
              <w:t>), pětinu tvořily osoby s vysokou kvalifikací (řídící pracovníci a specialisté) a naopak váha všech manuálních pracovníků (31</w:t>
            </w:r>
            <w:r w:rsidR="006E33D0" w:rsidRPr="000774EC">
              <w:rPr>
                <w:spacing w:val="-2"/>
                <w:szCs w:val="20"/>
              </w:rPr>
              <w:t> %</w:t>
            </w:r>
            <w:r w:rsidRPr="000774EC">
              <w:rPr>
                <w:spacing w:val="-2"/>
                <w:szCs w:val="20"/>
              </w:rPr>
              <w:t>) zde byla ve srovnání s ostatními odvětvími průmyslu pouze poloviční.</w:t>
            </w:r>
          </w:p>
        </w:tc>
      </w:tr>
      <w:tr w:rsidR="00FB5B26" w:rsidRPr="00F00A85" w14:paraId="4C9A7361" w14:textId="77777777" w:rsidTr="0014314C">
        <w:trPr>
          <w:trHeight w:val="14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419B4" w14:textId="77777777" w:rsidR="00307E77" w:rsidRDefault="00097078" w:rsidP="00044059">
            <w:pPr>
              <w:pStyle w:val="Marginlie"/>
              <w:rPr>
                <w:spacing w:val="-4"/>
                <w:szCs w:val="20"/>
              </w:rPr>
            </w:pPr>
            <w:r>
              <w:rPr>
                <w:spacing w:val="-4"/>
                <w:szCs w:val="20"/>
              </w:rPr>
              <w:t>Manuálně pracující muži působili v průmyslu nejčastěji jako řemeslníci a opraváři, ženy pak jako obsluha strojů.</w:t>
            </w:r>
          </w:p>
          <w:p w14:paraId="7090AB9B" w14:textId="30C56157" w:rsidR="00097078" w:rsidRDefault="00097078" w:rsidP="00044059">
            <w:pPr>
              <w:pStyle w:val="Marginlie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455B0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82EDC" w14:textId="422BE8C2" w:rsidR="00097078" w:rsidRPr="00736EFF" w:rsidRDefault="00097078" w:rsidP="00044059">
            <w:pPr>
              <w:spacing w:after="220"/>
              <w:rPr>
                <w:spacing w:val="-4"/>
                <w:szCs w:val="20"/>
              </w:rPr>
            </w:pPr>
            <w:r w:rsidRPr="00736EFF">
              <w:rPr>
                <w:spacing w:val="-4"/>
                <w:szCs w:val="20"/>
              </w:rPr>
              <w:t xml:space="preserve">Jestliže podíl prvních třech tříd zaměstnání s nejvyšší kvalifikací na celkové zaměstnanosti v průmyslu činil </w:t>
            </w:r>
            <w:r w:rsidR="00307E77" w:rsidRPr="00736EFF">
              <w:rPr>
                <w:spacing w:val="-4"/>
                <w:szCs w:val="20"/>
              </w:rPr>
              <w:t>u</w:t>
            </w:r>
            <w:r w:rsidR="00307E77">
              <w:rPr>
                <w:spacing w:val="-4"/>
                <w:szCs w:val="20"/>
              </w:rPr>
              <w:t> </w:t>
            </w:r>
            <w:r>
              <w:rPr>
                <w:spacing w:val="-4"/>
                <w:szCs w:val="20"/>
              </w:rPr>
              <w:t>mužů 29</w:t>
            </w:r>
            <w:r w:rsidR="006E33D0">
              <w:rPr>
                <w:spacing w:val="-4"/>
                <w:szCs w:val="20"/>
              </w:rPr>
              <w:t> %</w:t>
            </w:r>
            <w:r>
              <w:rPr>
                <w:spacing w:val="-4"/>
                <w:szCs w:val="20"/>
              </w:rPr>
              <w:t xml:space="preserve"> </w:t>
            </w:r>
            <w:r w:rsidR="00307E77">
              <w:rPr>
                <w:spacing w:val="-4"/>
                <w:szCs w:val="20"/>
              </w:rPr>
              <w:t>a </w:t>
            </w:r>
            <w:r w:rsidR="007A67F8">
              <w:rPr>
                <w:spacing w:val="-4"/>
                <w:szCs w:val="20"/>
              </w:rPr>
              <w:t>u </w:t>
            </w:r>
            <w:r>
              <w:rPr>
                <w:spacing w:val="-4"/>
                <w:szCs w:val="20"/>
              </w:rPr>
              <w:t>žen pouze 20</w:t>
            </w:r>
            <w:r w:rsidRPr="00736EFF">
              <w:rPr>
                <w:spacing w:val="-4"/>
                <w:szCs w:val="20"/>
              </w:rPr>
              <w:t xml:space="preserve"> %, pak v úhrnu za </w:t>
            </w:r>
            <w:r w:rsidR="007A67F8" w:rsidRPr="00736EFF">
              <w:rPr>
                <w:spacing w:val="-4"/>
                <w:szCs w:val="20"/>
              </w:rPr>
              <w:t>všechn</w:t>
            </w:r>
            <w:r w:rsidR="007A67F8">
              <w:rPr>
                <w:spacing w:val="-4"/>
                <w:szCs w:val="20"/>
              </w:rPr>
              <w:t>a</w:t>
            </w:r>
            <w:r w:rsidR="007A67F8" w:rsidRPr="00736EFF">
              <w:rPr>
                <w:spacing w:val="-4"/>
                <w:szCs w:val="20"/>
              </w:rPr>
              <w:t xml:space="preserve"> </w:t>
            </w:r>
            <w:r w:rsidRPr="00736EFF">
              <w:rPr>
                <w:spacing w:val="-4"/>
                <w:szCs w:val="20"/>
              </w:rPr>
              <w:t xml:space="preserve">odvětví ekonomiky byly tyto podíly srovnatelné (37 </w:t>
            </w:r>
            <w:r w:rsidR="00307E77" w:rsidRPr="00736EFF">
              <w:rPr>
                <w:spacing w:val="-4"/>
                <w:szCs w:val="20"/>
              </w:rPr>
              <w:t>a</w:t>
            </w:r>
            <w:r w:rsidR="00307E77">
              <w:rPr>
                <w:spacing w:val="-4"/>
                <w:szCs w:val="20"/>
              </w:rPr>
              <w:t> </w:t>
            </w:r>
            <w:r w:rsidRPr="00736EFF">
              <w:rPr>
                <w:spacing w:val="-4"/>
                <w:szCs w:val="20"/>
              </w:rPr>
              <w:t>38</w:t>
            </w:r>
            <w:r w:rsidR="006E33D0">
              <w:rPr>
                <w:spacing w:val="-4"/>
                <w:szCs w:val="20"/>
              </w:rPr>
              <w:t> %</w:t>
            </w:r>
            <w:r w:rsidRPr="00736EFF">
              <w:rPr>
                <w:spacing w:val="-4"/>
                <w:szCs w:val="20"/>
              </w:rPr>
              <w:t xml:space="preserve">). V nižších třídách nemanuálních pracovníků (úředníci, pracovníci ve službách </w:t>
            </w:r>
            <w:r w:rsidR="00307E77" w:rsidRPr="00736EFF">
              <w:rPr>
                <w:spacing w:val="-4"/>
                <w:szCs w:val="20"/>
              </w:rPr>
              <w:t>a</w:t>
            </w:r>
            <w:r w:rsidR="00307E77">
              <w:rPr>
                <w:spacing w:val="-4"/>
                <w:szCs w:val="20"/>
              </w:rPr>
              <w:t> </w:t>
            </w:r>
            <w:r w:rsidRPr="00736EFF">
              <w:rPr>
                <w:spacing w:val="-4"/>
                <w:szCs w:val="20"/>
              </w:rPr>
              <w:t>prodeji), kde výrazně převažují osoby se středoškolským vzděláním, se poměr pohlaví obrací. Do této skupiny spadala téměř pětina žen působících v</w:t>
            </w:r>
            <w:r w:rsidR="007A67F8">
              <w:rPr>
                <w:spacing w:val="-4"/>
                <w:szCs w:val="20"/>
              </w:rPr>
              <w:t> </w:t>
            </w:r>
            <w:r w:rsidRPr="00736EFF">
              <w:rPr>
                <w:spacing w:val="-4"/>
                <w:szCs w:val="20"/>
              </w:rPr>
              <w:t>průmyslu</w:t>
            </w:r>
            <w:r w:rsidR="007A67F8">
              <w:rPr>
                <w:spacing w:val="-4"/>
                <w:szCs w:val="20"/>
              </w:rPr>
              <w:t>,</w:t>
            </w:r>
            <w:r w:rsidRPr="00736EFF">
              <w:rPr>
                <w:spacing w:val="-4"/>
                <w:szCs w:val="20"/>
              </w:rPr>
              <w:t xml:space="preserve"> ale jen každý dvacátý muž. Rozdíly lze nalézt </w:t>
            </w:r>
            <w:r>
              <w:rPr>
                <w:spacing w:val="-4"/>
                <w:szCs w:val="20"/>
              </w:rPr>
              <w:t>i</w:t>
            </w:r>
            <w:r w:rsidRPr="00736EFF">
              <w:rPr>
                <w:spacing w:val="-4"/>
                <w:szCs w:val="20"/>
              </w:rPr>
              <w:t> </w:t>
            </w:r>
            <w:r w:rsidR="007A67F8">
              <w:rPr>
                <w:spacing w:val="-4"/>
                <w:szCs w:val="20"/>
              </w:rPr>
              <w:t>u </w:t>
            </w:r>
            <w:r w:rsidRPr="00736EFF">
              <w:rPr>
                <w:spacing w:val="-4"/>
                <w:szCs w:val="20"/>
              </w:rPr>
              <w:t xml:space="preserve">manuálních pracovníků </w:t>
            </w:r>
            <w:r w:rsidR="00307E77" w:rsidRPr="00736EFF">
              <w:rPr>
                <w:spacing w:val="-4"/>
                <w:szCs w:val="20"/>
              </w:rPr>
              <w:t>v</w:t>
            </w:r>
            <w:r w:rsidR="00307E77">
              <w:rPr>
                <w:spacing w:val="-4"/>
                <w:szCs w:val="20"/>
              </w:rPr>
              <w:t> </w:t>
            </w:r>
            <w:r w:rsidRPr="00736EFF">
              <w:rPr>
                <w:spacing w:val="-4"/>
                <w:szCs w:val="20"/>
              </w:rPr>
              <w:t xml:space="preserve">průmyslu. </w:t>
            </w:r>
            <w:r w:rsidR="00307E77" w:rsidRPr="00736EFF">
              <w:rPr>
                <w:spacing w:val="-4"/>
                <w:szCs w:val="20"/>
              </w:rPr>
              <w:t>U</w:t>
            </w:r>
            <w:r w:rsidR="00307E77">
              <w:rPr>
                <w:spacing w:val="-4"/>
                <w:szCs w:val="20"/>
              </w:rPr>
              <w:t> </w:t>
            </w:r>
            <w:r w:rsidRPr="00736EFF">
              <w:rPr>
                <w:spacing w:val="-4"/>
                <w:szCs w:val="20"/>
              </w:rPr>
              <w:t xml:space="preserve">mužů mezi nimi převažují řemeslníci </w:t>
            </w:r>
            <w:r w:rsidR="00307E77" w:rsidRPr="00736EFF">
              <w:rPr>
                <w:spacing w:val="-4"/>
                <w:szCs w:val="20"/>
              </w:rPr>
              <w:t>a</w:t>
            </w:r>
            <w:r w:rsidR="00307E77">
              <w:rPr>
                <w:spacing w:val="-4"/>
                <w:szCs w:val="20"/>
              </w:rPr>
              <w:t> </w:t>
            </w:r>
            <w:r w:rsidRPr="00736EFF">
              <w:rPr>
                <w:spacing w:val="-4"/>
                <w:szCs w:val="20"/>
              </w:rPr>
              <w:t>opraváři (</w:t>
            </w:r>
            <w:r w:rsidR="007A67F8">
              <w:rPr>
                <w:spacing w:val="-4"/>
                <w:szCs w:val="20"/>
              </w:rPr>
              <w:t>často se jedná</w:t>
            </w:r>
            <w:r w:rsidRPr="00736EFF">
              <w:rPr>
                <w:spacing w:val="-4"/>
                <w:szCs w:val="20"/>
              </w:rPr>
              <w:t xml:space="preserve"> </w:t>
            </w:r>
            <w:r w:rsidR="00307E77" w:rsidRPr="00736EFF">
              <w:rPr>
                <w:spacing w:val="-4"/>
                <w:szCs w:val="20"/>
              </w:rPr>
              <w:t>o</w:t>
            </w:r>
            <w:r w:rsidR="00307E77">
              <w:rPr>
                <w:spacing w:val="-4"/>
                <w:szCs w:val="20"/>
              </w:rPr>
              <w:t> </w:t>
            </w:r>
            <w:r w:rsidRPr="00736EFF">
              <w:rPr>
                <w:spacing w:val="-4"/>
                <w:szCs w:val="20"/>
              </w:rPr>
              <w:t xml:space="preserve">drobné podnikatele), </w:t>
            </w:r>
            <w:r w:rsidR="00307E77" w:rsidRPr="00736EFF">
              <w:rPr>
                <w:spacing w:val="-4"/>
                <w:szCs w:val="20"/>
              </w:rPr>
              <w:t>u</w:t>
            </w:r>
            <w:r w:rsidR="00307E77">
              <w:rPr>
                <w:spacing w:val="-4"/>
                <w:szCs w:val="20"/>
              </w:rPr>
              <w:t> </w:t>
            </w:r>
            <w:r w:rsidRPr="00736EFF">
              <w:rPr>
                <w:spacing w:val="-4"/>
                <w:szCs w:val="20"/>
              </w:rPr>
              <w:t xml:space="preserve">žen osoby v kategorii obsluhy strojů </w:t>
            </w:r>
            <w:r w:rsidR="00307E77" w:rsidRPr="00736EFF">
              <w:rPr>
                <w:spacing w:val="-4"/>
                <w:szCs w:val="20"/>
              </w:rPr>
              <w:t>a</w:t>
            </w:r>
            <w:r w:rsidR="00307E77">
              <w:rPr>
                <w:spacing w:val="-4"/>
                <w:szCs w:val="20"/>
              </w:rPr>
              <w:t> </w:t>
            </w:r>
            <w:r w:rsidRPr="00736EFF">
              <w:rPr>
                <w:spacing w:val="-4"/>
                <w:szCs w:val="20"/>
              </w:rPr>
              <w:t xml:space="preserve">zařízení (téměř výhradně v zaměstnaneckém postavení). Pomocní </w:t>
            </w:r>
            <w:r w:rsidR="00307E77" w:rsidRPr="00736EFF">
              <w:rPr>
                <w:spacing w:val="-4"/>
                <w:szCs w:val="20"/>
              </w:rPr>
              <w:t>a</w:t>
            </w:r>
            <w:r w:rsidR="00307E77">
              <w:rPr>
                <w:spacing w:val="-4"/>
                <w:szCs w:val="20"/>
              </w:rPr>
              <w:t> </w:t>
            </w:r>
            <w:r w:rsidRPr="00736EFF">
              <w:rPr>
                <w:spacing w:val="-4"/>
                <w:szCs w:val="20"/>
              </w:rPr>
              <w:t>nekvalifik</w:t>
            </w:r>
            <w:r>
              <w:rPr>
                <w:spacing w:val="-4"/>
                <w:szCs w:val="20"/>
              </w:rPr>
              <w:t>ovaní pracovníci soustřeďovali 13</w:t>
            </w:r>
            <w:r w:rsidRPr="00736EFF">
              <w:rPr>
                <w:spacing w:val="-4"/>
                <w:szCs w:val="20"/>
              </w:rPr>
              <w:t>,5</w:t>
            </w:r>
            <w:r w:rsidR="006E33D0">
              <w:rPr>
                <w:spacing w:val="-4"/>
                <w:szCs w:val="20"/>
              </w:rPr>
              <w:t> %</w:t>
            </w:r>
            <w:r w:rsidRPr="00736EFF">
              <w:rPr>
                <w:spacing w:val="-4"/>
                <w:szCs w:val="20"/>
              </w:rPr>
              <w:t xml:space="preserve"> žen působících v průmyslu, me</w:t>
            </w:r>
            <w:r>
              <w:rPr>
                <w:spacing w:val="-4"/>
                <w:szCs w:val="20"/>
              </w:rPr>
              <w:t>zi muži měli podíl jen 5,8</w:t>
            </w:r>
            <w:r w:rsidR="006E33D0">
              <w:rPr>
                <w:spacing w:val="-4"/>
                <w:szCs w:val="20"/>
              </w:rPr>
              <w:t> %</w:t>
            </w:r>
            <w:r w:rsidRPr="00736EFF">
              <w:rPr>
                <w:spacing w:val="-4"/>
                <w:szCs w:val="20"/>
              </w:rPr>
              <w:t xml:space="preserve">. Jestliže mezi ženami byla váha této kategorie ve všech hlavních odvětvích průmyslu podobná, </w:t>
            </w:r>
            <w:r w:rsidR="00307E77" w:rsidRPr="00736EFF">
              <w:rPr>
                <w:spacing w:val="-4"/>
                <w:szCs w:val="20"/>
              </w:rPr>
              <w:t>u</w:t>
            </w:r>
            <w:r w:rsidR="00307E77">
              <w:rPr>
                <w:spacing w:val="-4"/>
                <w:szCs w:val="20"/>
              </w:rPr>
              <w:t> </w:t>
            </w:r>
            <w:r w:rsidRPr="00736EFF">
              <w:rPr>
                <w:spacing w:val="-4"/>
                <w:szCs w:val="20"/>
              </w:rPr>
              <w:t xml:space="preserve">mužů kontrastovalo odvětví vodního </w:t>
            </w:r>
            <w:r w:rsidR="00307E77" w:rsidRPr="00736EFF">
              <w:rPr>
                <w:spacing w:val="-4"/>
                <w:szCs w:val="20"/>
              </w:rPr>
              <w:t>a</w:t>
            </w:r>
            <w:r w:rsidR="00307E77">
              <w:rPr>
                <w:spacing w:val="-4"/>
                <w:szCs w:val="20"/>
              </w:rPr>
              <w:t> </w:t>
            </w:r>
            <w:r w:rsidRPr="00736EFF">
              <w:rPr>
                <w:spacing w:val="-4"/>
                <w:szCs w:val="20"/>
              </w:rPr>
              <w:t>odpadového hospodářství (20</w:t>
            </w:r>
            <w:r w:rsidR="006E33D0">
              <w:rPr>
                <w:spacing w:val="-4"/>
                <w:szCs w:val="20"/>
              </w:rPr>
              <w:t> %</w:t>
            </w:r>
            <w:r w:rsidRPr="00736EFF">
              <w:rPr>
                <w:spacing w:val="-4"/>
                <w:szCs w:val="20"/>
              </w:rPr>
              <w:t>) s</w:t>
            </w:r>
            <w:r>
              <w:rPr>
                <w:spacing w:val="-4"/>
                <w:szCs w:val="20"/>
              </w:rPr>
              <w:t> </w:t>
            </w:r>
            <w:r w:rsidRPr="00736EFF">
              <w:rPr>
                <w:spacing w:val="-4"/>
                <w:szCs w:val="20"/>
              </w:rPr>
              <w:t>energetikou</w:t>
            </w:r>
            <w:r>
              <w:rPr>
                <w:spacing w:val="-4"/>
                <w:szCs w:val="20"/>
              </w:rPr>
              <w:t>, která pro osoby v této třídě zaměstnání v Česku prakticky žádná pracovní místa nevytvářela.</w:t>
            </w:r>
          </w:p>
        </w:tc>
      </w:tr>
      <w:tr w:rsidR="00FB5B26" w:rsidRPr="00F00A85" w14:paraId="6E17C587" w14:textId="77777777" w:rsidTr="0014314C">
        <w:trPr>
          <w:trHeight w:val="14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938B0" w14:textId="77777777" w:rsidR="00097078" w:rsidRDefault="00097078" w:rsidP="00044059">
            <w:pPr>
              <w:pStyle w:val="Marginlie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099B9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60342" w14:textId="19712EDD" w:rsidR="00097078" w:rsidRPr="00F00A85" w:rsidRDefault="004C0391" w:rsidP="00044059">
            <w:pPr>
              <w:spacing w:after="40"/>
              <w:jc w:val="left"/>
              <w:rPr>
                <w:i/>
                <w:sz w:val="16"/>
                <w:szCs w:val="16"/>
              </w:rPr>
            </w:pPr>
            <w:r>
              <w:rPr>
                <w:b/>
                <w:szCs w:val="20"/>
              </w:rPr>
              <w:t>Graf</w:t>
            </w:r>
            <w:r w:rsidR="006E33D0">
              <w:rPr>
                <w:b/>
                <w:szCs w:val="20"/>
              </w:rPr>
              <w:t xml:space="preserve"> č. </w:t>
            </w:r>
            <w:r w:rsidR="00307E77">
              <w:rPr>
                <w:b/>
                <w:szCs w:val="20"/>
              </w:rPr>
              <w:t xml:space="preserve">9  </w:t>
            </w:r>
            <w:r w:rsidR="00097078">
              <w:rPr>
                <w:b/>
                <w:szCs w:val="20"/>
              </w:rPr>
              <w:t xml:space="preserve">Zaměstnaní muži </w:t>
            </w:r>
            <w:r w:rsidR="00307E77">
              <w:rPr>
                <w:b/>
                <w:szCs w:val="20"/>
              </w:rPr>
              <w:t>a </w:t>
            </w:r>
            <w:r w:rsidR="00097078">
              <w:rPr>
                <w:b/>
                <w:szCs w:val="20"/>
              </w:rPr>
              <w:t xml:space="preserve">ženy v odvětvových sekcích průmyslu </w:t>
            </w:r>
            <w:r w:rsidR="00307E77">
              <w:rPr>
                <w:b/>
                <w:szCs w:val="20"/>
              </w:rPr>
              <w:t>a </w:t>
            </w:r>
            <w:r w:rsidR="00097078">
              <w:rPr>
                <w:b/>
                <w:szCs w:val="20"/>
              </w:rPr>
              <w:t>v celé ekonomice dle tříd klasifikace zaměstnání v ČR v roce 2019</w:t>
            </w:r>
          </w:p>
        </w:tc>
      </w:tr>
      <w:tr w:rsidR="00FB5B26" w:rsidRPr="00F00A85" w14:paraId="36A66D6D" w14:textId="77777777" w:rsidTr="0014314C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1CFA3" w14:textId="77777777" w:rsidR="00097078" w:rsidRDefault="00097078" w:rsidP="00044059">
            <w:pPr>
              <w:pStyle w:val="Marginlie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770C3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DCCCC" w14:textId="6387F8BC" w:rsidR="00097078" w:rsidRPr="003C2DAD" w:rsidRDefault="000774EC" w:rsidP="00044059">
            <w:pPr>
              <w:spacing w:after="40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25E3B35" wp14:editId="592DA609">
                  <wp:extent cx="4740250" cy="3506470"/>
                  <wp:effectExtent l="0" t="0" r="3810" b="0"/>
                  <wp:docPr id="39" name="Graf 3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FB5B26" w:rsidRPr="00F00A85" w14:paraId="54724076" w14:textId="77777777" w:rsidTr="0014314C">
        <w:trPr>
          <w:trHeight w:val="14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0B4BB" w14:textId="77777777" w:rsidR="00097078" w:rsidRDefault="00097078" w:rsidP="00044059">
            <w:pPr>
              <w:pStyle w:val="Marginlie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2445F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5D391" w14:textId="77777777" w:rsidR="00097078" w:rsidRPr="00F710D4" w:rsidRDefault="00097078" w:rsidP="000774EC">
            <w:pPr>
              <w:spacing w:after="0"/>
              <w:rPr>
                <w:sz w:val="14"/>
                <w:szCs w:val="14"/>
              </w:rPr>
            </w:pPr>
            <w:r w:rsidRPr="00F710D4">
              <w:rPr>
                <w:sz w:val="14"/>
                <w:szCs w:val="14"/>
              </w:rPr>
              <w:t>Zdroj: ČSÚ (VŠPS)</w:t>
            </w:r>
          </w:p>
        </w:tc>
      </w:tr>
      <w:tr w:rsidR="00FB5B26" w:rsidRPr="00F00A85" w14:paraId="4F8087D1" w14:textId="77777777" w:rsidTr="0014314C">
        <w:trPr>
          <w:trHeight w:val="14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FC017" w14:textId="71D31DF2" w:rsidR="00097078" w:rsidRDefault="00097078" w:rsidP="00044059">
            <w:pPr>
              <w:pStyle w:val="Marginlie"/>
            </w:pPr>
            <w:r>
              <w:lastRenderedPageBreak/>
              <w:t xml:space="preserve">Terciárního vzdělání dosáhla čtvrtina zaměstnanců energetiky, v ostatních odvětvích průmyslu to bylo zhruba </w:t>
            </w:r>
            <w:r w:rsidR="00307E77">
              <w:t>o </w:t>
            </w:r>
            <w:r>
              <w:t>polovinu méně.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9084C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0328F" w14:textId="3BB47D84" w:rsidR="00097078" w:rsidRPr="00C623C3" w:rsidRDefault="00097078" w:rsidP="00044059">
            <w:pPr>
              <w:spacing w:after="220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Složení zaměstnaných osob po</w:t>
            </w:r>
            <w:r w:rsidRPr="00C623C3">
              <w:rPr>
                <w:spacing w:val="-2"/>
                <w:szCs w:val="20"/>
              </w:rPr>
              <w:t>dle tříd zaměstnání souvisí se stupněm nejvyššího dokončeného vzdělání. Potvrzuje se vyšší vzdělanost</w:t>
            </w:r>
            <w:r>
              <w:rPr>
                <w:spacing w:val="-2"/>
                <w:szCs w:val="20"/>
              </w:rPr>
              <w:t>n</w:t>
            </w:r>
            <w:r w:rsidRPr="00C623C3">
              <w:rPr>
                <w:spacing w:val="-2"/>
                <w:szCs w:val="20"/>
              </w:rPr>
              <w:t xml:space="preserve">í skladba </w:t>
            </w:r>
            <w:r>
              <w:rPr>
                <w:spacing w:val="-2"/>
                <w:szCs w:val="20"/>
              </w:rPr>
              <w:t>zaměstnanců</w:t>
            </w:r>
            <w:r w:rsidRPr="00C623C3">
              <w:rPr>
                <w:spacing w:val="-2"/>
                <w:szCs w:val="20"/>
              </w:rPr>
              <w:t xml:space="preserve"> v odvětví energetiky. Alespoň maturitním vzděláním zde v roce 2019 disponovalo více </w:t>
            </w:r>
            <w:r w:rsidR="00EB57D0">
              <w:rPr>
                <w:spacing w:val="-2"/>
                <w:szCs w:val="20"/>
              </w:rPr>
              <w:t xml:space="preserve">než </w:t>
            </w:r>
            <w:r w:rsidRPr="00C623C3">
              <w:rPr>
                <w:spacing w:val="-2"/>
                <w:szCs w:val="20"/>
              </w:rPr>
              <w:t>70</w:t>
            </w:r>
            <w:r w:rsidR="006E33D0">
              <w:rPr>
                <w:spacing w:val="-2"/>
                <w:szCs w:val="20"/>
              </w:rPr>
              <w:t> %</w:t>
            </w:r>
            <w:r w:rsidRPr="00C623C3">
              <w:rPr>
                <w:spacing w:val="-2"/>
                <w:szCs w:val="20"/>
              </w:rPr>
              <w:t xml:space="preserve"> z nich. Terciárn</w:t>
            </w:r>
            <w:r>
              <w:rPr>
                <w:spacing w:val="-2"/>
                <w:szCs w:val="20"/>
              </w:rPr>
              <w:t xml:space="preserve">í vzdělání pak </w:t>
            </w:r>
            <w:r w:rsidRPr="00C623C3">
              <w:rPr>
                <w:spacing w:val="-2"/>
                <w:szCs w:val="20"/>
              </w:rPr>
              <w:t>měla</w:t>
            </w:r>
            <w:r>
              <w:rPr>
                <w:spacing w:val="-2"/>
                <w:szCs w:val="20"/>
              </w:rPr>
              <w:t xml:space="preserve"> čtvrtina zaměstnanců</w:t>
            </w:r>
            <w:r w:rsidRPr="00C623C3">
              <w:rPr>
                <w:spacing w:val="-2"/>
                <w:szCs w:val="20"/>
              </w:rPr>
              <w:t>, obdobně jako v celé ekonomice. V ostatních hlavních průmyslových odvětvích se podíl těchto pracovníků poh</w:t>
            </w:r>
            <w:r>
              <w:rPr>
                <w:spacing w:val="-2"/>
                <w:szCs w:val="20"/>
              </w:rPr>
              <w:t>yboval od 9</w:t>
            </w:r>
            <w:r w:rsidR="006E33D0">
              <w:rPr>
                <w:spacing w:val="-2"/>
                <w:szCs w:val="20"/>
              </w:rPr>
              <w:t> %</w:t>
            </w:r>
            <w:r>
              <w:rPr>
                <w:spacing w:val="-2"/>
                <w:szCs w:val="20"/>
              </w:rPr>
              <w:t xml:space="preserve"> (těžba a</w:t>
            </w:r>
            <w:r w:rsidRPr="00C623C3">
              <w:rPr>
                <w:spacing w:val="-2"/>
                <w:szCs w:val="20"/>
              </w:rPr>
              <w:t> dobývání) po 13</w:t>
            </w:r>
            <w:r w:rsidR="006E33D0">
              <w:rPr>
                <w:spacing w:val="-2"/>
                <w:szCs w:val="20"/>
              </w:rPr>
              <w:t> %</w:t>
            </w:r>
            <w:r w:rsidRPr="00C623C3">
              <w:rPr>
                <w:spacing w:val="-2"/>
                <w:szCs w:val="20"/>
              </w:rPr>
              <w:t xml:space="preserve"> (zpraco</w:t>
            </w:r>
            <w:r>
              <w:rPr>
                <w:spacing w:val="-2"/>
                <w:szCs w:val="20"/>
              </w:rPr>
              <w:t>vatelský průmysl), srovnatelné</w:t>
            </w:r>
            <w:r w:rsidRPr="00C623C3">
              <w:rPr>
                <w:spacing w:val="-2"/>
                <w:szCs w:val="20"/>
              </w:rPr>
              <w:t xml:space="preserve"> bylo v těchto odvětví</w:t>
            </w:r>
            <w:r>
              <w:rPr>
                <w:spacing w:val="-2"/>
                <w:szCs w:val="20"/>
              </w:rPr>
              <w:t>ch</w:t>
            </w:r>
            <w:r w:rsidRPr="00C623C3">
              <w:rPr>
                <w:spacing w:val="-2"/>
                <w:szCs w:val="20"/>
              </w:rPr>
              <w:t xml:space="preserve"> </w:t>
            </w:r>
            <w:r w:rsidR="00307E77" w:rsidRPr="00C623C3">
              <w:rPr>
                <w:spacing w:val="-2"/>
                <w:szCs w:val="20"/>
              </w:rPr>
              <w:t>i</w:t>
            </w:r>
            <w:r w:rsidR="00307E77">
              <w:rPr>
                <w:spacing w:val="-2"/>
                <w:szCs w:val="20"/>
              </w:rPr>
              <w:t> </w:t>
            </w:r>
            <w:r w:rsidRPr="00C623C3">
              <w:rPr>
                <w:spacing w:val="-2"/>
                <w:szCs w:val="20"/>
              </w:rPr>
              <w:t xml:space="preserve">zastoupení nejméně kvalifikovaných osob (se základním vzděláním). V těžbě </w:t>
            </w:r>
            <w:r w:rsidR="00307E77" w:rsidRPr="00C623C3">
              <w:rPr>
                <w:spacing w:val="-2"/>
                <w:szCs w:val="20"/>
              </w:rPr>
              <w:t>a</w:t>
            </w:r>
            <w:r w:rsidR="00307E77">
              <w:rPr>
                <w:spacing w:val="-2"/>
                <w:szCs w:val="20"/>
              </w:rPr>
              <w:t> </w:t>
            </w:r>
            <w:r w:rsidRPr="00C623C3">
              <w:rPr>
                <w:spacing w:val="-2"/>
                <w:szCs w:val="20"/>
              </w:rPr>
              <w:t xml:space="preserve">dobývání na rozdíl od zpracovatelského průmyslu výrazně </w:t>
            </w:r>
            <w:r w:rsidR="00EB57D0" w:rsidRPr="00C623C3">
              <w:rPr>
                <w:spacing w:val="-2"/>
                <w:szCs w:val="20"/>
              </w:rPr>
              <w:t>převažoval</w:t>
            </w:r>
            <w:r w:rsidR="00EB57D0">
              <w:rPr>
                <w:spacing w:val="-2"/>
                <w:szCs w:val="20"/>
              </w:rPr>
              <w:t>y</w:t>
            </w:r>
            <w:r w:rsidR="00EB57D0" w:rsidRPr="00C623C3">
              <w:rPr>
                <w:spacing w:val="-2"/>
                <w:szCs w:val="20"/>
              </w:rPr>
              <w:t xml:space="preserve"> </w:t>
            </w:r>
            <w:r w:rsidRPr="00C623C3">
              <w:rPr>
                <w:spacing w:val="-2"/>
                <w:szCs w:val="20"/>
              </w:rPr>
              <w:t xml:space="preserve">mezi osobami se středním vzděláním </w:t>
            </w:r>
            <w:r w:rsidR="00EB57D0" w:rsidRPr="00C623C3">
              <w:rPr>
                <w:spacing w:val="-2"/>
                <w:szCs w:val="20"/>
              </w:rPr>
              <w:t>t</w:t>
            </w:r>
            <w:r w:rsidR="00EB57D0">
              <w:rPr>
                <w:spacing w:val="-2"/>
                <w:szCs w:val="20"/>
              </w:rPr>
              <w:t>y</w:t>
            </w:r>
            <w:r w:rsidR="00EB57D0" w:rsidRPr="00C623C3">
              <w:rPr>
                <w:spacing w:val="-2"/>
                <w:szCs w:val="20"/>
              </w:rPr>
              <w:t xml:space="preserve"> </w:t>
            </w:r>
            <w:r w:rsidRPr="00C623C3">
              <w:rPr>
                <w:spacing w:val="-2"/>
                <w:szCs w:val="20"/>
              </w:rPr>
              <w:t xml:space="preserve">bez maturity, což souviselo </w:t>
            </w:r>
            <w:r w:rsidR="00307E77">
              <w:rPr>
                <w:spacing w:val="-2"/>
                <w:szCs w:val="20"/>
              </w:rPr>
              <w:t>s </w:t>
            </w:r>
            <w:r w:rsidRPr="00C623C3">
              <w:rPr>
                <w:spacing w:val="-2"/>
                <w:szCs w:val="20"/>
              </w:rPr>
              <w:t xml:space="preserve">tradičně velmi vysokou maskulinizací tohoto odvětví (muži zde </w:t>
            </w:r>
            <w:r>
              <w:rPr>
                <w:spacing w:val="-2"/>
                <w:szCs w:val="20"/>
              </w:rPr>
              <w:t>tvoří téměř 90</w:t>
            </w:r>
            <w:r w:rsidR="006E33D0">
              <w:rPr>
                <w:spacing w:val="-2"/>
                <w:szCs w:val="20"/>
              </w:rPr>
              <w:t> %</w:t>
            </w:r>
            <w:r>
              <w:rPr>
                <w:spacing w:val="-2"/>
                <w:szCs w:val="20"/>
              </w:rPr>
              <w:t xml:space="preserve"> všech zaměstnanců</w:t>
            </w:r>
            <w:r w:rsidRPr="00C623C3">
              <w:rPr>
                <w:spacing w:val="-2"/>
                <w:szCs w:val="20"/>
              </w:rPr>
              <w:t>).</w:t>
            </w:r>
          </w:p>
        </w:tc>
      </w:tr>
      <w:tr w:rsidR="00FB5B26" w:rsidRPr="00F00A85" w14:paraId="60F0D118" w14:textId="77777777" w:rsidTr="0014314C">
        <w:trPr>
          <w:trHeight w:val="14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73E09" w14:textId="77777777" w:rsidR="00097078" w:rsidRDefault="00097078" w:rsidP="00044059">
            <w:pPr>
              <w:pStyle w:val="Marginlie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3A255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76029" w14:textId="0A63E376" w:rsidR="00097078" w:rsidRPr="008B190A" w:rsidRDefault="004C0391" w:rsidP="00044059">
            <w:pPr>
              <w:spacing w:after="40"/>
              <w:jc w:val="left"/>
              <w:rPr>
                <w:sz w:val="16"/>
                <w:szCs w:val="16"/>
              </w:rPr>
            </w:pPr>
            <w:r>
              <w:rPr>
                <w:b/>
                <w:szCs w:val="20"/>
              </w:rPr>
              <w:t>Graf</w:t>
            </w:r>
            <w:r w:rsidR="006E33D0">
              <w:rPr>
                <w:b/>
                <w:szCs w:val="20"/>
              </w:rPr>
              <w:t xml:space="preserve"> č. </w:t>
            </w:r>
            <w:r>
              <w:rPr>
                <w:b/>
                <w:szCs w:val="20"/>
              </w:rPr>
              <w:t>10</w:t>
            </w:r>
            <w:r w:rsidR="00097078">
              <w:rPr>
                <w:b/>
                <w:szCs w:val="20"/>
              </w:rPr>
              <w:t xml:space="preserve">  Zaměstnanci</w:t>
            </w:r>
            <w:r w:rsidR="00097078" w:rsidRPr="008B190A">
              <w:rPr>
                <w:b/>
                <w:szCs w:val="20"/>
              </w:rPr>
              <w:t xml:space="preserve"> </w:t>
            </w:r>
            <w:r w:rsidR="00307E77" w:rsidRPr="008B190A">
              <w:rPr>
                <w:b/>
                <w:szCs w:val="20"/>
              </w:rPr>
              <w:t>v</w:t>
            </w:r>
            <w:r w:rsidR="00307E77">
              <w:rPr>
                <w:b/>
                <w:szCs w:val="20"/>
              </w:rPr>
              <w:t> </w:t>
            </w:r>
            <w:r w:rsidR="00097078" w:rsidRPr="008B190A">
              <w:rPr>
                <w:b/>
                <w:szCs w:val="20"/>
              </w:rPr>
              <w:t>odvětvových sekcích průmyslu</w:t>
            </w:r>
            <w:r w:rsidR="00097078">
              <w:rPr>
                <w:b/>
                <w:szCs w:val="20"/>
              </w:rPr>
              <w:t xml:space="preserve"> </w:t>
            </w:r>
            <w:r w:rsidR="00307E77">
              <w:rPr>
                <w:b/>
                <w:szCs w:val="20"/>
              </w:rPr>
              <w:t>a </w:t>
            </w:r>
            <w:r w:rsidR="00097078">
              <w:rPr>
                <w:b/>
                <w:szCs w:val="20"/>
              </w:rPr>
              <w:t>v celé ekonomice</w:t>
            </w:r>
            <w:r w:rsidR="00097078" w:rsidRPr="008B190A">
              <w:rPr>
                <w:b/>
                <w:szCs w:val="20"/>
              </w:rPr>
              <w:t xml:space="preserve"> dle </w:t>
            </w:r>
            <w:r w:rsidR="00097078">
              <w:rPr>
                <w:b/>
                <w:szCs w:val="20"/>
              </w:rPr>
              <w:t xml:space="preserve">věku </w:t>
            </w:r>
            <w:r w:rsidR="00307E77">
              <w:rPr>
                <w:b/>
                <w:szCs w:val="20"/>
              </w:rPr>
              <w:t>a </w:t>
            </w:r>
            <w:r w:rsidR="00097078">
              <w:rPr>
                <w:b/>
                <w:szCs w:val="20"/>
              </w:rPr>
              <w:t>nejvyššího stupně dokončeného vzdělání</w:t>
            </w:r>
            <w:r w:rsidR="00097078" w:rsidRPr="008B190A">
              <w:rPr>
                <w:b/>
                <w:szCs w:val="20"/>
              </w:rPr>
              <w:t xml:space="preserve"> v ČR v roce 2019</w:t>
            </w:r>
          </w:p>
        </w:tc>
      </w:tr>
      <w:tr w:rsidR="00FB5B26" w:rsidRPr="003C2DAD" w14:paraId="4DBEAD06" w14:textId="77777777" w:rsidTr="0014314C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27B82" w14:textId="77777777" w:rsidR="00097078" w:rsidRDefault="00097078" w:rsidP="00044059">
            <w:pPr>
              <w:pStyle w:val="Marginlie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8F262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7705E" w14:textId="29D4ED7D" w:rsidR="00097078" w:rsidRPr="003C2DAD" w:rsidRDefault="0014314C" w:rsidP="00044059">
            <w:pPr>
              <w:spacing w:after="0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8A79F09" wp14:editId="7830F0CE">
                  <wp:extent cx="4773968" cy="3406860"/>
                  <wp:effectExtent l="0" t="0" r="7620" b="3175"/>
                  <wp:docPr id="40" name="Graf 4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FB5B26" w:rsidRPr="000E201C" w14:paraId="061269A9" w14:textId="77777777" w:rsidTr="0014314C">
        <w:trPr>
          <w:trHeight w:val="14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0A828" w14:textId="77777777" w:rsidR="00097078" w:rsidRDefault="00097078" w:rsidP="00044059">
            <w:pPr>
              <w:pStyle w:val="Marginlie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FCC5D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FF0B7" w14:textId="10B90E20" w:rsidR="00097078" w:rsidRPr="00F710D4" w:rsidRDefault="00097078" w:rsidP="00044059">
            <w:pPr>
              <w:spacing w:after="220"/>
              <w:rPr>
                <w:sz w:val="14"/>
                <w:szCs w:val="14"/>
              </w:rPr>
            </w:pPr>
            <w:r w:rsidRPr="00F710D4">
              <w:rPr>
                <w:sz w:val="14"/>
                <w:szCs w:val="14"/>
              </w:rPr>
              <w:t>Zdroj: MP</w:t>
            </w:r>
            <w:r w:rsidR="000774EC">
              <w:rPr>
                <w:sz w:val="14"/>
                <w:szCs w:val="14"/>
              </w:rPr>
              <w:t>S</w:t>
            </w:r>
            <w:r w:rsidRPr="00F710D4">
              <w:rPr>
                <w:sz w:val="14"/>
                <w:szCs w:val="14"/>
              </w:rPr>
              <w:t xml:space="preserve">V </w:t>
            </w:r>
            <w:r w:rsidR="00307E77" w:rsidRPr="00F710D4">
              <w:rPr>
                <w:sz w:val="14"/>
                <w:szCs w:val="14"/>
              </w:rPr>
              <w:t>a</w:t>
            </w:r>
            <w:r w:rsidR="00307E77">
              <w:rPr>
                <w:sz w:val="14"/>
                <w:szCs w:val="14"/>
              </w:rPr>
              <w:t> </w:t>
            </w:r>
            <w:r w:rsidRPr="00F710D4">
              <w:rPr>
                <w:sz w:val="14"/>
                <w:szCs w:val="14"/>
              </w:rPr>
              <w:t>ČSÚ (Strukturální mzdová statistika)</w:t>
            </w:r>
          </w:p>
        </w:tc>
      </w:tr>
      <w:tr w:rsidR="00FB5B26" w14:paraId="5E4FE66E" w14:textId="77777777" w:rsidTr="0014314C">
        <w:trPr>
          <w:trHeight w:val="14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C2F52" w14:textId="77777777" w:rsidR="00097078" w:rsidRPr="00474044" w:rsidRDefault="00097078" w:rsidP="00044059">
            <w:pPr>
              <w:pStyle w:val="Marginlie"/>
              <w:rPr>
                <w:spacing w:val="-3"/>
              </w:rPr>
            </w:pPr>
            <w:r w:rsidRPr="00474044">
              <w:rPr>
                <w:spacing w:val="-3"/>
              </w:rPr>
              <w:t>Ve zpracovatelském průmyslu měli ve s</w:t>
            </w:r>
            <w:r w:rsidR="00EB6637">
              <w:rPr>
                <w:spacing w:val="-3"/>
              </w:rPr>
              <w:t>rovnání s celou ekonomikou nepatrně</w:t>
            </w:r>
            <w:r w:rsidRPr="00474044">
              <w:rPr>
                <w:spacing w:val="-3"/>
              </w:rPr>
              <w:t xml:space="preserve"> vyšší zastoupení mladší zaměstnanci.</w:t>
            </w:r>
          </w:p>
          <w:p w14:paraId="506015BC" w14:textId="77777777" w:rsidR="00097078" w:rsidRPr="00474044" w:rsidRDefault="00097078" w:rsidP="00044059">
            <w:pPr>
              <w:pStyle w:val="Marginlie"/>
              <w:rPr>
                <w:spacing w:val="-3"/>
              </w:rPr>
            </w:pPr>
          </w:p>
          <w:p w14:paraId="112EA8F0" w14:textId="77777777" w:rsidR="00097078" w:rsidRDefault="00097078" w:rsidP="00044059">
            <w:pPr>
              <w:pStyle w:val="Marginlie"/>
              <w:rPr>
                <w:spacing w:val="-3"/>
              </w:rPr>
            </w:pPr>
          </w:p>
          <w:p w14:paraId="4613B848" w14:textId="77777777" w:rsidR="00097078" w:rsidRPr="00474044" w:rsidRDefault="00097078" w:rsidP="00044059">
            <w:pPr>
              <w:pStyle w:val="Marginlie"/>
              <w:rPr>
                <w:spacing w:val="-3"/>
              </w:rPr>
            </w:pPr>
          </w:p>
          <w:p w14:paraId="7D918BBA" w14:textId="77777777" w:rsidR="00097078" w:rsidRPr="00474044" w:rsidRDefault="00097078" w:rsidP="00044059">
            <w:pPr>
              <w:pStyle w:val="Marginlie"/>
              <w:rPr>
                <w:spacing w:val="-3"/>
              </w:rPr>
            </w:pPr>
          </w:p>
          <w:p w14:paraId="53AA5C26" w14:textId="32E04F11" w:rsidR="00097078" w:rsidRPr="00474044" w:rsidRDefault="00097078" w:rsidP="00044059">
            <w:pPr>
              <w:pStyle w:val="Marginlie"/>
              <w:rPr>
                <w:spacing w:val="-3"/>
              </w:rPr>
            </w:pPr>
            <w:r w:rsidRPr="00474044">
              <w:rPr>
                <w:spacing w:val="-3"/>
              </w:rPr>
              <w:t xml:space="preserve">Polovina zaměstnanců v těžbě </w:t>
            </w:r>
            <w:r w:rsidR="00307E77" w:rsidRPr="00474044">
              <w:rPr>
                <w:spacing w:val="-3"/>
              </w:rPr>
              <w:t>a</w:t>
            </w:r>
            <w:r w:rsidR="00307E77">
              <w:rPr>
                <w:spacing w:val="-3"/>
              </w:rPr>
              <w:t> </w:t>
            </w:r>
            <w:r w:rsidRPr="00474044">
              <w:rPr>
                <w:spacing w:val="-3"/>
              </w:rPr>
              <w:t xml:space="preserve">dobývání byla ve věku 50 </w:t>
            </w:r>
            <w:r w:rsidR="00307E77" w:rsidRPr="00474044">
              <w:rPr>
                <w:spacing w:val="-3"/>
              </w:rPr>
              <w:t>a</w:t>
            </w:r>
            <w:r w:rsidR="00307E77">
              <w:rPr>
                <w:spacing w:val="-3"/>
              </w:rPr>
              <w:t> </w:t>
            </w:r>
            <w:r w:rsidRPr="00474044">
              <w:rPr>
                <w:spacing w:val="-3"/>
              </w:rPr>
              <w:t>více let.</w:t>
            </w:r>
          </w:p>
          <w:p w14:paraId="499E0821" w14:textId="77777777" w:rsidR="00097078" w:rsidRDefault="00097078" w:rsidP="00044059">
            <w:pPr>
              <w:pStyle w:val="Marginlie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AAA29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ECE60" w14:textId="3E871809" w:rsidR="00097078" w:rsidRPr="006C4F8C" w:rsidRDefault="00097078" w:rsidP="00A170C9">
            <w:pPr>
              <w:spacing w:after="220"/>
              <w:rPr>
                <w:spacing w:val="-2"/>
                <w:szCs w:val="20"/>
              </w:rPr>
            </w:pPr>
            <w:r w:rsidRPr="006C4F8C">
              <w:rPr>
                <w:spacing w:val="-2"/>
                <w:szCs w:val="20"/>
              </w:rPr>
              <w:t>Na skupinu 40 až 49</w:t>
            </w:r>
            <w:r w:rsidR="00AE2A2D">
              <w:rPr>
                <w:spacing w:val="-2"/>
                <w:szCs w:val="20"/>
              </w:rPr>
              <w:t> </w:t>
            </w:r>
            <w:r>
              <w:rPr>
                <w:spacing w:val="-2"/>
                <w:szCs w:val="20"/>
              </w:rPr>
              <w:t xml:space="preserve">let </w:t>
            </w:r>
            <w:r w:rsidRPr="006C4F8C">
              <w:rPr>
                <w:spacing w:val="-2"/>
                <w:szCs w:val="20"/>
              </w:rPr>
              <w:t>připadl největší podíl zaměstnanců v průmyslu (32</w:t>
            </w:r>
            <w:r w:rsidR="006E33D0">
              <w:rPr>
                <w:spacing w:val="-2"/>
                <w:szCs w:val="20"/>
              </w:rPr>
              <w:t> %</w:t>
            </w:r>
            <w:r w:rsidRPr="006C4F8C">
              <w:rPr>
                <w:spacing w:val="-2"/>
                <w:szCs w:val="20"/>
              </w:rPr>
              <w:t xml:space="preserve"> v roce 2019), zastoupení osob nad 49</w:t>
            </w:r>
            <w:r w:rsidR="00AE2A2D">
              <w:rPr>
                <w:spacing w:val="-2"/>
                <w:szCs w:val="20"/>
              </w:rPr>
              <w:t> </w:t>
            </w:r>
            <w:r w:rsidR="00AC1296">
              <w:rPr>
                <w:spacing w:val="-2"/>
                <w:szCs w:val="20"/>
              </w:rPr>
              <w:t xml:space="preserve">let </w:t>
            </w:r>
            <w:r w:rsidRPr="006C4F8C">
              <w:rPr>
                <w:spacing w:val="-2"/>
                <w:szCs w:val="20"/>
              </w:rPr>
              <w:t>se blížilo 30</w:t>
            </w:r>
            <w:r w:rsidR="006E33D0">
              <w:rPr>
                <w:spacing w:val="-2"/>
                <w:szCs w:val="20"/>
              </w:rPr>
              <w:t> %</w:t>
            </w:r>
            <w:r w:rsidRPr="006C4F8C">
              <w:rPr>
                <w:spacing w:val="-2"/>
                <w:szCs w:val="20"/>
              </w:rPr>
              <w:t xml:space="preserve"> </w:t>
            </w:r>
            <w:r w:rsidR="00307E77" w:rsidRPr="006C4F8C">
              <w:rPr>
                <w:spacing w:val="-2"/>
                <w:szCs w:val="20"/>
              </w:rPr>
              <w:t>a</w:t>
            </w:r>
            <w:r w:rsidR="00307E77">
              <w:rPr>
                <w:spacing w:val="-2"/>
                <w:szCs w:val="20"/>
              </w:rPr>
              <w:t> </w:t>
            </w:r>
            <w:r w:rsidRPr="006C4F8C">
              <w:rPr>
                <w:spacing w:val="-2"/>
                <w:szCs w:val="20"/>
              </w:rPr>
              <w:t>mladších 30</w:t>
            </w:r>
            <w:r w:rsidR="00AE2A2D">
              <w:rPr>
                <w:spacing w:val="-2"/>
                <w:szCs w:val="20"/>
              </w:rPr>
              <w:t> </w:t>
            </w:r>
            <w:r w:rsidRPr="006C4F8C">
              <w:rPr>
                <w:spacing w:val="-2"/>
                <w:szCs w:val="20"/>
              </w:rPr>
              <w:t>let byla necelá šestina. Toto rozvrstvení těsně kopírovalo skladbu zaměstnaných v celé ekonomice (podíl osob nad 49</w:t>
            </w:r>
            <w:r w:rsidR="00AE2A2D">
              <w:rPr>
                <w:spacing w:val="-2"/>
                <w:szCs w:val="20"/>
              </w:rPr>
              <w:t> </w:t>
            </w:r>
            <w:r w:rsidRPr="006C4F8C">
              <w:rPr>
                <w:spacing w:val="-2"/>
                <w:szCs w:val="20"/>
              </w:rPr>
              <w:t xml:space="preserve">let byl v průmyslu </w:t>
            </w:r>
            <w:r w:rsidR="00307E77" w:rsidRPr="006C4F8C">
              <w:rPr>
                <w:spacing w:val="-2"/>
                <w:szCs w:val="20"/>
              </w:rPr>
              <w:t>o</w:t>
            </w:r>
            <w:r w:rsidR="00307E77">
              <w:rPr>
                <w:spacing w:val="-2"/>
                <w:szCs w:val="20"/>
              </w:rPr>
              <w:t> </w:t>
            </w:r>
            <w:r w:rsidRPr="006C4F8C">
              <w:rPr>
                <w:spacing w:val="-2"/>
                <w:szCs w:val="20"/>
              </w:rPr>
              <w:t>necelé 2</w:t>
            </w:r>
            <w:r w:rsidR="006E33D0">
              <w:rPr>
                <w:spacing w:val="-2"/>
                <w:szCs w:val="20"/>
              </w:rPr>
              <w:t> p. b.</w:t>
            </w:r>
            <w:r w:rsidRPr="006C4F8C">
              <w:rPr>
                <w:spacing w:val="-2"/>
                <w:szCs w:val="20"/>
              </w:rPr>
              <w:t xml:space="preserve"> nižší).</w:t>
            </w:r>
            <w:r>
              <w:rPr>
                <w:spacing w:val="-2"/>
                <w:szCs w:val="20"/>
              </w:rPr>
              <w:t xml:space="preserve"> Větší rozdíly panovaly v hlavních odvětvích </w:t>
            </w:r>
            <w:r w:rsidRPr="006C4F8C">
              <w:rPr>
                <w:spacing w:val="-2"/>
                <w:szCs w:val="20"/>
              </w:rPr>
              <w:t>průmyslu. V jeho nezpracovatelských odvětvích měly silnější podíl osoby nad 49</w:t>
            </w:r>
            <w:r w:rsidR="00AE2A2D">
              <w:rPr>
                <w:spacing w:val="-2"/>
                <w:szCs w:val="20"/>
              </w:rPr>
              <w:t> </w:t>
            </w:r>
            <w:r w:rsidRPr="006C4F8C">
              <w:rPr>
                <w:spacing w:val="-2"/>
                <w:szCs w:val="20"/>
              </w:rPr>
              <w:t xml:space="preserve">let, např. v těžbě a dobývání šlo bezmála </w:t>
            </w:r>
            <w:r w:rsidR="00307E77" w:rsidRPr="006C4F8C">
              <w:rPr>
                <w:spacing w:val="-2"/>
                <w:szCs w:val="20"/>
              </w:rPr>
              <w:t>o</w:t>
            </w:r>
            <w:r w:rsidR="00307E77">
              <w:rPr>
                <w:spacing w:val="-2"/>
                <w:szCs w:val="20"/>
              </w:rPr>
              <w:t> </w:t>
            </w:r>
            <w:r w:rsidRPr="006C4F8C">
              <w:rPr>
                <w:spacing w:val="-2"/>
                <w:szCs w:val="20"/>
              </w:rPr>
              <w:t xml:space="preserve">polovinu zaměstnanců. Nízká atraktivita tohoto oboru pro mladší pracovníky souvisí kromě fyzické náročnosti práce </w:t>
            </w:r>
            <w:r w:rsidR="00307E77" w:rsidRPr="006C4F8C">
              <w:rPr>
                <w:spacing w:val="-2"/>
                <w:szCs w:val="20"/>
              </w:rPr>
              <w:t>i</w:t>
            </w:r>
            <w:r w:rsidR="00307E77">
              <w:rPr>
                <w:spacing w:val="-2"/>
                <w:szCs w:val="20"/>
              </w:rPr>
              <w:t> </w:t>
            </w:r>
            <w:r w:rsidRPr="006C4F8C">
              <w:rPr>
                <w:spacing w:val="-2"/>
                <w:szCs w:val="20"/>
              </w:rPr>
              <w:t>s útlumovým charakterem celého odvětví. Průměrný věk pracovníků těžebního průmyslu</w:t>
            </w:r>
            <w:r w:rsidR="00AE2A2D" w:rsidRPr="006C4F8C">
              <w:rPr>
                <w:spacing w:val="-2"/>
                <w:szCs w:val="20"/>
              </w:rPr>
              <w:t xml:space="preserve"> v roce 2019 činil</w:t>
            </w:r>
            <w:r w:rsidRPr="006C4F8C">
              <w:rPr>
                <w:spacing w:val="-2"/>
                <w:szCs w:val="20"/>
              </w:rPr>
              <w:t xml:space="preserve"> 48</w:t>
            </w:r>
            <w:r w:rsidR="00AE2A2D">
              <w:rPr>
                <w:spacing w:val="-2"/>
                <w:szCs w:val="20"/>
              </w:rPr>
              <w:t> </w:t>
            </w:r>
            <w:r w:rsidRPr="006C4F8C">
              <w:rPr>
                <w:spacing w:val="-2"/>
                <w:szCs w:val="20"/>
              </w:rPr>
              <w:t>let</w:t>
            </w:r>
            <w:r w:rsidR="00A170C9" w:rsidRPr="006C4F8C">
              <w:rPr>
                <w:spacing w:val="-2"/>
                <w:szCs w:val="20"/>
              </w:rPr>
              <w:t xml:space="preserve"> </w:t>
            </w:r>
            <w:r w:rsidRPr="006C4F8C">
              <w:rPr>
                <w:spacing w:val="-2"/>
                <w:szCs w:val="20"/>
              </w:rPr>
              <w:t xml:space="preserve">a od roku 2012 vzrostl téměř </w:t>
            </w:r>
            <w:r w:rsidR="00307E77" w:rsidRPr="006C4F8C">
              <w:rPr>
                <w:spacing w:val="-2"/>
                <w:szCs w:val="20"/>
              </w:rPr>
              <w:t>o</w:t>
            </w:r>
            <w:r w:rsidR="00307E77">
              <w:rPr>
                <w:spacing w:val="-2"/>
                <w:szCs w:val="20"/>
              </w:rPr>
              <w:t> </w:t>
            </w:r>
            <w:r w:rsidR="00307E77" w:rsidRPr="006C4F8C">
              <w:rPr>
                <w:spacing w:val="-2"/>
                <w:szCs w:val="20"/>
              </w:rPr>
              <w:t>3</w:t>
            </w:r>
            <w:r w:rsidR="00307E77">
              <w:rPr>
                <w:spacing w:val="-2"/>
                <w:szCs w:val="20"/>
              </w:rPr>
              <w:t> </w:t>
            </w:r>
            <w:r w:rsidRPr="006C4F8C">
              <w:rPr>
                <w:spacing w:val="-2"/>
                <w:szCs w:val="20"/>
              </w:rPr>
              <w:t xml:space="preserve">roky (více než dvojnásobně než v celé ekonomice). V energetice </w:t>
            </w:r>
            <w:r w:rsidR="00307E77" w:rsidRPr="006C4F8C">
              <w:rPr>
                <w:spacing w:val="-2"/>
                <w:szCs w:val="20"/>
              </w:rPr>
              <w:t>i</w:t>
            </w:r>
            <w:r w:rsidR="00307E77">
              <w:rPr>
                <w:spacing w:val="-2"/>
                <w:szCs w:val="20"/>
              </w:rPr>
              <w:t> </w:t>
            </w:r>
            <w:r w:rsidRPr="006C4F8C">
              <w:rPr>
                <w:spacing w:val="-2"/>
                <w:szCs w:val="20"/>
              </w:rPr>
              <w:t>vodním a odpadovém hospodářství přesáhl průměrný věk 46</w:t>
            </w:r>
            <w:r w:rsidR="00AE2A2D">
              <w:rPr>
                <w:spacing w:val="-2"/>
                <w:szCs w:val="20"/>
              </w:rPr>
              <w:t> </w:t>
            </w:r>
            <w:r w:rsidRPr="006C4F8C">
              <w:rPr>
                <w:spacing w:val="-2"/>
                <w:szCs w:val="20"/>
              </w:rPr>
              <w:t>let, avšak v posledních pěti letech se již významně nenavyšoval.</w:t>
            </w:r>
          </w:p>
        </w:tc>
      </w:tr>
    </w:tbl>
    <w:p w14:paraId="3A47F496" w14:textId="312E57DF" w:rsidR="00097078" w:rsidRPr="006C4F8C" w:rsidRDefault="00097078" w:rsidP="00097078">
      <w:pPr>
        <w:pStyle w:val="Nadpis2"/>
        <w:rPr>
          <w:rFonts w:cs="Arial"/>
          <w:b w:val="0"/>
        </w:rPr>
      </w:pPr>
      <w:bookmarkStart w:id="3" w:name="_Toc57061289"/>
      <w:r>
        <w:rPr>
          <w:rFonts w:cs="Arial"/>
        </w:rPr>
        <w:t>3</w:t>
      </w:r>
      <w:r w:rsidRPr="006C4F8C">
        <w:rPr>
          <w:rFonts w:cs="Arial"/>
        </w:rPr>
        <w:t>.</w:t>
      </w:r>
      <w:r w:rsidR="00307E77" w:rsidRPr="006C4F8C">
        <w:rPr>
          <w:rFonts w:cs="Arial"/>
        </w:rPr>
        <w:t>2</w:t>
      </w:r>
      <w:r w:rsidR="00307E77">
        <w:rPr>
          <w:rFonts w:cs="Arial"/>
        </w:rPr>
        <w:t> </w:t>
      </w:r>
      <w:r w:rsidRPr="006C4F8C">
        <w:rPr>
          <w:rFonts w:cs="Arial"/>
        </w:rPr>
        <w:t xml:space="preserve">Mzdy </w:t>
      </w:r>
      <w:r w:rsidR="00307E77" w:rsidRPr="006C4F8C">
        <w:rPr>
          <w:rFonts w:cs="Arial"/>
        </w:rPr>
        <w:t>a</w:t>
      </w:r>
      <w:r w:rsidR="00307E77">
        <w:rPr>
          <w:rFonts w:cs="Arial"/>
        </w:rPr>
        <w:t> </w:t>
      </w:r>
      <w:r w:rsidRPr="006C4F8C">
        <w:rPr>
          <w:rFonts w:cs="Arial"/>
        </w:rPr>
        <w:t>jejich diferenciace v tuzemském průmyslu</w:t>
      </w:r>
      <w:bookmarkEnd w:id="3"/>
    </w:p>
    <w:tbl>
      <w:tblPr>
        <w:tblW w:w="964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6"/>
        <w:gridCol w:w="173"/>
        <w:gridCol w:w="7700"/>
      </w:tblGrid>
      <w:tr w:rsidR="00097078" w14:paraId="068C1697" w14:textId="77777777" w:rsidTr="00586874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EE42C" w14:textId="25A4FE69" w:rsidR="00097078" w:rsidRDefault="00097078" w:rsidP="00044059">
            <w:pPr>
              <w:pStyle w:val="Marginlie"/>
            </w:pPr>
            <w:r>
              <w:t>Tempo růstu průměrných mezd v průmyslu v druhé polovině poslední dekády za celou ekonomikou většinou zaostávalo.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46957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A0419" w14:textId="7056820A" w:rsidR="00097078" w:rsidRPr="004521B4" w:rsidRDefault="00097078" w:rsidP="00044059">
            <w:pPr>
              <w:spacing w:after="220"/>
              <w:rPr>
                <w:szCs w:val="20"/>
              </w:rPr>
            </w:pPr>
            <w:r>
              <w:rPr>
                <w:szCs w:val="20"/>
              </w:rPr>
              <w:t xml:space="preserve">Dle údajů z podnikových statistik čítala průměrná hrubá měsíční mzda zaměstnance (po přepočtu na plné úvazky) v průmyslu v roce 2019 nominálně </w:t>
            </w:r>
            <w:r w:rsidRPr="00D9365F">
              <w:rPr>
                <w:szCs w:val="20"/>
              </w:rPr>
              <w:t>33</w:t>
            </w:r>
            <w:r w:rsidR="00A341C7">
              <w:rPr>
                <w:szCs w:val="20"/>
              </w:rPr>
              <w:t> </w:t>
            </w:r>
            <w:r w:rsidRPr="00D9365F">
              <w:rPr>
                <w:szCs w:val="20"/>
              </w:rPr>
              <w:t>963</w:t>
            </w:r>
            <w:r w:rsidR="00A341C7">
              <w:rPr>
                <w:szCs w:val="20"/>
              </w:rPr>
              <w:t> </w:t>
            </w:r>
            <w:r>
              <w:rPr>
                <w:szCs w:val="20"/>
              </w:rPr>
              <w:t xml:space="preserve">korun </w:t>
            </w:r>
            <w:r w:rsidR="00307E77">
              <w:rPr>
                <w:szCs w:val="20"/>
              </w:rPr>
              <w:t>a </w:t>
            </w:r>
            <w:r>
              <w:rPr>
                <w:szCs w:val="20"/>
              </w:rPr>
              <w:t>meziročně se zvýšila o 5,4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 xml:space="preserve">. To bylo </w:t>
            </w:r>
            <w:r w:rsidR="00307E77">
              <w:rPr>
                <w:szCs w:val="20"/>
              </w:rPr>
              <w:t>o </w:t>
            </w:r>
            <w:r>
              <w:rPr>
                <w:szCs w:val="20"/>
              </w:rPr>
              <w:t xml:space="preserve">rovný procentní bod méně než v celém národním hospodářství. Dynamika mezd v průmyslu za tempy v celé ekonomice zaostávala prakticky nepřetržitě po dobu posledních pěti let, výjimkou byl rok 2017, kdy byl růst </w:t>
            </w:r>
            <w:r>
              <w:rPr>
                <w:szCs w:val="20"/>
              </w:rPr>
              <w:lastRenderedPageBreak/>
              <w:t>srovnatelný. Není proto překvapivé, že výše průměrných mezd v průmyslu v roce 2019 klesla pod úroveň celé ekonomiky, což se stalo naposledy v roce 2011. Mzdovou dynamiku v národním hospodářství ale v letech 2017 až 2019 výrazně podporoval svižný růst výdělků v odvětvích s převahou veřejného sektoru</w:t>
            </w:r>
            <w:r w:rsidRPr="003E5D9B">
              <w:rPr>
                <w:rStyle w:val="Znakapoznpodarou"/>
                <w:spacing w:val="-4"/>
              </w:rPr>
              <w:footnoteReference w:id="9"/>
            </w:r>
            <w:r>
              <w:rPr>
                <w:szCs w:val="20"/>
              </w:rPr>
              <w:t xml:space="preserve">. </w:t>
            </w:r>
            <w:r w:rsidR="00BA6405">
              <w:rPr>
                <w:szCs w:val="20"/>
              </w:rPr>
              <w:t xml:space="preserve">I ve </w:t>
            </w:r>
            <w:r>
              <w:rPr>
                <w:szCs w:val="20"/>
              </w:rPr>
              <w:t>srovnání s </w:t>
            </w:r>
            <w:r w:rsidR="00A341C7">
              <w:rPr>
                <w:szCs w:val="20"/>
              </w:rPr>
              <w:t xml:space="preserve">částí </w:t>
            </w:r>
            <w:r>
              <w:rPr>
                <w:szCs w:val="20"/>
              </w:rPr>
              <w:t xml:space="preserve">ekonomiky nezahrnující tato odvětví se </w:t>
            </w:r>
            <w:r w:rsidR="00BA6405">
              <w:rPr>
                <w:szCs w:val="20"/>
              </w:rPr>
              <w:t xml:space="preserve">ale </w:t>
            </w:r>
            <w:r>
              <w:rPr>
                <w:szCs w:val="20"/>
              </w:rPr>
              <w:t xml:space="preserve">mzdová úroveň v průmyslu stále nacházela </w:t>
            </w:r>
            <w:r w:rsidR="00307E77">
              <w:rPr>
                <w:szCs w:val="20"/>
              </w:rPr>
              <w:t>o </w:t>
            </w:r>
            <w:r>
              <w:rPr>
                <w:szCs w:val="20"/>
              </w:rPr>
              <w:t>téměř 2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 xml:space="preserve"> výše. Tempo růstu mezd v průmyslu kulminovalo v poslední dekádě v roce 2018 (7,7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 xml:space="preserve">), kdy se ale výkon tohoto odvětví již nacházel za svým konjunkturním vrcholem. Silný mzdový růst se </w:t>
            </w:r>
            <w:r w:rsidR="00A341C7">
              <w:rPr>
                <w:szCs w:val="20"/>
              </w:rPr>
              <w:t xml:space="preserve">zde </w:t>
            </w:r>
            <w:r>
              <w:rPr>
                <w:szCs w:val="20"/>
              </w:rPr>
              <w:t xml:space="preserve">udržel zejména </w:t>
            </w:r>
            <w:r w:rsidR="00A341C7">
              <w:rPr>
                <w:szCs w:val="20"/>
              </w:rPr>
              <w:t xml:space="preserve">kvůli </w:t>
            </w:r>
            <w:r>
              <w:rPr>
                <w:szCs w:val="20"/>
              </w:rPr>
              <w:t>napjaté situaci na pracovním trhu, neboť hlavní bariérou tuzemského průmyslu zůstal navzdory slábnoucí zahraniční poptávce nedostatek pracovníků (deklarovalo ho po celý rok 2018 více než 40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 xml:space="preserve"> průmyslových podniků).</w:t>
            </w:r>
          </w:p>
        </w:tc>
      </w:tr>
      <w:tr w:rsidR="00097078" w14:paraId="5C6A55F8" w14:textId="77777777" w:rsidTr="00586874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B5AB9" w14:textId="594FFC30" w:rsidR="00097078" w:rsidRDefault="00307E77" w:rsidP="00044059">
            <w:pPr>
              <w:pStyle w:val="Marginlie"/>
            </w:pPr>
            <w:r>
              <w:lastRenderedPageBreak/>
              <w:t>V </w:t>
            </w:r>
            <w:r w:rsidR="00097078">
              <w:t xml:space="preserve">rámci hlavních odvětví průmyslu rostla v roce 2019 mzda nejrychleji v energetice </w:t>
            </w:r>
            <w:r>
              <w:t>a </w:t>
            </w:r>
            <w:r w:rsidR="00097078">
              <w:t xml:space="preserve">vodním </w:t>
            </w:r>
            <w:r w:rsidR="00A341C7">
              <w:t>a </w:t>
            </w:r>
            <w:r w:rsidR="00097078">
              <w:t>odpadovém hospodářství.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44A11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A465E" w14:textId="798110CB" w:rsidR="00097078" w:rsidRPr="004521B4" w:rsidRDefault="00097078" w:rsidP="00044059">
            <w:pPr>
              <w:spacing w:after="220"/>
              <w:rPr>
                <w:szCs w:val="20"/>
              </w:rPr>
            </w:pPr>
            <w:r>
              <w:rPr>
                <w:szCs w:val="20"/>
              </w:rPr>
              <w:t xml:space="preserve">Poprvé za posledních sedm let bylo v roce 2019 tempo průměrných mezd ve zpracovatelském průmyslu nižší než v úhrnu za ostatní odvětvové sekce průmyslu. Zatímco v těžbě </w:t>
            </w:r>
            <w:r w:rsidR="00307E77">
              <w:rPr>
                <w:szCs w:val="20"/>
              </w:rPr>
              <w:t>a </w:t>
            </w:r>
            <w:r>
              <w:rPr>
                <w:szCs w:val="20"/>
              </w:rPr>
              <w:t xml:space="preserve">dobývání se tempo ve srovnání s předchozím rokem snížilo </w:t>
            </w:r>
            <w:r w:rsidR="00307E77">
              <w:rPr>
                <w:szCs w:val="20"/>
              </w:rPr>
              <w:t>o </w:t>
            </w:r>
            <w:r>
              <w:rPr>
                <w:szCs w:val="20"/>
              </w:rPr>
              <w:t>více než polovinu (na 3,3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 xml:space="preserve">), v ostatních nezpracovatelských odvětvích (energetice, vodním </w:t>
            </w:r>
            <w:r w:rsidR="00A341C7">
              <w:rPr>
                <w:szCs w:val="20"/>
              </w:rPr>
              <w:t>a </w:t>
            </w:r>
            <w:r>
              <w:rPr>
                <w:szCs w:val="20"/>
              </w:rPr>
              <w:t>odpadovém hospodářství) se svižná více než 6% tempa z roku 2018 udržela.</w:t>
            </w:r>
          </w:p>
        </w:tc>
      </w:tr>
      <w:tr w:rsidR="00097078" w14:paraId="0FE79083" w14:textId="77777777" w:rsidTr="00586874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0F26B" w14:textId="77777777" w:rsidR="00097078" w:rsidRDefault="00097078" w:rsidP="00044059">
            <w:pPr>
              <w:pStyle w:val="Marginlie"/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0DF37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033FF" w14:textId="35F2FEEB" w:rsidR="00097078" w:rsidRPr="0014314C" w:rsidRDefault="004C0391" w:rsidP="00044059">
            <w:pPr>
              <w:spacing w:after="0"/>
              <w:rPr>
                <w:spacing w:val="-2"/>
                <w:szCs w:val="20"/>
              </w:rPr>
            </w:pPr>
            <w:r w:rsidRPr="0014314C">
              <w:rPr>
                <w:b/>
                <w:spacing w:val="-2"/>
                <w:szCs w:val="20"/>
              </w:rPr>
              <w:t>Graf</w:t>
            </w:r>
            <w:r w:rsidR="006E33D0" w:rsidRPr="0014314C">
              <w:rPr>
                <w:b/>
                <w:spacing w:val="-2"/>
                <w:szCs w:val="20"/>
              </w:rPr>
              <w:t xml:space="preserve"> č. </w:t>
            </w:r>
            <w:r w:rsidRPr="0014314C">
              <w:rPr>
                <w:b/>
                <w:spacing w:val="-2"/>
                <w:szCs w:val="20"/>
              </w:rPr>
              <w:t>11</w:t>
            </w:r>
            <w:r w:rsidR="00097078" w:rsidRPr="0014314C">
              <w:rPr>
                <w:b/>
                <w:spacing w:val="-2"/>
                <w:szCs w:val="20"/>
              </w:rPr>
              <w:t xml:space="preserve">  Vývoj průměrných nominálních hrubých mezd v hlavních průmyslových odvětvích </w:t>
            </w:r>
            <w:r w:rsidR="00307E77" w:rsidRPr="0014314C">
              <w:rPr>
                <w:b/>
                <w:spacing w:val="-2"/>
                <w:szCs w:val="20"/>
              </w:rPr>
              <w:t>a </w:t>
            </w:r>
            <w:r w:rsidR="00097078" w:rsidRPr="0014314C">
              <w:rPr>
                <w:b/>
                <w:spacing w:val="-2"/>
                <w:szCs w:val="20"/>
              </w:rPr>
              <w:t xml:space="preserve">v celé ekonomice ČR v letech 2010 </w:t>
            </w:r>
            <w:r w:rsidR="00307E77" w:rsidRPr="0014314C">
              <w:rPr>
                <w:b/>
                <w:spacing w:val="-2"/>
                <w:szCs w:val="20"/>
              </w:rPr>
              <w:t>a </w:t>
            </w:r>
            <w:r w:rsidR="00097078" w:rsidRPr="0014314C">
              <w:rPr>
                <w:b/>
                <w:spacing w:val="-2"/>
                <w:szCs w:val="20"/>
              </w:rPr>
              <w:t>201</w:t>
            </w:r>
            <w:r w:rsidR="0014314C" w:rsidRPr="0014314C">
              <w:rPr>
                <w:b/>
                <w:spacing w:val="-2"/>
                <w:szCs w:val="20"/>
              </w:rPr>
              <w:t>9</w:t>
            </w:r>
            <w:r w:rsidR="00097078" w:rsidRPr="0014314C">
              <w:rPr>
                <w:spacing w:val="-2"/>
                <w:szCs w:val="20"/>
              </w:rPr>
              <w:t xml:space="preserve"> (meziročně v</w:t>
            </w:r>
            <w:r w:rsidR="006E33D0" w:rsidRPr="0014314C">
              <w:rPr>
                <w:spacing w:val="-2"/>
                <w:szCs w:val="20"/>
              </w:rPr>
              <w:t> %</w:t>
            </w:r>
            <w:r w:rsidR="00097078" w:rsidRPr="0014314C">
              <w:rPr>
                <w:spacing w:val="-2"/>
                <w:szCs w:val="20"/>
              </w:rPr>
              <w:t>)</w:t>
            </w:r>
          </w:p>
        </w:tc>
      </w:tr>
      <w:tr w:rsidR="00097078" w14:paraId="7E2AD1FB" w14:textId="77777777" w:rsidTr="00586874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FA105" w14:textId="77777777" w:rsidR="00097078" w:rsidRDefault="00097078" w:rsidP="00044059">
            <w:pPr>
              <w:pStyle w:val="Marginlie"/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115D5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F5E1F" w14:textId="62278CEB" w:rsidR="00097078" w:rsidRPr="000153F6" w:rsidRDefault="00E20077" w:rsidP="00044059">
            <w:pPr>
              <w:spacing w:after="0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2560C62" wp14:editId="5E520C49">
                  <wp:extent cx="4696359" cy="3299155"/>
                  <wp:effectExtent l="0" t="0" r="0" b="0"/>
                  <wp:docPr id="42" name="Graf 4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097078" w14:paraId="4596720C" w14:textId="77777777" w:rsidTr="00586874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67ACD" w14:textId="77777777" w:rsidR="00097078" w:rsidRDefault="00097078" w:rsidP="00044059">
            <w:pPr>
              <w:pStyle w:val="Marginlie"/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1E49D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C2237" w14:textId="6E1819A4" w:rsidR="00097078" w:rsidRPr="00F710D4" w:rsidRDefault="00097078" w:rsidP="00044059">
            <w:pPr>
              <w:spacing w:after="0"/>
              <w:rPr>
                <w:sz w:val="14"/>
                <w:szCs w:val="14"/>
              </w:rPr>
            </w:pPr>
            <w:r w:rsidRPr="00F710D4">
              <w:rPr>
                <w:sz w:val="14"/>
                <w:szCs w:val="14"/>
              </w:rPr>
              <w:t>Poznámka</w:t>
            </w:r>
            <w:r w:rsidR="006F2F95">
              <w:rPr>
                <w:sz w:val="14"/>
                <w:szCs w:val="14"/>
              </w:rPr>
              <w:t>:</w:t>
            </w:r>
            <w:r w:rsidR="006F2F95" w:rsidRPr="00F710D4">
              <w:rPr>
                <w:sz w:val="14"/>
                <w:szCs w:val="14"/>
              </w:rPr>
              <w:t xml:space="preserve"> </w:t>
            </w:r>
            <w:r w:rsidRPr="00F710D4">
              <w:rPr>
                <w:sz w:val="14"/>
                <w:szCs w:val="14"/>
              </w:rPr>
              <w:t xml:space="preserve">Mzda je vztažena </w:t>
            </w:r>
            <w:r w:rsidR="00307E77" w:rsidRPr="00F710D4">
              <w:rPr>
                <w:sz w:val="14"/>
                <w:szCs w:val="14"/>
              </w:rPr>
              <w:t>k</w:t>
            </w:r>
            <w:r w:rsidR="00307E77">
              <w:rPr>
                <w:sz w:val="14"/>
                <w:szCs w:val="14"/>
              </w:rPr>
              <w:t> </w:t>
            </w:r>
            <w:r w:rsidRPr="00F710D4">
              <w:rPr>
                <w:sz w:val="14"/>
                <w:szCs w:val="14"/>
              </w:rPr>
              <w:t>přepočtenému počtu zaměstnanců (na plné úvazky).</w:t>
            </w:r>
          </w:p>
          <w:p w14:paraId="6109873F" w14:textId="77777777" w:rsidR="00097078" w:rsidRPr="000E201C" w:rsidRDefault="00097078" w:rsidP="00044059">
            <w:pPr>
              <w:spacing w:after="220"/>
              <w:rPr>
                <w:sz w:val="16"/>
                <w:szCs w:val="16"/>
              </w:rPr>
            </w:pPr>
            <w:r w:rsidRPr="00F710D4">
              <w:rPr>
                <w:sz w:val="14"/>
                <w:szCs w:val="14"/>
              </w:rPr>
              <w:t>Zdroj: ČSÚ (podniková statistika)</w:t>
            </w:r>
          </w:p>
        </w:tc>
      </w:tr>
      <w:tr w:rsidR="00097078" w14:paraId="1B0D1195" w14:textId="77777777" w:rsidTr="00586874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2215C" w14:textId="77777777" w:rsidR="00097078" w:rsidRDefault="00097078" w:rsidP="00044059">
            <w:pPr>
              <w:pStyle w:val="Marginlie"/>
            </w:pPr>
            <w:r>
              <w:t>Ze zpracovatelských odvětví rostly v roce 2019 průměrné mzdy relativně nejvíce v kožedělném průmyslu, nejméně v hutnictví.</w:t>
            </w:r>
          </w:p>
          <w:p w14:paraId="61E68895" w14:textId="77777777" w:rsidR="00097078" w:rsidRDefault="00097078" w:rsidP="00044059">
            <w:pPr>
              <w:pStyle w:val="Marginlie"/>
            </w:pPr>
          </w:p>
          <w:p w14:paraId="6412A4E0" w14:textId="7348E787" w:rsidR="00097078" w:rsidRDefault="00097078" w:rsidP="00044059">
            <w:pPr>
              <w:pStyle w:val="Marginlie"/>
            </w:pPr>
            <w:r>
              <w:t xml:space="preserve">Mezi roky 2012 </w:t>
            </w:r>
            <w:r w:rsidR="00307E77">
              <w:t>a </w:t>
            </w:r>
            <w:r>
              <w:t xml:space="preserve">2019 se relativně nejvíce zvýšila mzda v menších odvětvích, </w:t>
            </w:r>
            <w:r w:rsidR="00071E70">
              <w:t xml:space="preserve">která </w:t>
            </w:r>
            <w:r>
              <w:t xml:space="preserve">zároveň </w:t>
            </w:r>
            <w:r w:rsidR="00071E70">
              <w:t xml:space="preserve">profitovala </w:t>
            </w:r>
            <w:r>
              <w:lastRenderedPageBreak/>
              <w:t>z opakovaného navyšování minimální mzdy.</w:t>
            </w:r>
          </w:p>
          <w:p w14:paraId="3A4C2308" w14:textId="77777777" w:rsidR="00097078" w:rsidRDefault="00097078" w:rsidP="00044059">
            <w:pPr>
              <w:pStyle w:val="Marginlie"/>
            </w:pPr>
          </w:p>
          <w:p w14:paraId="15E8B4D6" w14:textId="77777777" w:rsidR="00097078" w:rsidRDefault="00097078" w:rsidP="00044059">
            <w:pPr>
              <w:pStyle w:val="Marginlie"/>
            </w:pPr>
          </w:p>
          <w:p w14:paraId="1B6E41CC" w14:textId="77777777" w:rsidR="00097078" w:rsidRDefault="00097078" w:rsidP="00044059">
            <w:pPr>
              <w:pStyle w:val="Marginlie"/>
            </w:pPr>
          </w:p>
          <w:p w14:paraId="6FDEF098" w14:textId="77777777" w:rsidR="00097078" w:rsidRDefault="00097078" w:rsidP="00044059">
            <w:pPr>
              <w:pStyle w:val="Marginlie"/>
            </w:pPr>
          </w:p>
          <w:p w14:paraId="56C0EDFB" w14:textId="5F8FD148" w:rsidR="00097078" w:rsidRDefault="00097078" w:rsidP="00044059">
            <w:pPr>
              <w:pStyle w:val="Marginlie"/>
            </w:pPr>
            <w:r>
              <w:t xml:space="preserve">Oděvnictví zůstává dlouhodobě odvětvím s nejnižší mzdovou úrovní </w:t>
            </w:r>
            <w:r w:rsidR="00307E77">
              <w:t>v </w:t>
            </w:r>
            <w:r>
              <w:t>průmyslu.</w:t>
            </w:r>
          </w:p>
          <w:p w14:paraId="42768C47" w14:textId="77777777" w:rsidR="00097078" w:rsidRDefault="00097078" w:rsidP="00044059">
            <w:pPr>
              <w:pStyle w:val="Marginlie"/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04E51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9610E" w14:textId="5E8E3B86" w:rsidR="00097078" w:rsidRPr="004A4EC6" w:rsidRDefault="00097078" w:rsidP="00585E02">
            <w:pPr>
              <w:spacing w:after="220"/>
              <w:rPr>
                <w:spacing w:val="-2"/>
                <w:szCs w:val="20"/>
              </w:rPr>
            </w:pPr>
            <w:r w:rsidRPr="004A4EC6">
              <w:rPr>
                <w:spacing w:val="-2"/>
                <w:szCs w:val="20"/>
              </w:rPr>
              <w:t xml:space="preserve">Růst průměrné mzdy zaměstnanců v těžbě </w:t>
            </w:r>
            <w:r w:rsidR="00307E77" w:rsidRPr="004A4EC6">
              <w:rPr>
                <w:spacing w:val="-2"/>
                <w:szCs w:val="20"/>
              </w:rPr>
              <w:t>a</w:t>
            </w:r>
            <w:r w:rsidR="00307E77">
              <w:rPr>
                <w:spacing w:val="-2"/>
                <w:szCs w:val="20"/>
              </w:rPr>
              <w:t> </w:t>
            </w:r>
            <w:r w:rsidRPr="004A4EC6">
              <w:rPr>
                <w:spacing w:val="-2"/>
                <w:szCs w:val="20"/>
              </w:rPr>
              <w:t xml:space="preserve">dobývání </w:t>
            </w:r>
            <w:r>
              <w:rPr>
                <w:spacing w:val="-2"/>
                <w:szCs w:val="20"/>
              </w:rPr>
              <w:t>dosáhl v roce 2019 minima také</w:t>
            </w:r>
            <w:r w:rsidR="00071E70">
              <w:rPr>
                <w:spacing w:val="-2"/>
                <w:szCs w:val="20"/>
              </w:rPr>
              <w:t xml:space="preserve"> </w:t>
            </w:r>
            <w:r w:rsidRPr="004A4EC6">
              <w:rPr>
                <w:spacing w:val="-2"/>
                <w:szCs w:val="20"/>
              </w:rPr>
              <w:t xml:space="preserve">v konkurenci více než dvou desítek sledovaných zpracovatelských odvětví. V rámci této skupiny si relativně nejméně polepšili pracovníci v hutnictví </w:t>
            </w:r>
            <w:r w:rsidR="00307E77" w:rsidRPr="004A4EC6">
              <w:rPr>
                <w:spacing w:val="-2"/>
                <w:szCs w:val="20"/>
              </w:rPr>
              <w:t>a</w:t>
            </w:r>
            <w:r w:rsidR="00307E77">
              <w:rPr>
                <w:spacing w:val="-2"/>
                <w:szCs w:val="20"/>
              </w:rPr>
              <w:t> </w:t>
            </w:r>
            <w:r w:rsidRPr="004A4EC6">
              <w:rPr>
                <w:spacing w:val="-2"/>
                <w:szCs w:val="20"/>
              </w:rPr>
              <w:t>slévárenství (+3,9</w:t>
            </w:r>
            <w:r w:rsidR="006E33D0">
              <w:rPr>
                <w:spacing w:val="-2"/>
                <w:szCs w:val="20"/>
              </w:rPr>
              <w:t> %</w:t>
            </w:r>
            <w:r w:rsidRPr="004A4EC6">
              <w:rPr>
                <w:spacing w:val="-2"/>
                <w:szCs w:val="20"/>
              </w:rPr>
              <w:t>), což korespondovalo s celkovým zhoršením hospodářských výsledků tohoto oboru. Na opačném konci spektra se nacházel kožedělný průmysl (+8,2</w:t>
            </w:r>
            <w:r w:rsidR="006E33D0">
              <w:rPr>
                <w:spacing w:val="-2"/>
                <w:szCs w:val="20"/>
              </w:rPr>
              <w:t> %</w:t>
            </w:r>
            <w:r w:rsidRPr="004A4EC6">
              <w:rPr>
                <w:spacing w:val="-2"/>
                <w:szCs w:val="20"/>
              </w:rPr>
              <w:t xml:space="preserve">), kde se </w:t>
            </w:r>
            <w:r w:rsidR="00585E02">
              <w:rPr>
                <w:spacing w:val="-2"/>
                <w:szCs w:val="20"/>
              </w:rPr>
              <w:t>na</w:t>
            </w:r>
            <w:r w:rsidR="00585E02" w:rsidRPr="004A4EC6">
              <w:rPr>
                <w:spacing w:val="-2"/>
                <w:szCs w:val="20"/>
              </w:rPr>
              <w:t xml:space="preserve"> </w:t>
            </w:r>
            <w:r w:rsidRPr="004A4EC6">
              <w:rPr>
                <w:spacing w:val="-2"/>
                <w:szCs w:val="20"/>
              </w:rPr>
              <w:t xml:space="preserve">vysokém tempu projevil vliv administrativního zvýšení minimální mzdy. Tento faktor je patrný zejména při srovnání v delší </w:t>
            </w:r>
            <w:r w:rsidR="00071E70">
              <w:rPr>
                <w:spacing w:val="-2"/>
                <w:szCs w:val="20"/>
              </w:rPr>
              <w:t xml:space="preserve">časové </w:t>
            </w:r>
            <w:r w:rsidRPr="004A4EC6">
              <w:rPr>
                <w:spacing w:val="-2"/>
                <w:szCs w:val="20"/>
              </w:rPr>
              <w:t xml:space="preserve">řadě, např. s rokem recese 2012, </w:t>
            </w:r>
            <w:r w:rsidR="00307E77" w:rsidRPr="004A4EC6">
              <w:rPr>
                <w:spacing w:val="-2"/>
                <w:szCs w:val="20"/>
              </w:rPr>
              <w:t>i</w:t>
            </w:r>
            <w:r w:rsidR="00307E77">
              <w:rPr>
                <w:spacing w:val="-2"/>
                <w:szCs w:val="20"/>
              </w:rPr>
              <w:t> </w:t>
            </w:r>
            <w:r w:rsidRPr="004A4EC6">
              <w:rPr>
                <w:spacing w:val="-2"/>
                <w:szCs w:val="20"/>
              </w:rPr>
              <w:t>v </w:t>
            </w:r>
            <w:r w:rsidR="00071E70">
              <w:rPr>
                <w:spacing w:val="-2"/>
                <w:szCs w:val="20"/>
              </w:rPr>
              <w:t>mnoha</w:t>
            </w:r>
            <w:r w:rsidR="00071E70" w:rsidRPr="004A4EC6">
              <w:rPr>
                <w:spacing w:val="-2"/>
                <w:szCs w:val="20"/>
              </w:rPr>
              <w:t xml:space="preserve"> </w:t>
            </w:r>
            <w:r w:rsidRPr="004A4EC6">
              <w:rPr>
                <w:spacing w:val="-2"/>
                <w:szCs w:val="20"/>
              </w:rPr>
              <w:t xml:space="preserve">dalších </w:t>
            </w:r>
            <w:r w:rsidR="00071E70" w:rsidRPr="004A4EC6">
              <w:rPr>
                <w:spacing w:val="-2"/>
                <w:szCs w:val="20"/>
              </w:rPr>
              <w:t>obor</w:t>
            </w:r>
            <w:r w:rsidR="00071E70">
              <w:rPr>
                <w:spacing w:val="-2"/>
                <w:szCs w:val="20"/>
              </w:rPr>
              <w:t>ech</w:t>
            </w:r>
            <w:r w:rsidR="00071E70" w:rsidRPr="004A4EC6">
              <w:rPr>
                <w:spacing w:val="-2"/>
                <w:szCs w:val="20"/>
              </w:rPr>
              <w:t xml:space="preserve"> </w:t>
            </w:r>
            <w:r w:rsidRPr="004A4EC6">
              <w:rPr>
                <w:spacing w:val="-2"/>
                <w:szCs w:val="20"/>
              </w:rPr>
              <w:t xml:space="preserve">s výrazně podprůměrnou mzdovou úrovní (oděvním, textilním, potravinářském, dřevozpracujícím či nábytkářském průmyslu). Mezi lety 2012 </w:t>
            </w:r>
            <w:r w:rsidR="00307E77" w:rsidRPr="004A4EC6">
              <w:rPr>
                <w:spacing w:val="-2"/>
                <w:szCs w:val="20"/>
              </w:rPr>
              <w:t>a</w:t>
            </w:r>
            <w:r w:rsidR="00307E77">
              <w:rPr>
                <w:spacing w:val="-2"/>
                <w:szCs w:val="20"/>
              </w:rPr>
              <w:t> </w:t>
            </w:r>
            <w:r w:rsidRPr="004A4EC6">
              <w:rPr>
                <w:spacing w:val="-2"/>
                <w:szCs w:val="20"/>
              </w:rPr>
              <w:t xml:space="preserve">2019 dosáhla </w:t>
            </w:r>
            <w:r w:rsidRPr="004A4EC6">
              <w:rPr>
                <w:spacing w:val="-2"/>
                <w:szCs w:val="20"/>
              </w:rPr>
              <w:lastRenderedPageBreak/>
              <w:t xml:space="preserve">nadprůměrných růstových temp </w:t>
            </w:r>
            <w:r w:rsidR="00307E77" w:rsidRPr="004A4EC6">
              <w:rPr>
                <w:spacing w:val="-2"/>
                <w:szCs w:val="20"/>
              </w:rPr>
              <w:t>i</w:t>
            </w:r>
            <w:r w:rsidR="00307E77">
              <w:rPr>
                <w:spacing w:val="-2"/>
                <w:szCs w:val="20"/>
              </w:rPr>
              <w:t> </w:t>
            </w:r>
            <w:r w:rsidRPr="004A4EC6">
              <w:rPr>
                <w:spacing w:val="-2"/>
                <w:szCs w:val="20"/>
              </w:rPr>
              <w:t>některá odvětví s vyšš</w:t>
            </w:r>
            <w:r>
              <w:rPr>
                <w:spacing w:val="-2"/>
                <w:szCs w:val="20"/>
              </w:rPr>
              <w:t>í mzdovou úrovní. Šlo typicky o</w:t>
            </w:r>
            <w:r w:rsidRPr="004A4EC6">
              <w:rPr>
                <w:spacing w:val="-2"/>
                <w:szCs w:val="20"/>
              </w:rPr>
              <w:t> výrobu motorových vozidel (</w:t>
            </w:r>
            <w:r w:rsidR="00307E77" w:rsidRPr="004A4EC6">
              <w:rPr>
                <w:spacing w:val="-2"/>
                <w:szCs w:val="20"/>
              </w:rPr>
              <w:t>s</w:t>
            </w:r>
            <w:r w:rsidR="00307E77">
              <w:rPr>
                <w:spacing w:val="-2"/>
                <w:szCs w:val="20"/>
              </w:rPr>
              <w:t> </w:t>
            </w:r>
            <w:r w:rsidRPr="004A4EC6">
              <w:rPr>
                <w:spacing w:val="-2"/>
                <w:szCs w:val="20"/>
              </w:rPr>
              <w:t>průměrným ročním mzdovým tempem za výše uvedené období +5,0</w:t>
            </w:r>
            <w:r w:rsidR="006E33D0">
              <w:rPr>
                <w:spacing w:val="-2"/>
                <w:szCs w:val="20"/>
              </w:rPr>
              <w:t> %</w:t>
            </w:r>
            <w:r w:rsidRPr="004A4EC6">
              <w:rPr>
                <w:spacing w:val="-2"/>
                <w:szCs w:val="20"/>
              </w:rPr>
              <w:t xml:space="preserve">) </w:t>
            </w:r>
            <w:r w:rsidR="00307E77" w:rsidRPr="004A4EC6">
              <w:rPr>
                <w:spacing w:val="-2"/>
                <w:szCs w:val="20"/>
              </w:rPr>
              <w:t>a</w:t>
            </w:r>
            <w:r w:rsidR="00307E77">
              <w:rPr>
                <w:spacing w:val="-2"/>
                <w:szCs w:val="20"/>
              </w:rPr>
              <w:t> </w:t>
            </w:r>
            <w:r w:rsidR="00307E77" w:rsidRPr="004A4EC6">
              <w:rPr>
                <w:spacing w:val="-2"/>
                <w:szCs w:val="20"/>
              </w:rPr>
              <w:t>s</w:t>
            </w:r>
            <w:r w:rsidR="00307E77">
              <w:rPr>
                <w:spacing w:val="-2"/>
                <w:szCs w:val="20"/>
              </w:rPr>
              <w:t> </w:t>
            </w:r>
            <w:r w:rsidRPr="004A4EC6">
              <w:rPr>
                <w:spacing w:val="-2"/>
                <w:szCs w:val="20"/>
              </w:rPr>
              <w:t>ní propojené obory</w:t>
            </w:r>
            <w:r w:rsidR="00071E70">
              <w:rPr>
                <w:spacing w:val="-2"/>
                <w:szCs w:val="20"/>
              </w:rPr>
              <w:t> </w:t>
            </w:r>
            <w:r w:rsidRPr="004A4EC6">
              <w:rPr>
                <w:spacing w:val="-2"/>
                <w:szCs w:val="20"/>
              </w:rPr>
              <w:t>– např. gumárenství a plastikářství (+5,0</w:t>
            </w:r>
            <w:r w:rsidR="006E33D0">
              <w:rPr>
                <w:spacing w:val="-2"/>
                <w:szCs w:val="20"/>
              </w:rPr>
              <w:t> %</w:t>
            </w:r>
            <w:r w:rsidRPr="004A4EC6">
              <w:rPr>
                <w:spacing w:val="-2"/>
                <w:szCs w:val="20"/>
              </w:rPr>
              <w:t>)</w:t>
            </w:r>
            <w:r>
              <w:rPr>
                <w:spacing w:val="-2"/>
                <w:szCs w:val="20"/>
              </w:rPr>
              <w:t xml:space="preserve"> či elektrotechnik</w:t>
            </w:r>
            <w:r w:rsidR="00071E70">
              <w:rPr>
                <w:spacing w:val="-2"/>
                <w:szCs w:val="20"/>
              </w:rPr>
              <w:t>u</w:t>
            </w:r>
            <w:r w:rsidRPr="004A4EC6">
              <w:rPr>
                <w:spacing w:val="-2"/>
                <w:szCs w:val="20"/>
              </w:rPr>
              <w:t>. Silnější růst než v celém průmyslu (+4,4</w:t>
            </w:r>
            <w:r w:rsidR="006E33D0">
              <w:rPr>
                <w:spacing w:val="-2"/>
                <w:szCs w:val="20"/>
              </w:rPr>
              <w:t> %</w:t>
            </w:r>
            <w:r w:rsidRPr="004A4EC6">
              <w:rPr>
                <w:spacing w:val="-2"/>
                <w:szCs w:val="20"/>
              </w:rPr>
              <w:t xml:space="preserve">) se objevil také ve výrobě počítačů, elektronických </w:t>
            </w:r>
            <w:r w:rsidR="00307E77" w:rsidRPr="004A4EC6">
              <w:rPr>
                <w:spacing w:val="-2"/>
                <w:szCs w:val="20"/>
              </w:rPr>
              <w:t>a</w:t>
            </w:r>
            <w:r w:rsidR="00307E77">
              <w:rPr>
                <w:spacing w:val="-2"/>
                <w:szCs w:val="20"/>
              </w:rPr>
              <w:t> </w:t>
            </w:r>
            <w:r w:rsidRPr="004A4EC6">
              <w:rPr>
                <w:spacing w:val="-2"/>
                <w:szCs w:val="20"/>
              </w:rPr>
              <w:t xml:space="preserve">optických přístrojů či ve výrobě ostatních dopravních prostředků. Naopak nejmenší dynamiku měly těžební průmysl (+1,9 %) </w:t>
            </w:r>
            <w:r w:rsidR="00307E77" w:rsidRPr="004A4EC6">
              <w:rPr>
                <w:spacing w:val="-2"/>
                <w:szCs w:val="20"/>
              </w:rPr>
              <w:t>a</w:t>
            </w:r>
            <w:r w:rsidR="00307E77">
              <w:rPr>
                <w:spacing w:val="-2"/>
                <w:szCs w:val="20"/>
              </w:rPr>
              <w:t> </w:t>
            </w:r>
            <w:r w:rsidRPr="004A4EC6">
              <w:rPr>
                <w:spacing w:val="-2"/>
                <w:szCs w:val="20"/>
              </w:rPr>
              <w:t>energetika (+2,2</w:t>
            </w:r>
            <w:r w:rsidR="006E33D0">
              <w:rPr>
                <w:spacing w:val="-2"/>
                <w:szCs w:val="20"/>
              </w:rPr>
              <w:t> %</w:t>
            </w:r>
            <w:r w:rsidRPr="004A4EC6">
              <w:rPr>
                <w:spacing w:val="-2"/>
                <w:szCs w:val="20"/>
              </w:rPr>
              <w:t xml:space="preserve">). Jde přitom </w:t>
            </w:r>
            <w:r w:rsidR="00307E77" w:rsidRPr="004A4EC6">
              <w:rPr>
                <w:spacing w:val="-2"/>
                <w:szCs w:val="20"/>
              </w:rPr>
              <w:t>o</w:t>
            </w:r>
            <w:r w:rsidR="00307E77">
              <w:rPr>
                <w:spacing w:val="-2"/>
                <w:szCs w:val="20"/>
              </w:rPr>
              <w:t> </w:t>
            </w:r>
            <w:r w:rsidRPr="004A4EC6">
              <w:rPr>
                <w:spacing w:val="-2"/>
                <w:szCs w:val="20"/>
              </w:rPr>
              <w:t xml:space="preserve">obory s odlišnými perspektivami, protisměrným vývojem zaměstnanosti </w:t>
            </w:r>
            <w:r w:rsidR="00307E77" w:rsidRPr="004A4EC6">
              <w:rPr>
                <w:spacing w:val="-2"/>
                <w:szCs w:val="20"/>
              </w:rPr>
              <w:t>a</w:t>
            </w:r>
            <w:r w:rsidR="00307E77">
              <w:rPr>
                <w:spacing w:val="-2"/>
                <w:szCs w:val="20"/>
              </w:rPr>
              <w:t> </w:t>
            </w:r>
            <w:r w:rsidRPr="004A4EC6">
              <w:rPr>
                <w:spacing w:val="-2"/>
                <w:szCs w:val="20"/>
              </w:rPr>
              <w:t xml:space="preserve">konečně </w:t>
            </w:r>
            <w:r w:rsidR="00307E77" w:rsidRPr="004A4EC6">
              <w:rPr>
                <w:spacing w:val="-2"/>
                <w:szCs w:val="20"/>
              </w:rPr>
              <w:t>i</w:t>
            </w:r>
            <w:r w:rsidR="00307E77">
              <w:rPr>
                <w:spacing w:val="-2"/>
                <w:szCs w:val="20"/>
              </w:rPr>
              <w:t> </w:t>
            </w:r>
            <w:r w:rsidR="00071E70">
              <w:rPr>
                <w:spacing w:val="-2"/>
                <w:szCs w:val="20"/>
              </w:rPr>
              <w:t>s </w:t>
            </w:r>
            <w:r w:rsidRPr="004A4EC6">
              <w:rPr>
                <w:spacing w:val="-2"/>
                <w:szCs w:val="20"/>
              </w:rPr>
              <w:t>dosti odlišnou vzdělanost</w:t>
            </w:r>
            <w:r>
              <w:rPr>
                <w:spacing w:val="-2"/>
                <w:szCs w:val="20"/>
              </w:rPr>
              <w:t>n</w:t>
            </w:r>
            <w:r w:rsidRPr="004A4EC6">
              <w:rPr>
                <w:spacing w:val="-2"/>
                <w:szCs w:val="20"/>
              </w:rPr>
              <w:t xml:space="preserve">í </w:t>
            </w:r>
            <w:r w:rsidR="00307E77" w:rsidRPr="004A4EC6">
              <w:rPr>
                <w:spacing w:val="-2"/>
                <w:szCs w:val="20"/>
              </w:rPr>
              <w:t>a</w:t>
            </w:r>
            <w:r w:rsidR="00307E77">
              <w:rPr>
                <w:spacing w:val="-2"/>
                <w:szCs w:val="20"/>
              </w:rPr>
              <w:t> </w:t>
            </w:r>
            <w:r w:rsidRPr="004A4EC6">
              <w:rPr>
                <w:spacing w:val="-2"/>
                <w:szCs w:val="20"/>
              </w:rPr>
              <w:t>kvalifikační skladb</w:t>
            </w:r>
            <w:r>
              <w:rPr>
                <w:spacing w:val="-2"/>
                <w:szCs w:val="20"/>
              </w:rPr>
              <w:t>ou pracovníků</w:t>
            </w:r>
            <w:r w:rsidRPr="004A4EC6">
              <w:rPr>
                <w:spacing w:val="-2"/>
                <w:szCs w:val="20"/>
              </w:rPr>
              <w:t xml:space="preserve">. Slabší relativní růst průměrných mezd v poslední dekádě byl zaměstnancům částečně kompenzován tradičně vyššími nemzdovými benefity, které jsou pro obě </w:t>
            </w:r>
            <w:r w:rsidR="00071E70" w:rsidRPr="004A4EC6">
              <w:rPr>
                <w:spacing w:val="-2"/>
                <w:szCs w:val="20"/>
              </w:rPr>
              <w:t>t</w:t>
            </w:r>
            <w:r w:rsidR="00071E70">
              <w:rPr>
                <w:spacing w:val="-2"/>
                <w:szCs w:val="20"/>
              </w:rPr>
              <w:t>a</w:t>
            </w:r>
            <w:r w:rsidR="00071E70" w:rsidRPr="004A4EC6">
              <w:rPr>
                <w:spacing w:val="-2"/>
                <w:szCs w:val="20"/>
              </w:rPr>
              <w:t xml:space="preserve">to </w:t>
            </w:r>
            <w:r w:rsidRPr="004A4EC6">
              <w:rPr>
                <w:spacing w:val="-2"/>
                <w:szCs w:val="20"/>
              </w:rPr>
              <w:t>odvětví typické</w:t>
            </w:r>
            <w:r w:rsidRPr="004A4EC6">
              <w:rPr>
                <w:rStyle w:val="Znakapoznpodarou"/>
                <w:spacing w:val="-2"/>
              </w:rPr>
              <w:footnoteReference w:id="10"/>
            </w:r>
            <w:r w:rsidRPr="004A4EC6">
              <w:rPr>
                <w:spacing w:val="-2"/>
                <w:szCs w:val="20"/>
              </w:rPr>
              <w:t xml:space="preserve">. </w:t>
            </w:r>
            <w:r w:rsidR="00307E77" w:rsidRPr="004A4EC6">
              <w:rPr>
                <w:spacing w:val="-2"/>
                <w:szCs w:val="20"/>
              </w:rPr>
              <w:t>I</w:t>
            </w:r>
            <w:r w:rsidR="00307E77">
              <w:rPr>
                <w:spacing w:val="-2"/>
                <w:szCs w:val="20"/>
              </w:rPr>
              <w:t> </w:t>
            </w:r>
            <w:r w:rsidRPr="004A4EC6">
              <w:rPr>
                <w:spacing w:val="-2"/>
                <w:szCs w:val="20"/>
              </w:rPr>
              <w:t>bez tohoto vlivu přesahoval</w:t>
            </w:r>
            <w:r>
              <w:rPr>
                <w:spacing w:val="-2"/>
                <w:szCs w:val="20"/>
              </w:rPr>
              <w:t>y</w:t>
            </w:r>
            <w:r w:rsidRPr="004A4EC6">
              <w:rPr>
                <w:spacing w:val="-2"/>
                <w:szCs w:val="20"/>
              </w:rPr>
              <w:t xml:space="preserve"> v roce 2019 průměrné mzdy v těžbě </w:t>
            </w:r>
            <w:r w:rsidR="00307E77" w:rsidRPr="004A4EC6">
              <w:rPr>
                <w:spacing w:val="-2"/>
                <w:szCs w:val="20"/>
              </w:rPr>
              <w:t>a</w:t>
            </w:r>
            <w:r w:rsidR="00307E77">
              <w:rPr>
                <w:spacing w:val="-2"/>
                <w:szCs w:val="20"/>
              </w:rPr>
              <w:t> </w:t>
            </w:r>
            <w:r w:rsidRPr="004A4EC6">
              <w:rPr>
                <w:spacing w:val="-2"/>
                <w:szCs w:val="20"/>
              </w:rPr>
              <w:t>dobý</w:t>
            </w:r>
            <w:r>
              <w:rPr>
                <w:spacing w:val="-2"/>
                <w:szCs w:val="20"/>
              </w:rPr>
              <w:t xml:space="preserve">vání úroveň celé ekonomiky </w:t>
            </w:r>
            <w:r w:rsidR="00307E77">
              <w:rPr>
                <w:spacing w:val="-2"/>
                <w:szCs w:val="20"/>
              </w:rPr>
              <w:t>o </w:t>
            </w:r>
            <w:r>
              <w:rPr>
                <w:spacing w:val="-2"/>
                <w:szCs w:val="20"/>
              </w:rPr>
              <w:t>10</w:t>
            </w:r>
            <w:r w:rsidRPr="004A4EC6">
              <w:rPr>
                <w:spacing w:val="-2"/>
                <w:szCs w:val="20"/>
              </w:rPr>
              <w:t xml:space="preserve"> %, v energetice dokonce </w:t>
            </w:r>
            <w:r w:rsidR="00307E77" w:rsidRPr="004A4EC6">
              <w:rPr>
                <w:spacing w:val="-2"/>
                <w:szCs w:val="20"/>
              </w:rPr>
              <w:t>o</w:t>
            </w:r>
            <w:r w:rsidR="00307E77">
              <w:rPr>
                <w:spacing w:val="-2"/>
                <w:szCs w:val="20"/>
              </w:rPr>
              <w:t> </w:t>
            </w:r>
            <w:r w:rsidRPr="004A4EC6">
              <w:rPr>
                <w:spacing w:val="-2"/>
                <w:szCs w:val="20"/>
              </w:rPr>
              <w:t>46</w:t>
            </w:r>
            <w:r w:rsidR="006E33D0">
              <w:rPr>
                <w:spacing w:val="-2"/>
                <w:szCs w:val="20"/>
              </w:rPr>
              <w:t> %</w:t>
            </w:r>
            <w:r w:rsidRPr="004A4EC6">
              <w:rPr>
                <w:spacing w:val="-2"/>
                <w:szCs w:val="20"/>
              </w:rPr>
              <w:t xml:space="preserve">. Poměr mezi průmyslovým odvětvím s nejvyšší mzdovou úrovní (energetikou, resp. do roku 2007 petrochemií) </w:t>
            </w:r>
            <w:r w:rsidR="00307E77" w:rsidRPr="004A4EC6">
              <w:rPr>
                <w:spacing w:val="-2"/>
                <w:szCs w:val="20"/>
              </w:rPr>
              <w:t>a</w:t>
            </w:r>
            <w:r w:rsidR="00307E77">
              <w:rPr>
                <w:spacing w:val="-2"/>
                <w:szCs w:val="20"/>
              </w:rPr>
              <w:t> </w:t>
            </w:r>
            <w:r w:rsidRPr="004A4EC6">
              <w:rPr>
                <w:spacing w:val="-2"/>
                <w:szCs w:val="20"/>
              </w:rPr>
              <w:t>nejnižší hladinou (oděvnictví</w:t>
            </w:r>
            <w:r w:rsidR="00071E70">
              <w:rPr>
                <w:spacing w:val="-2"/>
                <w:szCs w:val="20"/>
              </w:rPr>
              <w:t>m</w:t>
            </w:r>
            <w:r w:rsidRPr="004A4EC6">
              <w:rPr>
                <w:spacing w:val="-2"/>
                <w:szCs w:val="20"/>
              </w:rPr>
              <w:t xml:space="preserve">) mezi roky 2000 </w:t>
            </w:r>
            <w:r w:rsidR="00307E77" w:rsidRPr="004A4EC6">
              <w:rPr>
                <w:spacing w:val="-2"/>
                <w:szCs w:val="20"/>
              </w:rPr>
              <w:t>a</w:t>
            </w:r>
            <w:r w:rsidR="00307E77">
              <w:rPr>
                <w:spacing w:val="-2"/>
                <w:szCs w:val="20"/>
              </w:rPr>
              <w:t> </w:t>
            </w:r>
            <w:r w:rsidRPr="004A4EC6">
              <w:rPr>
                <w:spacing w:val="-2"/>
                <w:szCs w:val="20"/>
              </w:rPr>
              <w:t>2012 rostl (</w:t>
            </w:r>
            <w:r w:rsidR="00307E77" w:rsidRPr="004A4EC6">
              <w:rPr>
                <w:spacing w:val="-2"/>
                <w:szCs w:val="20"/>
              </w:rPr>
              <w:t>z</w:t>
            </w:r>
            <w:r w:rsidR="00307E77">
              <w:rPr>
                <w:spacing w:val="-2"/>
                <w:szCs w:val="20"/>
              </w:rPr>
              <w:t> </w:t>
            </w:r>
            <w:r w:rsidRPr="004A4EC6">
              <w:rPr>
                <w:spacing w:val="-2"/>
                <w:szCs w:val="20"/>
              </w:rPr>
              <w:t>2,38 na 3,38), následně plynule klesal (na 2,67 v roce 2019).</w:t>
            </w:r>
          </w:p>
        </w:tc>
      </w:tr>
      <w:tr w:rsidR="00097078" w:rsidRPr="000153F6" w14:paraId="340C11BE" w14:textId="77777777" w:rsidTr="00586874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83D25" w14:textId="77777777" w:rsidR="00097078" w:rsidRDefault="00097078" w:rsidP="00044059">
            <w:pPr>
              <w:pStyle w:val="Marginlie"/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EA13D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C711D" w14:textId="07D0C699" w:rsidR="00097078" w:rsidRPr="00234F4B" w:rsidRDefault="004C0391" w:rsidP="00044059">
            <w:pPr>
              <w:spacing w:after="0"/>
              <w:rPr>
                <w:spacing w:val="-2"/>
                <w:szCs w:val="20"/>
              </w:rPr>
            </w:pPr>
            <w:r>
              <w:rPr>
                <w:b/>
                <w:spacing w:val="-2"/>
                <w:szCs w:val="20"/>
              </w:rPr>
              <w:t>G</w:t>
            </w:r>
            <w:r w:rsidRPr="002665EC">
              <w:rPr>
                <w:b/>
                <w:spacing w:val="-2"/>
                <w:szCs w:val="20"/>
              </w:rPr>
              <w:t>raf</w:t>
            </w:r>
            <w:r w:rsidR="006E33D0" w:rsidRPr="002665EC">
              <w:rPr>
                <w:b/>
                <w:spacing w:val="-2"/>
                <w:szCs w:val="20"/>
              </w:rPr>
              <w:t xml:space="preserve"> č. </w:t>
            </w:r>
            <w:r w:rsidRPr="002665EC">
              <w:rPr>
                <w:b/>
                <w:spacing w:val="-2"/>
                <w:szCs w:val="20"/>
              </w:rPr>
              <w:t>12</w:t>
            </w:r>
            <w:r w:rsidR="00097078" w:rsidRPr="002665EC">
              <w:rPr>
                <w:b/>
                <w:spacing w:val="-2"/>
                <w:szCs w:val="20"/>
              </w:rPr>
              <w:t xml:space="preserve">  Průměrn</w:t>
            </w:r>
            <w:r w:rsidR="00097078" w:rsidRPr="00234F4B">
              <w:rPr>
                <w:b/>
                <w:spacing w:val="-2"/>
                <w:szCs w:val="20"/>
              </w:rPr>
              <w:t xml:space="preserve">á nominální hrubá měsíční mzda v dílčích průmyslových odvětvích </w:t>
            </w:r>
            <w:r w:rsidR="00307E77" w:rsidRPr="00234F4B">
              <w:rPr>
                <w:b/>
                <w:spacing w:val="-2"/>
                <w:szCs w:val="20"/>
              </w:rPr>
              <w:t>a</w:t>
            </w:r>
            <w:r w:rsidR="00307E77">
              <w:rPr>
                <w:b/>
                <w:spacing w:val="-2"/>
                <w:szCs w:val="20"/>
              </w:rPr>
              <w:t> </w:t>
            </w:r>
            <w:r w:rsidR="00097078" w:rsidRPr="00234F4B">
              <w:rPr>
                <w:b/>
                <w:spacing w:val="-2"/>
                <w:szCs w:val="20"/>
              </w:rPr>
              <w:t xml:space="preserve">v celé ekonomice ČR v letech 2005, 2012 </w:t>
            </w:r>
            <w:r w:rsidR="00307E77" w:rsidRPr="00234F4B">
              <w:rPr>
                <w:b/>
                <w:spacing w:val="-2"/>
                <w:szCs w:val="20"/>
              </w:rPr>
              <w:t>a</w:t>
            </w:r>
            <w:r w:rsidR="00307E77">
              <w:rPr>
                <w:b/>
                <w:spacing w:val="-2"/>
                <w:szCs w:val="20"/>
              </w:rPr>
              <w:t> </w:t>
            </w:r>
            <w:r w:rsidR="00097078" w:rsidRPr="00234F4B">
              <w:rPr>
                <w:b/>
                <w:spacing w:val="-2"/>
                <w:szCs w:val="20"/>
              </w:rPr>
              <w:t>2019</w:t>
            </w:r>
            <w:r w:rsidR="00097078" w:rsidRPr="00234F4B">
              <w:rPr>
                <w:spacing w:val="-2"/>
                <w:szCs w:val="20"/>
              </w:rPr>
              <w:t xml:space="preserve"> (v</w:t>
            </w:r>
            <w:r w:rsidR="006E33D0">
              <w:rPr>
                <w:spacing w:val="-2"/>
                <w:szCs w:val="20"/>
              </w:rPr>
              <w:t> tis.</w:t>
            </w:r>
            <w:r w:rsidR="00097078">
              <w:rPr>
                <w:spacing w:val="-2"/>
                <w:szCs w:val="20"/>
              </w:rPr>
              <w:t xml:space="preserve"> korun</w:t>
            </w:r>
            <w:r w:rsidR="00097078" w:rsidRPr="00234F4B">
              <w:rPr>
                <w:spacing w:val="-2"/>
                <w:szCs w:val="20"/>
              </w:rPr>
              <w:t>)</w:t>
            </w:r>
            <w:r w:rsidR="00097078" w:rsidRPr="008E6C3F">
              <w:rPr>
                <w:b/>
                <w:spacing w:val="-2"/>
                <w:szCs w:val="20"/>
              </w:rPr>
              <w:t xml:space="preserve"> </w:t>
            </w:r>
            <w:r w:rsidR="00307E77" w:rsidRPr="008E6C3F">
              <w:rPr>
                <w:b/>
                <w:spacing w:val="-2"/>
                <w:szCs w:val="20"/>
              </w:rPr>
              <w:t>a</w:t>
            </w:r>
            <w:r w:rsidR="00307E77">
              <w:rPr>
                <w:b/>
                <w:spacing w:val="-2"/>
                <w:szCs w:val="20"/>
              </w:rPr>
              <w:t> </w:t>
            </w:r>
            <w:r w:rsidR="00097078" w:rsidRPr="008E6C3F">
              <w:rPr>
                <w:b/>
                <w:spacing w:val="-2"/>
                <w:szCs w:val="20"/>
              </w:rPr>
              <w:t xml:space="preserve">celkový růst mzdy mezi roky 2012 </w:t>
            </w:r>
            <w:r w:rsidR="00307E77" w:rsidRPr="008E6C3F">
              <w:rPr>
                <w:b/>
                <w:spacing w:val="-2"/>
                <w:szCs w:val="20"/>
              </w:rPr>
              <w:t>a</w:t>
            </w:r>
            <w:r w:rsidR="00307E77">
              <w:rPr>
                <w:b/>
                <w:spacing w:val="-2"/>
                <w:szCs w:val="20"/>
              </w:rPr>
              <w:t> </w:t>
            </w:r>
            <w:r w:rsidR="00097078" w:rsidRPr="008E6C3F">
              <w:rPr>
                <w:b/>
                <w:spacing w:val="-2"/>
                <w:szCs w:val="20"/>
              </w:rPr>
              <w:t>2019</w:t>
            </w:r>
            <w:r w:rsidR="00097078">
              <w:rPr>
                <w:spacing w:val="-2"/>
                <w:szCs w:val="20"/>
              </w:rPr>
              <w:t xml:space="preserve"> (v</w:t>
            </w:r>
            <w:r w:rsidR="006E33D0">
              <w:rPr>
                <w:spacing w:val="-2"/>
                <w:szCs w:val="20"/>
              </w:rPr>
              <w:t> %</w:t>
            </w:r>
            <w:r w:rsidR="00097078">
              <w:rPr>
                <w:spacing w:val="-2"/>
                <w:szCs w:val="20"/>
              </w:rPr>
              <w:t>)</w:t>
            </w:r>
          </w:p>
        </w:tc>
      </w:tr>
      <w:tr w:rsidR="00097078" w:rsidRPr="000153F6" w14:paraId="6333545A" w14:textId="77777777" w:rsidTr="00586874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1864E" w14:textId="77777777" w:rsidR="00097078" w:rsidRDefault="00097078" w:rsidP="00044059">
            <w:pPr>
              <w:pStyle w:val="Marginlie"/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A47D7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2ACFD" w14:textId="70338A68" w:rsidR="00097078" w:rsidRPr="000153F6" w:rsidRDefault="00844BB1" w:rsidP="00044059">
            <w:pPr>
              <w:spacing w:after="0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451A541" wp14:editId="72297662">
                  <wp:extent cx="4670682" cy="3284524"/>
                  <wp:effectExtent l="0" t="0" r="0" b="0"/>
                  <wp:docPr id="43" name="Graf 4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097078" w:rsidRPr="000E201C" w14:paraId="30F8D907" w14:textId="77777777" w:rsidTr="00586874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7F6DB" w14:textId="77777777" w:rsidR="00097078" w:rsidRDefault="00097078" w:rsidP="00044059">
            <w:pPr>
              <w:pStyle w:val="Marginlie"/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61A8E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5A21C" w14:textId="36DCC82C" w:rsidR="00097078" w:rsidRPr="00F710D4" w:rsidRDefault="00097078" w:rsidP="00044059">
            <w:pPr>
              <w:spacing w:after="0"/>
              <w:rPr>
                <w:sz w:val="14"/>
                <w:szCs w:val="14"/>
              </w:rPr>
            </w:pPr>
            <w:r w:rsidRPr="00F710D4">
              <w:rPr>
                <w:sz w:val="14"/>
                <w:szCs w:val="14"/>
              </w:rPr>
              <w:t>Poznámka</w:t>
            </w:r>
            <w:r w:rsidR="00E157E1">
              <w:rPr>
                <w:sz w:val="14"/>
                <w:szCs w:val="14"/>
              </w:rPr>
              <w:t>:</w:t>
            </w:r>
            <w:r w:rsidR="00E157E1" w:rsidRPr="00F710D4">
              <w:rPr>
                <w:sz w:val="14"/>
                <w:szCs w:val="14"/>
              </w:rPr>
              <w:t xml:space="preserve"> </w:t>
            </w:r>
            <w:r w:rsidRPr="00F710D4">
              <w:rPr>
                <w:sz w:val="14"/>
                <w:szCs w:val="14"/>
              </w:rPr>
              <w:t xml:space="preserve">Mzda je vztažena </w:t>
            </w:r>
            <w:r w:rsidR="00307E77" w:rsidRPr="00F710D4">
              <w:rPr>
                <w:sz w:val="14"/>
                <w:szCs w:val="14"/>
              </w:rPr>
              <w:t>k</w:t>
            </w:r>
            <w:r w:rsidR="00307E77">
              <w:rPr>
                <w:sz w:val="14"/>
                <w:szCs w:val="14"/>
              </w:rPr>
              <w:t> </w:t>
            </w:r>
            <w:r w:rsidRPr="00F710D4">
              <w:rPr>
                <w:sz w:val="14"/>
                <w:szCs w:val="14"/>
              </w:rPr>
              <w:t xml:space="preserve">fyzickému počtu zaměstnanců. Za odvětví Opravy </w:t>
            </w:r>
            <w:r w:rsidR="00307E77" w:rsidRPr="00F710D4">
              <w:rPr>
                <w:sz w:val="14"/>
                <w:szCs w:val="14"/>
              </w:rPr>
              <w:t>a</w:t>
            </w:r>
            <w:r w:rsidR="00307E77">
              <w:rPr>
                <w:sz w:val="14"/>
                <w:szCs w:val="14"/>
              </w:rPr>
              <w:t> </w:t>
            </w:r>
            <w:r w:rsidRPr="00F710D4">
              <w:rPr>
                <w:sz w:val="14"/>
                <w:szCs w:val="14"/>
              </w:rPr>
              <w:t xml:space="preserve">instalace strojů </w:t>
            </w:r>
            <w:r w:rsidR="00307E77" w:rsidRPr="00F710D4">
              <w:rPr>
                <w:sz w:val="14"/>
                <w:szCs w:val="14"/>
              </w:rPr>
              <w:t>a</w:t>
            </w:r>
            <w:r w:rsidR="00307E77">
              <w:rPr>
                <w:sz w:val="14"/>
                <w:szCs w:val="14"/>
              </w:rPr>
              <w:t> </w:t>
            </w:r>
            <w:r w:rsidRPr="00F710D4">
              <w:rPr>
                <w:sz w:val="14"/>
                <w:szCs w:val="14"/>
              </w:rPr>
              <w:t xml:space="preserve">zařízení nebyly údaje za roky 2005 </w:t>
            </w:r>
            <w:r w:rsidR="00E157E1">
              <w:rPr>
                <w:sz w:val="14"/>
                <w:szCs w:val="14"/>
              </w:rPr>
              <w:t>a </w:t>
            </w:r>
            <w:r w:rsidRPr="00F710D4">
              <w:rPr>
                <w:sz w:val="14"/>
                <w:szCs w:val="14"/>
              </w:rPr>
              <w:t>2012 k dispozici.</w:t>
            </w:r>
          </w:p>
          <w:p w14:paraId="3298F4EC" w14:textId="77777777" w:rsidR="00097078" w:rsidRPr="000E201C" w:rsidRDefault="00097078" w:rsidP="00044059">
            <w:pPr>
              <w:spacing w:after="180"/>
              <w:rPr>
                <w:sz w:val="16"/>
                <w:szCs w:val="16"/>
              </w:rPr>
            </w:pPr>
            <w:r w:rsidRPr="00F710D4">
              <w:rPr>
                <w:sz w:val="14"/>
                <w:szCs w:val="14"/>
              </w:rPr>
              <w:t>Zdroj: ČSÚ (podniková statistika)</w:t>
            </w:r>
          </w:p>
        </w:tc>
      </w:tr>
      <w:tr w:rsidR="00097078" w14:paraId="6A9810EB" w14:textId="77777777" w:rsidTr="00586874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AAC78" w14:textId="60FF8A16" w:rsidR="00097078" w:rsidRDefault="00097078" w:rsidP="00044059">
            <w:pPr>
              <w:pStyle w:val="Marginlie"/>
            </w:pPr>
            <w:r>
              <w:t xml:space="preserve">Průměrné mzdy v průmyslu byly v roce 2018 v Praze </w:t>
            </w:r>
            <w:r w:rsidR="00307E77">
              <w:t>o </w:t>
            </w:r>
            <w:r>
              <w:t xml:space="preserve">více než třetinu vyšší než </w:t>
            </w:r>
            <w:r>
              <w:lastRenderedPageBreak/>
              <w:t>v Karlovarském či Olomouckém kraji.</w:t>
            </w:r>
          </w:p>
          <w:p w14:paraId="0FA76A03" w14:textId="77777777" w:rsidR="00097078" w:rsidRDefault="00097078" w:rsidP="00044059">
            <w:pPr>
              <w:pStyle w:val="Marginlie"/>
            </w:pPr>
          </w:p>
          <w:p w14:paraId="249AB694" w14:textId="77777777" w:rsidR="00097078" w:rsidRDefault="00097078" w:rsidP="00044059">
            <w:pPr>
              <w:pStyle w:val="Marginlie"/>
            </w:pPr>
          </w:p>
          <w:p w14:paraId="5E5B1C2A" w14:textId="77777777" w:rsidR="00097078" w:rsidRDefault="00097078" w:rsidP="00044059">
            <w:pPr>
              <w:pStyle w:val="Marginlie"/>
            </w:pPr>
          </w:p>
          <w:p w14:paraId="68544D46" w14:textId="77777777" w:rsidR="00097078" w:rsidRDefault="00097078" w:rsidP="00044059">
            <w:pPr>
              <w:pStyle w:val="Marginlie"/>
            </w:pPr>
          </w:p>
          <w:p w14:paraId="0525645A" w14:textId="32906E86" w:rsidR="00097078" w:rsidRDefault="00097078" w:rsidP="00044059">
            <w:pPr>
              <w:pStyle w:val="Marginlie"/>
            </w:pPr>
            <w:r>
              <w:t xml:space="preserve">Mzdy rostly proti roku 2005 v krajích s vyšším zastoupením výroby </w:t>
            </w:r>
            <w:r w:rsidR="00326633">
              <w:t xml:space="preserve">dopravních </w:t>
            </w:r>
            <w:r>
              <w:t>prostředků a návazných oborů.</w:t>
            </w:r>
          </w:p>
          <w:p w14:paraId="06879615" w14:textId="77777777" w:rsidR="00097078" w:rsidRDefault="00097078" w:rsidP="00044059">
            <w:pPr>
              <w:pStyle w:val="Marginlie"/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55EC0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0AB49" w14:textId="19889189" w:rsidR="00097078" w:rsidRPr="00EA35DE" w:rsidRDefault="00097078" w:rsidP="00044059">
            <w:pPr>
              <w:spacing w:after="220"/>
              <w:rPr>
                <w:spacing w:val="-3"/>
                <w:szCs w:val="20"/>
              </w:rPr>
            </w:pPr>
            <w:r w:rsidRPr="00EA35DE">
              <w:rPr>
                <w:spacing w:val="-3"/>
                <w:szCs w:val="20"/>
              </w:rPr>
              <w:t>Průmysl, podobně jako všechny ostatní odvětvové sekce ekonomiky</w:t>
            </w:r>
            <w:r w:rsidRPr="00EA35DE">
              <w:rPr>
                <w:rStyle w:val="Znakapoznpodarou"/>
                <w:spacing w:val="-3"/>
              </w:rPr>
              <w:footnoteReference w:id="11"/>
            </w:r>
            <w:r w:rsidRPr="00EA35DE">
              <w:rPr>
                <w:spacing w:val="-3"/>
                <w:szCs w:val="20"/>
              </w:rPr>
              <w:t xml:space="preserve">, vykazuje dlouhodobě nejvyšší průměrné mzdy </w:t>
            </w:r>
            <w:r w:rsidR="00307E77" w:rsidRPr="00EA35DE">
              <w:rPr>
                <w:spacing w:val="-3"/>
                <w:szCs w:val="20"/>
              </w:rPr>
              <w:t>u</w:t>
            </w:r>
            <w:r w:rsidR="00307E77">
              <w:rPr>
                <w:spacing w:val="-3"/>
                <w:szCs w:val="20"/>
              </w:rPr>
              <w:t> </w:t>
            </w:r>
            <w:r w:rsidRPr="00EA35DE">
              <w:rPr>
                <w:spacing w:val="-3"/>
                <w:szCs w:val="20"/>
              </w:rPr>
              <w:t>zaměstnanců s</w:t>
            </w:r>
            <w:r>
              <w:rPr>
                <w:spacing w:val="-3"/>
                <w:szCs w:val="20"/>
              </w:rPr>
              <w:t> </w:t>
            </w:r>
            <w:r w:rsidRPr="00EA35DE">
              <w:rPr>
                <w:spacing w:val="-3"/>
                <w:szCs w:val="20"/>
              </w:rPr>
              <w:t>pracovištěm</w:t>
            </w:r>
            <w:r>
              <w:rPr>
                <w:spacing w:val="-3"/>
                <w:szCs w:val="20"/>
              </w:rPr>
              <w:t xml:space="preserve"> v</w:t>
            </w:r>
            <w:r w:rsidRPr="00EA35DE">
              <w:rPr>
                <w:spacing w:val="-3"/>
                <w:szCs w:val="20"/>
              </w:rPr>
              <w:t> Praze. V roce 2018 to bylo měsíčně v hrubém 38,9</w:t>
            </w:r>
            <w:r w:rsidR="006E33D0">
              <w:rPr>
                <w:spacing w:val="-3"/>
                <w:szCs w:val="20"/>
              </w:rPr>
              <w:t> tis.</w:t>
            </w:r>
            <w:r w:rsidRPr="00EA35DE">
              <w:rPr>
                <w:spacing w:val="-3"/>
                <w:szCs w:val="20"/>
              </w:rPr>
              <w:t xml:space="preserve"> korun</w:t>
            </w:r>
            <w:r w:rsidRPr="00EA35DE">
              <w:rPr>
                <w:rStyle w:val="Znakapoznpodarou"/>
                <w:spacing w:val="-3"/>
              </w:rPr>
              <w:footnoteReference w:id="12"/>
            </w:r>
            <w:r w:rsidRPr="00EA35DE">
              <w:rPr>
                <w:spacing w:val="-3"/>
                <w:szCs w:val="20"/>
              </w:rPr>
              <w:t>, tedy 21,5</w:t>
            </w:r>
            <w:r w:rsidR="006E33D0">
              <w:rPr>
                <w:spacing w:val="-3"/>
                <w:szCs w:val="20"/>
              </w:rPr>
              <w:t> %</w:t>
            </w:r>
            <w:r w:rsidRPr="00EA35DE">
              <w:rPr>
                <w:spacing w:val="-3"/>
                <w:szCs w:val="20"/>
              </w:rPr>
              <w:t xml:space="preserve"> nad úrovní průmyslu v celé ČR. Na opačném konci spektra figurují dlouhodobě Karlovarský </w:t>
            </w:r>
            <w:r w:rsidR="00307E77" w:rsidRPr="00EA35DE">
              <w:rPr>
                <w:spacing w:val="-3"/>
                <w:szCs w:val="20"/>
              </w:rPr>
              <w:t>a</w:t>
            </w:r>
            <w:r w:rsidR="00307E77">
              <w:rPr>
                <w:spacing w:val="-3"/>
                <w:szCs w:val="20"/>
              </w:rPr>
              <w:t> </w:t>
            </w:r>
            <w:r w:rsidRPr="00EA35DE">
              <w:rPr>
                <w:spacing w:val="-3"/>
                <w:szCs w:val="20"/>
              </w:rPr>
              <w:t xml:space="preserve">Olomoucký kraj, v roce 2018 </w:t>
            </w:r>
            <w:r w:rsidRPr="00EA35DE">
              <w:rPr>
                <w:spacing w:val="-3"/>
                <w:szCs w:val="20"/>
              </w:rPr>
              <w:lastRenderedPageBreak/>
              <w:t xml:space="preserve">se zde mzdy v průmyslu nacházely </w:t>
            </w:r>
            <w:r w:rsidR="00307E77" w:rsidRPr="00EA35DE">
              <w:rPr>
                <w:spacing w:val="-3"/>
                <w:szCs w:val="20"/>
              </w:rPr>
              <w:t>o</w:t>
            </w:r>
            <w:r w:rsidR="00307E77">
              <w:rPr>
                <w:spacing w:val="-3"/>
                <w:szCs w:val="20"/>
              </w:rPr>
              <w:t> </w:t>
            </w:r>
            <w:r w:rsidRPr="00EA35DE">
              <w:rPr>
                <w:spacing w:val="-3"/>
                <w:szCs w:val="20"/>
              </w:rPr>
              <w:t>desetinu pod hladinou ČR. Mezi mimopražskými regiony stále více vyčníval Středočeský kraj (37,6</w:t>
            </w:r>
            <w:r w:rsidR="006E33D0">
              <w:rPr>
                <w:spacing w:val="-3"/>
                <w:szCs w:val="20"/>
              </w:rPr>
              <w:t> tis.</w:t>
            </w:r>
            <w:r w:rsidRPr="00EA35DE">
              <w:rPr>
                <w:spacing w:val="-3"/>
                <w:szCs w:val="20"/>
              </w:rPr>
              <w:t xml:space="preserve"> korun), průměrná mzda v průmyslu zde v roce 2018 př</w:t>
            </w:r>
            <w:r>
              <w:rPr>
                <w:spacing w:val="-3"/>
                <w:szCs w:val="20"/>
              </w:rPr>
              <w:t xml:space="preserve">evyšovala </w:t>
            </w:r>
            <w:r w:rsidR="00326633">
              <w:rPr>
                <w:spacing w:val="-3"/>
                <w:szCs w:val="20"/>
              </w:rPr>
              <w:t xml:space="preserve">celorepublikovou </w:t>
            </w:r>
            <w:r>
              <w:rPr>
                <w:spacing w:val="-3"/>
                <w:szCs w:val="20"/>
              </w:rPr>
              <w:t>hodnotu</w:t>
            </w:r>
            <w:r w:rsidRPr="00EA35DE">
              <w:rPr>
                <w:spacing w:val="-3"/>
                <w:szCs w:val="20"/>
              </w:rPr>
              <w:t xml:space="preserve"> v průmyslu </w:t>
            </w:r>
            <w:r w:rsidR="00307E77" w:rsidRPr="00EA35DE">
              <w:rPr>
                <w:spacing w:val="-3"/>
                <w:szCs w:val="20"/>
              </w:rPr>
              <w:t>o</w:t>
            </w:r>
            <w:r w:rsidR="00307E77">
              <w:rPr>
                <w:spacing w:val="-3"/>
                <w:szCs w:val="20"/>
              </w:rPr>
              <w:t> </w:t>
            </w:r>
            <w:r w:rsidRPr="00EA35DE">
              <w:rPr>
                <w:spacing w:val="-3"/>
                <w:szCs w:val="20"/>
              </w:rPr>
              <w:t>17</w:t>
            </w:r>
            <w:r>
              <w:rPr>
                <w:spacing w:val="-3"/>
                <w:szCs w:val="20"/>
              </w:rPr>
              <w:t>,4</w:t>
            </w:r>
            <w:r w:rsidR="006E33D0">
              <w:rPr>
                <w:spacing w:val="-3"/>
                <w:szCs w:val="20"/>
              </w:rPr>
              <w:t> %</w:t>
            </w:r>
            <w:r>
              <w:rPr>
                <w:spacing w:val="-3"/>
                <w:szCs w:val="20"/>
              </w:rPr>
              <w:t>, v roce 2005 „pouze“ o</w:t>
            </w:r>
            <w:r w:rsidRPr="00EA35DE">
              <w:rPr>
                <w:spacing w:val="-3"/>
                <w:szCs w:val="20"/>
              </w:rPr>
              <w:t> </w:t>
            </w:r>
            <w:r>
              <w:rPr>
                <w:spacing w:val="-3"/>
                <w:szCs w:val="20"/>
              </w:rPr>
              <w:t>8,9</w:t>
            </w:r>
            <w:r w:rsidRPr="00EA35DE">
              <w:rPr>
                <w:spacing w:val="-3"/>
                <w:szCs w:val="20"/>
              </w:rPr>
              <w:t xml:space="preserve"> %. Mzdová hladina </w:t>
            </w:r>
            <w:r>
              <w:rPr>
                <w:spacing w:val="-3"/>
                <w:szCs w:val="20"/>
              </w:rPr>
              <w:t xml:space="preserve">v průmyslu </w:t>
            </w:r>
            <w:r w:rsidRPr="00EA35DE">
              <w:rPr>
                <w:spacing w:val="-3"/>
                <w:szCs w:val="20"/>
              </w:rPr>
              <w:t>se v posledních třinácti letech nadprůměrně zvyšoval</w:t>
            </w:r>
            <w:r>
              <w:rPr>
                <w:spacing w:val="-3"/>
                <w:szCs w:val="20"/>
              </w:rPr>
              <w:t>a rovněž</w:t>
            </w:r>
            <w:r w:rsidRPr="00EA35DE">
              <w:rPr>
                <w:spacing w:val="-3"/>
                <w:szCs w:val="20"/>
              </w:rPr>
              <w:t xml:space="preserve"> </w:t>
            </w:r>
            <w:r>
              <w:rPr>
                <w:spacing w:val="-3"/>
                <w:szCs w:val="20"/>
              </w:rPr>
              <w:t>v</w:t>
            </w:r>
            <w:r w:rsidRPr="00EA35DE">
              <w:rPr>
                <w:spacing w:val="-3"/>
                <w:szCs w:val="20"/>
              </w:rPr>
              <w:t xml:space="preserve"> Plzeňském, Libereckém </w:t>
            </w:r>
            <w:r w:rsidR="00307E77" w:rsidRPr="00EA35DE">
              <w:rPr>
                <w:spacing w:val="-3"/>
                <w:szCs w:val="20"/>
              </w:rPr>
              <w:t>a</w:t>
            </w:r>
            <w:r w:rsidR="00307E77">
              <w:rPr>
                <w:spacing w:val="-3"/>
                <w:szCs w:val="20"/>
              </w:rPr>
              <w:t> </w:t>
            </w:r>
            <w:r w:rsidRPr="00EA35DE">
              <w:rPr>
                <w:spacing w:val="-3"/>
                <w:szCs w:val="20"/>
              </w:rPr>
              <w:t xml:space="preserve">Královéhradeckém kraji či </w:t>
            </w:r>
            <w:r w:rsidR="00326633">
              <w:rPr>
                <w:spacing w:val="-3"/>
                <w:szCs w:val="20"/>
              </w:rPr>
              <w:t>v Kraji Vysočina</w:t>
            </w:r>
            <w:r w:rsidRPr="00EA35DE">
              <w:rPr>
                <w:spacing w:val="-3"/>
                <w:szCs w:val="20"/>
              </w:rPr>
              <w:t xml:space="preserve">. Ve všech případech byla stimulována rozvojem výroby dopravních prostředků (včetně subdodavatelských oborů). Na </w:t>
            </w:r>
            <w:r w:rsidR="00326633" w:rsidRPr="00EA35DE">
              <w:rPr>
                <w:spacing w:val="-3"/>
                <w:szCs w:val="20"/>
              </w:rPr>
              <w:t>druh</w:t>
            </w:r>
            <w:r w:rsidR="00326633">
              <w:rPr>
                <w:spacing w:val="-3"/>
                <w:szCs w:val="20"/>
              </w:rPr>
              <w:t>é</w:t>
            </w:r>
            <w:r w:rsidR="00326633" w:rsidRPr="00EA35DE">
              <w:rPr>
                <w:spacing w:val="-3"/>
                <w:szCs w:val="20"/>
              </w:rPr>
              <w:t xml:space="preserve"> stran</w:t>
            </w:r>
            <w:r w:rsidR="00326633">
              <w:rPr>
                <w:spacing w:val="-3"/>
                <w:szCs w:val="20"/>
              </w:rPr>
              <w:t>ě</w:t>
            </w:r>
            <w:r w:rsidR="00326633" w:rsidRPr="00EA35DE">
              <w:rPr>
                <w:spacing w:val="-3"/>
                <w:szCs w:val="20"/>
              </w:rPr>
              <w:t xml:space="preserve"> </w:t>
            </w:r>
            <w:r w:rsidRPr="00EA35DE">
              <w:rPr>
                <w:spacing w:val="-3"/>
                <w:szCs w:val="20"/>
              </w:rPr>
              <w:t>relativní mzdová pozice průmyslových pracovníků se zhoršovala v Praze, Jihočeském a zejména Moravskoslezském kraji (</w:t>
            </w:r>
            <w:r w:rsidR="00307E77" w:rsidRPr="00EA35DE">
              <w:rPr>
                <w:spacing w:val="-3"/>
                <w:szCs w:val="20"/>
              </w:rPr>
              <w:t>v</w:t>
            </w:r>
            <w:r w:rsidR="00307E77">
              <w:rPr>
                <w:spacing w:val="-3"/>
                <w:szCs w:val="20"/>
              </w:rPr>
              <w:t> </w:t>
            </w:r>
            <w:r w:rsidRPr="00EA35DE">
              <w:rPr>
                <w:spacing w:val="-3"/>
                <w:szCs w:val="20"/>
              </w:rPr>
              <w:t xml:space="preserve">roce 2005 zde mzdy převyšovaly celorepublikovou úroveň průmyslu </w:t>
            </w:r>
            <w:r w:rsidR="00307E77" w:rsidRPr="00EA35DE">
              <w:rPr>
                <w:spacing w:val="-3"/>
                <w:szCs w:val="20"/>
              </w:rPr>
              <w:t>o</w:t>
            </w:r>
            <w:r w:rsidR="00307E77">
              <w:rPr>
                <w:spacing w:val="-3"/>
                <w:szCs w:val="20"/>
              </w:rPr>
              <w:t> </w:t>
            </w:r>
            <w:r w:rsidRPr="00EA35DE">
              <w:rPr>
                <w:spacing w:val="-3"/>
                <w:szCs w:val="20"/>
              </w:rPr>
              <w:t>6,5</w:t>
            </w:r>
            <w:r w:rsidR="006E33D0">
              <w:rPr>
                <w:spacing w:val="-3"/>
                <w:szCs w:val="20"/>
              </w:rPr>
              <w:t> %</w:t>
            </w:r>
            <w:r w:rsidRPr="00EA35DE">
              <w:rPr>
                <w:spacing w:val="-3"/>
                <w:szCs w:val="20"/>
              </w:rPr>
              <w:t>, v</w:t>
            </w:r>
            <w:r w:rsidR="00326633">
              <w:rPr>
                <w:spacing w:val="-3"/>
                <w:szCs w:val="20"/>
              </w:rPr>
              <w:t xml:space="preserve"> roce </w:t>
            </w:r>
            <w:r w:rsidRPr="00EA35DE">
              <w:rPr>
                <w:spacing w:val="-3"/>
                <w:szCs w:val="20"/>
              </w:rPr>
              <w:t>2018 se již nacházely 2,5</w:t>
            </w:r>
            <w:r w:rsidR="006E33D0">
              <w:rPr>
                <w:spacing w:val="-3"/>
                <w:szCs w:val="20"/>
              </w:rPr>
              <w:t> %</w:t>
            </w:r>
            <w:r w:rsidRPr="00EA35DE">
              <w:rPr>
                <w:spacing w:val="-3"/>
                <w:szCs w:val="20"/>
              </w:rPr>
              <w:t xml:space="preserve"> pod ní). Došlo k tomu primárně vlivem slabší mzdové dynamiky ve zpracovatelském průmyslu, projevil se </w:t>
            </w:r>
            <w:r w:rsidR="00326633">
              <w:rPr>
                <w:spacing w:val="-3"/>
                <w:szCs w:val="20"/>
              </w:rPr>
              <w:t>i </w:t>
            </w:r>
            <w:r w:rsidRPr="00EA35DE">
              <w:rPr>
                <w:spacing w:val="-3"/>
                <w:szCs w:val="20"/>
              </w:rPr>
              <w:t xml:space="preserve">vliv citelného poklesu zaměstnanosti v těžbě </w:t>
            </w:r>
            <w:r w:rsidR="00307E77" w:rsidRPr="00EA35DE">
              <w:rPr>
                <w:spacing w:val="-3"/>
                <w:szCs w:val="20"/>
              </w:rPr>
              <w:t>a</w:t>
            </w:r>
            <w:r w:rsidR="00307E77">
              <w:rPr>
                <w:spacing w:val="-3"/>
                <w:szCs w:val="20"/>
              </w:rPr>
              <w:t> </w:t>
            </w:r>
            <w:r w:rsidRPr="00EA35DE">
              <w:rPr>
                <w:spacing w:val="-3"/>
                <w:szCs w:val="20"/>
              </w:rPr>
              <w:t>dobývání</w:t>
            </w:r>
            <w:r w:rsidRPr="00EA35DE">
              <w:rPr>
                <w:rStyle w:val="Znakapoznpodarou"/>
                <w:spacing w:val="-3"/>
              </w:rPr>
              <w:footnoteReference w:id="13"/>
            </w:r>
            <w:r w:rsidRPr="00EA35DE">
              <w:rPr>
                <w:spacing w:val="-3"/>
                <w:szCs w:val="20"/>
              </w:rPr>
              <w:t xml:space="preserve"> (odvětví s </w:t>
            </w:r>
            <w:r w:rsidR="00326633" w:rsidRPr="00EA35DE">
              <w:rPr>
                <w:spacing w:val="-3"/>
                <w:szCs w:val="20"/>
              </w:rPr>
              <w:t>tradičn</w:t>
            </w:r>
            <w:r w:rsidR="00326633">
              <w:rPr>
                <w:spacing w:val="-3"/>
                <w:szCs w:val="20"/>
              </w:rPr>
              <w:t>ě</w:t>
            </w:r>
            <w:r w:rsidR="00326633" w:rsidRPr="00EA35DE">
              <w:rPr>
                <w:spacing w:val="-3"/>
                <w:szCs w:val="20"/>
              </w:rPr>
              <w:t xml:space="preserve"> </w:t>
            </w:r>
            <w:r w:rsidRPr="00EA35DE">
              <w:rPr>
                <w:spacing w:val="-3"/>
                <w:szCs w:val="20"/>
              </w:rPr>
              <w:t>nadprůměrnými výdělky). Relativní zhoršení pozice Prahy souvisí se specifickou odvětvovou skladb</w:t>
            </w:r>
            <w:r w:rsidR="00F25EFA">
              <w:rPr>
                <w:spacing w:val="-3"/>
                <w:szCs w:val="20"/>
              </w:rPr>
              <w:t>o</w:t>
            </w:r>
            <w:r w:rsidRPr="00EA35DE">
              <w:rPr>
                <w:spacing w:val="-3"/>
                <w:szCs w:val="20"/>
              </w:rPr>
              <w:t>u zdejšího průmyslu (vyšší váha oborů s nadprůměrnou úrovní mezd, ale slabší dynamikou v poslední dekádě</w:t>
            </w:r>
            <w:r w:rsidR="00326633">
              <w:rPr>
                <w:spacing w:val="-3"/>
                <w:szCs w:val="20"/>
              </w:rPr>
              <w:t> </w:t>
            </w:r>
            <w:r w:rsidRPr="00EA35DE">
              <w:rPr>
                <w:spacing w:val="-3"/>
                <w:szCs w:val="20"/>
              </w:rPr>
              <w:t xml:space="preserve">– energetika, farmacie, oprava </w:t>
            </w:r>
            <w:r w:rsidR="00307E77" w:rsidRPr="00EA35DE">
              <w:rPr>
                <w:spacing w:val="-3"/>
                <w:szCs w:val="20"/>
              </w:rPr>
              <w:t>a</w:t>
            </w:r>
            <w:r w:rsidR="00307E77">
              <w:rPr>
                <w:spacing w:val="-3"/>
                <w:szCs w:val="20"/>
              </w:rPr>
              <w:t> </w:t>
            </w:r>
            <w:r w:rsidRPr="00EA35DE">
              <w:rPr>
                <w:spacing w:val="-3"/>
                <w:szCs w:val="20"/>
              </w:rPr>
              <w:t xml:space="preserve">instalace strojů </w:t>
            </w:r>
            <w:r w:rsidR="00307E77" w:rsidRPr="00EA35DE">
              <w:rPr>
                <w:spacing w:val="-3"/>
                <w:szCs w:val="20"/>
              </w:rPr>
              <w:t>a</w:t>
            </w:r>
            <w:r w:rsidR="00307E77">
              <w:rPr>
                <w:spacing w:val="-3"/>
                <w:szCs w:val="20"/>
              </w:rPr>
              <w:t> </w:t>
            </w:r>
            <w:r w:rsidRPr="00EA35DE">
              <w:rPr>
                <w:spacing w:val="-3"/>
                <w:szCs w:val="20"/>
              </w:rPr>
              <w:t>zařízení).</w:t>
            </w:r>
          </w:p>
        </w:tc>
      </w:tr>
      <w:tr w:rsidR="00097078" w14:paraId="6DC659D6" w14:textId="77777777" w:rsidTr="00586874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DFBE2" w14:textId="77777777" w:rsidR="00097078" w:rsidRDefault="00097078" w:rsidP="00044059">
            <w:pPr>
              <w:pStyle w:val="Marginlie"/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4F841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47F58" w14:textId="53EBAE80" w:rsidR="00097078" w:rsidRPr="00A75A69" w:rsidRDefault="004C0391" w:rsidP="00044059">
            <w:pPr>
              <w:spacing w:after="0"/>
              <w:rPr>
                <w:spacing w:val="-4"/>
                <w:szCs w:val="20"/>
              </w:rPr>
            </w:pPr>
            <w:r>
              <w:rPr>
                <w:b/>
                <w:spacing w:val="-4"/>
                <w:szCs w:val="20"/>
              </w:rPr>
              <w:t>Graf</w:t>
            </w:r>
            <w:r w:rsidR="006E33D0">
              <w:rPr>
                <w:b/>
                <w:spacing w:val="-4"/>
                <w:szCs w:val="20"/>
              </w:rPr>
              <w:t xml:space="preserve"> č. </w:t>
            </w:r>
            <w:r>
              <w:rPr>
                <w:b/>
                <w:spacing w:val="-4"/>
                <w:szCs w:val="20"/>
              </w:rPr>
              <w:t>13</w:t>
            </w:r>
            <w:r w:rsidR="00097078" w:rsidRPr="00A75A69">
              <w:rPr>
                <w:b/>
                <w:spacing w:val="-4"/>
                <w:szCs w:val="20"/>
              </w:rPr>
              <w:t xml:space="preserve">  Průměrná nominální hrubá měsíční mzda v krajích ČR v roce 2018</w:t>
            </w:r>
            <w:r w:rsidR="00097078" w:rsidRPr="00A75A69">
              <w:rPr>
                <w:spacing w:val="-4"/>
                <w:szCs w:val="20"/>
              </w:rPr>
              <w:t xml:space="preserve"> (</w:t>
            </w:r>
            <w:r w:rsidR="00307E77" w:rsidRPr="00A75A69">
              <w:rPr>
                <w:spacing w:val="-4"/>
                <w:szCs w:val="20"/>
              </w:rPr>
              <w:t>v</w:t>
            </w:r>
            <w:r w:rsidR="00307E77">
              <w:rPr>
                <w:spacing w:val="-4"/>
                <w:szCs w:val="20"/>
              </w:rPr>
              <w:t> </w:t>
            </w:r>
            <w:r w:rsidR="00844BB1">
              <w:rPr>
                <w:spacing w:val="-4"/>
                <w:szCs w:val="20"/>
              </w:rPr>
              <w:t>tis. korun</w:t>
            </w:r>
            <w:r w:rsidR="00097078" w:rsidRPr="00A75A69">
              <w:rPr>
                <w:spacing w:val="-4"/>
                <w:szCs w:val="20"/>
              </w:rPr>
              <w:t xml:space="preserve">) </w:t>
            </w:r>
            <w:r w:rsidR="00307E77" w:rsidRPr="00A75A69">
              <w:rPr>
                <w:b/>
                <w:spacing w:val="-4"/>
                <w:szCs w:val="20"/>
              </w:rPr>
              <w:t>a</w:t>
            </w:r>
            <w:r w:rsidR="00307E77">
              <w:rPr>
                <w:b/>
                <w:spacing w:val="-4"/>
                <w:szCs w:val="20"/>
              </w:rPr>
              <w:t> </w:t>
            </w:r>
            <w:r w:rsidR="00097078" w:rsidRPr="00A75A69">
              <w:rPr>
                <w:b/>
                <w:spacing w:val="-4"/>
                <w:szCs w:val="20"/>
              </w:rPr>
              <w:t xml:space="preserve">poměr mzdy </w:t>
            </w:r>
            <w:r w:rsidR="00307E77" w:rsidRPr="00A75A69">
              <w:rPr>
                <w:b/>
                <w:spacing w:val="-4"/>
                <w:szCs w:val="20"/>
              </w:rPr>
              <w:t>v</w:t>
            </w:r>
            <w:r w:rsidR="00307E77">
              <w:rPr>
                <w:b/>
                <w:spacing w:val="-4"/>
                <w:szCs w:val="20"/>
              </w:rPr>
              <w:t> </w:t>
            </w:r>
            <w:r w:rsidR="00097078" w:rsidRPr="00A75A69">
              <w:rPr>
                <w:b/>
                <w:spacing w:val="-4"/>
                <w:szCs w:val="20"/>
              </w:rPr>
              <w:t xml:space="preserve">průmyslu v kraji k úrovni </w:t>
            </w:r>
            <w:r w:rsidR="00097078">
              <w:rPr>
                <w:b/>
                <w:spacing w:val="-4"/>
                <w:szCs w:val="20"/>
              </w:rPr>
              <w:t xml:space="preserve">za průmysl </w:t>
            </w:r>
            <w:r w:rsidR="00097078" w:rsidRPr="00A75A69">
              <w:rPr>
                <w:b/>
                <w:spacing w:val="-4"/>
                <w:szCs w:val="20"/>
              </w:rPr>
              <w:t xml:space="preserve">ČR </w:t>
            </w:r>
            <w:r w:rsidR="00097078" w:rsidRPr="00A75A69">
              <w:rPr>
                <w:spacing w:val="-4"/>
                <w:szCs w:val="20"/>
              </w:rPr>
              <w:t>(ČR</w:t>
            </w:r>
            <w:r w:rsidR="00444E83">
              <w:rPr>
                <w:spacing w:val="-4"/>
                <w:szCs w:val="20"/>
              </w:rPr>
              <w:t> </w:t>
            </w:r>
            <w:r w:rsidR="00097078" w:rsidRPr="00A75A69">
              <w:rPr>
                <w:spacing w:val="-4"/>
                <w:szCs w:val="20"/>
              </w:rPr>
              <w:t>=</w:t>
            </w:r>
            <w:r w:rsidR="00444E83">
              <w:rPr>
                <w:spacing w:val="-4"/>
                <w:szCs w:val="20"/>
              </w:rPr>
              <w:t> </w:t>
            </w:r>
            <w:r w:rsidR="00097078" w:rsidRPr="00A75A69">
              <w:rPr>
                <w:spacing w:val="-4"/>
                <w:szCs w:val="20"/>
              </w:rPr>
              <w:t xml:space="preserve">100, srovnání let 2005, 2012 </w:t>
            </w:r>
            <w:r w:rsidR="00307E77" w:rsidRPr="00A75A69">
              <w:rPr>
                <w:spacing w:val="-4"/>
                <w:szCs w:val="20"/>
              </w:rPr>
              <w:t>a</w:t>
            </w:r>
            <w:r w:rsidR="00307E77">
              <w:rPr>
                <w:spacing w:val="-4"/>
                <w:szCs w:val="20"/>
              </w:rPr>
              <w:t> </w:t>
            </w:r>
            <w:r w:rsidR="00097078" w:rsidRPr="00A75A69">
              <w:rPr>
                <w:spacing w:val="-4"/>
                <w:szCs w:val="20"/>
              </w:rPr>
              <w:t>2018)</w:t>
            </w:r>
          </w:p>
        </w:tc>
      </w:tr>
      <w:tr w:rsidR="00097078" w14:paraId="62691338" w14:textId="77777777" w:rsidTr="00586874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16525" w14:textId="77777777" w:rsidR="00097078" w:rsidRDefault="00097078" w:rsidP="00044059">
            <w:pPr>
              <w:pStyle w:val="Marginlie"/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226C4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5FD74" w14:textId="19FA442E" w:rsidR="00097078" w:rsidRDefault="00844BB1" w:rsidP="00044059">
            <w:pPr>
              <w:spacing w:after="0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11659AD" wp14:editId="2731EDC5">
                  <wp:extent cx="4792266" cy="3472714"/>
                  <wp:effectExtent l="0" t="0" r="8890" b="0"/>
                  <wp:docPr id="44" name="Graf 4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097078" w14:paraId="06C9948E" w14:textId="77777777" w:rsidTr="00586874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34181" w14:textId="77777777" w:rsidR="00097078" w:rsidRDefault="00097078" w:rsidP="00044059">
            <w:pPr>
              <w:pStyle w:val="Marginlie"/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4DCDD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2F638" w14:textId="77777777" w:rsidR="00307E77" w:rsidRDefault="00097078" w:rsidP="00044059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Poznámka:</w:t>
            </w:r>
            <w:r w:rsidRPr="00F710D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Mzdová úroveň </w:t>
            </w:r>
            <w:r w:rsidR="00307E77">
              <w:rPr>
                <w:sz w:val="14"/>
                <w:szCs w:val="14"/>
              </w:rPr>
              <w:t>v </w:t>
            </w:r>
            <w:r>
              <w:rPr>
                <w:sz w:val="14"/>
                <w:szCs w:val="14"/>
              </w:rPr>
              <w:t xml:space="preserve">roce 2018 </w:t>
            </w:r>
            <w:r w:rsidRPr="00F710D4">
              <w:rPr>
                <w:sz w:val="14"/>
                <w:szCs w:val="14"/>
              </w:rPr>
              <w:t xml:space="preserve">je vztažena </w:t>
            </w:r>
            <w:r w:rsidR="00307E77" w:rsidRPr="00F710D4">
              <w:rPr>
                <w:sz w:val="14"/>
                <w:szCs w:val="14"/>
              </w:rPr>
              <w:t>k</w:t>
            </w:r>
            <w:r w:rsidR="00307E77">
              <w:rPr>
                <w:sz w:val="14"/>
                <w:szCs w:val="14"/>
              </w:rPr>
              <w:t> </w:t>
            </w:r>
            <w:r w:rsidRPr="00F710D4">
              <w:rPr>
                <w:sz w:val="14"/>
                <w:szCs w:val="14"/>
              </w:rPr>
              <w:t>přepočtenému počtu zaměstnanců (na plné úvazky).</w:t>
            </w:r>
          </w:p>
          <w:p w14:paraId="48051A2A" w14:textId="4D424371" w:rsidR="00097078" w:rsidRPr="00F710D4" w:rsidRDefault="00097078" w:rsidP="00044059">
            <w:pPr>
              <w:spacing w:after="220"/>
              <w:rPr>
                <w:sz w:val="14"/>
                <w:szCs w:val="14"/>
              </w:rPr>
            </w:pPr>
            <w:r w:rsidRPr="00F710D4">
              <w:rPr>
                <w:sz w:val="14"/>
                <w:szCs w:val="14"/>
              </w:rPr>
              <w:t>Zdroj: ČSÚ (podniková statistika)</w:t>
            </w:r>
            <w:r w:rsidR="007E36EA">
              <w:rPr>
                <w:sz w:val="14"/>
                <w:szCs w:val="14"/>
              </w:rPr>
              <w:t>.</w:t>
            </w:r>
          </w:p>
        </w:tc>
      </w:tr>
      <w:tr w:rsidR="00097078" w14:paraId="2BD4D9CE" w14:textId="77777777" w:rsidTr="00586874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4B026" w14:textId="77777777" w:rsidR="00097078" w:rsidRDefault="00097078" w:rsidP="00044059">
            <w:pPr>
              <w:pStyle w:val="Marginlie"/>
            </w:pPr>
            <w:r>
              <w:t>Relativně nejvíce převyšovala mzda v průmyslu výdělky ve všech odvětvích ve Středočeském kraji.</w:t>
            </w:r>
          </w:p>
          <w:p w14:paraId="11F69439" w14:textId="77777777" w:rsidR="00097078" w:rsidRDefault="00097078" w:rsidP="00044059">
            <w:pPr>
              <w:pStyle w:val="Marginlie"/>
            </w:pPr>
          </w:p>
          <w:p w14:paraId="3BA11045" w14:textId="77777777" w:rsidR="00097078" w:rsidRDefault="00097078" w:rsidP="00044059">
            <w:pPr>
              <w:pStyle w:val="Marginlie"/>
            </w:pPr>
          </w:p>
          <w:p w14:paraId="2CF9FE6F" w14:textId="77777777" w:rsidR="00097078" w:rsidRDefault="00097078" w:rsidP="00044059">
            <w:pPr>
              <w:pStyle w:val="Marginlie"/>
            </w:pPr>
          </w:p>
          <w:p w14:paraId="0DA2BA39" w14:textId="77777777" w:rsidR="00097078" w:rsidRDefault="00097078" w:rsidP="00044059">
            <w:pPr>
              <w:pStyle w:val="Marginlie"/>
            </w:pPr>
          </w:p>
          <w:p w14:paraId="36CEE4A4" w14:textId="77777777" w:rsidR="00097078" w:rsidRDefault="00097078" w:rsidP="00044059">
            <w:pPr>
              <w:pStyle w:val="Marginlie"/>
            </w:pPr>
          </w:p>
          <w:p w14:paraId="3A262971" w14:textId="6E3A1105" w:rsidR="00097078" w:rsidRDefault="00097078" w:rsidP="00044059">
            <w:pPr>
              <w:pStyle w:val="Marginlie"/>
            </w:pPr>
            <w:r>
              <w:rPr>
                <w:szCs w:val="20"/>
              </w:rPr>
              <w:lastRenderedPageBreak/>
              <w:t xml:space="preserve">Ve většině regionů vzrostly mezi roky 2010 </w:t>
            </w:r>
            <w:r w:rsidR="00307E77">
              <w:rPr>
                <w:szCs w:val="20"/>
              </w:rPr>
              <w:t>a </w:t>
            </w:r>
            <w:r>
              <w:rPr>
                <w:szCs w:val="20"/>
              </w:rPr>
              <w:t>2018 mzdy v průmyslu více než v ostatních tržních odvětvích</w:t>
            </w:r>
            <w:r w:rsidR="00D87358">
              <w:rPr>
                <w:szCs w:val="20"/>
              </w:rPr>
              <w:t>.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0A0ED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A8BE0" w14:textId="0D256255" w:rsidR="00097078" w:rsidRPr="00551E2A" w:rsidRDefault="00307E77" w:rsidP="00044059">
            <w:pPr>
              <w:spacing w:after="220"/>
              <w:rPr>
                <w:spacing w:val="-2"/>
                <w:szCs w:val="20"/>
              </w:rPr>
            </w:pPr>
            <w:r w:rsidRPr="00503748">
              <w:rPr>
                <w:spacing w:val="-3"/>
                <w:szCs w:val="20"/>
              </w:rPr>
              <w:t>V </w:t>
            </w:r>
            <w:r w:rsidR="00097078" w:rsidRPr="00503748">
              <w:rPr>
                <w:spacing w:val="-3"/>
                <w:szCs w:val="20"/>
              </w:rPr>
              <w:t xml:space="preserve">Praze </w:t>
            </w:r>
            <w:r w:rsidRPr="00503748">
              <w:rPr>
                <w:spacing w:val="-3"/>
                <w:szCs w:val="20"/>
              </w:rPr>
              <w:t>a </w:t>
            </w:r>
            <w:r w:rsidR="00097078" w:rsidRPr="00503748">
              <w:rPr>
                <w:spacing w:val="-3"/>
                <w:szCs w:val="20"/>
              </w:rPr>
              <w:t xml:space="preserve">Jihomoravském kraji průměrná mzda zaměstnanců v průmyslu za celkovou krajskou mzdou nepatrně zaostávala. To s ohledem na vysokou rozvinutost sektoru služeb v těchto regionech podpořenou hierarchicky významnou pozicí Prahy </w:t>
            </w:r>
            <w:r w:rsidRPr="00503748">
              <w:rPr>
                <w:spacing w:val="-3"/>
                <w:szCs w:val="20"/>
              </w:rPr>
              <w:t>i </w:t>
            </w:r>
            <w:r w:rsidR="00097078" w:rsidRPr="00503748">
              <w:rPr>
                <w:spacing w:val="-3"/>
                <w:szCs w:val="20"/>
              </w:rPr>
              <w:t xml:space="preserve">Brna v sídelním systému ČR není překvapivé. Opačně na tom byl Středočeský kraj, kde se projevovala silná role automobilového průmyslu </w:t>
            </w:r>
            <w:r w:rsidRPr="00503748">
              <w:rPr>
                <w:spacing w:val="-3"/>
                <w:szCs w:val="20"/>
              </w:rPr>
              <w:t>i </w:t>
            </w:r>
            <w:r w:rsidR="00097078" w:rsidRPr="00503748">
              <w:rPr>
                <w:spacing w:val="-3"/>
                <w:szCs w:val="20"/>
              </w:rPr>
              <w:t xml:space="preserve">slabší rozvinutost služeb (vlivem dojížďky do Prahy). Mzdy v průmyslu zde převyšovaly výdělky všech odvětví </w:t>
            </w:r>
            <w:r w:rsidRPr="00503748">
              <w:rPr>
                <w:spacing w:val="-3"/>
                <w:szCs w:val="20"/>
              </w:rPr>
              <w:t>o </w:t>
            </w:r>
            <w:r w:rsidR="00097078" w:rsidRPr="00503748">
              <w:rPr>
                <w:spacing w:val="-3"/>
                <w:szCs w:val="20"/>
              </w:rPr>
              <w:t>15</w:t>
            </w:r>
            <w:r w:rsidR="006E33D0" w:rsidRPr="00503748">
              <w:rPr>
                <w:spacing w:val="-3"/>
                <w:szCs w:val="20"/>
              </w:rPr>
              <w:t> %</w:t>
            </w:r>
            <w:r w:rsidR="00097078" w:rsidRPr="00503748">
              <w:rPr>
                <w:spacing w:val="-3"/>
                <w:szCs w:val="20"/>
              </w:rPr>
              <w:t>, z toho jen tržních odvětví</w:t>
            </w:r>
            <w:r w:rsidR="00097078" w:rsidRPr="00503748">
              <w:rPr>
                <w:rStyle w:val="Znakapoznpodarou"/>
                <w:spacing w:val="-3"/>
              </w:rPr>
              <w:footnoteReference w:id="14"/>
            </w:r>
            <w:r w:rsidR="00097078" w:rsidRPr="00503748">
              <w:rPr>
                <w:spacing w:val="-3"/>
                <w:szCs w:val="20"/>
              </w:rPr>
              <w:t xml:space="preserve"> bez průmyslu </w:t>
            </w:r>
            <w:r w:rsidRPr="00503748">
              <w:rPr>
                <w:spacing w:val="-3"/>
                <w:szCs w:val="20"/>
              </w:rPr>
              <w:t>o </w:t>
            </w:r>
            <w:r w:rsidR="00097078" w:rsidRPr="00503748">
              <w:rPr>
                <w:spacing w:val="-3"/>
                <w:szCs w:val="20"/>
              </w:rPr>
              <w:t>29</w:t>
            </w:r>
            <w:r w:rsidR="006E33D0" w:rsidRPr="00503748">
              <w:rPr>
                <w:spacing w:val="-3"/>
                <w:szCs w:val="20"/>
              </w:rPr>
              <w:t> %</w:t>
            </w:r>
            <w:r w:rsidR="00097078" w:rsidRPr="00503748">
              <w:rPr>
                <w:spacing w:val="-3"/>
                <w:szCs w:val="20"/>
              </w:rPr>
              <w:t>. Podobně relativně silnou pozicí disponoval</w:t>
            </w:r>
            <w:r w:rsidR="006E33D0" w:rsidRPr="00503748">
              <w:rPr>
                <w:spacing w:val="-3"/>
                <w:szCs w:val="20"/>
              </w:rPr>
              <w:t xml:space="preserve"> </w:t>
            </w:r>
            <w:r w:rsidR="00097078" w:rsidRPr="00503748">
              <w:rPr>
                <w:spacing w:val="-3"/>
                <w:szCs w:val="20"/>
              </w:rPr>
              <w:t xml:space="preserve">průmysl v Ústeckém kraji (28 %), alespoň </w:t>
            </w:r>
            <w:r w:rsidRPr="00503748">
              <w:rPr>
                <w:spacing w:val="-3"/>
                <w:szCs w:val="20"/>
              </w:rPr>
              <w:t>o </w:t>
            </w:r>
            <w:r w:rsidR="00097078" w:rsidRPr="00503748">
              <w:rPr>
                <w:spacing w:val="-3"/>
                <w:szCs w:val="20"/>
              </w:rPr>
              <w:t xml:space="preserve">pětinu nad úrovní tržních odvětví (mimo průmysl) se nacházel v krajích Libereckém, Královéhradeckém </w:t>
            </w:r>
            <w:r w:rsidRPr="00503748">
              <w:rPr>
                <w:spacing w:val="-3"/>
                <w:szCs w:val="20"/>
              </w:rPr>
              <w:t>a </w:t>
            </w:r>
            <w:r w:rsidR="00097078" w:rsidRPr="00503748">
              <w:rPr>
                <w:spacing w:val="-3"/>
                <w:szCs w:val="20"/>
              </w:rPr>
              <w:t xml:space="preserve">Moravskoslezském. Mzdy v průmyslu </w:t>
            </w:r>
            <w:r w:rsidR="00097078" w:rsidRPr="00503748">
              <w:rPr>
                <w:spacing w:val="-3"/>
                <w:szCs w:val="20"/>
              </w:rPr>
              <w:lastRenderedPageBreak/>
              <w:t xml:space="preserve">zaostávaly za výdělky </w:t>
            </w:r>
            <w:r w:rsidRPr="00503748">
              <w:rPr>
                <w:spacing w:val="-3"/>
                <w:szCs w:val="20"/>
              </w:rPr>
              <w:t>v </w:t>
            </w:r>
            <w:r w:rsidR="00097078" w:rsidRPr="00503748">
              <w:rPr>
                <w:spacing w:val="-3"/>
                <w:szCs w:val="20"/>
              </w:rPr>
              <w:t>ostatních tržních odvětvích pouze v Praze (</w:t>
            </w:r>
            <w:r w:rsidRPr="00503748">
              <w:rPr>
                <w:spacing w:val="-3"/>
                <w:szCs w:val="20"/>
              </w:rPr>
              <w:t>o </w:t>
            </w:r>
            <w:r w:rsidR="00097078" w:rsidRPr="00503748">
              <w:rPr>
                <w:spacing w:val="-3"/>
                <w:szCs w:val="20"/>
              </w:rPr>
              <w:t>2</w:t>
            </w:r>
            <w:r w:rsidR="006E33D0" w:rsidRPr="00503748">
              <w:rPr>
                <w:spacing w:val="-3"/>
                <w:szCs w:val="20"/>
              </w:rPr>
              <w:t> %</w:t>
            </w:r>
            <w:r w:rsidR="00097078" w:rsidRPr="00503748">
              <w:rPr>
                <w:spacing w:val="-3"/>
                <w:szCs w:val="20"/>
              </w:rPr>
              <w:t xml:space="preserve">). Ve většině regionů vzrostly mezi roky 2010 </w:t>
            </w:r>
            <w:r w:rsidRPr="00503748">
              <w:rPr>
                <w:spacing w:val="-3"/>
                <w:szCs w:val="20"/>
              </w:rPr>
              <w:t>a </w:t>
            </w:r>
            <w:r w:rsidR="00097078" w:rsidRPr="00503748">
              <w:rPr>
                <w:spacing w:val="-3"/>
                <w:szCs w:val="20"/>
              </w:rPr>
              <w:t>2018 mzdy v průmyslu více než v ostatních tržních odvětvích</w:t>
            </w:r>
            <w:r w:rsidR="00D87358" w:rsidRPr="00503748">
              <w:rPr>
                <w:spacing w:val="-3"/>
                <w:szCs w:val="20"/>
              </w:rPr>
              <w:t> </w:t>
            </w:r>
            <w:r w:rsidR="00097078" w:rsidRPr="00503748">
              <w:rPr>
                <w:spacing w:val="-3"/>
                <w:szCs w:val="20"/>
              </w:rPr>
              <w:t>– to platilo zejména pro střední Čechy (45</w:t>
            </w:r>
            <w:r w:rsidR="006E33D0" w:rsidRPr="00503748">
              <w:rPr>
                <w:spacing w:val="-3"/>
                <w:szCs w:val="20"/>
              </w:rPr>
              <w:t> %</w:t>
            </w:r>
            <w:r w:rsidR="00097078" w:rsidRPr="00503748">
              <w:rPr>
                <w:spacing w:val="-3"/>
                <w:szCs w:val="20"/>
              </w:rPr>
              <w:t xml:space="preserve"> vs. 37</w:t>
            </w:r>
            <w:r w:rsidR="006E33D0" w:rsidRPr="00503748">
              <w:rPr>
                <w:spacing w:val="-3"/>
                <w:szCs w:val="20"/>
              </w:rPr>
              <w:t> %</w:t>
            </w:r>
            <w:r w:rsidR="00097078" w:rsidRPr="00503748">
              <w:rPr>
                <w:spacing w:val="-3"/>
                <w:szCs w:val="20"/>
              </w:rPr>
              <w:t>), opačně na to</w:t>
            </w:r>
            <w:r w:rsidR="00D87358" w:rsidRPr="00503748">
              <w:rPr>
                <w:spacing w:val="-3"/>
                <w:szCs w:val="20"/>
              </w:rPr>
              <w:t>m</w:t>
            </w:r>
            <w:r w:rsidR="00097078" w:rsidRPr="00503748">
              <w:rPr>
                <w:spacing w:val="-3"/>
                <w:szCs w:val="20"/>
              </w:rPr>
              <w:t xml:space="preserve"> byly </w:t>
            </w:r>
            <w:r w:rsidR="00D87358" w:rsidRPr="00503748">
              <w:rPr>
                <w:spacing w:val="-3"/>
                <w:szCs w:val="20"/>
              </w:rPr>
              <w:t xml:space="preserve">Kraj </w:t>
            </w:r>
            <w:r w:rsidR="00097078" w:rsidRPr="00503748">
              <w:rPr>
                <w:spacing w:val="-3"/>
                <w:szCs w:val="20"/>
              </w:rPr>
              <w:t>Vysočina, Liberecký a Moravskoslezský kraj</w:t>
            </w:r>
            <w:r w:rsidR="00097078">
              <w:rPr>
                <w:spacing w:val="-2"/>
                <w:szCs w:val="20"/>
              </w:rPr>
              <w:t>.</w:t>
            </w:r>
          </w:p>
        </w:tc>
      </w:tr>
      <w:tr w:rsidR="00097078" w14:paraId="722B68DD" w14:textId="77777777" w:rsidTr="00586874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48DFA" w14:textId="384BE9C1" w:rsidR="00097078" w:rsidRDefault="00097078" w:rsidP="00044059">
            <w:pPr>
              <w:pStyle w:val="Marginlie"/>
            </w:pPr>
            <w:r>
              <w:lastRenderedPageBreak/>
              <w:t>Celkové mzdové diference v průmyslu byly podprůměrné, zejména ve srovnání s ostatními odvětvími s dominancí tržní produkce.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77700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D2A44" w14:textId="34F2A9B9" w:rsidR="00097078" w:rsidRPr="00616535" w:rsidRDefault="00307E77" w:rsidP="00044059">
            <w:pPr>
              <w:spacing w:after="220"/>
              <w:rPr>
                <w:szCs w:val="20"/>
              </w:rPr>
            </w:pPr>
            <w:r>
              <w:rPr>
                <w:szCs w:val="20"/>
              </w:rPr>
              <w:t>Z </w:t>
            </w:r>
            <w:r w:rsidR="00097078">
              <w:rPr>
                <w:szCs w:val="20"/>
              </w:rPr>
              <w:t>podílu zaměstnanců podle pásem</w:t>
            </w:r>
            <w:r w:rsidR="00097078" w:rsidRPr="007E3596">
              <w:rPr>
                <w:szCs w:val="20"/>
              </w:rPr>
              <w:t xml:space="preserve"> hrubých měsíčních mezd</w:t>
            </w:r>
            <w:r w:rsidR="00097078">
              <w:rPr>
                <w:szCs w:val="20"/>
              </w:rPr>
              <w:t xml:space="preserve"> zjištěných v šetření v rámci tzv.</w:t>
            </w:r>
            <w:r w:rsidR="00D87358">
              <w:rPr>
                <w:szCs w:val="20"/>
              </w:rPr>
              <w:t> </w:t>
            </w:r>
            <w:r w:rsidR="00097078">
              <w:rPr>
                <w:szCs w:val="20"/>
              </w:rPr>
              <w:t>strukturální mzdové statistiky</w:t>
            </w:r>
            <w:r w:rsidR="00097078" w:rsidRPr="003E5D9B">
              <w:rPr>
                <w:rStyle w:val="Znakapoznpodarou"/>
                <w:spacing w:val="-4"/>
              </w:rPr>
              <w:footnoteReference w:id="15"/>
            </w:r>
            <w:r w:rsidR="00097078">
              <w:rPr>
                <w:szCs w:val="20"/>
              </w:rPr>
              <w:t xml:space="preserve"> vyplývá, že celkové mzdové diference byly v průmyslu oproti celé ekonomice mírně nižší. Variační koeficient mezd, vypovídající o souhrnné mzdové rozrůzněnosti, zde v roce 2019 činil 63</w:t>
            </w:r>
            <w:r w:rsidR="006E33D0">
              <w:rPr>
                <w:szCs w:val="20"/>
              </w:rPr>
              <w:t> %</w:t>
            </w:r>
            <w:r w:rsidR="00097078">
              <w:rPr>
                <w:szCs w:val="20"/>
              </w:rPr>
              <w:t>, v úhrnu za celé národní hospodářství 69</w:t>
            </w:r>
            <w:r w:rsidR="006E33D0">
              <w:rPr>
                <w:szCs w:val="20"/>
              </w:rPr>
              <w:t> %</w:t>
            </w:r>
            <w:r w:rsidR="00097078">
              <w:rPr>
                <w:szCs w:val="20"/>
              </w:rPr>
              <w:t xml:space="preserve">. Relativně menší mzdové rozdíly v průmyslu vyniknou ještě více v porovnání s pouze tržními odvětvími, neboť zaměstnanecké výdělky v rámci odvětví s převahou veřejného sektoru jsou tradičně relativně málo rozrůzněné. Pozice průmyslu souvisí </w:t>
            </w:r>
            <w:r>
              <w:rPr>
                <w:szCs w:val="20"/>
              </w:rPr>
              <w:t>s </w:t>
            </w:r>
            <w:r w:rsidR="00097078">
              <w:rPr>
                <w:szCs w:val="20"/>
              </w:rPr>
              <w:t xml:space="preserve">tím, že zde jsou relativně méně zastoupeny vysoce kvalifikované pozice (např. řídících pracovníků či specialistů) </w:t>
            </w:r>
            <w:r>
              <w:rPr>
                <w:szCs w:val="20"/>
              </w:rPr>
              <w:t>a </w:t>
            </w:r>
            <w:r w:rsidR="00097078">
              <w:rPr>
                <w:szCs w:val="20"/>
              </w:rPr>
              <w:t xml:space="preserve">zároveň váha pozic s nejnižšími kvalifikačními nároky (pomocné práce, resp. místa pro lidi </w:t>
            </w:r>
            <w:r>
              <w:rPr>
                <w:szCs w:val="20"/>
              </w:rPr>
              <w:t>s </w:t>
            </w:r>
            <w:r w:rsidR="00097078">
              <w:rPr>
                <w:szCs w:val="20"/>
              </w:rPr>
              <w:t>pouze základním vzděláním) je s ostatními odvětvími srovnatelná.</w:t>
            </w:r>
          </w:p>
        </w:tc>
      </w:tr>
      <w:tr w:rsidR="00097078" w:rsidRPr="00234F4B" w14:paraId="69D7BAA8" w14:textId="77777777" w:rsidTr="00586874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2D149" w14:textId="77777777" w:rsidR="00097078" w:rsidRDefault="00097078" w:rsidP="00044059">
            <w:pPr>
              <w:pStyle w:val="Marginlie"/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39FAF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1BEF6" w14:textId="67445DA6" w:rsidR="00097078" w:rsidRPr="00245192" w:rsidRDefault="004C0391" w:rsidP="00044059">
            <w:pPr>
              <w:spacing w:after="0"/>
              <w:rPr>
                <w:szCs w:val="20"/>
              </w:rPr>
            </w:pPr>
            <w:r>
              <w:rPr>
                <w:b/>
                <w:szCs w:val="20"/>
              </w:rPr>
              <w:t>Graf</w:t>
            </w:r>
            <w:r w:rsidR="006E33D0">
              <w:rPr>
                <w:b/>
                <w:szCs w:val="20"/>
              </w:rPr>
              <w:t xml:space="preserve"> č. </w:t>
            </w:r>
            <w:r>
              <w:rPr>
                <w:b/>
                <w:szCs w:val="20"/>
              </w:rPr>
              <w:t>14</w:t>
            </w:r>
            <w:r w:rsidR="00097078" w:rsidRPr="00245192">
              <w:rPr>
                <w:b/>
                <w:szCs w:val="20"/>
              </w:rPr>
              <w:t xml:space="preserve">  Podíly zaměstnanců </w:t>
            </w:r>
            <w:r w:rsidR="00307E77" w:rsidRPr="00245192">
              <w:rPr>
                <w:b/>
                <w:szCs w:val="20"/>
              </w:rPr>
              <w:t>v</w:t>
            </w:r>
            <w:r w:rsidR="00307E77">
              <w:rPr>
                <w:b/>
                <w:szCs w:val="20"/>
              </w:rPr>
              <w:t> </w:t>
            </w:r>
            <w:r w:rsidR="00097078" w:rsidRPr="00245192">
              <w:rPr>
                <w:b/>
                <w:szCs w:val="20"/>
              </w:rPr>
              <w:t xml:space="preserve">pásmech </w:t>
            </w:r>
            <w:r w:rsidR="00097078" w:rsidRPr="00234F4B">
              <w:rPr>
                <w:b/>
                <w:spacing w:val="-2"/>
                <w:szCs w:val="20"/>
              </w:rPr>
              <w:t>nominální</w:t>
            </w:r>
            <w:r w:rsidR="00097078">
              <w:rPr>
                <w:b/>
                <w:spacing w:val="-2"/>
                <w:szCs w:val="20"/>
              </w:rPr>
              <w:t>ch</w:t>
            </w:r>
            <w:r w:rsidR="00097078" w:rsidRPr="00245192">
              <w:rPr>
                <w:b/>
                <w:szCs w:val="20"/>
              </w:rPr>
              <w:t xml:space="preserve"> hrubých měsíčních mezd v průmyslu </w:t>
            </w:r>
            <w:r w:rsidR="00307E77">
              <w:rPr>
                <w:b/>
                <w:szCs w:val="20"/>
              </w:rPr>
              <w:t>a v </w:t>
            </w:r>
            <w:r w:rsidR="00097078" w:rsidRPr="00245192">
              <w:rPr>
                <w:b/>
                <w:szCs w:val="20"/>
              </w:rPr>
              <w:t xml:space="preserve">národním hospodářství v letech 2012 </w:t>
            </w:r>
            <w:r w:rsidR="00307E77" w:rsidRPr="00245192">
              <w:rPr>
                <w:b/>
                <w:szCs w:val="20"/>
              </w:rPr>
              <w:t>a</w:t>
            </w:r>
            <w:r w:rsidR="00307E77">
              <w:rPr>
                <w:b/>
                <w:szCs w:val="20"/>
              </w:rPr>
              <w:t> </w:t>
            </w:r>
            <w:r w:rsidR="00097078" w:rsidRPr="00245192">
              <w:rPr>
                <w:b/>
                <w:szCs w:val="20"/>
              </w:rPr>
              <w:t>2019</w:t>
            </w:r>
            <w:r w:rsidR="00097078" w:rsidRPr="00245192">
              <w:rPr>
                <w:szCs w:val="20"/>
              </w:rPr>
              <w:t xml:space="preserve"> (v</w:t>
            </w:r>
            <w:r w:rsidR="006E33D0">
              <w:rPr>
                <w:szCs w:val="20"/>
              </w:rPr>
              <w:t> %</w:t>
            </w:r>
            <w:r w:rsidR="00097078" w:rsidRPr="00245192">
              <w:rPr>
                <w:szCs w:val="20"/>
              </w:rPr>
              <w:t>)</w:t>
            </w:r>
          </w:p>
        </w:tc>
      </w:tr>
      <w:tr w:rsidR="00097078" w14:paraId="2E597F6C" w14:textId="77777777" w:rsidTr="00586874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0B053" w14:textId="77777777" w:rsidR="00097078" w:rsidRDefault="00097078" w:rsidP="00044059">
            <w:pPr>
              <w:pStyle w:val="Marginlie"/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92C34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1AEBD" w14:textId="05D0D929" w:rsidR="00097078" w:rsidRDefault="000A5BA4" w:rsidP="00044059">
            <w:pPr>
              <w:spacing w:after="0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8279D69" wp14:editId="015DCFF3">
                  <wp:extent cx="4794250" cy="3295650"/>
                  <wp:effectExtent l="0" t="0" r="6350" b="0"/>
                  <wp:docPr id="5" name="Graf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097078" w14:paraId="7FC045E7" w14:textId="77777777" w:rsidTr="00586874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A2854" w14:textId="77777777" w:rsidR="00097078" w:rsidRDefault="00097078" w:rsidP="00044059">
            <w:pPr>
              <w:pStyle w:val="Marginlie"/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9ED0A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78043" w14:textId="773D3545" w:rsidR="00097078" w:rsidRPr="00F710D4" w:rsidRDefault="00097078" w:rsidP="00044059">
            <w:pPr>
              <w:spacing w:after="160"/>
              <w:rPr>
                <w:sz w:val="14"/>
                <w:szCs w:val="14"/>
              </w:rPr>
            </w:pPr>
            <w:r w:rsidRPr="00F710D4">
              <w:rPr>
                <w:sz w:val="14"/>
                <w:szCs w:val="14"/>
              </w:rPr>
              <w:t>Zdroj: MP</w:t>
            </w:r>
            <w:r w:rsidR="00AA1DC6">
              <w:rPr>
                <w:sz w:val="14"/>
                <w:szCs w:val="14"/>
              </w:rPr>
              <w:t>S</w:t>
            </w:r>
            <w:r w:rsidRPr="00F710D4">
              <w:rPr>
                <w:sz w:val="14"/>
                <w:szCs w:val="14"/>
              </w:rPr>
              <w:t xml:space="preserve">V </w:t>
            </w:r>
            <w:r w:rsidR="00307E77" w:rsidRPr="00F710D4">
              <w:rPr>
                <w:sz w:val="14"/>
                <w:szCs w:val="14"/>
              </w:rPr>
              <w:t>a</w:t>
            </w:r>
            <w:r w:rsidR="00307E77">
              <w:rPr>
                <w:sz w:val="14"/>
                <w:szCs w:val="14"/>
              </w:rPr>
              <w:t> </w:t>
            </w:r>
            <w:r w:rsidRPr="00F710D4">
              <w:rPr>
                <w:sz w:val="14"/>
                <w:szCs w:val="14"/>
              </w:rPr>
              <w:t>ČSÚ (Strukturální mzdová statistika)</w:t>
            </w:r>
          </w:p>
        </w:tc>
      </w:tr>
      <w:tr w:rsidR="00097078" w14:paraId="282D8CF6" w14:textId="77777777" w:rsidTr="00586874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6BEA2" w14:textId="72C97883" w:rsidR="00097078" w:rsidRDefault="00097078" w:rsidP="00044059">
            <w:pPr>
              <w:pStyle w:val="Marginlie"/>
            </w:pPr>
            <w:r>
              <w:t>Variační koeficient mezd v průmyslu v poslední dekádě klesal, nejvíce v těžbě a dobývání.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C0F50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44E53" w14:textId="0EEDA337" w:rsidR="00097078" w:rsidRPr="00503748" w:rsidRDefault="00097078" w:rsidP="002D3DCF">
            <w:pPr>
              <w:spacing w:after="220"/>
              <w:rPr>
                <w:spacing w:val="-3"/>
                <w:szCs w:val="20"/>
              </w:rPr>
            </w:pPr>
            <w:r w:rsidRPr="00503748">
              <w:rPr>
                <w:spacing w:val="-3"/>
                <w:szCs w:val="20"/>
              </w:rPr>
              <w:t>V roce 2019 pobíralo v průmyslu nominální hrubou měsíční mzdu nižší než 23</w:t>
            </w:r>
            <w:r w:rsidR="006E33D0" w:rsidRPr="00503748">
              <w:rPr>
                <w:spacing w:val="-3"/>
                <w:szCs w:val="20"/>
              </w:rPr>
              <w:t> tis.</w:t>
            </w:r>
            <w:r w:rsidRPr="00503748">
              <w:rPr>
                <w:spacing w:val="-3"/>
                <w:szCs w:val="20"/>
              </w:rPr>
              <w:t xml:space="preserve"> korun jen 17,1</w:t>
            </w:r>
            <w:r w:rsidR="006E33D0" w:rsidRPr="00503748">
              <w:rPr>
                <w:spacing w:val="-3"/>
                <w:szCs w:val="20"/>
              </w:rPr>
              <w:t> %</w:t>
            </w:r>
            <w:r w:rsidRPr="00503748">
              <w:rPr>
                <w:spacing w:val="-3"/>
                <w:szCs w:val="20"/>
              </w:rPr>
              <w:t xml:space="preserve"> zaměstnanců, v celé ekonomice 23,7</w:t>
            </w:r>
            <w:r w:rsidR="006E33D0" w:rsidRPr="00503748">
              <w:rPr>
                <w:spacing w:val="-3"/>
                <w:szCs w:val="20"/>
              </w:rPr>
              <w:t> %</w:t>
            </w:r>
            <w:r w:rsidR="00AA1DC6" w:rsidRPr="00503748">
              <w:rPr>
                <w:spacing w:val="-3"/>
                <w:szCs w:val="20"/>
              </w:rPr>
              <w:t>. Rovněž</w:t>
            </w:r>
            <w:r w:rsidRPr="00503748">
              <w:rPr>
                <w:spacing w:val="-3"/>
                <w:szCs w:val="20"/>
              </w:rPr>
              <w:t xml:space="preserve"> zastoupení vysokopříjmových pracovníků (nad 60</w:t>
            </w:r>
            <w:r w:rsidR="006E33D0" w:rsidRPr="00503748">
              <w:rPr>
                <w:spacing w:val="-3"/>
                <w:szCs w:val="20"/>
              </w:rPr>
              <w:t> tis.</w:t>
            </w:r>
            <w:r w:rsidRPr="00503748">
              <w:rPr>
                <w:spacing w:val="-3"/>
                <w:szCs w:val="20"/>
              </w:rPr>
              <w:t xml:space="preserve"> korun měsíčn</w:t>
            </w:r>
            <w:r w:rsidR="00592284" w:rsidRPr="00503748">
              <w:rPr>
                <w:spacing w:val="-3"/>
                <w:szCs w:val="20"/>
              </w:rPr>
              <w:t>ě) bylo</w:t>
            </w:r>
            <w:r w:rsidRPr="00503748">
              <w:rPr>
                <w:spacing w:val="-3"/>
                <w:szCs w:val="20"/>
              </w:rPr>
              <w:t xml:space="preserve"> vyšší v celé ekonomice (8,3</w:t>
            </w:r>
            <w:r w:rsidR="006E33D0" w:rsidRPr="00503748">
              <w:rPr>
                <w:spacing w:val="-3"/>
                <w:szCs w:val="20"/>
              </w:rPr>
              <w:t> %</w:t>
            </w:r>
            <w:r w:rsidRPr="00503748">
              <w:rPr>
                <w:spacing w:val="-3"/>
                <w:szCs w:val="20"/>
              </w:rPr>
              <w:t xml:space="preserve">) nežli </w:t>
            </w:r>
            <w:r w:rsidR="00307E77" w:rsidRPr="00503748">
              <w:rPr>
                <w:spacing w:val="-3"/>
                <w:szCs w:val="20"/>
              </w:rPr>
              <w:t>v</w:t>
            </w:r>
            <w:r w:rsidR="007B0C39" w:rsidRPr="00503748">
              <w:rPr>
                <w:spacing w:val="-3"/>
                <w:szCs w:val="20"/>
              </w:rPr>
              <w:t> </w:t>
            </w:r>
            <w:r w:rsidRPr="00503748">
              <w:rPr>
                <w:spacing w:val="-3"/>
                <w:szCs w:val="20"/>
              </w:rPr>
              <w:t>rámci</w:t>
            </w:r>
            <w:r w:rsidR="007B0C39" w:rsidRPr="00503748">
              <w:rPr>
                <w:spacing w:val="-3"/>
                <w:szCs w:val="20"/>
              </w:rPr>
              <w:t xml:space="preserve"> </w:t>
            </w:r>
            <w:r w:rsidRPr="00503748">
              <w:rPr>
                <w:spacing w:val="-3"/>
                <w:szCs w:val="20"/>
              </w:rPr>
              <w:t>samotného průmyslu (7,4</w:t>
            </w:r>
            <w:r w:rsidR="006E33D0" w:rsidRPr="00503748">
              <w:rPr>
                <w:spacing w:val="-3"/>
                <w:szCs w:val="20"/>
              </w:rPr>
              <w:t> %</w:t>
            </w:r>
            <w:r w:rsidRPr="00503748">
              <w:rPr>
                <w:spacing w:val="-3"/>
                <w:szCs w:val="20"/>
              </w:rPr>
              <w:t xml:space="preserve">). Celková mzdová diferenciace v průmyslu se ve srovnatelné řadě mezi lety 2012 </w:t>
            </w:r>
            <w:r w:rsidR="00307E77" w:rsidRPr="00503748">
              <w:rPr>
                <w:spacing w:val="-3"/>
                <w:szCs w:val="20"/>
              </w:rPr>
              <w:t>a </w:t>
            </w:r>
            <w:r w:rsidRPr="00503748">
              <w:rPr>
                <w:spacing w:val="-3"/>
                <w:szCs w:val="20"/>
              </w:rPr>
              <w:t xml:space="preserve">2019 plynule snižovala, a sice </w:t>
            </w:r>
            <w:r w:rsidR="00307E77" w:rsidRPr="00503748">
              <w:rPr>
                <w:spacing w:val="-3"/>
                <w:szCs w:val="20"/>
              </w:rPr>
              <w:t>s </w:t>
            </w:r>
            <w:r w:rsidRPr="00503748">
              <w:rPr>
                <w:spacing w:val="-3"/>
                <w:szCs w:val="20"/>
              </w:rPr>
              <w:t xml:space="preserve">obdobnou intenzitou jako v celém národním hospodářství. V průmyslu došlo k největšímu posunu v těžbě </w:t>
            </w:r>
            <w:r w:rsidR="00307E77" w:rsidRPr="00503748">
              <w:rPr>
                <w:spacing w:val="-3"/>
                <w:szCs w:val="20"/>
              </w:rPr>
              <w:t>a </w:t>
            </w:r>
            <w:r w:rsidRPr="00503748">
              <w:rPr>
                <w:spacing w:val="-3"/>
                <w:szCs w:val="20"/>
              </w:rPr>
              <w:t xml:space="preserve">dobývání </w:t>
            </w:r>
            <w:r w:rsidRPr="00503748">
              <w:rPr>
                <w:spacing w:val="-3"/>
                <w:szCs w:val="20"/>
              </w:rPr>
              <w:lastRenderedPageBreak/>
              <w:t>(variační koeficient klesl ze 68</w:t>
            </w:r>
            <w:r w:rsidR="006E33D0" w:rsidRPr="00503748">
              <w:rPr>
                <w:spacing w:val="-3"/>
                <w:szCs w:val="20"/>
              </w:rPr>
              <w:t> %</w:t>
            </w:r>
            <w:r w:rsidRPr="00503748">
              <w:rPr>
                <w:spacing w:val="-3"/>
                <w:szCs w:val="20"/>
              </w:rPr>
              <w:t xml:space="preserve"> na 44</w:t>
            </w:r>
            <w:r w:rsidR="006E33D0" w:rsidRPr="00503748">
              <w:rPr>
                <w:spacing w:val="-3"/>
                <w:szCs w:val="20"/>
              </w:rPr>
              <w:t> %</w:t>
            </w:r>
            <w:r w:rsidRPr="00503748">
              <w:rPr>
                <w:spacing w:val="-3"/>
                <w:szCs w:val="20"/>
              </w:rPr>
              <w:t>). Nejvyšší rozrůzněnost vykázaly v roce 2019 mzdy v energetice (66</w:t>
            </w:r>
            <w:r w:rsidR="006E33D0" w:rsidRPr="00503748">
              <w:rPr>
                <w:spacing w:val="-3"/>
                <w:szCs w:val="20"/>
              </w:rPr>
              <w:t> %</w:t>
            </w:r>
            <w:r w:rsidRPr="00503748">
              <w:rPr>
                <w:spacing w:val="-3"/>
                <w:szCs w:val="20"/>
              </w:rPr>
              <w:t>).</w:t>
            </w:r>
          </w:p>
        </w:tc>
      </w:tr>
      <w:tr w:rsidR="00097078" w14:paraId="04204F4A" w14:textId="77777777" w:rsidTr="00586874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585CB" w14:textId="33470F6C" w:rsidR="00097078" w:rsidRDefault="00097078" w:rsidP="00044059">
            <w:pPr>
              <w:pStyle w:val="Marginlie"/>
            </w:pPr>
            <w:r>
              <w:lastRenderedPageBreak/>
              <w:t xml:space="preserve">Mzdový medián žen byl v průmyslu </w:t>
            </w:r>
            <w:r w:rsidR="00307E77">
              <w:t>o </w:t>
            </w:r>
            <w:r w:rsidR="00E23D7A">
              <w:t>22</w:t>
            </w:r>
            <w:r w:rsidR="006E33D0">
              <w:t> %</w:t>
            </w:r>
            <w:r>
              <w:t xml:space="preserve"> nižší než </w:t>
            </w:r>
            <w:r w:rsidR="00307E77">
              <w:t>u </w:t>
            </w:r>
            <w:r>
              <w:t xml:space="preserve">mužů. Rozdíl mezi pohlavími se od </w:t>
            </w:r>
            <w:r w:rsidR="005E1B85">
              <w:t xml:space="preserve">roku </w:t>
            </w:r>
            <w:r>
              <w:t>2012 snižoval.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AA112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23822" w14:textId="0FBD9A53" w:rsidR="00097078" w:rsidRPr="009B43E5" w:rsidRDefault="00097078" w:rsidP="002D3DCF">
            <w:pPr>
              <w:spacing w:after="220"/>
              <w:rPr>
                <w:spacing w:val="-3"/>
                <w:szCs w:val="20"/>
              </w:rPr>
            </w:pPr>
            <w:r w:rsidRPr="009B43E5">
              <w:rPr>
                <w:spacing w:val="-3"/>
                <w:szCs w:val="20"/>
              </w:rPr>
              <w:t>Medián mzdy</w:t>
            </w:r>
            <w:r w:rsidRPr="009B43E5">
              <w:rPr>
                <w:rStyle w:val="Znakapoznpodarou"/>
                <w:spacing w:val="-3"/>
                <w:szCs w:val="20"/>
              </w:rPr>
              <w:footnoteReference w:id="16"/>
            </w:r>
            <w:r w:rsidRPr="009B43E5">
              <w:rPr>
                <w:spacing w:val="-3"/>
                <w:szCs w:val="20"/>
              </w:rPr>
              <w:t xml:space="preserve"> mužů pracujících v průmyslu se v roce 2019 rovnal 34,7</w:t>
            </w:r>
            <w:r w:rsidR="006E33D0">
              <w:rPr>
                <w:spacing w:val="-3"/>
                <w:szCs w:val="20"/>
              </w:rPr>
              <w:t> tis.</w:t>
            </w:r>
            <w:r w:rsidRPr="009B43E5">
              <w:rPr>
                <w:spacing w:val="-3"/>
                <w:szCs w:val="20"/>
              </w:rPr>
              <w:t xml:space="preserve"> korun, </w:t>
            </w:r>
            <w:r w:rsidR="00307E77" w:rsidRPr="009B43E5">
              <w:rPr>
                <w:spacing w:val="-3"/>
                <w:szCs w:val="20"/>
              </w:rPr>
              <w:t>u</w:t>
            </w:r>
            <w:r w:rsidR="00307E77">
              <w:rPr>
                <w:spacing w:val="-3"/>
                <w:szCs w:val="20"/>
              </w:rPr>
              <w:t> </w:t>
            </w:r>
            <w:r w:rsidRPr="009B43E5">
              <w:rPr>
                <w:spacing w:val="-3"/>
                <w:szCs w:val="20"/>
              </w:rPr>
              <w:t>žen 27,1</w:t>
            </w:r>
            <w:r w:rsidR="006E33D0">
              <w:rPr>
                <w:spacing w:val="-3"/>
                <w:szCs w:val="20"/>
              </w:rPr>
              <w:t> tis.</w:t>
            </w:r>
            <w:r w:rsidRPr="009B43E5">
              <w:rPr>
                <w:spacing w:val="-3"/>
                <w:szCs w:val="20"/>
              </w:rPr>
              <w:t xml:space="preserve"> Mediánová mzda žen tak dosahovala pouze 78</w:t>
            </w:r>
            <w:r w:rsidR="006E33D0">
              <w:rPr>
                <w:spacing w:val="-3"/>
                <w:szCs w:val="20"/>
              </w:rPr>
              <w:t> %</w:t>
            </w:r>
            <w:r w:rsidRPr="009B43E5">
              <w:rPr>
                <w:spacing w:val="-3"/>
                <w:szCs w:val="20"/>
              </w:rPr>
              <w:t xml:space="preserve"> úrovně mužů. Vyrovnanější poměr mezi výdělky v rámci hlavních průmyslových odvětví signalizovala energetika (85</w:t>
            </w:r>
            <w:r w:rsidR="006E33D0">
              <w:rPr>
                <w:spacing w:val="-3"/>
                <w:szCs w:val="20"/>
              </w:rPr>
              <w:t> %</w:t>
            </w:r>
            <w:r w:rsidRPr="009B43E5">
              <w:rPr>
                <w:spacing w:val="-3"/>
                <w:szCs w:val="20"/>
              </w:rPr>
              <w:t xml:space="preserve">) </w:t>
            </w:r>
            <w:r w:rsidR="00307E77" w:rsidRPr="009B43E5">
              <w:rPr>
                <w:spacing w:val="-3"/>
                <w:szCs w:val="20"/>
              </w:rPr>
              <w:t>a</w:t>
            </w:r>
            <w:r w:rsidR="00307E77">
              <w:rPr>
                <w:spacing w:val="-3"/>
                <w:szCs w:val="20"/>
              </w:rPr>
              <w:t> </w:t>
            </w:r>
            <w:r w:rsidRPr="009B43E5">
              <w:rPr>
                <w:spacing w:val="-3"/>
                <w:szCs w:val="20"/>
              </w:rPr>
              <w:t xml:space="preserve">vodní </w:t>
            </w:r>
            <w:r w:rsidR="00307E77" w:rsidRPr="009B43E5">
              <w:rPr>
                <w:spacing w:val="-3"/>
                <w:szCs w:val="20"/>
              </w:rPr>
              <w:t>a</w:t>
            </w:r>
            <w:r w:rsidR="00307E77">
              <w:rPr>
                <w:spacing w:val="-3"/>
                <w:szCs w:val="20"/>
              </w:rPr>
              <w:t> </w:t>
            </w:r>
            <w:r w:rsidRPr="009B43E5">
              <w:rPr>
                <w:spacing w:val="-3"/>
                <w:szCs w:val="20"/>
              </w:rPr>
              <w:t>odpadové hospodářství (90</w:t>
            </w:r>
            <w:r w:rsidR="006E33D0">
              <w:rPr>
                <w:spacing w:val="-3"/>
                <w:szCs w:val="20"/>
              </w:rPr>
              <w:t> %</w:t>
            </w:r>
            <w:r w:rsidRPr="009B43E5">
              <w:rPr>
                <w:spacing w:val="-3"/>
                <w:szCs w:val="20"/>
              </w:rPr>
              <w:t xml:space="preserve">). Poměr výdělků žen </w:t>
            </w:r>
            <w:r w:rsidR="00307E77" w:rsidRPr="009B43E5">
              <w:rPr>
                <w:spacing w:val="-3"/>
                <w:szCs w:val="20"/>
              </w:rPr>
              <w:t>a</w:t>
            </w:r>
            <w:r w:rsidR="00307E77">
              <w:rPr>
                <w:spacing w:val="-3"/>
                <w:szCs w:val="20"/>
              </w:rPr>
              <w:t> </w:t>
            </w:r>
            <w:r w:rsidRPr="009B43E5">
              <w:rPr>
                <w:spacing w:val="-3"/>
                <w:szCs w:val="20"/>
              </w:rPr>
              <w:t xml:space="preserve">mužů byl </w:t>
            </w:r>
            <w:r w:rsidR="00307E77" w:rsidRPr="009B43E5">
              <w:rPr>
                <w:spacing w:val="-3"/>
                <w:szCs w:val="20"/>
              </w:rPr>
              <w:t>v</w:t>
            </w:r>
            <w:r w:rsidR="00307E77">
              <w:rPr>
                <w:spacing w:val="-3"/>
                <w:szCs w:val="20"/>
              </w:rPr>
              <w:t> </w:t>
            </w:r>
            <w:r w:rsidRPr="009B43E5">
              <w:rPr>
                <w:spacing w:val="-3"/>
                <w:szCs w:val="20"/>
              </w:rPr>
              <w:t>průmyslu nižší než v celé ekonomice (85</w:t>
            </w:r>
            <w:r w:rsidR="006E33D0">
              <w:rPr>
                <w:spacing w:val="-3"/>
                <w:szCs w:val="20"/>
              </w:rPr>
              <w:t> %</w:t>
            </w:r>
            <w:r w:rsidRPr="009B43E5">
              <w:rPr>
                <w:spacing w:val="-3"/>
                <w:szCs w:val="20"/>
              </w:rPr>
              <w:t xml:space="preserve">), odstup průmyslu od národního hospodářství se ale mezi roky 2012 </w:t>
            </w:r>
            <w:r w:rsidR="00307E77" w:rsidRPr="009B43E5">
              <w:rPr>
                <w:spacing w:val="-3"/>
                <w:szCs w:val="20"/>
              </w:rPr>
              <w:t>a</w:t>
            </w:r>
            <w:r w:rsidR="00307E77">
              <w:rPr>
                <w:spacing w:val="-3"/>
                <w:szCs w:val="20"/>
              </w:rPr>
              <w:t> </w:t>
            </w:r>
            <w:r w:rsidRPr="009B43E5">
              <w:rPr>
                <w:spacing w:val="-3"/>
                <w:szCs w:val="20"/>
              </w:rPr>
              <w:t>2019 snížil (</w:t>
            </w:r>
            <w:r w:rsidR="00307E77" w:rsidRPr="009B43E5">
              <w:rPr>
                <w:spacing w:val="-3"/>
                <w:szCs w:val="20"/>
              </w:rPr>
              <w:t>z</w:t>
            </w:r>
            <w:r w:rsidR="00307E77">
              <w:rPr>
                <w:spacing w:val="-3"/>
                <w:szCs w:val="20"/>
              </w:rPr>
              <w:t> </w:t>
            </w:r>
            <w:r w:rsidRPr="009B43E5">
              <w:rPr>
                <w:spacing w:val="-3"/>
                <w:szCs w:val="20"/>
              </w:rPr>
              <w:t>11 na 7</w:t>
            </w:r>
            <w:r w:rsidR="006E33D0">
              <w:rPr>
                <w:spacing w:val="-3"/>
                <w:szCs w:val="20"/>
              </w:rPr>
              <w:t> p. b.</w:t>
            </w:r>
            <w:r w:rsidRPr="009B43E5">
              <w:rPr>
                <w:spacing w:val="-3"/>
                <w:szCs w:val="20"/>
              </w:rPr>
              <w:t>).</w:t>
            </w:r>
          </w:p>
        </w:tc>
      </w:tr>
      <w:tr w:rsidR="00097078" w14:paraId="35E3CCCB" w14:textId="77777777" w:rsidTr="00586874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E82AD" w14:textId="362140FD" w:rsidR="00097078" w:rsidRDefault="00097078" w:rsidP="00044059">
            <w:pPr>
              <w:pStyle w:val="Marginlie"/>
            </w:pPr>
            <w:r>
              <w:t>Zatímco v roce 2019 vzrostly v průmyslu nejvíce mzdy řídících pracovníků, v předchozích letech konjunkturního období posilovaly nejrychleji mzdy nízkovýdělkových manuálních činností.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81AEA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D4458" w14:textId="5C386117" w:rsidR="00097078" w:rsidRPr="003E362B" w:rsidRDefault="00097078" w:rsidP="00044059">
            <w:pPr>
              <w:spacing w:after="220"/>
              <w:rPr>
                <w:spacing w:val="-4"/>
                <w:szCs w:val="20"/>
              </w:rPr>
            </w:pPr>
            <w:r w:rsidRPr="003E362B">
              <w:rPr>
                <w:spacing w:val="-4"/>
                <w:szCs w:val="20"/>
              </w:rPr>
              <w:t>Zaměstnanci v průmyslu zařazení do třídy řídících pracovníků pobírali v roce 2019 hrubou měsíční nomináln</w:t>
            </w:r>
            <w:r>
              <w:rPr>
                <w:spacing w:val="-4"/>
                <w:szCs w:val="20"/>
              </w:rPr>
              <w:t>í mzdu v průměrné výši 88,4</w:t>
            </w:r>
            <w:r w:rsidR="006E33D0">
              <w:rPr>
                <w:spacing w:val="-4"/>
                <w:szCs w:val="20"/>
              </w:rPr>
              <w:t> tis.</w:t>
            </w:r>
            <w:r w:rsidRPr="003E362B">
              <w:rPr>
                <w:spacing w:val="-4"/>
                <w:szCs w:val="20"/>
              </w:rPr>
              <w:t xml:space="preserve"> korun, což bylo 3,7</w:t>
            </w:r>
            <w:r>
              <w:rPr>
                <w:spacing w:val="-4"/>
                <w:szCs w:val="20"/>
              </w:rPr>
              <w:t>krát</w:t>
            </w:r>
            <w:r w:rsidRPr="003E362B">
              <w:rPr>
                <w:spacing w:val="-4"/>
                <w:szCs w:val="20"/>
              </w:rPr>
              <w:t xml:space="preserve"> více než </w:t>
            </w:r>
            <w:r>
              <w:rPr>
                <w:spacing w:val="-4"/>
                <w:szCs w:val="20"/>
              </w:rPr>
              <w:t>u</w:t>
            </w:r>
            <w:r w:rsidRPr="003E362B">
              <w:rPr>
                <w:spacing w:val="-4"/>
                <w:szCs w:val="20"/>
              </w:rPr>
              <w:t xml:space="preserve"> pomocných </w:t>
            </w:r>
            <w:r w:rsidR="00307E77" w:rsidRPr="003E362B">
              <w:rPr>
                <w:spacing w:val="-4"/>
                <w:szCs w:val="20"/>
              </w:rPr>
              <w:t>a</w:t>
            </w:r>
            <w:r w:rsidR="00307E77">
              <w:rPr>
                <w:spacing w:val="-4"/>
                <w:szCs w:val="20"/>
              </w:rPr>
              <w:t> </w:t>
            </w:r>
            <w:r w:rsidRPr="003E362B">
              <w:rPr>
                <w:spacing w:val="-4"/>
                <w:szCs w:val="20"/>
              </w:rPr>
              <w:t>nekvalifikovaných praco</w:t>
            </w:r>
            <w:r>
              <w:rPr>
                <w:spacing w:val="-4"/>
                <w:szCs w:val="20"/>
              </w:rPr>
              <w:t xml:space="preserve">vníků (rozpětí mezi těmito třídami bylo obdobné jako v celé ekonomice). Rozpětí se ve srovnání s rokem 2018 zvýšilo, neboť výdělky řídících pracovníků v průmyslu meziročně posílily </w:t>
            </w:r>
            <w:r w:rsidR="00307E77">
              <w:rPr>
                <w:spacing w:val="-4"/>
                <w:szCs w:val="20"/>
              </w:rPr>
              <w:t>o </w:t>
            </w:r>
            <w:r>
              <w:rPr>
                <w:spacing w:val="-4"/>
                <w:szCs w:val="20"/>
              </w:rPr>
              <w:t>14</w:t>
            </w:r>
            <w:r w:rsidR="006E33D0">
              <w:rPr>
                <w:spacing w:val="-4"/>
                <w:szCs w:val="20"/>
              </w:rPr>
              <w:t> %</w:t>
            </w:r>
            <w:r>
              <w:rPr>
                <w:spacing w:val="-4"/>
                <w:szCs w:val="20"/>
              </w:rPr>
              <w:t xml:space="preserve">, zatímco růstové tempo </w:t>
            </w:r>
            <w:r w:rsidR="00307E77">
              <w:rPr>
                <w:spacing w:val="-4"/>
                <w:szCs w:val="20"/>
              </w:rPr>
              <w:t>u </w:t>
            </w:r>
            <w:r>
              <w:rPr>
                <w:spacing w:val="-4"/>
                <w:szCs w:val="20"/>
              </w:rPr>
              <w:t>nejméně kvalifikovaných pracovníků oslabilo na pětileté minimum (4</w:t>
            </w:r>
            <w:r w:rsidR="006E33D0">
              <w:rPr>
                <w:spacing w:val="-4"/>
                <w:szCs w:val="20"/>
              </w:rPr>
              <w:t> %</w:t>
            </w:r>
            <w:r>
              <w:rPr>
                <w:spacing w:val="-4"/>
                <w:szCs w:val="20"/>
              </w:rPr>
              <w:t xml:space="preserve">). V nedávném konjunkturním období převládaly na tuzemském trhu práce faktory, které působily proti prohlubování mzdové diferenciace. Relativně nejvíce tak rostly výdělky zaměstnanců s podprůměrnou výší mezd. Mezi roky 2012 </w:t>
            </w:r>
            <w:r w:rsidR="00307E77">
              <w:rPr>
                <w:spacing w:val="-4"/>
                <w:szCs w:val="20"/>
              </w:rPr>
              <w:t>a </w:t>
            </w:r>
            <w:r>
              <w:rPr>
                <w:spacing w:val="-4"/>
                <w:szCs w:val="20"/>
              </w:rPr>
              <w:t xml:space="preserve">2019 posílily </w:t>
            </w:r>
            <w:r w:rsidR="00307E77">
              <w:rPr>
                <w:spacing w:val="-4"/>
                <w:szCs w:val="20"/>
              </w:rPr>
              <w:t>v </w:t>
            </w:r>
            <w:r>
              <w:rPr>
                <w:spacing w:val="-4"/>
                <w:szCs w:val="20"/>
              </w:rPr>
              <w:t xml:space="preserve">celé ekonomice </w:t>
            </w:r>
            <w:r w:rsidR="00307E77">
              <w:rPr>
                <w:spacing w:val="-4"/>
                <w:szCs w:val="20"/>
              </w:rPr>
              <w:t>i </w:t>
            </w:r>
            <w:r>
              <w:rPr>
                <w:spacing w:val="-4"/>
                <w:szCs w:val="20"/>
              </w:rPr>
              <w:t xml:space="preserve">v průmyslu nejvíce mzdy pracovníků ve službách </w:t>
            </w:r>
            <w:r w:rsidR="00307E77">
              <w:rPr>
                <w:spacing w:val="-4"/>
                <w:szCs w:val="20"/>
              </w:rPr>
              <w:t>a </w:t>
            </w:r>
            <w:r>
              <w:rPr>
                <w:spacing w:val="-4"/>
                <w:szCs w:val="20"/>
              </w:rPr>
              <w:t xml:space="preserve">prodeji (shodně </w:t>
            </w:r>
            <w:r w:rsidR="00307E77">
              <w:rPr>
                <w:spacing w:val="-4"/>
                <w:szCs w:val="20"/>
              </w:rPr>
              <w:t>o </w:t>
            </w:r>
            <w:r>
              <w:rPr>
                <w:spacing w:val="-4"/>
                <w:szCs w:val="20"/>
              </w:rPr>
              <w:t>55</w:t>
            </w:r>
            <w:r w:rsidR="006E33D0">
              <w:rPr>
                <w:spacing w:val="-4"/>
                <w:szCs w:val="20"/>
              </w:rPr>
              <w:t> %</w:t>
            </w:r>
            <w:r>
              <w:rPr>
                <w:spacing w:val="-4"/>
                <w:szCs w:val="20"/>
              </w:rPr>
              <w:t>). Z pohledu průmyslu byl ale mnohem důležitější růst ve váhově významných skupinách manuálních pracovníků</w:t>
            </w:r>
            <w:r w:rsidR="000C5703">
              <w:rPr>
                <w:spacing w:val="-4"/>
                <w:szCs w:val="20"/>
              </w:rPr>
              <w:t> </w:t>
            </w:r>
            <w:r>
              <w:rPr>
                <w:spacing w:val="-4"/>
                <w:szCs w:val="20"/>
              </w:rPr>
              <w:t>– ten se ve všech jejich třídách pohyboval mírně nad 40</w:t>
            </w:r>
            <w:r w:rsidR="006E33D0">
              <w:rPr>
                <w:spacing w:val="-4"/>
                <w:szCs w:val="20"/>
              </w:rPr>
              <w:t> %</w:t>
            </w:r>
            <w:r>
              <w:rPr>
                <w:spacing w:val="-4"/>
                <w:szCs w:val="20"/>
              </w:rPr>
              <w:t xml:space="preserve">. Relativně nejméně si v průmyslu polepšili řídící pracovníci (+33 %), jen </w:t>
            </w:r>
            <w:r w:rsidR="00307E77">
              <w:rPr>
                <w:spacing w:val="-4"/>
                <w:szCs w:val="20"/>
              </w:rPr>
              <w:t>o </w:t>
            </w:r>
            <w:r>
              <w:rPr>
                <w:spacing w:val="-4"/>
                <w:szCs w:val="20"/>
              </w:rPr>
              <w:t xml:space="preserve">málo lépe na tom byli zaměstnanci v ostatních třídách nemanuálních činností. </w:t>
            </w:r>
          </w:p>
        </w:tc>
      </w:tr>
      <w:tr w:rsidR="00097078" w:rsidRPr="00245192" w14:paraId="7AFADF6F" w14:textId="77777777" w:rsidTr="00586874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46614" w14:textId="77777777" w:rsidR="00097078" w:rsidRDefault="00097078" w:rsidP="00044059">
            <w:pPr>
              <w:pStyle w:val="Marginlie"/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D0168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BBB3C" w14:textId="0AC3C345" w:rsidR="00097078" w:rsidRPr="00245192" w:rsidRDefault="004C0391" w:rsidP="00044059">
            <w:pPr>
              <w:spacing w:after="0"/>
              <w:rPr>
                <w:szCs w:val="20"/>
              </w:rPr>
            </w:pPr>
            <w:r>
              <w:rPr>
                <w:b/>
                <w:szCs w:val="20"/>
              </w:rPr>
              <w:t>Graf</w:t>
            </w:r>
            <w:r w:rsidR="006E33D0">
              <w:rPr>
                <w:b/>
                <w:szCs w:val="20"/>
              </w:rPr>
              <w:t xml:space="preserve"> č. </w:t>
            </w:r>
            <w:r>
              <w:rPr>
                <w:b/>
                <w:szCs w:val="20"/>
              </w:rPr>
              <w:t>15</w:t>
            </w:r>
            <w:r w:rsidR="00097078" w:rsidRPr="00245192">
              <w:rPr>
                <w:b/>
                <w:szCs w:val="20"/>
              </w:rPr>
              <w:t xml:space="preserve">  Průměrná </w:t>
            </w:r>
            <w:r w:rsidR="00097078" w:rsidRPr="00234F4B">
              <w:rPr>
                <w:b/>
                <w:spacing w:val="-2"/>
                <w:szCs w:val="20"/>
              </w:rPr>
              <w:t>nominální</w:t>
            </w:r>
            <w:r w:rsidR="00097078" w:rsidRPr="00245192">
              <w:rPr>
                <w:b/>
                <w:szCs w:val="20"/>
              </w:rPr>
              <w:t xml:space="preserve"> hrubá měsíční mzda dle klasifikace zaměstnání v průmyslu v nár</w:t>
            </w:r>
            <w:r w:rsidR="00097078">
              <w:rPr>
                <w:b/>
                <w:szCs w:val="20"/>
              </w:rPr>
              <w:t>odním hospodářství v letech 2013, 2016</w:t>
            </w:r>
            <w:r w:rsidR="00097078" w:rsidRPr="00245192">
              <w:rPr>
                <w:b/>
                <w:szCs w:val="20"/>
              </w:rPr>
              <w:t xml:space="preserve"> </w:t>
            </w:r>
            <w:r w:rsidR="00307E77" w:rsidRPr="00245192">
              <w:rPr>
                <w:b/>
                <w:szCs w:val="20"/>
              </w:rPr>
              <w:t>a</w:t>
            </w:r>
            <w:r w:rsidR="00307E77">
              <w:rPr>
                <w:b/>
                <w:szCs w:val="20"/>
              </w:rPr>
              <w:t> </w:t>
            </w:r>
            <w:r w:rsidR="00097078" w:rsidRPr="00245192">
              <w:rPr>
                <w:b/>
                <w:szCs w:val="20"/>
              </w:rPr>
              <w:t>2019</w:t>
            </w:r>
            <w:r w:rsidR="00097078" w:rsidRPr="00245192">
              <w:rPr>
                <w:szCs w:val="20"/>
              </w:rPr>
              <w:t xml:space="preserve"> (</w:t>
            </w:r>
            <w:r w:rsidR="00307E77" w:rsidRPr="00245192">
              <w:rPr>
                <w:szCs w:val="20"/>
              </w:rPr>
              <w:t>v</w:t>
            </w:r>
            <w:r w:rsidR="00307E77">
              <w:rPr>
                <w:szCs w:val="20"/>
              </w:rPr>
              <w:t> </w:t>
            </w:r>
            <w:r w:rsidR="00097078" w:rsidRPr="00245192">
              <w:rPr>
                <w:szCs w:val="20"/>
              </w:rPr>
              <w:t>korunách)</w:t>
            </w:r>
            <w:r w:rsidR="00E23D7A">
              <w:rPr>
                <w:szCs w:val="20"/>
              </w:rPr>
              <w:t xml:space="preserve"> </w:t>
            </w:r>
            <w:r w:rsidR="00E23D7A">
              <w:rPr>
                <w:b/>
                <w:szCs w:val="20"/>
              </w:rPr>
              <w:t>a</w:t>
            </w:r>
            <w:r w:rsidR="00E23D7A" w:rsidRPr="00245192">
              <w:rPr>
                <w:b/>
                <w:szCs w:val="20"/>
              </w:rPr>
              <w:t> </w:t>
            </w:r>
            <w:r w:rsidR="00E23D7A" w:rsidRPr="00E23D7A">
              <w:rPr>
                <w:b/>
                <w:szCs w:val="20"/>
              </w:rPr>
              <w:t xml:space="preserve">poměr mzdy v průmyslu ke mzdě v celé ekonomice </w:t>
            </w:r>
            <w:r w:rsidR="00E23D7A">
              <w:rPr>
                <w:szCs w:val="20"/>
              </w:rPr>
              <w:t>(NH v příslušném roce = 100)</w:t>
            </w:r>
          </w:p>
        </w:tc>
      </w:tr>
      <w:tr w:rsidR="00097078" w14:paraId="61B19035" w14:textId="77777777" w:rsidTr="00586874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AA23C" w14:textId="77777777" w:rsidR="00097078" w:rsidRDefault="00097078" w:rsidP="00044059">
            <w:pPr>
              <w:pStyle w:val="Marginlie"/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E837C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6DB8E" w14:textId="2E3E3329" w:rsidR="00097078" w:rsidRDefault="00052B65" w:rsidP="00044059">
            <w:pPr>
              <w:spacing w:after="0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33D8177" wp14:editId="05E7DCB4">
                  <wp:extent cx="4800600" cy="3352800"/>
                  <wp:effectExtent l="0" t="0" r="0" b="0"/>
                  <wp:docPr id="7" name="Graf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097078" w14:paraId="3D7C13F0" w14:textId="77777777" w:rsidTr="00586874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61A61" w14:textId="77777777" w:rsidR="00097078" w:rsidRDefault="00097078" w:rsidP="00044059">
            <w:pPr>
              <w:pStyle w:val="Marginlie"/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EEA95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A2CF9" w14:textId="22DB9126" w:rsidR="00097078" w:rsidRPr="00F710D4" w:rsidRDefault="00097078" w:rsidP="00044059">
            <w:pPr>
              <w:spacing w:after="220"/>
              <w:rPr>
                <w:sz w:val="14"/>
                <w:szCs w:val="14"/>
              </w:rPr>
            </w:pPr>
            <w:r w:rsidRPr="00F710D4">
              <w:rPr>
                <w:sz w:val="14"/>
                <w:szCs w:val="14"/>
              </w:rPr>
              <w:t>Zdroj: MP</w:t>
            </w:r>
            <w:r w:rsidR="00AA1DC6">
              <w:rPr>
                <w:sz w:val="14"/>
                <w:szCs w:val="14"/>
              </w:rPr>
              <w:t>S</w:t>
            </w:r>
            <w:r w:rsidRPr="00F710D4">
              <w:rPr>
                <w:sz w:val="14"/>
                <w:szCs w:val="14"/>
              </w:rPr>
              <w:t xml:space="preserve">V </w:t>
            </w:r>
            <w:r w:rsidR="00307E77" w:rsidRPr="00F710D4">
              <w:rPr>
                <w:sz w:val="14"/>
                <w:szCs w:val="14"/>
              </w:rPr>
              <w:t>a</w:t>
            </w:r>
            <w:r w:rsidR="00307E77">
              <w:rPr>
                <w:sz w:val="14"/>
                <w:szCs w:val="14"/>
              </w:rPr>
              <w:t> </w:t>
            </w:r>
            <w:r w:rsidRPr="00F710D4">
              <w:rPr>
                <w:sz w:val="14"/>
                <w:szCs w:val="14"/>
              </w:rPr>
              <w:t>ČSÚ (Strukturální mzdová statistika)</w:t>
            </w:r>
          </w:p>
        </w:tc>
      </w:tr>
      <w:tr w:rsidR="00097078" w14:paraId="7DAA0956" w14:textId="77777777" w:rsidTr="00586874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5C2F7" w14:textId="5B21A731" w:rsidR="00097078" w:rsidRDefault="00097078" w:rsidP="00044059">
            <w:pPr>
              <w:pStyle w:val="Marginlie"/>
            </w:pPr>
            <w:r>
              <w:t xml:space="preserve">Pomocní a nekvalifikovaní zaměstnanci pobírali </w:t>
            </w:r>
            <w:r>
              <w:lastRenderedPageBreak/>
              <w:t xml:space="preserve">v roce 2019 v průmyslu </w:t>
            </w:r>
            <w:r w:rsidR="00307E77">
              <w:t>o </w:t>
            </w:r>
            <w:r>
              <w:t>15</w:t>
            </w:r>
            <w:r w:rsidR="006E33D0">
              <w:t xml:space="preserve"> % </w:t>
            </w:r>
            <w:r>
              <w:t>vyšší mzdu než v celé ekonomice. Jejich postavení se proti roku 2013 mírně zlepšilo.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56355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09969" w14:textId="4DDD1F7E" w:rsidR="00097078" w:rsidRPr="0000439E" w:rsidRDefault="00097078" w:rsidP="00044059">
            <w:pPr>
              <w:spacing w:after="220"/>
              <w:rPr>
                <w:szCs w:val="20"/>
              </w:rPr>
            </w:pPr>
            <w:r>
              <w:rPr>
                <w:szCs w:val="20"/>
              </w:rPr>
              <w:t xml:space="preserve">Zaměstnanci v průmyslu si z pohledu výše průměrných mezd v rámci svých tříd stáli lépe než v celém národním hospodářství. Např. pomocní </w:t>
            </w:r>
            <w:r w:rsidR="00307E77">
              <w:rPr>
                <w:szCs w:val="20"/>
              </w:rPr>
              <w:t>a </w:t>
            </w:r>
            <w:r>
              <w:rPr>
                <w:szCs w:val="20"/>
              </w:rPr>
              <w:t xml:space="preserve">nekvalifikovaní pracovníci si </w:t>
            </w:r>
            <w:r w:rsidR="00307E77">
              <w:rPr>
                <w:szCs w:val="20"/>
              </w:rPr>
              <w:t>v </w:t>
            </w:r>
            <w:r>
              <w:rPr>
                <w:szCs w:val="20"/>
              </w:rPr>
              <w:t xml:space="preserve">roce 2019 v průmyslu vydělali </w:t>
            </w:r>
            <w:r w:rsidR="00307E77">
              <w:rPr>
                <w:szCs w:val="20"/>
              </w:rPr>
              <w:t>o </w:t>
            </w:r>
            <w:r>
              <w:rPr>
                <w:szCs w:val="20"/>
              </w:rPr>
              <w:t xml:space="preserve">sedminu více než v průměru v celé ekonomice. Jejich </w:t>
            </w:r>
            <w:r>
              <w:rPr>
                <w:szCs w:val="20"/>
              </w:rPr>
              <w:lastRenderedPageBreak/>
              <w:t xml:space="preserve">relativně výhodné odvětvové postavení se navíc ve srovnání s koncem poslední recese (2013) mírně zlepšilo. Naopak relativní postavení osob působících v průmyslu ve všech třech třídách zaměstnání s nejvyššími kvalifikačními nároky se za stejné období zhoršilo. Např. průměrná měsíční mzda specialistů v průmyslu se mezi roky 2013 </w:t>
            </w:r>
            <w:r w:rsidR="00307E77">
              <w:rPr>
                <w:szCs w:val="20"/>
              </w:rPr>
              <w:t>a </w:t>
            </w:r>
            <w:r>
              <w:rPr>
                <w:szCs w:val="20"/>
              </w:rPr>
              <w:t>2019 zvýšila ze 43,</w:t>
            </w:r>
            <w:r w:rsidR="00307E77">
              <w:rPr>
                <w:szCs w:val="20"/>
              </w:rPr>
              <w:t>0 </w:t>
            </w:r>
            <w:r>
              <w:rPr>
                <w:szCs w:val="20"/>
              </w:rPr>
              <w:t>tis</w:t>
            </w:r>
            <w:r w:rsidR="00EC6A1C">
              <w:rPr>
                <w:szCs w:val="20"/>
              </w:rPr>
              <w:t>.</w:t>
            </w:r>
            <w:r>
              <w:rPr>
                <w:szCs w:val="20"/>
              </w:rPr>
              <w:t xml:space="preserve"> korun na 57,2</w:t>
            </w:r>
            <w:r w:rsidR="006E33D0">
              <w:rPr>
                <w:szCs w:val="20"/>
              </w:rPr>
              <w:t> tis.</w:t>
            </w:r>
            <w:r>
              <w:rPr>
                <w:szCs w:val="20"/>
              </w:rPr>
              <w:t>, tj.</w:t>
            </w:r>
            <w:r w:rsidR="00EC6A1C">
              <w:rPr>
                <w:szCs w:val="20"/>
              </w:rPr>
              <w:t> </w:t>
            </w:r>
            <w:r w:rsidR="00307E77">
              <w:rPr>
                <w:szCs w:val="20"/>
              </w:rPr>
              <w:t>o </w:t>
            </w:r>
            <w:r>
              <w:rPr>
                <w:szCs w:val="20"/>
              </w:rPr>
              <w:t>33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 xml:space="preserve">, v ostatních tržních odvětvích ekonomiky </w:t>
            </w:r>
            <w:r w:rsidR="00307E77">
              <w:rPr>
                <w:szCs w:val="20"/>
              </w:rPr>
              <w:t>o </w:t>
            </w:r>
            <w:r>
              <w:rPr>
                <w:szCs w:val="20"/>
              </w:rPr>
              <w:t>35</w:t>
            </w:r>
            <w:r w:rsidR="006E33D0">
              <w:rPr>
                <w:szCs w:val="20"/>
              </w:rPr>
              <w:t xml:space="preserve"> % </w:t>
            </w:r>
            <w:r>
              <w:rPr>
                <w:szCs w:val="20"/>
              </w:rPr>
              <w:t xml:space="preserve"> (na 59,1</w:t>
            </w:r>
            <w:r w:rsidR="006E33D0">
              <w:rPr>
                <w:szCs w:val="20"/>
              </w:rPr>
              <w:t> tis.</w:t>
            </w:r>
            <w:r>
              <w:rPr>
                <w:szCs w:val="20"/>
              </w:rPr>
              <w:t xml:space="preserve">) </w:t>
            </w:r>
            <w:r w:rsidR="00307E77">
              <w:rPr>
                <w:szCs w:val="20"/>
              </w:rPr>
              <w:t>a v </w:t>
            </w:r>
            <w:r>
              <w:rPr>
                <w:szCs w:val="20"/>
              </w:rPr>
              <w:t xml:space="preserve">odvětvích s převahou veřejného sektoru </w:t>
            </w:r>
            <w:r w:rsidR="00307E77">
              <w:rPr>
                <w:szCs w:val="20"/>
              </w:rPr>
              <w:t>o </w:t>
            </w:r>
            <w:r>
              <w:rPr>
                <w:szCs w:val="20"/>
              </w:rPr>
              <w:t>43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 xml:space="preserve"> (na 44,9</w:t>
            </w:r>
            <w:r w:rsidR="006E33D0">
              <w:rPr>
                <w:szCs w:val="20"/>
              </w:rPr>
              <w:t> tis.</w:t>
            </w:r>
            <w:r>
              <w:rPr>
                <w:szCs w:val="20"/>
              </w:rPr>
              <w:t xml:space="preserve">). Nepatrně si pohoršila </w:t>
            </w:r>
            <w:r w:rsidR="00307E77">
              <w:rPr>
                <w:szCs w:val="20"/>
              </w:rPr>
              <w:t>i </w:t>
            </w:r>
            <w:r>
              <w:rPr>
                <w:szCs w:val="20"/>
              </w:rPr>
              <w:t>váhově dominantní třída zaměstnanců průmyslu</w:t>
            </w:r>
            <w:r w:rsidR="00EC6A1C">
              <w:rPr>
                <w:szCs w:val="20"/>
              </w:rPr>
              <w:t> </w:t>
            </w:r>
            <w:r>
              <w:rPr>
                <w:szCs w:val="20"/>
              </w:rPr>
              <w:t xml:space="preserve">– obsluha strojů a zařízení. </w:t>
            </w:r>
            <w:r w:rsidR="00307E77">
              <w:rPr>
                <w:szCs w:val="20"/>
              </w:rPr>
              <w:t>I </w:t>
            </w:r>
            <w:r>
              <w:rPr>
                <w:szCs w:val="20"/>
              </w:rPr>
              <w:t xml:space="preserve">tak stále pobírali tito zaměstnanci v průmyslu v roce 2019 vyšší mzdu </w:t>
            </w:r>
            <w:r w:rsidR="00EC6A1C">
              <w:rPr>
                <w:szCs w:val="20"/>
              </w:rPr>
              <w:t>(</w:t>
            </w:r>
            <w:r>
              <w:rPr>
                <w:szCs w:val="20"/>
              </w:rPr>
              <w:t>30,9 tis. korun</w:t>
            </w:r>
            <w:r w:rsidR="00EC6A1C">
              <w:rPr>
                <w:szCs w:val="20"/>
              </w:rPr>
              <w:t>)</w:t>
            </w:r>
            <w:r>
              <w:rPr>
                <w:szCs w:val="20"/>
              </w:rPr>
              <w:t xml:space="preserve"> než v ostatních odvětvích ekonomiky </w:t>
            </w:r>
            <w:r w:rsidR="00EC6A1C">
              <w:rPr>
                <w:szCs w:val="20"/>
              </w:rPr>
              <w:t>(</w:t>
            </w:r>
            <w:r>
              <w:rPr>
                <w:szCs w:val="20"/>
              </w:rPr>
              <w:t>28,4</w:t>
            </w:r>
            <w:r w:rsidR="006E33D0">
              <w:rPr>
                <w:szCs w:val="20"/>
              </w:rPr>
              <w:t> tis.</w:t>
            </w:r>
            <w:r w:rsidR="00EC6A1C">
              <w:rPr>
                <w:szCs w:val="20"/>
              </w:rPr>
              <w:t>).</w:t>
            </w:r>
          </w:p>
        </w:tc>
      </w:tr>
      <w:tr w:rsidR="00097078" w14:paraId="300BC286" w14:textId="77777777" w:rsidTr="00586874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53149" w14:textId="1FBC0356" w:rsidR="00097078" w:rsidRDefault="00097078" w:rsidP="00044059">
            <w:pPr>
              <w:pStyle w:val="Marginlie"/>
            </w:pPr>
            <w:r>
              <w:lastRenderedPageBreak/>
              <w:t xml:space="preserve">Zaměstnanci se základním vzděláním pobírali v rámci průmyslu nejvyšší mzdu v těžbě </w:t>
            </w:r>
            <w:r w:rsidR="00307E77">
              <w:t>a </w:t>
            </w:r>
            <w:r>
              <w:t>dobývání, osoby s vyššími stupni vzdělání vždy v energetice.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0AE4A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B0E99" w14:textId="54DFA1A4" w:rsidR="00097078" w:rsidRPr="0000439E" w:rsidRDefault="00097078" w:rsidP="00044059">
            <w:pPr>
              <w:spacing w:after="220"/>
              <w:rPr>
                <w:szCs w:val="20"/>
              </w:rPr>
            </w:pPr>
            <w:r>
              <w:rPr>
                <w:szCs w:val="20"/>
              </w:rPr>
              <w:t>Zaměstnanci s vysokoškolským vzděláním pracující v průmyslu pobírali v roce 2019 průměrnou měsíční mzdu ve výši 62,3</w:t>
            </w:r>
            <w:r w:rsidR="006E33D0">
              <w:rPr>
                <w:szCs w:val="20"/>
              </w:rPr>
              <w:t> tis.</w:t>
            </w:r>
            <w:r>
              <w:rPr>
                <w:szCs w:val="20"/>
              </w:rPr>
              <w:t xml:space="preserve"> korun. To bylo 2,22krát více než </w:t>
            </w:r>
            <w:r w:rsidR="00307E77">
              <w:rPr>
                <w:szCs w:val="20"/>
              </w:rPr>
              <w:t>u </w:t>
            </w:r>
            <w:r>
              <w:rPr>
                <w:szCs w:val="20"/>
              </w:rPr>
              <w:t xml:space="preserve">osob s nejnižším vzděláním v průmyslu </w:t>
            </w:r>
            <w:r w:rsidR="00307E77">
              <w:rPr>
                <w:szCs w:val="20"/>
              </w:rPr>
              <w:t>a </w:t>
            </w:r>
            <w:r>
              <w:rPr>
                <w:szCs w:val="20"/>
              </w:rPr>
              <w:t xml:space="preserve">zároveň </w:t>
            </w:r>
            <w:r w:rsidR="00307E77">
              <w:rPr>
                <w:szCs w:val="20"/>
              </w:rPr>
              <w:t>o </w:t>
            </w:r>
            <w:r>
              <w:rPr>
                <w:szCs w:val="20"/>
              </w:rPr>
              <w:t>12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 xml:space="preserve"> více než mzdy vysokoškoláků v celé ekonomice (resp. 5 % nad úrovní mezd vysokoškoláků v ostatních tržních odvětvích). V roce 2019 vzrostly v průmyslu </w:t>
            </w:r>
            <w:r w:rsidR="00307E77">
              <w:rPr>
                <w:szCs w:val="20"/>
              </w:rPr>
              <w:t>i </w:t>
            </w:r>
            <w:r>
              <w:rPr>
                <w:szCs w:val="20"/>
              </w:rPr>
              <w:t>v celé ekonomice nejvíce mzdy osob se středním vzděláním s maturitou (</w:t>
            </w:r>
            <w:r w:rsidR="00307E77">
              <w:rPr>
                <w:szCs w:val="20"/>
              </w:rPr>
              <w:t>o </w:t>
            </w:r>
            <w:r>
              <w:rPr>
                <w:szCs w:val="20"/>
              </w:rPr>
              <w:t>7,1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>, resp. 7,9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 xml:space="preserve">). Oproti roku 2012 si ale relativně nejvíce polepšili pracovníci s nejnižším stupněm vzdělání. Zaměstnanci se základním a neukončeným vzděláním dosáhli v roce 2019 v rámci hlavních průmyslových odvětví nejvyšší mzdy v těžbě </w:t>
            </w:r>
            <w:r w:rsidR="00307E77">
              <w:rPr>
                <w:szCs w:val="20"/>
              </w:rPr>
              <w:t>a </w:t>
            </w:r>
            <w:r>
              <w:rPr>
                <w:szCs w:val="20"/>
              </w:rPr>
              <w:t xml:space="preserve">dobývání </w:t>
            </w:r>
            <w:r w:rsidR="00EC6A1C">
              <w:rPr>
                <w:szCs w:val="20"/>
              </w:rPr>
              <w:t>(</w:t>
            </w:r>
            <w:r>
              <w:rPr>
                <w:szCs w:val="20"/>
              </w:rPr>
              <w:t>35,0</w:t>
            </w:r>
            <w:r w:rsidR="006E33D0">
              <w:rPr>
                <w:szCs w:val="20"/>
              </w:rPr>
              <w:t> tis.</w:t>
            </w:r>
            <w:r w:rsidR="00EC6A1C">
              <w:rPr>
                <w:szCs w:val="20"/>
              </w:rPr>
              <w:t xml:space="preserve">, </w:t>
            </w:r>
            <w:r w:rsidR="00307E77">
              <w:rPr>
                <w:szCs w:val="20"/>
              </w:rPr>
              <w:t>o </w:t>
            </w:r>
            <w:r>
              <w:rPr>
                <w:szCs w:val="20"/>
              </w:rPr>
              <w:t xml:space="preserve">dvě pětiny více než v celé ekonomice), osoby ve všech ostatních stupních vzdělání shodně v energetice (vždy zhruba </w:t>
            </w:r>
            <w:r w:rsidR="00307E77">
              <w:rPr>
                <w:szCs w:val="20"/>
              </w:rPr>
              <w:t>o </w:t>
            </w:r>
            <w:r>
              <w:rPr>
                <w:szCs w:val="20"/>
              </w:rPr>
              <w:t>třetinu nad souhrnnou úrovní ve své skupině).</w:t>
            </w:r>
          </w:p>
        </w:tc>
      </w:tr>
    </w:tbl>
    <w:p w14:paraId="4E325855" w14:textId="625A603A" w:rsidR="00097078" w:rsidRPr="005F5CE8" w:rsidRDefault="00097078" w:rsidP="005F5CE8">
      <w:pPr>
        <w:pStyle w:val="Nadpis2"/>
        <w:rPr>
          <w:rFonts w:cs="Arial"/>
        </w:rPr>
      </w:pPr>
      <w:bookmarkStart w:id="4" w:name="_Toc57061290"/>
      <w:r w:rsidRPr="005F5CE8">
        <w:rPr>
          <w:rFonts w:cs="Arial"/>
        </w:rPr>
        <w:t>3.</w:t>
      </w:r>
      <w:r w:rsidR="00307E77" w:rsidRPr="005F5CE8">
        <w:rPr>
          <w:rFonts w:cs="Arial"/>
        </w:rPr>
        <w:t>3</w:t>
      </w:r>
      <w:r w:rsidR="00307E77">
        <w:rPr>
          <w:rFonts w:cs="Arial"/>
        </w:rPr>
        <w:t> </w:t>
      </w:r>
      <w:r w:rsidRPr="005F5CE8">
        <w:rPr>
          <w:rFonts w:cs="Arial"/>
        </w:rPr>
        <w:t xml:space="preserve">Produktivita práce </w:t>
      </w:r>
      <w:r w:rsidR="00307E77" w:rsidRPr="005F5CE8">
        <w:rPr>
          <w:rFonts w:cs="Arial"/>
        </w:rPr>
        <w:t>a</w:t>
      </w:r>
      <w:r w:rsidR="00307E77">
        <w:rPr>
          <w:rFonts w:cs="Arial"/>
        </w:rPr>
        <w:t> </w:t>
      </w:r>
      <w:r w:rsidRPr="005F5CE8">
        <w:rPr>
          <w:rFonts w:cs="Arial"/>
        </w:rPr>
        <w:t>pracovní náklady v tuzemském průmyslu</w:t>
      </w:r>
      <w:bookmarkEnd w:id="4"/>
    </w:p>
    <w:tbl>
      <w:tblPr>
        <w:tblW w:w="964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67"/>
        <w:gridCol w:w="182"/>
        <w:gridCol w:w="7700"/>
      </w:tblGrid>
      <w:tr w:rsidR="00097078" w14:paraId="72F64E85" w14:textId="77777777" w:rsidTr="00EC1470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3A3EB" w14:textId="2E57D5A3" w:rsidR="00097078" w:rsidRDefault="00097078" w:rsidP="00044059">
            <w:pPr>
              <w:pStyle w:val="Marginlie"/>
            </w:pPr>
            <w:r>
              <w:t xml:space="preserve">Mzdy </w:t>
            </w:r>
            <w:r w:rsidR="00307E77">
              <w:t>a </w:t>
            </w:r>
            <w:r>
              <w:t xml:space="preserve">platy doplněné </w:t>
            </w:r>
            <w:r w:rsidR="00307E77">
              <w:t>o </w:t>
            </w:r>
            <w:r>
              <w:t>náhrady mezd tvoří dlouhodobě jen mírně nad 70</w:t>
            </w:r>
            <w:r w:rsidR="006E33D0">
              <w:t> %</w:t>
            </w:r>
            <w:r>
              <w:t xml:space="preserve"> veškerých pracovních nákladů podniků </w:t>
            </w:r>
            <w:r w:rsidR="00307E77">
              <w:t>a </w:t>
            </w:r>
            <w:r>
              <w:t>organizací</w:t>
            </w:r>
            <w:r w:rsidR="007640D0">
              <w:t>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475EA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C8279" w14:textId="11C0893A" w:rsidR="00097078" w:rsidRPr="004B1F54" w:rsidRDefault="00097078" w:rsidP="00044059">
            <w:pPr>
              <w:spacing w:after="220"/>
              <w:rPr>
                <w:szCs w:val="20"/>
              </w:rPr>
            </w:pPr>
            <w:r>
              <w:rPr>
                <w:szCs w:val="20"/>
              </w:rPr>
              <w:t xml:space="preserve">Průměrné hrubé mzdy </w:t>
            </w:r>
            <w:r w:rsidR="00307E77">
              <w:rPr>
                <w:szCs w:val="20"/>
              </w:rPr>
              <w:t>a </w:t>
            </w:r>
            <w:r>
              <w:rPr>
                <w:szCs w:val="20"/>
              </w:rPr>
              <w:t xml:space="preserve">platy po zohlednění příjmových daní placených zaměstnanci a pohybu spotřebitelských cen přímo ukazují na reálnou kupní sílu zaměstnaneckých výdělků. Z pohledu podniků </w:t>
            </w:r>
            <w:r w:rsidR="00307E77">
              <w:rPr>
                <w:szCs w:val="20"/>
              </w:rPr>
              <w:t>i </w:t>
            </w:r>
            <w:r>
              <w:rPr>
                <w:szCs w:val="20"/>
              </w:rPr>
              <w:t xml:space="preserve">státu (jako zaměstnavatele) jsou ovšem klíčové celkové </w:t>
            </w:r>
            <w:r w:rsidRPr="00DD49ED">
              <w:rPr>
                <w:szCs w:val="20"/>
              </w:rPr>
              <w:t xml:space="preserve">náklady práce. Mzdy </w:t>
            </w:r>
            <w:r w:rsidR="00307E77" w:rsidRPr="00DD49ED">
              <w:rPr>
                <w:szCs w:val="20"/>
              </w:rPr>
              <w:t>a </w:t>
            </w:r>
            <w:r w:rsidRPr="00DD49ED">
              <w:rPr>
                <w:szCs w:val="20"/>
              </w:rPr>
              <w:t>platy za vykonanou práci včetně náhrad mezd placených zaměstnavatelem</w:t>
            </w:r>
            <w:r w:rsidRPr="00DD49ED">
              <w:rPr>
                <w:rStyle w:val="Znakapoznpodarou"/>
                <w:spacing w:val="-2"/>
                <w:szCs w:val="20"/>
              </w:rPr>
              <w:footnoteReference w:id="17"/>
            </w:r>
            <w:r w:rsidRPr="00DD49ED">
              <w:rPr>
                <w:szCs w:val="20"/>
              </w:rPr>
              <w:t xml:space="preserve"> představují tzv.</w:t>
            </w:r>
            <w:r w:rsidR="007640D0" w:rsidRPr="00DD49ED">
              <w:rPr>
                <w:szCs w:val="20"/>
              </w:rPr>
              <w:t> </w:t>
            </w:r>
            <w:r w:rsidRPr="00DD49ED">
              <w:rPr>
                <w:szCs w:val="20"/>
              </w:rPr>
              <w:t xml:space="preserve">přímé náklady práce. Ty tvoří v úhrnu za </w:t>
            </w:r>
            <w:r w:rsidR="007640D0" w:rsidRPr="00DD49ED">
              <w:rPr>
                <w:szCs w:val="20"/>
              </w:rPr>
              <w:t xml:space="preserve">všechna </w:t>
            </w:r>
            <w:r w:rsidRPr="00DD49ED">
              <w:rPr>
                <w:szCs w:val="20"/>
              </w:rPr>
              <w:t xml:space="preserve">odvětví </w:t>
            </w:r>
            <w:r w:rsidR="00307E77" w:rsidRPr="00DD49ED">
              <w:rPr>
                <w:szCs w:val="20"/>
              </w:rPr>
              <w:t>i </w:t>
            </w:r>
            <w:r w:rsidRPr="00DD49ED">
              <w:rPr>
                <w:szCs w:val="20"/>
              </w:rPr>
              <w:t>v samotném průmyslu dlouhodobě méně než tři čtvrtiny všech pracovních nákladů. Mezi nepřímými náklady práce tradičně dominují platby zákonného pojistného, jejichž vývoj je pevně svázán s trendy zaměstnanosti. Podíl těchto plateb na všech nepřímých pracovních nákladech byl v roce 2018 nejnižší v energetice (79</w:t>
            </w:r>
            <w:r w:rsidR="006E33D0" w:rsidRPr="00DD49ED">
              <w:rPr>
                <w:szCs w:val="20"/>
              </w:rPr>
              <w:t> %</w:t>
            </w:r>
            <w:r w:rsidRPr="00DD49ED">
              <w:rPr>
                <w:szCs w:val="20"/>
              </w:rPr>
              <w:t>), naopak více než 95</w:t>
            </w:r>
            <w:r w:rsidR="006E33D0" w:rsidRPr="00DD49ED">
              <w:rPr>
                <w:szCs w:val="20"/>
              </w:rPr>
              <w:t> %</w:t>
            </w:r>
            <w:r w:rsidRPr="00DD49ED">
              <w:rPr>
                <w:szCs w:val="20"/>
              </w:rPr>
              <w:t xml:space="preserve"> dosahoval ve většině odvětví s převahou veřejného sektoru </w:t>
            </w:r>
            <w:r w:rsidR="00307E77" w:rsidRPr="00DD49ED">
              <w:rPr>
                <w:szCs w:val="20"/>
              </w:rPr>
              <w:t>a </w:t>
            </w:r>
            <w:r w:rsidRPr="00DD49ED">
              <w:rPr>
                <w:szCs w:val="20"/>
              </w:rPr>
              <w:t>také v odvětví ostatní činnost</w:t>
            </w:r>
            <w:r w:rsidR="000A1148" w:rsidRPr="00DD49ED">
              <w:rPr>
                <w:szCs w:val="20"/>
              </w:rPr>
              <w:t>i</w:t>
            </w:r>
            <w:r w:rsidRPr="00DD49ED">
              <w:rPr>
                <w:szCs w:val="20"/>
              </w:rPr>
              <w:t xml:space="preserve"> služeb</w:t>
            </w:r>
            <w:r w:rsidRPr="00DD49ED">
              <w:rPr>
                <w:rStyle w:val="Znakapoznpodarou"/>
                <w:spacing w:val="-2"/>
                <w:szCs w:val="20"/>
              </w:rPr>
              <w:footnoteReference w:id="18"/>
            </w:r>
            <w:r w:rsidRPr="00DD49ED">
              <w:rPr>
                <w:szCs w:val="20"/>
              </w:rPr>
              <w:t xml:space="preserve">. </w:t>
            </w:r>
            <w:r w:rsidR="007640D0" w:rsidRPr="00DD49ED">
              <w:rPr>
                <w:szCs w:val="20"/>
              </w:rPr>
              <w:t xml:space="preserve">Zbylá </w:t>
            </w:r>
            <w:r w:rsidRPr="00DD49ED">
              <w:rPr>
                <w:szCs w:val="20"/>
              </w:rPr>
              <w:t xml:space="preserve">část nákladů připadá zejména na sociální požitky </w:t>
            </w:r>
            <w:r w:rsidR="00307E77" w:rsidRPr="00DD49ED">
              <w:rPr>
                <w:szCs w:val="20"/>
              </w:rPr>
              <w:t>a </w:t>
            </w:r>
            <w:r w:rsidRPr="00DD49ED">
              <w:rPr>
                <w:szCs w:val="20"/>
              </w:rPr>
              <w:t>ostatní sociální náklady, které dohromady de</w:t>
            </w:r>
            <w:r w:rsidR="007640D0" w:rsidRPr="00DD49ED">
              <w:rPr>
                <w:szCs w:val="20"/>
              </w:rPr>
              <w:t> </w:t>
            </w:r>
            <w:r w:rsidRPr="00DD49ED">
              <w:rPr>
                <w:szCs w:val="20"/>
              </w:rPr>
              <w:t>facto tvoří jádro zaměstnaneckých benefitů</w:t>
            </w:r>
            <w:r w:rsidRPr="00DD49ED">
              <w:rPr>
                <w:rStyle w:val="Znakapoznpodarou"/>
                <w:spacing w:val="-2"/>
                <w:szCs w:val="20"/>
              </w:rPr>
              <w:footnoteReference w:id="19"/>
            </w:r>
            <w:r w:rsidRPr="00DD49ED">
              <w:rPr>
                <w:szCs w:val="20"/>
              </w:rPr>
              <w:t xml:space="preserve">. Spektrum nepřímých nákladů doplňují personální výdaje (zejména na nábor, školení pracovníků </w:t>
            </w:r>
            <w:r w:rsidR="00307E77" w:rsidRPr="00DD49ED">
              <w:rPr>
                <w:szCs w:val="20"/>
              </w:rPr>
              <w:t>a </w:t>
            </w:r>
            <w:r w:rsidRPr="00DD49ED">
              <w:rPr>
                <w:szCs w:val="20"/>
              </w:rPr>
              <w:t>ošatné)</w:t>
            </w:r>
            <w:r w:rsidR="007640D0" w:rsidRPr="00DD49ED">
              <w:rPr>
                <w:szCs w:val="20"/>
              </w:rPr>
              <w:t>,</w:t>
            </w:r>
            <w:r w:rsidRPr="00DD49ED">
              <w:rPr>
                <w:szCs w:val="20"/>
              </w:rPr>
              <w:t xml:space="preserve"> saldo daní (</w:t>
            </w:r>
            <w:r w:rsidR="006E33D0" w:rsidRPr="00DD49ED">
              <w:rPr>
                <w:szCs w:val="20"/>
              </w:rPr>
              <w:t xml:space="preserve">včetně </w:t>
            </w:r>
            <w:r w:rsidRPr="00DD49ED">
              <w:rPr>
                <w:szCs w:val="20"/>
              </w:rPr>
              <w:t>sankcí) souvisejících se zaměstnáváním lidí a dotací na pracovní sílu</w:t>
            </w:r>
            <w:r w:rsidRPr="003E362B">
              <w:rPr>
                <w:rStyle w:val="Znakapoznpodarou"/>
                <w:spacing w:val="-2"/>
                <w:szCs w:val="20"/>
              </w:rPr>
              <w:footnoteReference w:id="20"/>
            </w:r>
            <w:r>
              <w:rPr>
                <w:szCs w:val="20"/>
              </w:rPr>
              <w:t>.</w:t>
            </w:r>
          </w:p>
        </w:tc>
      </w:tr>
      <w:tr w:rsidR="00097078" w14:paraId="55D3CDE2" w14:textId="77777777" w:rsidTr="00EC1470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F3A1A" w14:textId="1CA2CDB5" w:rsidR="00097078" w:rsidRDefault="00097078" w:rsidP="00044059">
            <w:pPr>
              <w:pStyle w:val="Marginlie"/>
            </w:pPr>
            <w:r>
              <w:t>Růst průměrných pracovních nákladů v poslední dekádě kulminoval v roce 2018.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4E5F7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70B93" w14:textId="6C9C5582" w:rsidR="00097078" w:rsidRPr="004C7154" w:rsidRDefault="00307E77" w:rsidP="00044059">
            <w:pPr>
              <w:spacing w:after="220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V </w:t>
            </w:r>
            <w:r w:rsidR="00097078">
              <w:rPr>
                <w:spacing w:val="-2"/>
                <w:szCs w:val="20"/>
              </w:rPr>
              <w:t>roce 2018 činily c</w:t>
            </w:r>
            <w:r w:rsidR="00097078" w:rsidRPr="004C7154">
              <w:rPr>
                <w:spacing w:val="-2"/>
                <w:szCs w:val="20"/>
              </w:rPr>
              <w:t>elkové náklady práce na jednoho zaměstnance v průmyslu (p</w:t>
            </w:r>
            <w:r w:rsidR="00097078">
              <w:rPr>
                <w:spacing w:val="-2"/>
                <w:szCs w:val="20"/>
              </w:rPr>
              <w:t>o přepočtu na plné úvazky)</w:t>
            </w:r>
            <w:r w:rsidR="005F6D11">
              <w:rPr>
                <w:spacing w:val="-2"/>
                <w:szCs w:val="20"/>
              </w:rPr>
              <w:t xml:space="preserve"> ročně 541</w:t>
            </w:r>
            <w:r w:rsidR="006E33D0">
              <w:rPr>
                <w:spacing w:val="-2"/>
                <w:szCs w:val="20"/>
              </w:rPr>
              <w:t> tis.</w:t>
            </w:r>
            <w:r w:rsidR="00097078" w:rsidRPr="004C7154">
              <w:rPr>
                <w:spacing w:val="-2"/>
                <w:szCs w:val="20"/>
              </w:rPr>
              <w:t xml:space="preserve"> korun. To bylo </w:t>
            </w:r>
            <w:r w:rsidRPr="004C7154">
              <w:rPr>
                <w:spacing w:val="-2"/>
                <w:szCs w:val="20"/>
              </w:rPr>
              <w:t>o</w:t>
            </w:r>
            <w:r>
              <w:rPr>
                <w:spacing w:val="-2"/>
                <w:szCs w:val="20"/>
              </w:rPr>
              <w:t> </w:t>
            </w:r>
            <w:r w:rsidR="005F6D11">
              <w:rPr>
                <w:spacing w:val="-2"/>
                <w:szCs w:val="20"/>
              </w:rPr>
              <w:t>7,8</w:t>
            </w:r>
            <w:r w:rsidR="006E33D0">
              <w:rPr>
                <w:spacing w:val="-2"/>
                <w:szCs w:val="20"/>
              </w:rPr>
              <w:t> tis.</w:t>
            </w:r>
            <w:r w:rsidR="00097078" w:rsidRPr="004C7154">
              <w:rPr>
                <w:spacing w:val="-2"/>
                <w:szCs w:val="20"/>
              </w:rPr>
              <w:t xml:space="preserve"> korun více než v celé ekonomice. Z pohledu odvětvových sekcí průmyslu se s nejvyššími jednotkovými náklady museli vyp</w:t>
            </w:r>
            <w:r w:rsidR="00097078">
              <w:rPr>
                <w:spacing w:val="-2"/>
                <w:szCs w:val="20"/>
              </w:rPr>
              <w:t xml:space="preserve">ořádat zaměstnavatelé v energetice (náklady </w:t>
            </w:r>
            <w:r w:rsidR="00097078" w:rsidRPr="004C7154">
              <w:rPr>
                <w:spacing w:val="-2"/>
                <w:szCs w:val="20"/>
              </w:rPr>
              <w:t xml:space="preserve">zde převyšovaly celou ekonomiku </w:t>
            </w:r>
            <w:r w:rsidRPr="004C7154">
              <w:rPr>
                <w:spacing w:val="-2"/>
                <w:szCs w:val="20"/>
              </w:rPr>
              <w:t>o</w:t>
            </w:r>
            <w:r>
              <w:rPr>
                <w:spacing w:val="-2"/>
                <w:szCs w:val="20"/>
              </w:rPr>
              <w:t> </w:t>
            </w:r>
            <w:r w:rsidR="00097078" w:rsidRPr="004C7154">
              <w:rPr>
                <w:spacing w:val="-2"/>
                <w:szCs w:val="20"/>
              </w:rPr>
              <w:t>48</w:t>
            </w:r>
            <w:r w:rsidR="006E33D0">
              <w:rPr>
                <w:spacing w:val="-2"/>
                <w:szCs w:val="20"/>
              </w:rPr>
              <w:t> %</w:t>
            </w:r>
            <w:r w:rsidR="00097078">
              <w:rPr>
                <w:spacing w:val="-2"/>
                <w:szCs w:val="20"/>
              </w:rPr>
              <w:t>)</w:t>
            </w:r>
            <w:r w:rsidR="00097078" w:rsidRPr="004C7154">
              <w:rPr>
                <w:spacing w:val="-2"/>
                <w:szCs w:val="20"/>
              </w:rPr>
              <w:t xml:space="preserve">. Naopak zhruba </w:t>
            </w:r>
            <w:r w:rsidRPr="004C7154">
              <w:rPr>
                <w:spacing w:val="-2"/>
                <w:szCs w:val="20"/>
              </w:rPr>
              <w:t>o</w:t>
            </w:r>
            <w:r>
              <w:rPr>
                <w:spacing w:val="-2"/>
                <w:szCs w:val="20"/>
              </w:rPr>
              <w:t> </w:t>
            </w:r>
            <w:r w:rsidR="00097078" w:rsidRPr="004C7154">
              <w:rPr>
                <w:spacing w:val="-2"/>
                <w:szCs w:val="20"/>
              </w:rPr>
              <w:t xml:space="preserve">osminu pod úrovní národního hospodářství se nacházelo odvětví vodního a odpadového hospodářství. Oproti roku 2017 se </w:t>
            </w:r>
            <w:r w:rsidR="00097078">
              <w:rPr>
                <w:spacing w:val="-2"/>
                <w:szCs w:val="20"/>
              </w:rPr>
              <w:t xml:space="preserve">jednotkové pracovní </w:t>
            </w:r>
            <w:r w:rsidR="00097078">
              <w:rPr>
                <w:spacing w:val="-2"/>
                <w:szCs w:val="20"/>
              </w:rPr>
              <w:lastRenderedPageBreak/>
              <w:t xml:space="preserve">náklady </w:t>
            </w:r>
            <w:r w:rsidR="00097078" w:rsidRPr="004C7154">
              <w:rPr>
                <w:spacing w:val="-2"/>
                <w:szCs w:val="20"/>
              </w:rPr>
              <w:t xml:space="preserve">v průmyslu zvýšily </w:t>
            </w:r>
            <w:r w:rsidRPr="004C7154">
              <w:rPr>
                <w:spacing w:val="-2"/>
                <w:szCs w:val="20"/>
              </w:rPr>
              <w:t>o</w:t>
            </w:r>
            <w:r>
              <w:rPr>
                <w:spacing w:val="-2"/>
                <w:szCs w:val="20"/>
              </w:rPr>
              <w:t> </w:t>
            </w:r>
            <w:r w:rsidR="00097078" w:rsidRPr="004C7154">
              <w:rPr>
                <w:spacing w:val="-2"/>
                <w:szCs w:val="20"/>
              </w:rPr>
              <w:t>7,8</w:t>
            </w:r>
            <w:r w:rsidR="006E33D0">
              <w:rPr>
                <w:spacing w:val="-2"/>
                <w:szCs w:val="20"/>
              </w:rPr>
              <w:t> %</w:t>
            </w:r>
            <w:r w:rsidR="00097078" w:rsidRPr="004C7154">
              <w:rPr>
                <w:spacing w:val="-2"/>
                <w:szCs w:val="20"/>
              </w:rPr>
              <w:t xml:space="preserve">, v celé ekonomice, kde jejich tempo sílilo již pátým rokem v řadě, dokonce </w:t>
            </w:r>
            <w:r w:rsidRPr="004C7154">
              <w:rPr>
                <w:spacing w:val="-2"/>
                <w:szCs w:val="20"/>
              </w:rPr>
              <w:t>o</w:t>
            </w:r>
            <w:r>
              <w:rPr>
                <w:spacing w:val="-2"/>
                <w:szCs w:val="20"/>
              </w:rPr>
              <w:t> </w:t>
            </w:r>
            <w:r w:rsidR="00097078" w:rsidRPr="004C7154">
              <w:rPr>
                <w:spacing w:val="-2"/>
                <w:szCs w:val="20"/>
              </w:rPr>
              <w:t>8,1</w:t>
            </w:r>
            <w:r w:rsidR="006E33D0">
              <w:rPr>
                <w:spacing w:val="-2"/>
                <w:szCs w:val="20"/>
              </w:rPr>
              <w:t> %</w:t>
            </w:r>
            <w:r w:rsidR="00097078" w:rsidRPr="004C7154">
              <w:rPr>
                <w:spacing w:val="-2"/>
                <w:szCs w:val="20"/>
              </w:rPr>
              <w:t>. Výše uvedený vývoj odpovídá faktu, že ekonomika se v roce 2018 nacházela těsně za vrcholem konju</w:t>
            </w:r>
            <w:r w:rsidR="00352945">
              <w:rPr>
                <w:spacing w:val="-2"/>
                <w:szCs w:val="20"/>
              </w:rPr>
              <w:t>n</w:t>
            </w:r>
            <w:r w:rsidR="00097078" w:rsidRPr="004C7154">
              <w:rPr>
                <w:spacing w:val="-2"/>
                <w:szCs w:val="20"/>
              </w:rPr>
              <w:t>ktury</w:t>
            </w:r>
            <w:r w:rsidR="007142BA">
              <w:rPr>
                <w:spacing w:val="-2"/>
                <w:szCs w:val="20"/>
              </w:rPr>
              <w:t>,</w:t>
            </w:r>
            <w:r w:rsidR="00097078" w:rsidRPr="004C7154">
              <w:rPr>
                <w:spacing w:val="-2"/>
                <w:szCs w:val="20"/>
              </w:rPr>
              <w:t xml:space="preserve"> </w:t>
            </w:r>
            <w:r w:rsidRPr="004C7154">
              <w:rPr>
                <w:spacing w:val="-2"/>
                <w:szCs w:val="20"/>
              </w:rPr>
              <w:t>a</w:t>
            </w:r>
            <w:r>
              <w:rPr>
                <w:spacing w:val="-2"/>
                <w:szCs w:val="20"/>
              </w:rPr>
              <w:t> </w:t>
            </w:r>
            <w:r w:rsidR="00097078" w:rsidRPr="004C7154">
              <w:rPr>
                <w:spacing w:val="-2"/>
                <w:szCs w:val="20"/>
              </w:rPr>
              <w:t xml:space="preserve">mzdový růst tak kulminoval. Mezi lety 2013 </w:t>
            </w:r>
            <w:r w:rsidRPr="004C7154">
              <w:rPr>
                <w:spacing w:val="-2"/>
                <w:szCs w:val="20"/>
              </w:rPr>
              <w:t>a</w:t>
            </w:r>
            <w:r>
              <w:rPr>
                <w:spacing w:val="-2"/>
                <w:szCs w:val="20"/>
              </w:rPr>
              <w:t> </w:t>
            </w:r>
            <w:r w:rsidR="00097078" w:rsidRPr="004C7154">
              <w:rPr>
                <w:spacing w:val="-2"/>
                <w:szCs w:val="20"/>
              </w:rPr>
              <w:t>2018 se jednotkové pracovní náklady v průmyslu, podobně jako v celé ekonomice, navýšily o 27 %. Z předchozího období recese se nejrychleji vzpamatoval zpracovat</w:t>
            </w:r>
            <w:r w:rsidR="00097078">
              <w:rPr>
                <w:spacing w:val="-2"/>
                <w:szCs w:val="20"/>
              </w:rPr>
              <w:t>elský průmysl, naopak v těžbě a</w:t>
            </w:r>
            <w:r w:rsidR="00097078">
              <w:rPr>
                <w:szCs w:val="20"/>
              </w:rPr>
              <w:t> </w:t>
            </w:r>
            <w:r w:rsidR="00097078" w:rsidRPr="004C7154">
              <w:rPr>
                <w:spacing w:val="-2"/>
                <w:szCs w:val="20"/>
              </w:rPr>
              <w:t>dobývání se růstový trend pracovních nákladů projevil až v roce 2017.</w:t>
            </w:r>
          </w:p>
        </w:tc>
      </w:tr>
      <w:tr w:rsidR="00097078" w14:paraId="105935EA" w14:textId="77777777" w:rsidTr="00EC1470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E3BE1" w14:textId="77777777" w:rsidR="00097078" w:rsidRDefault="00097078" w:rsidP="00044059">
            <w:pPr>
              <w:pStyle w:val="Marginlie"/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C0C58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24B23" w14:textId="4F55AA3B" w:rsidR="00097078" w:rsidRPr="00980A65" w:rsidRDefault="00097078" w:rsidP="00044059">
            <w:pPr>
              <w:spacing w:after="0"/>
              <w:rPr>
                <w:b/>
                <w:szCs w:val="20"/>
              </w:rPr>
            </w:pPr>
            <w:r w:rsidRPr="00980A65">
              <w:rPr>
                <w:b/>
                <w:szCs w:val="20"/>
              </w:rPr>
              <w:t>Graf</w:t>
            </w:r>
            <w:r w:rsidR="006E33D0">
              <w:rPr>
                <w:b/>
                <w:szCs w:val="20"/>
              </w:rPr>
              <w:t xml:space="preserve"> č. </w:t>
            </w:r>
            <w:r w:rsidR="004C0391">
              <w:rPr>
                <w:b/>
                <w:szCs w:val="20"/>
              </w:rPr>
              <w:t>16</w:t>
            </w:r>
            <w:r>
              <w:rPr>
                <w:b/>
                <w:szCs w:val="20"/>
              </w:rPr>
              <w:t xml:space="preserve">:  Úplné náklady práce na zaměstnance* v hlavních odvětvích průmyslu </w:t>
            </w:r>
            <w:r w:rsidR="00307E77">
              <w:rPr>
                <w:b/>
                <w:szCs w:val="20"/>
              </w:rPr>
              <w:t>a </w:t>
            </w:r>
            <w:r>
              <w:rPr>
                <w:b/>
                <w:szCs w:val="20"/>
              </w:rPr>
              <w:t xml:space="preserve">v národním hospodářství </w:t>
            </w:r>
            <w:r w:rsidRPr="000F5932">
              <w:rPr>
                <w:szCs w:val="20"/>
              </w:rPr>
              <w:t>(úroveň 2008</w:t>
            </w:r>
            <w:r w:rsidR="007142BA">
              <w:rPr>
                <w:szCs w:val="20"/>
              </w:rPr>
              <w:t> </w:t>
            </w:r>
            <w:r w:rsidRPr="000F5932">
              <w:rPr>
                <w:szCs w:val="20"/>
              </w:rPr>
              <w:t>=</w:t>
            </w:r>
            <w:r w:rsidR="007142BA">
              <w:rPr>
                <w:szCs w:val="20"/>
              </w:rPr>
              <w:t> </w:t>
            </w:r>
            <w:r w:rsidRPr="000F5932">
              <w:rPr>
                <w:szCs w:val="20"/>
              </w:rPr>
              <w:t xml:space="preserve">100), </w:t>
            </w:r>
            <w:r>
              <w:rPr>
                <w:b/>
                <w:szCs w:val="20"/>
              </w:rPr>
              <w:t xml:space="preserve">implicitní deflátor HDP </w:t>
            </w:r>
            <w:r w:rsidRPr="000F5932">
              <w:rPr>
                <w:szCs w:val="20"/>
              </w:rPr>
              <w:t>(2008</w:t>
            </w:r>
            <w:r w:rsidR="007142BA">
              <w:rPr>
                <w:szCs w:val="20"/>
              </w:rPr>
              <w:t> </w:t>
            </w:r>
            <w:r w:rsidRPr="000F5932">
              <w:rPr>
                <w:szCs w:val="20"/>
              </w:rPr>
              <w:t>=</w:t>
            </w:r>
            <w:r w:rsidR="007142BA">
              <w:rPr>
                <w:szCs w:val="20"/>
              </w:rPr>
              <w:t> </w:t>
            </w:r>
            <w:r w:rsidRPr="000F5932">
              <w:rPr>
                <w:szCs w:val="20"/>
              </w:rPr>
              <w:t xml:space="preserve">100) </w:t>
            </w:r>
            <w:r w:rsidR="00307E77">
              <w:rPr>
                <w:b/>
                <w:szCs w:val="20"/>
              </w:rPr>
              <w:t>a </w:t>
            </w:r>
            <w:r>
              <w:rPr>
                <w:b/>
                <w:szCs w:val="20"/>
              </w:rPr>
              <w:t xml:space="preserve">podíl vybraných druhů nákladů na celkových nákladech práce v průmyslu </w:t>
            </w:r>
            <w:r w:rsidRPr="000F5932">
              <w:rPr>
                <w:szCs w:val="20"/>
              </w:rPr>
              <w:t>(v</w:t>
            </w:r>
            <w:r w:rsidR="006E33D0">
              <w:rPr>
                <w:szCs w:val="20"/>
              </w:rPr>
              <w:t> %</w:t>
            </w:r>
            <w:r w:rsidRPr="000F5932">
              <w:rPr>
                <w:szCs w:val="20"/>
              </w:rPr>
              <w:t>)</w:t>
            </w:r>
          </w:p>
        </w:tc>
      </w:tr>
      <w:tr w:rsidR="00097078" w14:paraId="54252EF3" w14:textId="77777777" w:rsidTr="00EC1470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60E53" w14:textId="77777777" w:rsidR="00097078" w:rsidRDefault="00097078" w:rsidP="00044059">
            <w:pPr>
              <w:pStyle w:val="Marginlie"/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06875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43654" w14:textId="3805BD09" w:rsidR="00097078" w:rsidRDefault="00973148" w:rsidP="00044059">
            <w:pPr>
              <w:spacing w:after="0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F31E181" wp14:editId="499DF3C8">
                  <wp:extent cx="4790364" cy="3473355"/>
                  <wp:effectExtent l="0" t="0" r="0" b="0"/>
                  <wp:docPr id="11" name="Graf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  <w:tr w:rsidR="00097078" w14:paraId="6A14724A" w14:textId="77777777" w:rsidTr="00EC1470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6F2A0" w14:textId="77777777" w:rsidR="00097078" w:rsidRDefault="00097078" w:rsidP="00044059">
            <w:pPr>
              <w:pStyle w:val="Marginlie"/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6AF81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7B75C" w14:textId="1D09E8ED" w:rsidR="00097078" w:rsidRDefault="00097078" w:rsidP="00044059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Pr="00F710D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Jde </w:t>
            </w:r>
            <w:r w:rsidR="00307E77">
              <w:rPr>
                <w:sz w:val="14"/>
                <w:szCs w:val="14"/>
              </w:rPr>
              <w:t>o </w:t>
            </w:r>
            <w:r>
              <w:rPr>
                <w:sz w:val="14"/>
                <w:szCs w:val="14"/>
              </w:rPr>
              <w:t xml:space="preserve">počet zaměstnanců </w:t>
            </w:r>
            <w:r w:rsidRPr="00F710D4">
              <w:rPr>
                <w:sz w:val="14"/>
                <w:szCs w:val="14"/>
              </w:rPr>
              <w:t>přepočtených na plné úvazky.</w:t>
            </w:r>
          </w:p>
          <w:p w14:paraId="062239EA" w14:textId="77777777" w:rsidR="00097078" w:rsidRDefault="00097078" w:rsidP="00044059">
            <w:pPr>
              <w:spacing w:after="22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Zdroj: ČSÚ (podniková statistika, národní účty)</w:t>
            </w:r>
          </w:p>
        </w:tc>
      </w:tr>
      <w:tr w:rsidR="00097078" w14:paraId="091B9D83" w14:textId="77777777" w:rsidTr="00EC1470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16823" w14:textId="71F0C0E9" w:rsidR="00097078" w:rsidRDefault="00097078" w:rsidP="00044059">
            <w:pPr>
              <w:pStyle w:val="Marginlie"/>
            </w:pPr>
            <w:r>
              <w:t xml:space="preserve">Mezi roky 2008 </w:t>
            </w:r>
            <w:r w:rsidR="00307E77">
              <w:t>a </w:t>
            </w:r>
            <w:r>
              <w:t xml:space="preserve">2013 vzrostly průměrné pracovní náklady v průmyslu více než dvojnásobným tempem než </w:t>
            </w:r>
            <w:r w:rsidR="007A33A6">
              <w:t>v </w:t>
            </w:r>
            <w:r>
              <w:t>celé ekonomice.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4C5BA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2678F" w14:textId="4CE55629" w:rsidR="00097078" w:rsidRPr="00710245" w:rsidRDefault="00307E77" w:rsidP="00044059">
            <w:pPr>
              <w:spacing w:after="220"/>
              <w:rPr>
                <w:spacing w:val="-2"/>
                <w:szCs w:val="20"/>
              </w:rPr>
            </w:pPr>
            <w:r w:rsidRPr="00710245">
              <w:rPr>
                <w:spacing w:val="-2"/>
                <w:szCs w:val="20"/>
              </w:rPr>
              <w:t>V</w:t>
            </w:r>
            <w:r>
              <w:rPr>
                <w:spacing w:val="-2"/>
                <w:szCs w:val="20"/>
              </w:rPr>
              <w:t> </w:t>
            </w:r>
            <w:r w:rsidR="00097078" w:rsidRPr="00710245">
              <w:rPr>
                <w:spacing w:val="-2"/>
                <w:szCs w:val="20"/>
              </w:rPr>
              <w:t xml:space="preserve">období mezi roky 2008 </w:t>
            </w:r>
            <w:r w:rsidRPr="00710245">
              <w:rPr>
                <w:spacing w:val="-2"/>
                <w:szCs w:val="20"/>
              </w:rPr>
              <w:t>a</w:t>
            </w:r>
            <w:r>
              <w:rPr>
                <w:spacing w:val="-2"/>
                <w:szCs w:val="20"/>
              </w:rPr>
              <w:t> </w:t>
            </w:r>
            <w:r w:rsidR="00097078" w:rsidRPr="00710245">
              <w:rPr>
                <w:spacing w:val="-2"/>
                <w:szCs w:val="20"/>
              </w:rPr>
              <w:t xml:space="preserve">2013, vyplněném dvěma hospodářskými recesemi, vzrostly jednotkové pracovní náklady v průmyslu v úhrnu </w:t>
            </w:r>
            <w:r w:rsidRPr="00710245">
              <w:rPr>
                <w:spacing w:val="-2"/>
                <w:szCs w:val="20"/>
              </w:rPr>
              <w:t>o</w:t>
            </w:r>
            <w:r>
              <w:rPr>
                <w:spacing w:val="-2"/>
                <w:szCs w:val="20"/>
              </w:rPr>
              <w:t> </w:t>
            </w:r>
            <w:r w:rsidR="00097078" w:rsidRPr="00710245">
              <w:rPr>
                <w:spacing w:val="-2"/>
                <w:szCs w:val="20"/>
              </w:rPr>
              <w:t>15</w:t>
            </w:r>
            <w:r w:rsidR="006E33D0">
              <w:rPr>
                <w:spacing w:val="-2"/>
                <w:szCs w:val="20"/>
              </w:rPr>
              <w:t> %</w:t>
            </w:r>
            <w:r w:rsidR="00097078" w:rsidRPr="00710245">
              <w:rPr>
                <w:spacing w:val="-2"/>
                <w:szCs w:val="20"/>
              </w:rPr>
              <w:t>, tedy více než dvojnásobným tempem nežli v celém národním hospodářství. Tato diskrepance byla primárně způsobena tím, že průmysl na rozdíl od většiny ostatních odvětví zareagoval na nastupující recesi významným poklesem zaměstnanosti, což dalo při růstu produktivity práce v dalších letech prostor pro dynamičtější vývoj průměrných mezd. To se týkalo zejména zpracovatelského průmyslu.</w:t>
            </w:r>
          </w:p>
        </w:tc>
      </w:tr>
      <w:tr w:rsidR="00097078" w14:paraId="60B8721B" w14:textId="77777777" w:rsidTr="00EC1470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4F2B6" w14:textId="77777777" w:rsidR="00307E77" w:rsidRDefault="00097078" w:rsidP="00044059">
            <w:pPr>
              <w:pStyle w:val="Marginlie"/>
            </w:pPr>
            <w:r>
              <w:t xml:space="preserve">Podíl sociálních požitků </w:t>
            </w:r>
            <w:r w:rsidR="00307E77">
              <w:t>a </w:t>
            </w:r>
            <w:r>
              <w:t>ostatních sociálních nákladů byl v průmyslu dlouhodobě stabilní. To neplatilo jen pro rok 2009, kdy došlo k růstu vlivem vyššího objemu vyplaceného odstupného.</w:t>
            </w:r>
          </w:p>
          <w:p w14:paraId="702B9686" w14:textId="18ACBB95" w:rsidR="00097078" w:rsidRDefault="00097078" w:rsidP="00044059">
            <w:pPr>
              <w:pStyle w:val="Marginlie"/>
            </w:pPr>
          </w:p>
          <w:p w14:paraId="533A8FF5" w14:textId="48D11C85" w:rsidR="00097078" w:rsidRDefault="00097078" w:rsidP="00044059">
            <w:pPr>
              <w:pStyle w:val="Marginlie"/>
            </w:pPr>
            <w:r>
              <w:t xml:space="preserve">Podíl sociálních požitků </w:t>
            </w:r>
            <w:r w:rsidR="00307E77">
              <w:t>a </w:t>
            </w:r>
            <w:r>
              <w:t xml:space="preserve">ostatních sociálních nákladů byl nejvyšší </w:t>
            </w:r>
            <w:r>
              <w:lastRenderedPageBreak/>
              <w:t xml:space="preserve">v energetice </w:t>
            </w:r>
            <w:r w:rsidR="00307E77">
              <w:t>a </w:t>
            </w:r>
            <w:r>
              <w:t>těžební</w:t>
            </w:r>
            <w:r w:rsidR="007A33A6">
              <w:t>m</w:t>
            </w:r>
            <w:r>
              <w:t xml:space="preserve"> průmyslu.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19ED2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69896" w14:textId="57F89224" w:rsidR="00097078" w:rsidRPr="00710245" w:rsidRDefault="00097078" w:rsidP="00044059">
            <w:pPr>
              <w:spacing w:after="220"/>
              <w:rPr>
                <w:spacing w:val="-2"/>
                <w:szCs w:val="20"/>
              </w:rPr>
            </w:pPr>
            <w:r w:rsidRPr="00710245">
              <w:rPr>
                <w:spacing w:val="-2"/>
                <w:szCs w:val="20"/>
              </w:rPr>
              <w:t xml:space="preserve">Vývoj celkových pracovních nákladů nezávisí pouze na dynamice průměrných mezd či legislativních změnách ovlivňujících výši povinných </w:t>
            </w:r>
            <w:r w:rsidR="007A33A6" w:rsidRPr="00710245">
              <w:rPr>
                <w:spacing w:val="-2"/>
                <w:szCs w:val="20"/>
              </w:rPr>
              <w:t>o</w:t>
            </w:r>
            <w:r w:rsidR="007A33A6">
              <w:rPr>
                <w:spacing w:val="-2"/>
                <w:szCs w:val="20"/>
              </w:rPr>
              <w:t>d</w:t>
            </w:r>
            <w:r w:rsidR="007A33A6" w:rsidRPr="00710245">
              <w:rPr>
                <w:spacing w:val="-2"/>
                <w:szCs w:val="20"/>
              </w:rPr>
              <w:t xml:space="preserve">vodů </w:t>
            </w:r>
            <w:r w:rsidRPr="00710245">
              <w:rPr>
                <w:spacing w:val="-2"/>
                <w:szCs w:val="20"/>
              </w:rPr>
              <w:t xml:space="preserve">pojistného za zaměstnance. Je ovlivněn </w:t>
            </w:r>
            <w:r w:rsidR="00307E77" w:rsidRPr="00710245">
              <w:rPr>
                <w:spacing w:val="-2"/>
                <w:szCs w:val="20"/>
              </w:rPr>
              <w:t>i</w:t>
            </w:r>
            <w:r w:rsidR="00307E77">
              <w:rPr>
                <w:spacing w:val="-2"/>
                <w:szCs w:val="20"/>
              </w:rPr>
              <w:t> </w:t>
            </w:r>
            <w:r w:rsidRPr="00710245">
              <w:rPr>
                <w:spacing w:val="-2"/>
                <w:szCs w:val="20"/>
              </w:rPr>
              <w:t xml:space="preserve">dynamikou zaměstnaneckých benefitů či personálních výdajů. Podíl těchto položek na celkových pracovních nákladech v průmyslu byl však v hodnoceném období překvapivě stabilní. Určitou </w:t>
            </w:r>
            <w:r w:rsidR="007A33A6" w:rsidRPr="00710245">
              <w:rPr>
                <w:spacing w:val="-2"/>
                <w:szCs w:val="20"/>
              </w:rPr>
              <w:t>anomáli</w:t>
            </w:r>
            <w:r w:rsidR="007A33A6">
              <w:rPr>
                <w:spacing w:val="-2"/>
                <w:szCs w:val="20"/>
              </w:rPr>
              <w:t>i</w:t>
            </w:r>
            <w:r w:rsidR="007A33A6" w:rsidRPr="00710245">
              <w:rPr>
                <w:spacing w:val="-2"/>
                <w:szCs w:val="20"/>
              </w:rPr>
              <w:t xml:space="preserve"> </w:t>
            </w:r>
            <w:r w:rsidRPr="00710245">
              <w:rPr>
                <w:spacing w:val="-2"/>
                <w:szCs w:val="20"/>
              </w:rPr>
              <w:t xml:space="preserve">představoval rok 2009, kdy posílení váhy sociálních nákladů souviselo s nárůstem vyplaceného odstupného. Paralelně s tím vlivem nižší poptávky podniků po nových pracovnících klesla váha personálních výdajů. </w:t>
            </w:r>
            <w:r w:rsidR="00307E77" w:rsidRPr="00710245">
              <w:rPr>
                <w:spacing w:val="-2"/>
                <w:szCs w:val="20"/>
              </w:rPr>
              <w:t>V</w:t>
            </w:r>
            <w:r w:rsidR="00307E77">
              <w:rPr>
                <w:spacing w:val="-2"/>
                <w:szCs w:val="20"/>
              </w:rPr>
              <w:t> </w:t>
            </w:r>
            <w:r w:rsidRPr="00710245">
              <w:rPr>
                <w:spacing w:val="-2"/>
                <w:szCs w:val="20"/>
              </w:rPr>
              <w:t>období sílící konjunktury na sklonku poslední dekády podíl personálních nákladů mírně rostl, část nákladů na nábor nových zaměstnanců ale nesly pracovní agentury, jejichž služeb si průmyslové podniky</w:t>
            </w:r>
            <w:r w:rsidR="007A33A6" w:rsidRPr="00710245">
              <w:rPr>
                <w:spacing w:val="-2"/>
                <w:szCs w:val="20"/>
              </w:rPr>
              <w:t xml:space="preserve"> uvykly</w:t>
            </w:r>
            <w:r w:rsidRPr="00710245">
              <w:rPr>
                <w:spacing w:val="-2"/>
                <w:szCs w:val="20"/>
              </w:rPr>
              <w:t xml:space="preserve"> standardně využívat. V období sílícího nedostatku disponibilní pracovní síly (zejména na tuzemském pracovním trhu) byly průmyslové podniky vedle </w:t>
            </w:r>
            <w:r w:rsidRPr="00710245">
              <w:rPr>
                <w:spacing w:val="-2"/>
                <w:szCs w:val="20"/>
              </w:rPr>
              <w:lastRenderedPageBreak/>
              <w:t xml:space="preserve">mzdového růstu nuceny přistoupit </w:t>
            </w:r>
            <w:r w:rsidR="00307E77" w:rsidRPr="00710245">
              <w:rPr>
                <w:spacing w:val="-2"/>
                <w:szCs w:val="20"/>
              </w:rPr>
              <w:t>i</w:t>
            </w:r>
            <w:r w:rsidR="00307E77">
              <w:rPr>
                <w:spacing w:val="-2"/>
                <w:szCs w:val="20"/>
              </w:rPr>
              <w:t> </w:t>
            </w:r>
            <w:r w:rsidR="00307E77" w:rsidRPr="00710245">
              <w:rPr>
                <w:spacing w:val="-2"/>
                <w:szCs w:val="20"/>
              </w:rPr>
              <w:t>k</w:t>
            </w:r>
            <w:r w:rsidR="00307E77">
              <w:rPr>
                <w:spacing w:val="-2"/>
                <w:szCs w:val="20"/>
              </w:rPr>
              <w:t> </w:t>
            </w:r>
            <w:r w:rsidRPr="00710245">
              <w:rPr>
                <w:spacing w:val="-2"/>
                <w:szCs w:val="20"/>
              </w:rPr>
              <w:t xml:space="preserve">posílení zaměstnaneckých benefitů. Podíl sociálních požitků </w:t>
            </w:r>
            <w:r w:rsidR="00307E77" w:rsidRPr="00710245">
              <w:rPr>
                <w:spacing w:val="-2"/>
                <w:szCs w:val="20"/>
              </w:rPr>
              <w:t>a</w:t>
            </w:r>
            <w:r w:rsidR="00307E77">
              <w:rPr>
                <w:spacing w:val="-2"/>
                <w:szCs w:val="20"/>
              </w:rPr>
              <w:t> </w:t>
            </w:r>
            <w:r w:rsidRPr="00710245">
              <w:rPr>
                <w:spacing w:val="-2"/>
                <w:szCs w:val="20"/>
              </w:rPr>
              <w:t>ostatních sociálních nákladů na celkových nákladech práce v průmysl</w:t>
            </w:r>
            <w:r>
              <w:rPr>
                <w:spacing w:val="-2"/>
                <w:szCs w:val="20"/>
              </w:rPr>
              <w:t>u</w:t>
            </w:r>
            <w:r w:rsidRPr="00710245">
              <w:rPr>
                <w:spacing w:val="-2"/>
                <w:szCs w:val="20"/>
              </w:rPr>
              <w:t xml:space="preserve"> sice mezi roky 2014 </w:t>
            </w:r>
            <w:r w:rsidR="00307E77" w:rsidRPr="00710245">
              <w:rPr>
                <w:spacing w:val="-2"/>
                <w:szCs w:val="20"/>
              </w:rPr>
              <w:t>a</w:t>
            </w:r>
            <w:r w:rsidR="00307E77">
              <w:rPr>
                <w:spacing w:val="-2"/>
                <w:szCs w:val="20"/>
              </w:rPr>
              <w:t> </w:t>
            </w:r>
            <w:r w:rsidRPr="00710245">
              <w:rPr>
                <w:spacing w:val="-2"/>
                <w:szCs w:val="20"/>
              </w:rPr>
              <w:t>2018 stagnoval (na 2,7</w:t>
            </w:r>
            <w:r w:rsidR="006E33D0">
              <w:rPr>
                <w:spacing w:val="-2"/>
                <w:szCs w:val="20"/>
              </w:rPr>
              <w:t> %</w:t>
            </w:r>
            <w:r w:rsidRPr="00710245">
              <w:rPr>
                <w:spacing w:val="-2"/>
                <w:szCs w:val="20"/>
              </w:rPr>
              <w:t xml:space="preserve">), šlo ale </w:t>
            </w:r>
            <w:r w:rsidR="00307E77" w:rsidRPr="00710245">
              <w:rPr>
                <w:spacing w:val="-2"/>
                <w:szCs w:val="20"/>
              </w:rPr>
              <w:t>o</w:t>
            </w:r>
            <w:r w:rsidR="00307E77">
              <w:rPr>
                <w:spacing w:val="-2"/>
                <w:szCs w:val="20"/>
              </w:rPr>
              <w:t> </w:t>
            </w:r>
            <w:r w:rsidRPr="00710245">
              <w:rPr>
                <w:spacing w:val="-2"/>
                <w:szCs w:val="20"/>
              </w:rPr>
              <w:t>příznivější vývoj než v celé ekonomice, kde tento podíl mírně klesl (ze 2,4</w:t>
            </w:r>
            <w:r w:rsidR="006E33D0">
              <w:rPr>
                <w:spacing w:val="-2"/>
                <w:szCs w:val="20"/>
              </w:rPr>
              <w:t> %</w:t>
            </w:r>
            <w:r w:rsidRPr="00710245">
              <w:rPr>
                <w:spacing w:val="-2"/>
                <w:szCs w:val="20"/>
              </w:rPr>
              <w:t xml:space="preserve"> na 2,1</w:t>
            </w:r>
            <w:r w:rsidR="006E33D0">
              <w:rPr>
                <w:spacing w:val="-2"/>
                <w:szCs w:val="20"/>
              </w:rPr>
              <w:t> %</w:t>
            </w:r>
            <w:r w:rsidRPr="00710245">
              <w:rPr>
                <w:spacing w:val="-2"/>
                <w:szCs w:val="20"/>
              </w:rPr>
              <w:t xml:space="preserve">). Váha těchto položek se v rámci průmyslu </w:t>
            </w:r>
            <w:r>
              <w:rPr>
                <w:spacing w:val="-2"/>
                <w:szCs w:val="20"/>
              </w:rPr>
              <w:t>výrazně lišila</w:t>
            </w:r>
            <w:r w:rsidRPr="00710245">
              <w:rPr>
                <w:spacing w:val="-2"/>
                <w:szCs w:val="20"/>
              </w:rPr>
              <w:t>. Zatímco ve zpracovatelském průmyslu činila v roce 2018 jen 2,5</w:t>
            </w:r>
            <w:r w:rsidR="006E33D0">
              <w:rPr>
                <w:spacing w:val="-2"/>
                <w:szCs w:val="20"/>
              </w:rPr>
              <w:t> %</w:t>
            </w:r>
            <w:r w:rsidRPr="00710245">
              <w:rPr>
                <w:spacing w:val="-2"/>
                <w:szCs w:val="20"/>
              </w:rPr>
              <w:t xml:space="preserve">, v těžbě </w:t>
            </w:r>
            <w:r>
              <w:rPr>
                <w:spacing w:val="-2"/>
                <w:szCs w:val="20"/>
              </w:rPr>
              <w:t>a</w:t>
            </w:r>
            <w:r w:rsidRPr="00710245">
              <w:rPr>
                <w:spacing w:val="-2"/>
                <w:szCs w:val="20"/>
              </w:rPr>
              <w:t> dobývání, stejně jako v energetice oscilovala kolem 5</w:t>
            </w:r>
            <w:r w:rsidR="006E33D0">
              <w:rPr>
                <w:spacing w:val="-2"/>
                <w:szCs w:val="20"/>
              </w:rPr>
              <w:t> %</w:t>
            </w:r>
            <w:r w:rsidRPr="00710245">
              <w:rPr>
                <w:spacing w:val="-2"/>
                <w:szCs w:val="20"/>
              </w:rPr>
              <w:t xml:space="preserve"> </w:t>
            </w:r>
            <w:r w:rsidR="00307E77" w:rsidRPr="00710245">
              <w:rPr>
                <w:spacing w:val="-2"/>
                <w:szCs w:val="20"/>
              </w:rPr>
              <w:t>a</w:t>
            </w:r>
            <w:r w:rsidR="00307E77">
              <w:rPr>
                <w:spacing w:val="-2"/>
                <w:szCs w:val="20"/>
              </w:rPr>
              <w:t> </w:t>
            </w:r>
            <w:r w:rsidRPr="00710245">
              <w:rPr>
                <w:spacing w:val="-2"/>
                <w:szCs w:val="20"/>
              </w:rPr>
              <w:t>dosahovala nejvyšších hodnot ze všech odvětví ekonomiky.</w:t>
            </w:r>
          </w:p>
        </w:tc>
      </w:tr>
      <w:tr w:rsidR="00097078" w14:paraId="74AE9FF1" w14:textId="77777777" w:rsidTr="00EC1470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E57D1" w14:textId="77777777" w:rsidR="00097078" w:rsidRDefault="00097078" w:rsidP="00044059">
            <w:pPr>
              <w:pStyle w:val="Marginlie"/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BB6E2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3BA4C" w14:textId="5157FA15" w:rsidR="00097078" w:rsidRPr="00080AA5" w:rsidRDefault="00097078" w:rsidP="00044059">
            <w:pPr>
              <w:spacing w:after="220"/>
              <w:rPr>
                <w:spacing w:val="-2"/>
                <w:szCs w:val="20"/>
              </w:rPr>
            </w:pPr>
            <w:r w:rsidRPr="00080AA5">
              <w:rPr>
                <w:spacing w:val="-2"/>
                <w:szCs w:val="20"/>
              </w:rPr>
              <w:t xml:space="preserve">Celkové nominální náklady práce na zaměstnance vzrostly v nominálním vyjádření mezi roky 2008 </w:t>
            </w:r>
            <w:r w:rsidR="00307E77" w:rsidRPr="00080AA5">
              <w:rPr>
                <w:spacing w:val="-2"/>
                <w:szCs w:val="20"/>
              </w:rPr>
              <w:t>a</w:t>
            </w:r>
            <w:r w:rsidR="00307E77">
              <w:rPr>
                <w:spacing w:val="-2"/>
                <w:szCs w:val="20"/>
              </w:rPr>
              <w:t> </w:t>
            </w:r>
            <w:r w:rsidRPr="00080AA5">
              <w:rPr>
                <w:spacing w:val="-2"/>
                <w:szCs w:val="20"/>
              </w:rPr>
              <w:t xml:space="preserve">2018 v celé ekonomice </w:t>
            </w:r>
            <w:r w:rsidR="00307E77" w:rsidRPr="00080AA5">
              <w:rPr>
                <w:spacing w:val="-2"/>
                <w:szCs w:val="20"/>
              </w:rPr>
              <w:t>o</w:t>
            </w:r>
            <w:r w:rsidR="00307E77">
              <w:rPr>
                <w:spacing w:val="-2"/>
                <w:szCs w:val="20"/>
              </w:rPr>
              <w:t> </w:t>
            </w:r>
            <w:r w:rsidRPr="00080AA5">
              <w:rPr>
                <w:spacing w:val="-2"/>
                <w:szCs w:val="20"/>
              </w:rPr>
              <w:t>37</w:t>
            </w:r>
            <w:r w:rsidR="006E33D0">
              <w:rPr>
                <w:spacing w:val="-2"/>
                <w:szCs w:val="20"/>
              </w:rPr>
              <w:t> %</w:t>
            </w:r>
            <w:r w:rsidRPr="00080AA5">
              <w:rPr>
                <w:spacing w:val="-2"/>
                <w:szCs w:val="20"/>
              </w:rPr>
              <w:t xml:space="preserve">, v průmyslu </w:t>
            </w:r>
            <w:r w:rsidR="00307E77" w:rsidRPr="00080AA5">
              <w:rPr>
                <w:spacing w:val="-2"/>
                <w:szCs w:val="20"/>
              </w:rPr>
              <w:t>o</w:t>
            </w:r>
            <w:r w:rsidR="00307E77">
              <w:rPr>
                <w:spacing w:val="-2"/>
                <w:szCs w:val="20"/>
              </w:rPr>
              <w:t> </w:t>
            </w:r>
            <w:r w:rsidRPr="00080AA5">
              <w:rPr>
                <w:spacing w:val="-2"/>
                <w:szCs w:val="20"/>
              </w:rPr>
              <w:t>45</w:t>
            </w:r>
            <w:r w:rsidR="006E33D0">
              <w:rPr>
                <w:spacing w:val="-2"/>
                <w:szCs w:val="20"/>
              </w:rPr>
              <w:t> %</w:t>
            </w:r>
            <w:r w:rsidRPr="00080AA5">
              <w:rPr>
                <w:spacing w:val="-2"/>
                <w:szCs w:val="20"/>
              </w:rPr>
              <w:t xml:space="preserve">. Implicitní </w:t>
            </w:r>
            <w:r>
              <w:rPr>
                <w:spacing w:val="-2"/>
                <w:szCs w:val="20"/>
              </w:rPr>
              <w:t>deflátor HDP, zachycující změnu</w:t>
            </w:r>
            <w:r w:rsidRPr="00080AA5">
              <w:rPr>
                <w:spacing w:val="-2"/>
                <w:szCs w:val="20"/>
              </w:rPr>
              <w:t xml:space="preserve"> celkové cenové hladiny v</w:t>
            </w:r>
            <w:r w:rsidR="008657C3">
              <w:rPr>
                <w:spacing w:val="-2"/>
                <w:szCs w:val="20"/>
              </w:rPr>
              <w:t> </w:t>
            </w:r>
            <w:r w:rsidRPr="00080AA5">
              <w:rPr>
                <w:spacing w:val="-2"/>
                <w:szCs w:val="20"/>
              </w:rPr>
              <w:t>ekonomice</w:t>
            </w:r>
            <w:r w:rsidR="008657C3">
              <w:rPr>
                <w:spacing w:val="-2"/>
                <w:szCs w:val="20"/>
              </w:rPr>
              <w:t>,</w:t>
            </w:r>
            <w:r w:rsidRPr="00080AA5">
              <w:rPr>
                <w:spacing w:val="-2"/>
                <w:szCs w:val="20"/>
              </w:rPr>
              <w:t xml:space="preserve"> za</w:t>
            </w:r>
            <w:r>
              <w:rPr>
                <w:spacing w:val="-2"/>
                <w:szCs w:val="20"/>
              </w:rPr>
              <w:t xml:space="preserve"> stejné období posílil jen o</w:t>
            </w:r>
            <w:r w:rsidRPr="00080AA5">
              <w:rPr>
                <w:spacing w:val="-2"/>
                <w:szCs w:val="20"/>
              </w:rPr>
              <w:t> </w:t>
            </w:r>
            <w:r>
              <w:rPr>
                <w:spacing w:val="-2"/>
                <w:szCs w:val="20"/>
              </w:rPr>
              <w:t>13</w:t>
            </w:r>
            <w:r w:rsidRPr="00080AA5">
              <w:rPr>
                <w:spacing w:val="-2"/>
                <w:szCs w:val="20"/>
              </w:rPr>
              <w:t> %. Reálný růst nákladů musely podniky pokrýt, ideálně růstem produktivity práce.</w:t>
            </w:r>
          </w:p>
        </w:tc>
      </w:tr>
      <w:tr w:rsidR="00097078" w:rsidRPr="00245192" w14:paraId="3E0D90CB" w14:textId="77777777" w:rsidTr="00EC1470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AD271" w14:textId="77777777" w:rsidR="00097078" w:rsidRDefault="00097078" w:rsidP="00044059">
            <w:pPr>
              <w:pStyle w:val="Marginlie"/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8167C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2EFA3" w14:textId="77777777" w:rsidR="00A04326" w:rsidRDefault="004C0391" w:rsidP="00A04326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Graf</w:t>
            </w:r>
            <w:r w:rsidR="006E33D0">
              <w:rPr>
                <w:b/>
                <w:szCs w:val="20"/>
              </w:rPr>
              <w:t xml:space="preserve"> č. </w:t>
            </w:r>
            <w:r>
              <w:rPr>
                <w:b/>
                <w:szCs w:val="20"/>
              </w:rPr>
              <w:t>17</w:t>
            </w:r>
            <w:r w:rsidR="00097078" w:rsidRPr="00E23543">
              <w:rPr>
                <w:b/>
                <w:szCs w:val="20"/>
              </w:rPr>
              <w:t xml:space="preserve">  </w:t>
            </w:r>
            <w:r w:rsidR="00097078">
              <w:rPr>
                <w:b/>
                <w:szCs w:val="20"/>
              </w:rPr>
              <w:t>Produktivita práce</w:t>
            </w:r>
            <w:r w:rsidR="003674EB">
              <w:rPr>
                <w:b/>
                <w:szCs w:val="20"/>
              </w:rPr>
              <w:t>*</w:t>
            </w:r>
            <w:r w:rsidR="00A04326">
              <w:rPr>
                <w:b/>
                <w:szCs w:val="20"/>
              </w:rPr>
              <w:t xml:space="preserve">v průmyslu </w:t>
            </w:r>
            <w:r w:rsidR="00307E77">
              <w:rPr>
                <w:b/>
                <w:szCs w:val="20"/>
              </w:rPr>
              <w:t>a </w:t>
            </w:r>
            <w:r w:rsidR="00097078">
              <w:rPr>
                <w:b/>
                <w:szCs w:val="20"/>
              </w:rPr>
              <w:t xml:space="preserve">v národním hospodářství ČR </w:t>
            </w:r>
          </w:p>
          <w:p w14:paraId="6473804A" w14:textId="219A06C8" w:rsidR="00097078" w:rsidRPr="00E23543" w:rsidRDefault="00097078" w:rsidP="00A04326">
            <w:pPr>
              <w:spacing w:after="0"/>
              <w:rPr>
                <w:b/>
                <w:szCs w:val="20"/>
              </w:rPr>
            </w:pPr>
            <w:r>
              <w:rPr>
                <w:szCs w:val="20"/>
              </w:rPr>
              <w:t>(reálně, úroveň roku 2015</w:t>
            </w:r>
            <w:r w:rsidR="008657C3">
              <w:rPr>
                <w:szCs w:val="20"/>
              </w:rPr>
              <w:t> </w:t>
            </w:r>
            <w:r>
              <w:rPr>
                <w:szCs w:val="20"/>
              </w:rPr>
              <w:t>=</w:t>
            </w:r>
            <w:r w:rsidR="008657C3">
              <w:rPr>
                <w:szCs w:val="20"/>
              </w:rPr>
              <w:t> </w:t>
            </w:r>
            <w:r>
              <w:rPr>
                <w:szCs w:val="20"/>
              </w:rPr>
              <w:t>100, meziroční změna v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>)</w:t>
            </w:r>
          </w:p>
        </w:tc>
      </w:tr>
      <w:tr w:rsidR="00097078" w14:paraId="122FD6AB" w14:textId="77777777" w:rsidTr="00EC1470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88387" w14:textId="77777777" w:rsidR="00097078" w:rsidRDefault="00097078" w:rsidP="00044059">
            <w:pPr>
              <w:pStyle w:val="Marginlie"/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AAC56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20E00" w14:textId="2AAC9C5F" w:rsidR="00097078" w:rsidRDefault="00A04326" w:rsidP="00044059">
            <w:pPr>
              <w:spacing w:after="0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AF7A9C6" wp14:editId="6ED4007B">
                  <wp:extent cx="4693627" cy="3548914"/>
                  <wp:effectExtent l="0" t="0" r="0" b="0"/>
                  <wp:docPr id="12" name="Graf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  <w:tr w:rsidR="00097078" w14:paraId="7CC9127B" w14:textId="77777777" w:rsidTr="00EC1470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B083B" w14:textId="77777777" w:rsidR="00097078" w:rsidRDefault="00097078" w:rsidP="00044059">
            <w:pPr>
              <w:pStyle w:val="Marginlie"/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79C6B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21942" w14:textId="70B4344D" w:rsidR="00307E77" w:rsidRDefault="003674EB" w:rsidP="00345D77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*Hrubá přidaná hodnota vztažená na pracovníka, resp. </w:t>
            </w:r>
            <w:r w:rsidR="008657C3">
              <w:rPr>
                <w:sz w:val="14"/>
                <w:szCs w:val="14"/>
              </w:rPr>
              <w:t xml:space="preserve">na počet </w:t>
            </w:r>
            <w:r>
              <w:rPr>
                <w:sz w:val="14"/>
                <w:szCs w:val="14"/>
              </w:rPr>
              <w:t>odpracovaných hodin.</w:t>
            </w:r>
          </w:p>
          <w:p w14:paraId="1E3BF23F" w14:textId="756D4886" w:rsidR="00097078" w:rsidRPr="00F710D4" w:rsidRDefault="00097078" w:rsidP="00044059">
            <w:pPr>
              <w:spacing w:after="220"/>
              <w:rPr>
                <w:sz w:val="14"/>
                <w:szCs w:val="14"/>
              </w:rPr>
            </w:pPr>
            <w:r w:rsidRPr="00F710D4">
              <w:rPr>
                <w:sz w:val="14"/>
                <w:szCs w:val="14"/>
              </w:rPr>
              <w:t>Zdroj: ČSÚ (národní účty</w:t>
            </w:r>
            <w:r w:rsidR="008657C3">
              <w:rPr>
                <w:sz w:val="14"/>
                <w:szCs w:val="14"/>
              </w:rPr>
              <w:t>)</w:t>
            </w:r>
          </w:p>
        </w:tc>
      </w:tr>
      <w:tr w:rsidR="00097078" w14:paraId="618A1799" w14:textId="77777777" w:rsidTr="00EC1470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6F058" w14:textId="77777777" w:rsidR="00097078" w:rsidRDefault="00097078" w:rsidP="00044059">
            <w:pPr>
              <w:pStyle w:val="Marginlie"/>
            </w:pPr>
            <w:r>
              <w:t>Produktivita práce v průmyslu svižně rostla zejména po většinu minulé dekády,…</w:t>
            </w:r>
          </w:p>
          <w:p w14:paraId="78CF3CF4" w14:textId="77777777" w:rsidR="00097078" w:rsidRDefault="00097078" w:rsidP="00044059">
            <w:pPr>
              <w:pStyle w:val="Marginlie"/>
            </w:pPr>
          </w:p>
          <w:p w14:paraId="41624671" w14:textId="77777777" w:rsidR="00097078" w:rsidRDefault="00097078" w:rsidP="00044059">
            <w:pPr>
              <w:pStyle w:val="Marginlie"/>
            </w:pPr>
          </w:p>
          <w:p w14:paraId="723522CE" w14:textId="77777777" w:rsidR="00097078" w:rsidRDefault="00097078" w:rsidP="00044059">
            <w:pPr>
              <w:pStyle w:val="Marginlie"/>
            </w:pPr>
          </w:p>
          <w:p w14:paraId="7B853D28" w14:textId="4C8F5410" w:rsidR="00097078" w:rsidRDefault="006E33D0" w:rsidP="00044059">
            <w:pPr>
              <w:pStyle w:val="Marginlie"/>
            </w:pPr>
            <w:r>
              <w:t>… </w:t>
            </w:r>
            <w:r w:rsidR="00097078">
              <w:t>od roku 2010 patřila její dynamika ve srovnání s ostatními odvětvími spíše k průměrným, mj.</w:t>
            </w:r>
            <w:r w:rsidR="009560F8">
              <w:t> </w:t>
            </w:r>
            <w:r w:rsidR="00097078">
              <w:t xml:space="preserve">proto, že růst výkonu průmyslu byl spojen s většími nároky na </w:t>
            </w:r>
            <w:r w:rsidR="009560F8">
              <w:t xml:space="preserve">množství </w:t>
            </w:r>
            <w:r w:rsidR="00097078">
              <w:t>pracovní síly.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81F58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73788" w14:textId="72BBC030" w:rsidR="00097078" w:rsidRPr="00DF5246" w:rsidRDefault="00097078" w:rsidP="00F727F2">
            <w:pPr>
              <w:spacing w:after="220"/>
              <w:rPr>
                <w:spacing w:val="-3"/>
                <w:szCs w:val="20"/>
              </w:rPr>
            </w:pPr>
            <w:r w:rsidRPr="00DF5246">
              <w:rPr>
                <w:spacing w:val="-3"/>
                <w:szCs w:val="20"/>
              </w:rPr>
              <w:t>Reálná výše v průmyslu vytvořené hrubé přidané hodnoty vztažená na hodinu práce</w:t>
            </w:r>
            <w:r w:rsidR="00DD49ED" w:rsidRPr="00DF5246">
              <w:rPr>
                <w:spacing w:val="-3"/>
                <w:szCs w:val="20"/>
              </w:rPr>
              <w:t xml:space="preserve"> vykonanou</w:t>
            </w:r>
            <w:r w:rsidRPr="00DF5246">
              <w:rPr>
                <w:spacing w:val="-3"/>
                <w:szCs w:val="20"/>
              </w:rPr>
              <w:t xml:space="preserve"> v tomto odvětví všemi zaměstnanými osobami vzrostla v roce 2019 </w:t>
            </w:r>
            <w:r w:rsidR="00307E77" w:rsidRPr="00DF5246">
              <w:rPr>
                <w:spacing w:val="-3"/>
                <w:szCs w:val="20"/>
              </w:rPr>
              <w:t>o</w:t>
            </w:r>
            <w:r w:rsidR="00307E77">
              <w:rPr>
                <w:spacing w:val="-3"/>
                <w:szCs w:val="20"/>
              </w:rPr>
              <w:t> </w:t>
            </w:r>
            <w:r w:rsidRPr="00DF5246">
              <w:rPr>
                <w:spacing w:val="-3"/>
                <w:szCs w:val="20"/>
              </w:rPr>
              <w:t>2,9</w:t>
            </w:r>
            <w:r w:rsidR="006E33D0">
              <w:rPr>
                <w:spacing w:val="-3"/>
                <w:szCs w:val="20"/>
              </w:rPr>
              <w:t> %</w:t>
            </w:r>
            <w:r w:rsidRPr="00DF5246">
              <w:rPr>
                <w:spacing w:val="-3"/>
                <w:szCs w:val="20"/>
              </w:rPr>
              <w:t xml:space="preserve">, v celé ekonomice </w:t>
            </w:r>
            <w:r w:rsidR="00307E77" w:rsidRPr="00DF5246">
              <w:rPr>
                <w:spacing w:val="-3"/>
                <w:szCs w:val="20"/>
              </w:rPr>
              <w:t>o</w:t>
            </w:r>
            <w:r w:rsidR="00307E77">
              <w:rPr>
                <w:spacing w:val="-3"/>
                <w:szCs w:val="20"/>
              </w:rPr>
              <w:t> </w:t>
            </w:r>
            <w:r w:rsidRPr="00DF5246">
              <w:rPr>
                <w:spacing w:val="-3"/>
                <w:szCs w:val="20"/>
              </w:rPr>
              <w:t>rovná 2</w:t>
            </w:r>
            <w:r w:rsidR="006E33D0">
              <w:rPr>
                <w:spacing w:val="-3"/>
                <w:szCs w:val="20"/>
              </w:rPr>
              <w:t> %</w:t>
            </w:r>
            <w:r w:rsidRPr="00DF5246">
              <w:rPr>
                <w:spacing w:val="-3"/>
                <w:szCs w:val="20"/>
              </w:rPr>
              <w:t xml:space="preserve">. S ohledem na fakt, že trh práce reaguje v některých parametrech (např. v zaměstnanosti) na výkon ekonomiky s mírným zpožděním, bývají meziroční tempa produktivity práce občas rozkolísaná, </w:t>
            </w:r>
            <w:r w:rsidR="00307E77" w:rsidRPr="00DF5246">
              <w:rPr>
                <w:spacing w:val="-3"/>
                <w:szCs w:val="20"/>
              </w:rPr>
              <w:t>a</w:t>
            </w:r>
            <w:r w:rsidR="00307E77">
              <w:rPr>
                <w:spacing w:val="-3"/>
                <w:szCs w:val="20"/>
              </w:rPr>
              <w:t> </w:t>
            </w:r>
            <w:r w:rsidRPr="00DF5246">
              <w:rPr>
                <w:spacing w:val="-3"/>
                <w:szCs w:val="20"/>
              </w:rPr>
              <w:t xml:space="preserve">to zejména v obdobích zlomů v hospodářském cyklu. Proto je přiléhavější sledovat produktivitu v delších obdobích. Mezi roky 2000 </w:t>
            </w:r>
            <w:r w:rsidR="00307E77" w:rsidRPr="00DF5246">
              <w:rPr>
                <w:spacing w:val="-3"/>
                <w:szCs w:val="20"/>
              </w:rPr>
              <w:t>a</w:t>
            </w:r>
            <w:r w:rsidR="00307E77">
              <w:rPr>
                <w:spacing w:val="-3"/>
                <w:szCs w:val="20"/>
              </w:rPr>
              <w:t> </w:t>
            </w:r>
            <w:r w:rsidRPr="00DF5246">
              <w:rPr>
                <w:spacing w:val="-3"/>
                <w:szCs w:val="20"/>
              </w:rPr>
              <w:t xml:space="preserve">2010 se hodinová produktivita práce v průmyslu reálně zvýšila v úhrnu </w:t>
            </w:r>
            <w:r w:rsidR="00307E77" w:rsidRPr="00DF5246">
              <w:rPr>
                <w:spacing w:val="-3"/>
                <w:szCs w:val="20"/>
              </w:rPr>
              <w:t>o</w:t>
            </w:r>
            <w:r w:rsidR="00307E77">
              <w:rPr>
                <w:spacing w:val="-3"/>
                <w:szCs w:val="20"/>
              </w:rPr>
              <w:t> </w:t>
            </w:r>
            <w:r w:rsidRPr="00DF5246">
              <w:rPr>
                <w:spacing w:val="-3"/>
                <w:szCs w:val="20"/>
              </w:rPr>
              <w:t>83 %, což bylo více než dvojnásobné tempo oproti celé ekonomice. Dynamika v průmyslu tak patřila v rámci všech odvětví vůbec k nejvyšším. Její</w:t>
            </w:r>
            <w:r>
              <w:rPr>
                <w:spacing w:val="-3"/>
                <w:szCs w:val="20"/>
              </w:rPr>
              <w:t>m</w:t>
            </w:r>
            <w:r w:rsidRPr="00DF5246">
              <w:rPr>
                <w:spacing w:val="-3"/>
                <w:szCs w:val="20"/>
              </w:rPr>
              <w:t xml:space="preserve"> zdrojem byl silný růst výkonu (HPH) průmyslu, což byl pozitivní důsledek provedených investic </w:t>
            </w:r>
            <w:r w:rsidR="00307E77" w:rsidRPr="00DF5246">
              <w:rPr>
                <w:spacing w:val="-3"/>
                <w:szCs w:val="20"/>
              </w:rPr>
              <w:t>a</w:t>
            </w:r>
            <w:r w:rsidR="00307E77">
              <w:rPr>
                <w:spacing w:val="-3"/>
                <w:szCs w:val="20"/>
              </w:rPr>
              <w:t> </w:t>
            </w:r>
            <w:r w:rsidRPr="00DF5246">
              <w:rPr>
                <w:spacing w:val="-3"/>
                <w:szCs w:val="20"/>
              </w:rPr>
              <w:t xml:space="preserve">inovací ve výrobě, na kterých se významně podílel zahraniční kapitál směřující </w:t>
            </w:r>
            <w:r w:rsidR="00DD49ED">
              <w:rPr>
                <w:spacing w:val="-3"/>
                <w:szCs w:val="20"/>
              </w:rPr>
              <w:t>především</w:t>
            </w:r>
            <w:r w:rsidR="00DD49ED" w:rsidRPr="00DF5246">
              <w:rPr>
                <w:spacing w:val="-3"/>
                <w:szCs w:val="20"/>
              </w:rPr>
              <w:t xml:space="preserve"> </w:t>
            </w:r>
            <w:r w:rsidRPr="00DF5246">
              <w:rPr>
                <w:spacing w:val="-3"/>
                <w:szCs w:val="20"/>
              </w:rPr>
              <w:t xml:space="preserve">do strojního průmyslu. Zejména exportně </w:t>
            </w:r>
            <w:r w:rsidR="009560F8" w:rsidRPr="00DF5246">
              <w:rPr>
                <w:spacing w:val="-3"/>
                <w:szCs w:val="20"/>
              </w:rPr>
              <w:t>založený</w:t>
            </w:r>
            <w:r w:rsidR="009560F8">
              <w:rPr>
                <w:spacing w:val="-3"/>
                <w:szCs w:val="20"/>
              </w:rPr>
              <w:t>m</w:t>
            </w:r>
            <w:r w:rsidR="009560F8" w:rsidRPr="00DF5246">
              <w:rPr>
                <w:spacing w:val="-3"/>
                <w:szCs w:val="20"/>
              </w:rPr>
              <w:t xml:space="preserve"> </w:t>
            </w:r>
            <w:r w:rsidRPr="00DF5246">
              <w:rPr>
                <w:spacing w:val="-3"/>
                <w:szCs w:val="20"/>
              </w:rPr>
              <w:t xml:space="preserve">oborům průmyslu pomohl </w:t>
            </w:r>
            <w:r w:rsidR="00307E77" w:rsidRPr="00DF5246">
              <w:rPr>
                <w:spacing w:val="-3"/>
                <w:szCs w:val="20"/>
              </w:rPr>
              <w:t>i</w:t>
            </w:r>
            <w:r w:rsidR="00307E77">
              <w:rPr>
                <w:spacing w:val="-3"/>
                <w:szCs w:val="20"/>
              </w:rPr>
              <w:t> </w:t>
            </w:r>
            <w:r w:rsidRPr="00DF5246">
              <w:rPr>
                <w:spacing w:val="-3"/>
                <w:szCs w:val="20"/>
              </w:rPr>
              <w:t>přístup na jednotný evropský trh po vstup</w:t>
            </w:r>
            <w:r w:rsidR="009560F8">
              <w:rPr>
                <w:spacing w:val="-3"/>
                <w:szCs w:val="20"/>
              </w:rPr>
              <w:t>u</w:t>
            </w:r>
            <w:r w:rsidRPr="00DF5246">
              <w:rPr>
                <w:spacing w:val="-3"/>
                <w:szCs w:val="20"/>
              </w:rPr>
              <w:t xml:space="preserve"> ČR do</w:t>
            </w:r>
            <w:r w:rsidR="009560F8">
              <w:rPr>
                <w:spacing w:val="-3"/>
                <w:szCs w:val="20"/>
              </w:rPr>
              <w:t> </w:t>
            </w:r>
            <w:r w:rsidRPr="00DF5246">
              <w:rPr>
                <w:spacing w:val="-3"/>
                <w:szCs w:val="20"/>
              </w:rPr>
              <w:t xml:space="preserve">EU. Produktivitu práce v průmyslu podpořil na rozdíl od většiny ostatních odvětví i nižší počet odpracovaných hodin. Mezi roky 2010 </w:t>
            </w:r>
            <w:r w:rsidR="00307E77" w:rsidRPr="00DF5246">
              <w:rPr>
                <w:spacing w:val="-3"/>
                <w:szCs w:val="20"/>
              </w:rPr>
              <w:t>a</w:t>
            </w:r>
            <w:r w:rsidR="00307E77">
              <w:rPr>
                <w:spacing w:val="-3"/>
                <w:szCs w:val="20"/>
              </w:rPr>
              <w:t> </w:t>
            </w:r>
            <w:r w:rsidRPr="00DF5246">
              <w:rPr>
                <w:spacing w:val="-3"/>
                <w:szCs w:val="20"/>
              </w:rPr>
              <w:t>2019 hodinová produk</w:t>
            </w:r>
            <w:r w:rsidR="00F727F2">
              <w:rPr>
                <w:spacing w:val="-3"/>
                <w:szCs w:val="20"/>
              </w:rPr>
              <w:t xml:space="preserve">tivita v průmyslu posílila o 13 %, </w:t>
            </w:r>
            <w:r w:rsidRPr="00DF5246">
              <w:rPr>
                <w:spacing w:val="-3"/>
                <w:szCs w:val="20"/>
              </w:rPr>
              <w:t xml:space="preserve">v celé ekonomice </w:t>
            </w:r>
            <w:r w:rsidR="00307E77" w:rsidRPr="00DF5246">
              <w:rPr>
                <w:spacing w:val="-3"/>
                <w:szCs w:val="20"/>
              </w:rPr>
              <w:t>o</w:t>
            </w:r>
            <w:r w:rsidR="00307E77">
              <w:rPr>
                <w:spacing w:val="-3"/>
                <w:szCs w:val="20"/>
              </w:rPr>
              <w:t> </w:t>
            </w:r>
            <w:r w:rsidRPr="00DF5246">
              <w:rPr>
                <w:spacing w:val="-3"/>
                <w:szCs w:val="20"/>
              </w:rPr>
              <w:t>16</w:t>
            </w:r>
            <w:r w:rsidR="006E33D0">
              <w:rPr>
                <w:spacing w:val="-3"/>
                <w:szCs w:val="20"/>
              </w:rPr>
              <w:t> %</w:t>
            </w:r>
            <w:r w:rsidRPr="00DF5246">
              <w:rPr>
                <w:spacing w:val="-3"/>
                <w:szCs w:val="20"/>
              </w:rPr>
              <w:t xml:space="preserve">. </w:t>
            </w:r>
            <w:r w:rsidR="00F727F2">
              <w:rPr>
                <w:spacing w:val="-3"/>
                <w:szCs w:val="20"/>
              </w:rPr>
              <w:t xml:space="preserve">Na slabším růstu produktivity </w:t>
            </w:r>
            <w:r w:rsidR="00F727F2">
              <w:rPr>
                <w:spacing w:val="-3"/>
                <w:szCs w:val="20"/>
              </w:rPr>
              <w:lastRenderedPageBreak/>
              <w:t xml:space="preserve">v průmyslu se podílel zejména nepříznivý vývoj v letech 2012 a 2013. Růst výkonu průmyslu v následujícím </w:t>
            </w:r>
            <w:r w:rsidRPr="00DF5246">
              <w:rPr>
                <w:spacing w:val="-3"/>
                <w:szCs w:val="20"/>
              </w:rPr>
              <w:t>období vzestupné fáze hospodářského cyklu (po roce 2013) byl doprovázen posilování</w:t>
            </w:r>
            <w:r w:rsidR="009560F8">
              <w:rPr>
                <w:spacing w:val="-3"/>
                <w:szCs w:val="20"/>
              </w:rPr>
              <w:t>m</w:t>
            </w:r>
            <w:r w:rsidRPr="00DF5246">
              <w:rPr>
                <w:spacing w:val="-3"/>
                <w:szCs w:val="20"/>
              </w:rPr>
              <w:t xml:space="preserve"> zaměstnanost</w:t>
            </w:r>
            <w:r w:rsidR="009560F8">
              <w:rPr>
                <w:spacing w:val="-3"/>
                <w:szCs w:val="20"/>
              </w:rPr>
              <w:t>i</w:t>
            </w:r>
            <w:r w:rsidRPr="00DF5246">
              <w:rPr>
                <w:spacing w:val="-3"/>
                <w:szCs w:val="20"/>
              </w:rPr>
              <w:t>, resp. růstem počtu o</w:t>
            </w:r>
            <w:r w:rsidR="009560F8">
              <w:rPr>
                <w:spacing w:val="-3"/>
                <w:szCs w:val="20"/>
              </w:rPr>
              <w:t>d</w:t>
            </w:r>
            <w:r w:rsidRPr="00DF5246">
              <w:rPr>
                <w:spacing w:val="-3"/>
                <w:szCs w:val="20"/>
              </w:rPr>
              <w:t>pracovaných hodin.</w:t>
            </w:r>
          </w:p>
        </w:tc>
      </w:tr>
      <w:tr w:rsidR="00097078" w14:paraId="1665DB4A" w14:textId="77777777" w:rsidTr="00EC1470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83575" w14:textId="77777777" w:rsidR="00097078" w:rsidRDefault="00097078" w:rsidP="00044059">
            <w:pPr>
              <w:pStyle w:val="Marginlie"/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77A0E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25FE7" w14:textId="3F08B712" w:rsidR="00097078" w:rsidRDefault="004C0391" w:rsidP="00044059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spacing w:val="-4"/>
                <w:szCs w:val="20"/>
              </w:rPr>
              <w:t>Graf</w:t>
            </w:r>
            <w:r w:rsidR="006E33D0">
              <w:rPr>
                <w:b/>
                <w:spacing w:val="-4"/>
                <w:szCs w:val="20"/>
              </w:rPr>
              <w:t xml:space="preserve"> č. </w:t>
            </w:r>
            <w:r>
              <w:rPr>
                <w:b/>
                <w:spacing w:val="-4"/>
                <w:szCs w:val="20"/>
              </w:rPr>
              <w:t>18</w:t>
            </w:r>
            <w:r w:rsidR="00097078" w:rsidRPr="004A5601">
              <w:rPr>
                <w:b/>
                <w:spacing w:val="-4"/>
                <w:szCs w:val="20"/>
              </w:rPr>
              <w:t xml:space="preserve">  Hodinová produktivita práce v dílčích průmyslových odvětvích ČR v letech 2005, 2013 </w:t>
            </w:r>
            <w:r w:rsidR="00307E77" w:rsidRPr="004A5601">
              <w:rPr>
                <w:b/>
                <w:spacing w:val="-4"/>
                <w:szCs w:val="20"/>
              </w:rPr>
              <w:t>a</w:t>
            </w:r>
            <w:r w:rsidR="00307E77">
              <w:rPr>
                <w:b/>
                <w:spacing w:val="-4"/>
                <w:szCs w:val="20"/>
              </w:rPr>
              <w:t> </w:t>
            </w:r>
            <w:r w:rsidR="00097078" w:rsidRPr="004A5601">
              <w:rPr>
                <w:b/>
                <w:spacing w:val="-4"/>
                <w:szCs w:val="20"/>
              </w:rPr>
              <w:t xml:space="preserve">2019 </w:t>
            </w:r>
            <w:r w:rsidR="00097078" w:rsidRPr="004A5601">
              <w:rPr>
                <w:spacing w:val="-4"/>
                <w:szCs w:val="20"/>
              </w:rPr>
              <w:t>(nominální úroveň národního hospodářství v daném roce</w:t>
            </w:r>
            <w:r w:rsidR="00E270E1">
              <w:rPr>
                <w:spacing w:val="-4"/>
                <w:szCs w:val="20"/>
              </w:rPr>
              <w:t> </w:t>
            </w:r>
            <w:r w:rsidR="00097078" w:rsidRPr="004A5601">
              <w:rPr>
                <w:spacing w:val="-4"/>
                <w:szCs w:val="20"/>
              </w:rPr>
              <w:t>=</w:t>
            </w:r>
            <w:r w:rsidR="00E270E1">
              <w:rPr>
                <w:spacing w:val="-4"/>
                <w:szCs w:val="20"/>
              </w:rPr>
              <w:t> </w:t>
            </w:r>
            <w:r w:rsidR="00097078" w:rsidRPr="004A5601">
              <w:rPr>
                <w:spacing w:val="-4"/>
                <w:szCs w:val="20"/>
              </w:rPr>
              <w:t>100)</w:t>
            </w:r>
          </w:p>
        </w:tc>
      </w:tr>
      <w:tr w:rsidR="00097078" w14:paraId="7AD8BE19" w14:textId="77777777" w:rsidTr="00EC1470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A6C77" w14:textId="77777777" w:rsidR="00097078" w:rsidRDefault="00097078" w:rsidP="00044059">
            <w:pPr>
              <w:pStyle w:val="Marginlie"/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FEF1E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51C3A" w14:textId="0FBCA4F0" w:rsidR="00097078" w:rsidRDefault="00A04326" w:rsidP="00044059">
            <w:pPr>
              <w:spacing w:after="0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3103F09" wp14:editId="37034E9F">
                  <wp:extent cx="4798200" cy="3514249"/>
                  <wp:effectExtent l="0" t="0" r="2540" b="0"/>
                  <wp:docPr id="13" name="Graf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  <w:tr w:rsidR="00097078" w14:paraId="1F56F921" w14:textId="77777777" w:rsidTr="00EC1470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1CDE6" w14:textId="77777777" w:rsidR="00097078" w:rsidRDefault="00097078" w:rsidP="00044059">
            <w:pPr>
              <w:pStyle w:val="Marginlie"/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4E478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DA95B" w14:textId="402A6D4F" w:rsidR="00097078" w:rsidRPr="00F710D4" w:rsidRDefault="00097078" w:rsidP="00044059">
            <w:pPr>
              <w:spacing w:after="220"/>
              <w:rPr>
                <w:sz w:val="14"/>
                <w:szCs w:val="14"/>
              </w:rPr>
            </w:pPr>
            <w:r w:rsidRPr="00F710D4">
              <w:rPr>
                <w:sz w:val="14"/>
                <w:szCs w:val="14"/>
              </w:rPr>
              <w:t>Zdroj: ČSÚ (národní účty</w:t>
            </w:r>
            <w:r w:rsidR="00E270E1">
              <w:rPr>
                <w:sz w:val="14"/>
                <w:szCs w:val="14"/>
              </w:rPr>
              <w:t>)</w:t>
            </w:r>
          </w:p>
        </w:tc>
      </w:tr>
      <w:tr w:rsidR="00097078" w14:paraId="74F7620F" w14:textId="77777777" w:rsidTr="00EC1470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01E35" w14:textId="4CC4E763" w:rsidR="00097078" w:rsidRDefault="00097078" w:rsidP="00044059">
            <w:pPr>
              <w:pStyle w:val="Marginlie"/>
            </w:pPr>
            <w:r>
              <w:t>Hodinová produktivita práce v průmyslu převýšila úroveň celé ekonomiky nejvíce v roce 2014.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3D270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CDDD7" w14:textId="5F3E1BEF" w:rsidR="00097078" w:rsidRPr="006F2923" w:rsidRDefault="00097078" w:rsidP="00044059">
            <w:pPr>
              <w:spacing w:after="220"/>
              <w:rPr>
                <w:szCs w:val="20"/>
              </w:rPr>
            </w:pPr>
            <w:r w:rsidRPr="006F2923">
              <w:rPr>
                <w:szCs w:val="20"/>
              </w:rPr>
              <w:t>Nominální hodinová produktivita</w:t>
            </w:r>
            <w:r>
              <w:rPr>
                <w:szCs w:val="20"/>
              </w:rPr>
              <w:t xml:space="preserve"> práce v průmyslu se v Česku dlouhodobě drží nad úrovní celého národního hospodářství. Relativně nejlepší pozici měl průmysl v roce 2014, kdy jeho produktivita převyšovala úroveň celé </w:t>
            </w:r>
            <w:r w:rsidR="00334CC0">
              <w:rPr>
                <w:szCs w:val="20"/>
              </w:rPr>
              <w:t xml:space="preserve">ekonomiky </w:t>
            </w:r>
            <w:r w:rsidR="00307E77">
              <w:rPr>
                <w:szCs w:val="20"/>
              </w:rPr>
              <w:t>o </w:t>
            </w:r>
            <w:r>
              <w:rPr>
                <w:szCs w:val="20"/>
              </w:rPr>
              <w:t>15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>. V roce 2019 se jeho předstih snížil již jen na 6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>, neboť výkon průmyslu byl negativně ovlivněn cyklickým ochlazením zahraniční poptávky v</w:t>
            </w:r>
            <w:r w:rsidR="002249F4">
              <w:rPr>
                <w:szCs w:val="20"/>
              </w:rPr>
              <w:t> </w:t>
            </w:r>
            <w:r>
              <w:rPr>
                <w:szCs w:val="20"/>
              </w:rPr>
              <w:t>eurozóně</w:t>
            </w:r>
            <w:r w:rsidR="002249F4">
              <w:rPr>
                <w:szCs w:val="20"/>
              </w:rPr>
              <w:t>,</w:t>
            </w:r>
            <w:r>
              <w:rPr>
                <w:szCs w:val="20"/>
              </w:rPr>
              <w:t xml:space="preserve"> </w:t>
            </w:r>
            <w:r w:rsidR="00334CC0">
              <w:rPr>
                <w:szCs w:val="20"/>
              </w:rPr>
              <w:t xml:space="preserve">patrným </w:t>
            </w:r>
            <w:r>
              <w:rPr>
                <w:szCs w:val="20"/>
              </w:rPr>
              <w:t>již od roku 2018.</w:t>
            </w:r>
          </w:p>
        </w:tc>
      </w:tr>
      <w:tr w:rsidR="00097078" w14:paraId="7E665660" w14:textId="77777777" w:rsidTr="00EC1470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E410E" w14:textId="59EDB710" w:rsidR="00307E77" w:rsidRDefault="00307E77" w:rsidP="00044059">
            <w:pPr>
              <w:pStyle w:val="Marginlie"/>
            </w:pPr>
            <w:r>
              <w:t>V </w:t>
            </w:r>
            <w:r w:rsidR="00097078">
              <w:t>energetice převyšovala hodinová produktivita práce úroveň celé</w:t>
            </w:r>
            <w:r w:rsidR="00846C80">
              <w:t xml:space="preserve"> ekonom</w:t>
            </w:r>
            <w:r w:rsidR="00642FB8">
              <w:t>i</w:t>
            </w:r>
            <w:r w:rsidR="00846C80">
              <w:t>ky v roce 2019 téměř čtyř</w:t>
            </w:r>
            <w:r w:rsidR="00097078">
              <w:t xml:space="preserve">násobně, v automobilovém průmyslu </w:t>
            </w:r>
            <w:r>
              <w:t>o </w:t>
            </w:r>
            <w:r w:rsidR="00097078">
              <w:t>polovinu.</w:t>
            </w:r>
          </w:p>
          <w:p w14:paraId="4ADEEA92" w14:textId="1D4FDA16" w:rsidR="00097078" w:rsidRDefault="00097078" w:rsidP="00044059">
            <w:pPr>
              <w:pStyle w:val="Marginlie"/>
            </w:pPr>
          </w:p>
          <w:p w14:paraId="64D9B575" w14:textId="77777777" w:rsidR="00097078" w:rsidRDefault="00097078" w:rsidP="00044059">
            <w:pPr>
              <w:pStyle w:val="Marginlie"/>
            </w:pPr>
          </w:p>
          <w:p w14:paraId="0F134237" w14:textId="77777777" w:rsidR="00097078" w:rsidRDefault="00097078" w:rsidP="00044059">
            <w:pPr>
              <w:pStyle w:val="Marginlie"/>
            </w:pPr>
          </w:p>
          <w:p w14:paraId="70E0035B" w14:textId="77777777" w:rsidR="00097078" w:rsidRDefault="00097078" w:rsidP="00044059">
            <w:pPr>
              <w:pStyle w:val="Marginlie"/>
            </w:pPr>
          </w:p>
          <w:p w14:paraId="5CEDAFEB" w14:textId="77777777" w:rsidR="00097078" w:rsidRDefault="00097078" w:rsidP="00044059">
            <w:pPr>
              <w:pStyle w:val="Marginlie"/>
            </w:pPr>
          </w:p>
          <w:p w14:paraId="2582BFEF" w14:textId="77777777" w:rsidR="00097078" w:rsidRDefault="00097078" w:rsidP="00044059">
            <w:pPr>
              <w:pStyle w:val="Marginlie"/>
            </w:pPr>
          </w:p>
          <w:p w14:paraId="240A0D71" w14:textId="77777777" w:rsidR="00097078" w:rsidRDefault="00097078" w:rsidP="00044059">
            <w:pPr>
              <w:pStyle w:val="Marginlie"/>
            </w:pPr>
          </w:p>
          <w:p w14:paraId="30B264D2" w14:textId="615CB918" w:rsidR="00097078" w:rsidRDefault="00097078" w:rsidP="00044059">
            <w:pPr>
              <w:pStyle w:val="Marginlie"/>
            </w:pPr>
            <w:r>
              <w:t xml:space="preserve">Nejnižší produktivita zůstává </w:t>
            </w:r>
            <w:r w:rsidR="00307E77">
              <w:t>i </w:t>
            </w:r>
            <w:r>
              <w:t xml:space="preserve">přes mírné zlepšení v oděvním, kožedělném, dřevozpracujícím </w:t>
            </w:r>
            <w:r w:rsidR="00307E77">
              <w:t>a </w:t>
            </w:r>
            <w:r>
              <w:t>nábytkářském průmyslu</w:t>
            </w:r>
            <w:r w:rsidR="00072AEC">
              <w:t>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28BAE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55F51" w14:textId="0833F62E" w:rsidR="00097078" w:rsidRPr="004E0166" w:rsidRDefault="00097078" w:rsidP="00044059">
            <w:pPr>
              <w:spacing w:after="0"/>
              <w:rPr>
                <w:spacing w:val="-3"/>
                <w:szCs w:val="20"/>
              </w:rPr>
            </w:pPr>
            <w:r w:rsidRPr="004E0166">
              <w:rPr>
                <w:spacing w:val="-3"/>
                <w:szCs w:val="20"/>
              </w:rPr>
              <w:t xml:space="preserve">Dosažená nominální úroveň produktivity práce se mezi průmyslovými odvětvími dlouhodobě výrazně liší. Roli zde hraje samotný charakter výrobního procesu, jeho náročnost na různé druhy vstupů (mezispotřebu), stupeň </w:t>
            </w:r>
            <w:r w:rsidR="00307E77" w:rsidRPr="004E0166">
              <w:rPr>
                <w:spacing w:val="-3"/>
                <w:szCs w:val="20"/>
              </w:rPr>
              <w:t>i</w:t>
            </w:r>
            <w:r w:rsidR="00307E77">
              <w:rPr>
                <w:spacing w:val="-3"/>
                <w:szCs w:val="20"/>
              </w:rPr>
              <w:t> </w:t>
            </w:r>
            <w:r w:rsidRPr="004E0166">
              <w:rPr>
                <w:spacing w:val="-3"/>
                <w:szCs w:val="20"/>
              </w:rPr>
              <w:t>dynamika technologického rozvoje podpořená dlouhodobým růstem investic, který může vést např. k vyšší automatizaci či robotizaci produkce. Hodinová produktivita práce dosahovala v roce 2019 nejvyšší hodnoty v energetice, kde převyšovala úrove</w:t>
            </w:r>
            <w:r w:rsidR="00846C80">
              <w:rPr>
                <w:spacing w:val="-3"/>
                <w:szCs w:val="20"/>
              </w:rPr>
              <w:t>ň celé ekonomiky téměř čtyřnásob</w:t>
            </w:r>
            <w:r w:rsidRPr="004E0166">
              <w:rPr>
                <w:spacing w:val="-3"/>
                <w:szCs w:val="20"/>
              </w:rPr>
              <w:t xml:space="preserve">ně. </w:t>
            </w:r>
            <w:r w:rsidR="00307E77" w:rsidRPr="004E0166">
              <w:rPr>
                <w:spacing w:val="-3"/>
                <w:szCs w:val="20"/>
              </w:rPr>
              <w:t>O</w:t>
            </w:r>
            <w:r w:rsidR="00307E77">
              <w:rPr>
                <w:spacing w:val="-3"/>
                <w:szCs w:val="20"/>
              </w:rPr>
              <w:t> </w:t>
            </w:r>
            <w:r w:rsidRPr="004E0166">
              <w:rPr>
                <w:spacing w:val="-3"/>
                <w:szCs w:val="20"/>
              </w:rPr>
              <w:t>více než 60</w:t>
            </w:r>
            <w:r w:rsidR="006E33D0">
              <w:rPr>
                <w:spacing w:val="-3"/>
                <w:szCs w:val="20"/>
              </w:rPr>
              <w:t> %</w:t>
            </w:r>
            <w:r w:rsidRPr="004E0166">
              <w:rPr>
                <w:spacing w:val="-3"/>
                <w:szCs w:val="20"/>
              </w:rPr>
              <w:t xml:space="preserve"> nad</w:t>
            </w:r>
            <w:r>
              <w:rPr>
                <w:spacing w:val="-3"/>
                <w:szCs w:val="20"/>
              </w:rPr>
              <w:t xml:space="preserve"> touto hladinou se nacházely </w:t>
            </w:r>
            <w:r w:rsidR="00307E77">
              <w:rPr>
                <w:spacing w:val="-3"/>
                <w:szCs w:val="20"/>
              </w:rPr>
              <w:t>i </w:t>
            </w:r>
            <w:r w:rsidRPr="004E0166">
              <w:rPr>
                <w:spacing w:val="-3"/>
                <w:szCs w:val="20"/>
              </w:rPr>
              <w:t xml:space="preserve">výroba počítačů, elektronických a optických přístrojů, </w:t>
            </w:r>
            <w:r>
              <w:rPr>
                <w:spacing w:val="-3"/>
                <w:szCs w:val="20"/>
              </w:rPr>
              <w:t xml:space="preserve">výroba nápojů </w:t>
            </w:r>
            <w:r w:rsidR="00307E77">
              <w:rPr>
                <w:spacing w:val="-3"/>
                <w:szCs w:val="20"/>
              </w:rPr>
              <w:t>a </w:t>
            </w:r>
            <w:r>
              <w:rPr>
                <w:spacing w:val="-3"/>
                <w:szCs w:val="20"/>
              </w:rPr>
              <w:t xml:space="preserve">též </w:t>
            </w:r>
            <w:r w:rsidRPr="004E0166">
              <w:rPr>
                <w:spacing w:val="-3"/>
                <w:szCs w:val="20"/>
              </w:rPr>
              <w:t>farma</w:t>
            </w:r>
            <w:r>
              <w:rPr>
                <w:spacing w:val="-3"/>
                <w:szCs w:val="20"/>
              </w:rPr>
              <w:t>ceutický, chemický</w:t>
            </w:r>
            <w:r w:rsidRPr="004E0166">
              <w:rPr>
                <w:spacing w:val="-3"/>
                <w:szCs w:val="20"/>
              </w:rPr>
              <w:t xml:space="preserve"> a </w:t>
            </w:r>
            <w:r>
              <w:rPr>
                <w:spacing w:val="-3"/>
                <w:szCs w:val="20"/>
              </w:rPr>
              <w:t>petrochemický</w:t>
            </w:r>
            <w:r w:rsidRPr="004E0166">
              <w:rPr>
                <w:spacing w:val="-3"/>
                <w:szCs w:val="20"/>
              </w:rPr>
              <w:t xml:space="preserve"> průmysl. V klíčovém zpracovatelském oboru</w:t>
            </w:r>
            <w:r w:rsidR="00EA309D">
              <w:rPr>
                <w:spacing w:val="-3"/>
                <w:szCs w:val="20"/>
              </w:rPr>
              <w:t> </w:t>
            </w:r>
            <w:r w:rsidRPr="004E0166">
              <w:rPr>
                <w:spacing w:val="-3"/>
                <w:szCs w:val="20"/>
              </w:rPr>
              <w:t>– výrobě motorových vozidel</w:t>
            </w:r>
            <w:r w:rsidR="00EA309D">
              <w:rPr>
                <w:spacing w:val="-3"/>
                <w:szCs w:val="20"/>
              </w:rPr>
              <w:t> </w:t>
            </w:r>
            <w:r w:rsidRPr="004E0166">
              <w:rPr>
                <w:spacing w:val="-3"/>
                <w:szCs w:val="20"/>
              </w:rPr>
              <w:t xml:space="preserve">– převyšovala produktivita práce národohospodářskou úroveň </w:t>
            </w:r>
            <w:r w:rsidR="00307E77" w:rsidRPr="004E0166">
              <w:rPr>
                <w:spacing w:val="-3"/>
                <w:szCs w:val="20"/>
              </w:rPr>
              <w:t>o</w:t>
            </w:r>
            <w:r w:rsidR="00307E77">
              <w:rPr>
                <w:spacing w:val="-3"/>
                <w:szCs w:val="20"/>
              </w:rPr>
              <w:t> </w:t>
            </w:r>
            <w:r w:rsidRPr="004E0166">
              <w:rPr>
                <w:spacing w:val="-3"/>
                <w:szCs w:val="20"/>
              </w:rPr>
              <w:t xml:space="preserve">polovinu, což platilo </w:t>
            </w:r>
            <w:r w:rsidR="00307E77" w:rsidRPr="004E0166">
              <w:rPr>
                <w:spacing w:val="-3"/>
                <w:szCs w:val="20"/>
              </w:rPr>
              <w:t>i</w:t>
            </w:r>
            <w:r w:rsidR="00307E77">
              <w:rPr>
                <w:spacing w:val="-3"/>
                <w:szCs w:val="20"/>
              </w:rPr>
              <w:t> </w:t>
            </w:r>
            <w:r w:rsidRPr="004E0166">
              <w:rPr>
                <w:spacing w:val="-3"/>
                <w:szCs w:val="20"/>
              </w:rPr>
              <w:t xml:space="preserve">v dlouhodobějším pohledu (např. </w:t>
            </w:r>
            <w:r w:rsidR="00307E77" w:rsidRPr="004E0166">
              <w:rPr>
                <w:spacing w:val="-3"/>
                <w:szCs w:val="20"/>
              </w:rPr>
              <w:t>i</w:t>
            </w:r>
            <w:r w:rsidR="00307E77">
              <w:rPr>
                <w:spacing w:val="-3"/>
                <w:szCs w:val="20"/>
              </w:rPr>
              <w:t> </w:t>
            </w:r>
            <w:r w:rsidR="00307E77" w:rsidRPr="004E0166">
              <w:rPr>
                <w:spacing w:val="-3"/>
                <w:szCs w:val="20"/>
              </w:rPr>
              <w:t>v</w:t>
            </w:r>
            <w:r w:rsidR="00307E77">
              <w:rPr>
                <w:spacing w:val="-3"/>
                <w:szCs w:val="20"/>
              </w:rPr>
              <w:t> </w:t>
            </w:r>
            <w:r w:rsidRPr="004E0166">
              <w:rPr>
                <w:spacing w:val="-3"/>
                <w:szCs w:val="20"/>
              </w:rPr>
              <w:t>roce 2005). Naopak k výraznější změně došlo v těžeb</w:t>
            </w:r>
            <w:r>
              <w:rPr>
                <w:spacing w:val="-3"/>
                <w:szCs w:val="20"/>
              </w:rPr>
              <w:t>ním průmyslu, kde vlivem silného</w:t>
            </w:r>
            <w:r w:rsidRPr="004E0166">
              <w:rPr>
                <w:spacing w:val="-3"/>
                <w:szCs w:val="20"/>
              </w:rPr>
              <w:t xml:space="preserve"> poklesu výkonu (HPH) docházelo </w:t>
            </w:r>
            <w:r w:rsidR="00307E77" w:rsidRPr="004E0166">
              <w:rPr>
                <w:spacing w:val="-3"/>
                <w:szCs w:val="20"/>
              </w:rPr>
              <w:t>v</w:t>
            </w:r>
            <w:r w:rsidR="00307E77">
              <w:rPr>
                <w:spacing w:val="-3"/>
                <w:szCs w:val="20"/>
              </w:rPr>
              <w:t> </w:t>
            </w:r>
            <w:r w:rsidRPr="004E0166">
              <w:rPr>
                <w:spacing w:val="-3"/>
                <w:szCs w:val="20"/>
              </w:rPr>
              <w:t xml:space="preserve">poslední dekádě k postupnému zhoršování relativní pozice odvětví. Zatímco ještě </w:t>
            </w:r>
            <w:r w:rsidR="00307E77" w:rsidRPr="004E0166">
              <w:rPr>
                <w:spacing w:val="-3"/>
                <w:szCs w:val="20"/>
              </w:rPr>
              <w:t>v</w:t>
            </w:r>
            <w:r w:rsidR="00307E77">
              <w:rPr>
                <w:spacing w:val="-3"/>
                <w:szCs w:val="20"/>
              </w:rPr>
              <w:t> </w:t>
            </w:r>
            <w:r w:rsidRPr="004E0166">
              <w:rPr>
                <w:spacing w:val="-3"/>
                <w:szCs w:val="20"/>
              </w:rPr>
              <w:t xml:space="preserve">roce 2011 zde produktivita práce převýšila úroveň celé ekonomiky </w:t>
            </w:r>
            <w:r w:rsidR="00307E77" w:rsidRPr="004E0166">
              <w:rPr>
                <w:spacing w:val="-3"/>
                <w:szCs w:val="20"/>
              </w:rPr>
              <w:t>o</w:t>
            </w:r>
            <w:r w:rsidR="00307E77">
              <w:rPr>
                <w:spacing w:val="-3"/>
                <w:szCs w:val="20"/>
              </w:rPr>
              <w:t> </w:t>
            </w:r>
            <w:r w:rsidRPr="004E0166">
              <w:rPr>
                <w:spacing w:val="-3"/>
                <w:szCs w:val="20"/>
              </w:rPr>
              <w:t>99</w:t>
            </w:r>
            <w:r w:rsidR="006E33D0">
              <w:rPr>
                <w:spacing w:val="-3"/>
                <w:szCs w:val="20"/>
              </w:rPr>
              <w:t> %</w:t>
            </w:r>
            <w:r w:rsidRPr="004E0166">
              <w:rPr>
                <w:spacing w:val="-3"/>
                <w:szCs w:val="20"/>
              </w:rPr>
              <w:t xml:space="preserve">, v roce 2019 pouze </w:t>
            </w:r>
            <w:r w:rsidR="00307E77" w:rsidRPr="004E0166">
              <w:rPr>
                <w:spacing w:val="-3"/>
                <w:szCs w:val="20"/>
              </w:rPr>
              <w:t>o</w:t>
            </w:r>
            <w:r w:rsidR="00307E77">
              <w:rPr>
                <w:spacing w:val="-3"/>
                <w:szCs w:val="20"/>
              </w:rPr>
              <w:t> </w:t>
            </w:r>
            <w:r w:rsidRPr="004E0166">
              <w:rPr>
                <w:spacing w:val="-3"/>
                <w:szCs w:val="20"/>
              </w:rPr>
              <w:t>29</w:t>
            </w:r>
            <w:r w:rsidR="006E33D0">
              <w:rPr>
                <w:spacing w:val="-3"/>
                <w:szCs w:val="20"/>
              </w:rPr>
              <w:t> %</w:t>
            </w:r>
            <w:r w:rsidRPr="004E0166">
              <w:rPr>
                <w:spacing w:val="-3"/>
                <w:szCs w:val="20"/>
              </w:rPr>
              <w:t xml:space="preserve">. Ještě výraznější relativní propad postihl hutní průmysl, kde </w:t>
            </w:r>
            <w:r>
              <w:rPr>
                <w:spacing w:val="-3"/>
                <w:szCs w:val="20"/>
              </w:rPr>
              <w:t xml:space="preserve">již </w:t>
            </w:r>
            <w:r w:rsidRPr="004E0166">
              <w:rPr>
                <w:spacing w:val="-3"/>
                <w:szCs w:val="20"/>
              </w:rPr>
              <w:t>došlo k pokles</w:t>
            </w:r>
            <w:r>
              <w:rPr>
                <w:spacing w:val="-3"/>
                <w:szCs w:val="20"/>
              </w:rPr>
              <w:t xml:space="preserve">u pod národohospodářskou úroveň, </w:t>
            </w:r>
            <w:r w:rsidR="00307E77">
              <w:rPr>
                <w:spacing w:val="-3"/>
                <w:szCs w:val="20"/>
              </w:rPr>
              <w:t>a </w:t>
            </w:r>
            <w:r>
              <w:rPr>
                <w:spacing w:val="-3"/>
                <w:szCs w:val="20"/>
              </w:rPr>
              <w:t xml:space="preserve">to </w:t>
            </w:r>
            <w:r w:rsidRPr="004E0166">
              <w:rPr>
                <w:spacing w:val="-3"/>
                <w:szCs w:val="20"/>
              </w:rPr>
              <w:t xml:space="preserve">v roce 2009. K odvětvím s dlouhodobě výrazně podprůměrnou produktivitou práce patří dřevozpracující, nábytkářský, kožedělný </w:t>
            </w:r>
            <w:r w:rsidR="00307E77" w:rsidRPr="004E0166">
              <w:rPr>
                <w:spacing w:val="-3"/>
                <w:szCs w:val="20"/>
              </w:rPr>
              <w:t>a</w:t>
            </w:r>
            <w:r w:rsidR="00307E77">
              <w:rPr>
                <w:spacing w:val="-3"/>
                <w:szCs w:val="20"/>
              </w:rPr>
              <w:t> </w:t>
            </w:r>
            <w:r>
              <w:rPr>
                <w:spacing w:val="-3"/>
                <w:szCs w:val="20"/>
              </w:rPr>
              <w:t>zejména</w:t>
            </w:r>
            <w:r w:rsidRPr="004E0166">
              <w:rPr>
                <w:spacing w:val="-3"/>
                <w:szCs w:val="20"/>
              </w:rPr>
              <w:t xml:space="preserve"> oděvní průmysl. Přestože se jejich relativní postavení ve srovnání s rokem 2013 mírně zlepšilo, za národohospodářskou úrovní produktivity </w:t>
            </w:r>
            <w:r w:rsidR="00EA309D">
              <w:rPr>
                <w:spacing w:val="-3"/>
                <w:szCs w:val="20"/>
              </w:rPr>
              <w:t xml:space="preserve">tyto obory </w:t>
            </w:r>
            <w:r w:rsidRPr="004E0166">
              <w:rPr>
                <w:spacing w:val="-3"/>
                <w:szCs w:val="20"/>
              </w:rPr>
              <w:t xml:space="preserve">stále </w:t>
            </w:r>
            <w:r w:rsidR="00307E77" w:rsidRPr="004E0166">
              <w:rPr>
                <w:spacing w:val="-3"/>
                <w:szCs w:val="20"/>
              </w:rPr>
              <w:t>o</w:t>
            </w:r>
            <w:r w:rsidR="00307E77">
              <w:rPr>
                <w:spacing w:val="-3"/>
                <w:szCs w:val="20"/>
              </w:rPr>
              <w:t> </w:t>
            </w:r>
            <w:r w:rsidRPr="004E0166">
              <w:rPr>
                <w:spacing w:val="-3"/>
                <w:szCs w:val="20"/>
              </w:rPr>
              <w:t>více</w:t>
            </w:r>
            <w:r>
              <w:rPr>
                <w:spacing w:val="-3"/>
                <w:szCs w:val="20"/>
              </w:rPr>
              <w:t xml:space="preserve"> než 40</w:t>
            </w:r>
            <w:r w:rsidR="006E33D0">
              <w:rPr>
                <w:spacing w:val="-3"/>
                <w:szCs w:val="20"/>
              </w:rPr>
              <w:t> %</w:t>
            </w:r>
            <w:r w:rsidRPr="004E0166">
              <w:rPr>
                <w:spacing w:val="-3"/>
                <w:szCs w:val="20"/>
              </w:rPr>
              <w:t xml:space="preserve"> zaostávaly.</w:t>
            </w:r>
          </w:p>
        </w:tc>
      </w:tr>
    </w:tbl>
    <w:p w14:paraId="370CAAAB" w14:textId="77777777" w:rsidR="00097078" w:rsidRPr="002C154B" w:rsidRDefault="00097078" w:rsidP="00097078">
      <w:pPr>
        <w:rPr>
          <w:sz w:val="2"/>
          <w:szCs w:val="2"/>
        </w:rPr>
      </w:pPr>
    </w:p>
    <w:p w14:paraId="7BFC3D75" w14:textId="3D35A948" w:rsidR="00097078" w:rsidRDefault="00097078" w:rsidP="005F5CE8">
      <w:pPr>
        <w:pStyle w:val="Nadpis2"/>
        <w:rPr>
          <w:szCs w:val="20"/>
        </w:rPr>
      </w:pPr>
      <w:bookmarkStart w:id="5" w:name="_Toc57061291"/>
      <w:r w:rsidRPr="005F5CE8">
        <w:rPr>
          <w:rFonts w:cs="Arial"/>
        </w:rPr>
        <w:lastRenderedPageBreak/>
        <w:t>3.</w:t>
      </w:r>
      <w:r w:rsidR="00307E77" w:rsidRPr="005F5CE8">
        <w:rPr>
          <w:rFonts w:cs="Arial"/>
        </w:rPr>
        <w:t>4</w:t>
      </w:r>
      <w:r w:rsidR="00307E77">
        <w:rPr>
          <w:rFonts w:cs="Arial"/>
        </w:rPr>
        <w:t> </w:t>
      </w:r>
      <w:r w:rsidRPr="005F5CE8">
        <w:rPr>
          <w:rFonts w:cs="Arial"/>
        </w:rPr>
        <w:t>Průmysl na pracovním trhu v evropských státech</w:t>
      </w:r>
      <w:bookmarkEnd w:id="5"/>
    </w:p>
    <w:tbl>
      <w:tblPr>
        <w:tblW w:w="964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3"/>
        <w:gridCol w:w="176"/>
        <w:gridCol w:w="7730"/>
      </w:tblGrid>
      <w:tr w:rsidR="00097078" w:rsidRPr="002C074F" w14:paraId="403EE3B2" w14:textId="77777777" w:rsidTr="00BA35B6">
        <w:trPr>
          <w:trHeight w:val="14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E9B75" w14:textId="0574ED1D" w:rsidR="00097078" w:rsidRDefault="00097078" w:rsidP="00044059">
            <w:pPr>
              <w:pStyle w:val="Marginlie"/>
            </w:pPr>
            <w:r>
              <w:t xml:space="preserve">Z pohledu podílu průmyslu na celkové zaměstnanosti panují zejména mezi novějšími </w:t>
            </w:r>
            <w:r w:rsidR="00307E77">
              <w:t>a </w:t>
            </w:r>
            <w:r>
              <w:t>staršími členskými státy EU významné rozdíly.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E84FD" w14:textId="77777777" w:rsidR="00097078" w:rsidRPr="00CE2577" w:rsidRDefault="00097078" w:rsidP="00044059">
            <w:pPr>
              <w:pStyle w:val="Textpoznpodarou10"/>
              <w:jc w:val="both"/>
              <w:rPr>
                <w:rFonts w:eastAsia="Times New Roman"/>
                <w:spacing w:val="-2"/>
                <w:sz w:val="16"/>
                <w:szCs w:val="16"/>
              </w:rPr>
            </w:pP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09B35" w14:textId="459737FE" w:rsidR="00097078" w:rsidRPr="00CE2577" w:rsidRDefault="00097078" w:rsidP="00044059">
            <w:pPr>
              <w:spacing w:after="200"/>
              <w:rPr>
                <w:spacing w:val="-2"/>
                <w:szCs w:val="20"/>
              </w:rPr>
            </w:pPr>
            <w:r w:rsidRPr="00CE2577">
              <w:rPr>
                <w:spacing w:val="-2"/>
                <w:szCs w:val="20"/>
              </w:rPr>
              <w:t xml:space="preserve">Jak již bylo uvedeno v kapitole pojednávající </w:t>
            </w:r>
            <w:r w:rsidR="00307E77" w:rsidRPr="00CE2577">
              <w:rPr>
                <w:spacing w:val="-2"/>
                <w:szCs w:val="20"/>
              </w:rPr>
              <w:t>o</w:t>
            </w:r>
            <w:r w:rsidR="00307E77">
              <w:rPr>
                <w:spacing w:val="-2"/>
                <w:szCs w:val="20"/>
              </w:rPr>
              <w:t> </w:t>
            </w:r>
            <w:r w:rsidRPr="00CE2577">
              <w:rPr>
                <w:spacing w:val="-2"/>
                <w:szCs w:val="20"/>
              </w:rPr>
              <w:t>roli průmyslu v evropských ekonomikách v širším kontextu, je Česko z pohledu zaměstnanosti nejprůmyslovějším státem EU. Mezi členy Un</w:t>
            </w:r>
            <w:r w:rsidR="009C19B4">
              <w:rPr>
                <w:spacing w:val="-2"/>
                <w:szCs w:val="20"/>
              </w:rPr>
              <w:t xml:space="preserve">ie </w:t>
            </w:r>
            <w:r w:rsidRPr="00CE2577">
              <w:rPr>
                <w:spacing w:val="-2"/>
                <w:szCs w:val="20"/>
              </w:rPr>
              <w:t xml:space="preserve">panují velké rozdíly, které se zejména v poslední dekádě mírně prohloubily. V mnohých novějších členských státech EU podíl pracovníků v průmyslu na celkové zaměstnanosti mírně posiloval, zatímco </w:t>
            </w:r>
            <w:r w:rsidR="00307E77" w:rsidRPr="00CE2577">
              <w:rPr>
                <w:spacing w:val="-2"/>
                <w:szCs w:val="20"/>
              </w:rPr>
              <w:t>u</w:t>
            </w:r>
            <w:r w:rsidR="00307E77">
              <w:rPr>
                <w:spacing w:val="-2"/>
                <w:szCs w:val="20"/>
              </w:rPr>
              <w:t> </w:t>
            </w:r>
            <w:r w:rsidRPr="00CE2577">
              <w:rPr>
                <w:spacing w:val="-2"/>
                <w:szCs w:val="20"/>
              </w:rPr>
              <w:t xml:space="preserve">drtivé většiny starších členů tomu bylo naopak </w:t>
            </w:r>
            <w:r w:rsidR="00307E77" w:rsidRPr="00CE2577">
              <w:rPr>
                <w:spacing w:val="-2"/>
                <w:szCs w:val="20"/>
              </w:rPr>
              <w:t>a</w:t>
            </w:r>
            <w:r w:rsidR="00307E77">
              <w:rPr>
                <w:spacing w:val="-2"/>
                <w:szCs w:val="20"/>
              </w:rPr>
              <w:t> </w:t>
            </w:r>
            <w:r w:rsidRPr="00CE2577">
              <w:rPr>
                <w:spacing w:val="-2"/>
                <w:szCs w:val="20"/>
              </w:rPr>
              <w:t xml:space="preserve">pracovní místa se </w:t>
            </w:r>
            <w:r w:rsidR="000C365C">
              <w:rPr>
                <w:spacing w:val="-2"/>
                <w:szCs w:val="20"/>
              </w:rPr>
              <w:t xml:space="preserve">zde </w:t>
            </w:r>
            <w:r w:rsidRPr="00CE2577">
              <w:rPr>
                <w:spacing w:val="-2"/>
                <w:szCs w:val="20"/>
              </w:rPr>
              <w:t xml:space="preserve">dále přesouvala do terciární sféry služeb. Protože role průmyslu </w:t>
            </w:r>
            <w:r w:rsidR="00307E77">
              <w:rPr>
                <w:spacing w:val="-2"/>
                <w:szCs w:val="20"/>
              </w:rPr>
              <w:t>z </w:t>
            </w:r>
            <w:r w:rsidRPr="00CE2577">
              <w:rPr>
                <w:spacing w:val="-2"/>
                <w:szCs w:val="20"/>
              </w:rPr>
              <w:t xml:space="preserve">hlediska zaměstnanosti v zemích EU byla již obšírněji popsána výše, je následující část zacílena </w:t>
            </w:r>
            <w:r w:rsidR="00072AEC">
              <w:rPr>
                <w:spacing w:val="-2"/>
                <w:szCs w:val="20"/>
              </w:rPr>
              <w:t>na srovnání</w:t>
            </w:r>
            <w:r w:rsidRPr="00CE2577">
              <w:rPr>
                <w:spacing w:val="-2"/>
                <w:szCs w:val="20"/>
              </w:rPr>
              <w:t xml:space="preserve"> v oblasti mezd, celkových </w:t>
            </w:r>
            <w:r w:rsidR="000C365C">
              <w:rPr>
                <w:spacing w:val="-2"/>
                <w:szCs w:val="20"/>
              </w:rPr>
              <w:t xml:space="preserve">pracovních nákladů </w:t>
            </w:r>
            <w:r w:rsidR="00307E77">
              <w:rPr>
                <w:spacing w:val="-2"/>
                <w:szCs w:val="20"/>
              </w:rPr>
              <w:t>a </w:t>
            </w:r>
            <w:r w:rsidR="000C365C">
              <w:rPr>
                <w:spacing w:val="-2"/>
                <w:szCs w:val="20"/>
              </w:rPr>
              <w:t>produktivity</w:t>
            </w:r>
            <w:r w:rsidRPr="00CE2577">
              <w:rPr>
                <w:spacing w:val="-2"/>
                <w:szCs w:val="20"/>
              </w:rPr>
              <w:t xml:space="preserve"> práce.</w:t>
            </w:r>
          </w:p>
        </w:tc>
      </w:tr>
      <w:tr w:rsidR="00097078" w:rsidRPr="002C074F" w14:paraId="3A357E67" w14:textId="77777777" w:rsidTr="00BA35B6">
        <w:trPr>
          <w:trHeight w:val="14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1FA48" w14:textId="77777777" w:rsidR="00097078" w:rsidRDefault="00097078" w:rsidP="00044059">
            <w:pPr>
              <w:pStyle w:val="Marginlie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B7519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80ADD" w14:textId="0468ED8F" w:rsidR="00097078" w:rsidRPr="002C074F" w:rsidRDefault="004C0391" w:rsidP="00044059">
            <w:pPr>
              <w:spacing w:after="0"/>
              <w:rPr>
                <w:b/>
                <w:spacing w:val="2"/>
                <w:szCs w:val="20"/>
              </w:rPr>
            </w:pPr>
            <w:r>
              <w:rPr>
                <w:b/>
                <w:spacing w:val="2"/>
                <w:szCs w:val="20"/>
              </w:rPr>
              <w:t>Graf</w:t>
            </w:r>
            <w:r w:rsidR="006E33D0">
              <w:rPr>
                <w:b/>
                <w:spacing w:val="2"/>
                <w:szCs w:val="20"/>
              </w:rPr>
              <w:t xml:space="preserve"> č. </w:t>
            </w:r>
            <w:r>
              <w:rPr>
                <w:b/>
                <w:spacing w:val="2"/>
                <w:szCs w:val="20"/>
              </w:rPr>
              <w:t>19</w:t>
            </w:r>
            <w:r w:rsidR="00097078" w:rsidRPr="002C074F">
              <w:rPr>
                <w:b/>
                <w:spacing w:val="2"/>
                <w:szCs w:val="20"/>
              </w:rPr>
              <w:t xml:space="preserve">  Průměrná hrubá hodinová mzda</w:t>
            </w:r>
            <w:r w:rsidR="00097078">
              <w:rPr>
                <w:b/>
                <w:spacing w:val="2"/>
                <w:szCs w:val="20"/>
              </w:rPr>
              <w:t>*</w:t>
            </w:r>
            <w:r w:rsidR="00097078" w:rsidRPr="002C074F">
              <w:rPr>
                <w:b/>
                <w:spacing w:val="2"/>
                <w:szCs w:val="20"/>
              </w:rPr>
              <w:t xml:space="preserve"> zaměstnanců </w:t>
            </w:r>
            <w:r w:rsidR="00097078">
              <w:rPr>
                <w:b/>
                <w:spacing w:val="2"/>
                <w:szCs w:val="20"/>
              </w:rPr>
              <w:t xml:space="preserve">v průmyslu </w:t>
            </w:r>
            <w:r w:rsidR="00097078" w:rsidRPr="002C074F">
              <w:rPr>
                <w:b/>
                <w:spacing w:val="2"/>
                <w:szCs w:val="20"/>
              </w:rPr>
              <w:t xml:space="preserve">dle pohlaví </w:t>
            </w:r>
            <w:r w:rsidR="00097078">
              <w:rPr>
                <w:b/>
                <w:spacing w:val="2"/>
                <w:szCs w:val="20"/>
              </w:rPr>
              <w:t xml:space="preserve">v roce 2018 </w:t>
            </w:r>
            <w:r w:rsidR="00307E77">
              <w:rPr>
                <w:b/>
                <w:spacing w:val="2"/>
                <w:szCs w:val="20"/>
              </w:rPr>
              <w:t>a </w:t>
            </w:r>
            <w:r w:rsidR="00097078">
              <w:rPr>
                <w:b/>
                <w:spacing w:val="2"/>
                <w:szCs w:val="20"/>
              </w:rPr>
              <w:t>srovnání celkové mzdy</w:t>
            </w:r>
            <w:r w:rsidR="00097078" w:rsidRPr="002C074F">
              <w:rPr>
                <w:b/>
                <w:spacing w:val="2"/>
                <w:szCs w:val="20"/>
              </w:rPr>
              <w:t xml:space="preserve"> </w:t>
            </w:r>
            <w:r w:rsidR="00097078">
              <w:rPr>
                <w:b/>
                <w:spacing w:val="2"/>
                <w:szCs w:val="20"/>
              </w:rPr>
              <w:t xml:space="preserve">v průmyslu v letech 2006, 2010 </w:t>
            </w:r>
            <w:r w:rsidR="00307E77">
              <w:rPr>
                <w:b/>
                <w:spacing w:val="2"/>
                <w:szCs w:val="20"/>
              </w:rPr>
              <w:t>a </w:t>
            </w:r>
            <w:r w:rsidR="00097078">
              <w:rPr>
                <w:b/>
                <w:spacing w:val="2"/>
                <w:szCs w:val="20"/>
              </w:rPr>
              <w:t>2014</w:t>
            </w:r>
            <w:r w:rsidR="00097078" w:rsidRPr="002C074F">
              <w:rPr>
                <w:b/>
                <w:spacing w:val="2"/>
                <w:szCs w:val="20"/>
              </w:rPr>
              <w:t xml:space="preserve"> ve vybraných evropských státech </w:t>
            </w:r>
            <w:r w:rsidR="00097078" w:rsidRPr="002C074F">
              <w:rPr>
                <w:spacing w:val="2"/>
                <w:szCs w:val="20"/>
              </w:rPr>
              <w:t>(v</w:t>
            </w:r>
            <w:r w:rsidR="009728D1" w:rsidRPr="009728D1">
              <w:rPr>
                <w:szCs w:val="20"/>
              </w:rPr>
              <w:t>e standardu</w:t>
            </w:r>
            <w:r w:rsidR="00097078" w:rsidRPr="002C074F">
              <w:rPr>
                <w:spacing w:val="2"/>
                <w:szCs w:val="20"/>
              </w:rPr>
              <w:t xml:space="preserve"> kupní síly</w:t>
            </w:r>
            <w:r w:rsidR="00097078">
              <w:rPr>
                <w:spacing w:val="2"/>
                <w:szCs w:val="20"/>
              </w:rPr>
              <w:t xml:space="preserve"> </w:t>
            </w:r>
            <w:r w:rsidR="00307E77">
              <w:rPr>
                <w:spacing w:val="2"/>
                <w:szCs w:val="20"/>
              </w:rPr>
              <w:t>–</w:t>
            </w:r>
            <w:r w:rsidR="00097078">
              <w:rPr>
                <w:spacing w:val="2"/>
                <w:szCs w:val="20"/>
              </w:rPr>
              <w:t xml:space="preserve"> PPS</w:t>
            </w:r>
            <w:r w:rsidR="00097078" w:rsidRPr="002C074F">
              <w:rPr>
                <w:spacing w:val="2"/>
                <w:szCs w:val="20"/>
              </w:rPr>
              <w:t>)</w:t>
            </w:r>
          </w:p>
        </w:tc>
      </w:tr>
      <w:tr w:rsidR="00097078" w14:paraId="76A2BC4B" w14:textId="77777777" w:rsidTr="00BA35B6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EFF26" w14:textId="77777777" w:rsidR="00097078" w:rsidRDefault="00097078" w:rsidP="00044059">
            <w:pPr>
              <w:pStyle w:val="Marginlie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F2474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65334" w14:textId="64DAF2F6" w:rsidR="00097078" w:rsidRDefault="00BA35B6" w:rsidP="00044059">
            <w:pPr>
              <w:spacing w:after="0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EA7AE9E" wp14:editId="0ACCF2B2">
                  <wp:extent cx="4735774" cy="3493827"/>
                  <wp:effectExtent l="0" t="0" r="8255" b="0"/>
                  <wp:docPr id="16" name="Graf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  <w:tr w:rsidR="00097078" w14:paraId="58B53DB1" w14:textId="77777777" w:rsidTr="00BA35B6">
        <w:trPr>
          <w:trHeight w:val="14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E713F" w14:textId="77777777" w:rsidR="00097078" w:rsidRDefault="00097078" w:rsidP="00044059">
            <w:pPr>
              <w:pStyle w:val="Marginlie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B5C39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DC47B" w14:textId="005CC7A3" w:rsidR="00097078" w:rsidRPr="00975236" w:rsidRDefault="00097078" w:rsidP="00044059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* Zahrnuje podniky s 10 </w:t>
            </w:r>
            <w:r w:rsidR="00307E77">
              <w:rPr>
                <w:sz w:val="14"/>
                <w:szCs w:val="14"/>
              </w:rPr>
              <w:t>a </w:t>
            </w:r>
            <w:r>
              <w:rPr>
                <w:sz w:val="14"/>
                <w:szCs w:val="14"/>
              </w:rPr>
              <w:t>více zaměstnanci.</w:t>
            </w:r>
          </w:p>
          <w:p w14:paraId="71800E65" w14:textId="6FC0F1B3" w:rsidR="00097078" w:rsidRPr="00D364FE" w:rsidRDefault="00097078" w:rsidP="00D364FE">
            <w:pPr>
              <w:spacing w:after="220"/>
              <w:rPr>
                <w:sz w:val="14"/>
                <w:szCs w:val="14"/>
              </w:rPr>
            </w:pPr>
            <w:r w:rsidRPr="00F710D4">
              <w:rPr>
                <w:sz w:val="14"/>
                <w:szCs w:val="14"/>
              </w:rPr>
              <w:t>Pozn</w:t>
            </w:r>
            <w:r w:rsidR="00BA35B6">
              <w:rPr>
                <w:sz w:val="14"/>
                <w:szCs w:val="14"/>
              </w:rPr>
              <w:t xml:space="preserve">ámka: Za </w:t>
            </w:r>
            <w:r w:rsidRPr="00F710D4">
              <w:rPr>
                <w:sz w:val="14"/>
                <w:szCs w:val="14"/>
              </w:rPr>
              <w:t>Řecko</w:t>
            </w:r>
            <w:r w:rsidR="00BA35B6">
              <w:rPr>
                <w:sz w:val="14"/>
                <w:szCs w:val="14"/>
              </w:rPr>
              <w:t xml:space="preserve"> </w:t>
            </w:r>
            <w:r w:rsidRPr="00F710D4">
              <w:rPr>
                <w:sz w:val="14"/>
                <w:szCs w:val="14"/>
              </w:rPr>
              <w:t>nebyly údaje za rok 2018 dostupné.</w:t>
            </w:r>
            <w:r>
              <w:rPr>
                <w:sz w:val="14"/>
                <w:szCs w:val="14"/>
              </w:rPr>
              <w:t xml:space="preserve"> </w:t>
            </w:r>
            <w:r w:rsidR="00D364FE">
              <w:rPr>
                <w:sz w:val="14"/>
                <w:szCs w:val="14"/>
              </w:rPr>
              <w:t xml:space="preserve">Za některé další státy nebyly rovněž dostupné starší údaje (zejména z roku 2006). </w:t>
            </w:r>
            <w:r w:rsidRPr="00F710D4">
              <w:rPr>
                <w:sz w:val="14"/>
                <w:szCs w:val="14"/>
              </w:rPr>
              <w:t xml:space="preserve">Státy jsou seřazeny dle výše celkové hodinové mzdy (za obě pohlaví) v roce 2018 (zvlášť členské státy EU </w:t>
            </w:r>
            <w:r w:rsidR="00307E77" w:rsidRPr="00F710D4">
              <w:rPr>
                <w:sz w:val="14"/>
                <w:szCs w:val="14"/>
              </w:rPr>
              <w:t>a</w:t>
            </w:r>
            <w:r w:rsidR="00307E77">
              <w:rPr>
                <w:sz w:val="14"/>
                <w:szCs w:val="14"/>
              </w:rPr>
              <w:t> </w:t>
            </w:r>
            <w:r w:rsidRPr="00F710D4">
              <w:rPr>
                <w:sz w:val="14"/>
                <w:szCs w:val="14"/>
              </w:rPr>
              <w:t>zvlášť ostatní vybrané státy).</w:t>
            </w:r>
            <w:r w:rsidR="00D364FE"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</w:t>
            </w:r>
            <w:r w:rsidRPr="00F710D4">
              <w:rPr>
                <w:sz w:val="14"/>
                <w:szCs w:val="14"/>
              </w:rPr>
              <w:t>Zdroj: Eurostat</w:t>
            </w:r>
          </w:p>
        </w:tc>
      </w:tr>
      <w:tr w:rsidR="00097078" w14:paraId="1A05EA86" w14:textId="77777777" w:rsidTr="00BA35B6">
        <w:trPr>
          <w:trHeight w:val="14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C8997" w14:textId="5322A629" w:rsidR="00097078" w:rsidRDefault="00097078" w:rsidP="007964CF">
            <w:pPr>
              <w:pStyle w:val="Marginlie"/>
            </w:pPr>
            <w:r>
              <w:t xml:space="preserve">Pro objektivnější srovnání úrovně výdělků mezi státy je vhodné její </w:t>
            </w:r>
            <w:r w:rsidRPr="007964CF">
              <w:t>vyjádření v</w:t>
            </w:r>
            <w:r w:rsidR="007964CF" w:rsidRPr="007964CF">
              <w:t>e standardu</w:t>
            </w:r>
            <w:r w:rsidRPr="007964CF">
              <w:t xml:space="preserve"> kupní síly.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73AF9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E497B" w14:textId="6FB5C6BB" w:rsidR="00097078" w:rsidRDefault="00097078" w:rsidP="00F25EFA">
            <w:pPr>
              <w:spacing w:after="220"/>
              <w:rPr>
                <w:sz w:val="16"/>
                <w:szCs w:val="16"/>
              </w:rPr>
            </w:pPr>
            <w:r>
              <w:rPr>
                <w:spacing w:val="-2"/>
                <w:szCs w:val="20"/>
              </w:rPr>
              <w:t xml:space="preserve">Průměrná hodinová mzda vycházející ze strukturální mzdové statistiky </w:t>
            </w:r>
            <w:r w:rsidR="00307E77">
              <w:rPr>
                <w:spacing w:val="-2"/>
                <w:szCs w:val="20"/>
              </w:rPr>
              <w:t>u </w:t>
            </w:r>
            <w:r>
              <w:rPr>
                <w:spacing w:val="-2"/>
                <w:szCs w:val="20"/>
              </w:rPr>
              <w:t xml:space="preserve">podniků vyjadřuje celkové hrubé výdělky zaměstnanců ve sledovaném období (např. rok) vztažené na příslušný počet odpracovaných hodin. Podrobnější údaje </w:t>
            </w:r>
            <w:r w:rsidR="00307E77">
              <w:rPr>
                <w:spacing w:val="-2"/>
                <w:szCs w:val="20"/>
              </w:rPr>
              <w:t>v </w:t>
            </w:r>
            <w:r w:rsidR="00F25EFA">
              <w:rPr>
                <w:spacing w:val="-2"/>
                <w:szCs w:val="20"/>
              </w:rPr>
              <w:t>této struktuře</w:t>
            </w:r>
            <w:r>
              <w:rPr>
                <w:spacing w:val="-2"/>
                <w:szCs w:val="20"/>
              </w:rPr>
              <w:t xml:space="preserve"> (např. dle odvětví, velikosti podniku či sociodemografických skupin pracovníků) jsou v evropském srovnání k dispozici ve čtyřletých intervalech. Protože v této části nahlížíme na problematiku z pozice zaměstnance </w:t>
            </w:r>
            <w:r w:rsidR="00307E77">
              <w:rPr>
                <w:spacing w:val="-2"/>
                <w:szCs w:val="20"/>
              </w:rPr>
              <w:t>a </w:t>
            </w:r>
            <w:r>
              <w:rPr>
                <w:spacing w:val="-2"/>
                <w:szCs w:val="20"/>
              </w:rPr>
              <w:t xml:space="preserve">jeho mzdové koupěschopnosti, pracujeme </w:t>
            </w:r>
            <w:r w:rsidR="00482DE9">
              <w:rPr>
                <w:spacing w:val="-2"/>
                <w:szCs w:val="20"/>
              </w:rPr>
              <w:t>s </w:t>
            </w:r>
            <w:r>
              <w:rPr>
                <w:spacing w:val="-2"/>
                <w:szCs w:val="20"/>
              </w:rPr>
              <w:t xml:space="preserve">údaji </w:t>
            </w:r>
            <w:r w:rsidR="00307E77">
              <w:rPr>
                <w:spacing w:val="-2"/>
                <w:szCs w:val="20"/>
              </w:rPr>
              <w:t>o </w:t>
            </w:r>
            <w:r>
              <w:rPr>
                <w:spacing w:val="-2"/>
                <w:szCs w:val="20"/>
              </w:rPr>
              <w:t xml:space="preserve">výdělcích přepočtených dle standardu kupní síly. Některé státy neposkytují údaje za úplný soubor podniků, proto byly použity hodnoty jen za podniky </w:t>
            </w:r>
            <w:r w:rsidR="00307E77">
              <w:rPr>
                <w:spacing w:val="-2"/>
                <w:szCs w:val="20"/>
              </w:rPr>
              <w:t>s </w:t>
            </w:r>
            <w:r>
              <w:rPr>
                <w:spacing w:val="-2"/>
                <w:szCs w:val="20"/>
              </w:rPr>
              <w:t xml:space="preserve">10 </w:t>
            </w:r>
            <w:r w:rsidR="00307E77">
              <w:rPr>
                <w:spacing w:val="-2"/>
                <w:szCs w:val="20"/>
              </w:rPr>
              <w:t>a </w:t>
            </w:r>
            <w:r>
              <w:rPr>
                <w:spacing w:val="-2"/>
                <w:szCs w:val="20"/>
              </w:rPr>
              <w:t xml:space="preserve">více zaměstnanci. Toto omezení by ale nemělo mít významnější dopad </w:t>
            </w:r>
            <w:r w:rsidR="00482DE9">
              <w:rPr>
                <w:spacing w:val="-2"/>
                <w:szCs w:val="20"/>
              </w:rPr>
              <w:t xml:space="preserve">na </w:t>
            </w:r>
            <w:r>
              <w:rPr>
                <w:spacing w:val="-2"/>
                <w:szCs w:val="20"/>
              </w:rPr>
              <w:t>inte</w:t>
            </w:r>
            <w:r w:rsidR="00482DE9">
              <w:rPr>
                <w:spacing w:val="-2"/>
                <w:szCs w:val="20"/>
              </w:rPr>
              <w:t>r</w:t>
            </w:r>
            <w:r>
              <w:rPr>
                <w:spacing w:val="-2"/>
                <w:szCs w:val="20"/>
              </w:rPr>
              <w:t xml:space="preserve">pretaci dat, neboť srovnání je primárně zacíleno na průmysl, </w:t>
            </w:r>
            <w:r w:rsidR="00307E77">
              <w:rPr>
                <w:spacing w:val="-2"/>
                <w:szCs w:val="20"/>
              </w:rPr>
              <w:t>u </w:t>
            </w:r>
            <w:r>
              <w:rPr>
                <w:spacing w:val="-2"/>
                <w:szCs w:val="20"/>
              </w:rPr>
              <w:t>něhož je role mikropodniků relativně okrajová (na rozdíl od stavebnictví či celého sektoru služeb).</w:t>
            </w:r>
          </w:p>
        </w:tc>
      </w:tr>
      <w:tr w:rsidR="00097078" w14:paraId="3DA796E6" w14:textId="77777777" w:rsidTr="00BA35B6">
        <w:trPr>
          <w:trHeight w:val="14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2CD4D" w14:textId="4C4BCC74" w:rsidR="00097078" w:rsidRPr="007964CF" w:rsidRDefault="00097078" w:rsidP="00044059">
            <w:pPr>
              <w:pStyle w:val="Marginlie"/>
            </w:pPr>
            <w:r w:rsidRPr="007964CF">
              <w:t xml:space="preserve">Hodinová mzda v průmyslu vyjádřená </w:t>
            </w:r>
            <w:r w:rsidRPr="007964CF">
              <w:lastRenderedPageBreak/>
              <w:t>v PPS řadila Česko v roce 2018 do poslední třetiny států EU.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AECC6" w14:textId="77777777" w:rsidR="00097078" w:rsidRPr="007964CF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A2DB1" w14:textId="3B57467C" w:rsidR="00097078" w:rsidRPr="007964CF" w:rsidRDefault="00097078" w:rsidP="00466CA7">
            <w:pPr>
              <w:spacing w:after="220"/>
              <w:rPr>
                <w:spacing w:val="-2"/>
                <w:szCs w:val="20"/>
              </w:rPr>
            </w:pPr>
            <w:r w:rsidRPr="007964CF">
              <w:rPr>
                <w:spacing w:val="-2"/>
                <w:szCs w:val="20"/>
              </w:rPr>
              <w:t>Hodinová mzda zaměstnance v průmyslu dosahovala v roce 2018 v ČR 9,77 j</w:t>
            </w:r>
            <w:r w:rsidR="00BA35B6">
              <w:rPr>
                <w:spacing w:val="-2"/>
                <w:szCs w:val="20"/>
              </w:rPr>
              <w:t>ednotek PPS, což ji řadilo na 17</w:t>
            </w:r>
            <w:r w:rsidR="00A33767" w:rsidRPr="007964CF">
              <w:rPr>
                <w:spacing w:val="-2"/>
                <w:szCs w:val="20"/>
              </w:rPr>
              <w:t>. </w:t>
            </w:r>
            <w:r w:rsidR="00BA35B6">
              <w:rPr>
                <w:spacing w:val="-2"/>
                <w:szCs w:val="20"/>
              </w:rPr>
              <w:t>místo mezi státy</w:t>
            </w:r>
            <w:r w:rsidRPr="007964CF">
              <w:rPr>
                <w:spacing w:val="-2"/>
                <w:szCs w:val="20"/>
              </w:rPr>
              <w:t xml:space="preserve"> EU</w:t>
            </w:r>
            <w:r w:rsidR="00BA35B6">
              <w:rPr>
                <w:rStyle w:val="Znakapoznpodarou"/>
                <w:spacing w:val="-2"/>
                <w:szCs w:val="20"/>
              </w:rPr>
              <w:footnoteReference w:id="21"/>
            </w:r>
            <w:r w:rsidRPr="007964CF">
              <w:rPr>
                <w:spacing w:val="-2"/>
                <w:szCs w:val="20"/>
              </w:rPr>
              <w:t xml:space="preserve">. Nejvyšší koupěschopností výdělků </w:t>
            </w:r>
            <w:r w:rsidRPr="007964CF">
              <w:rPr>
                <w:spacing w:val="-2"/>
                <w:szCs w:val="20"/>
              </w:rPr>
              <w:lastRenderedPageBreak/>
              <w:t xml:space="preserve">disponovali průmysloví zaměstnanci v Dánsku (23,9), což je zčásti dáno </w:t>
            </w:r>
            <w:r w:rsidR="00307E77" w:rsidRPr="007964CF">
              <w:rPr>
                <w:spacing w:val="-2"/>
                <w:szCs w:val="20"/>
              </w:rPr>
              <w:t>i </w:t>
            </w:r>
            <w:r w:rsidRPr="007964CF">
              <w:rPr>
                <w:spacing w:val="-2"/>
                <w:szCs w:val="20"/>
              </w:rPr>
              <w:t>vyšší specializací tamějšího průmyslu na high-tech obory</w:t>
            </w:r>
            <w:r w:rsidRPr="007964CF">
              <w:rPr>
                <w:rStyle w:val="Znakapoznpodarou"/>
                <w:spacing w:val="-2"/>
                <w:szCs w:val="20"/>
              </w:rPr>
              <w:footnoteReference w:id="22"/>
            </w:r>
            <w:r w:rsidRPr="007964CF">
              <w:rPr>
                <w:spacing w:val="-2"/>
                <w:szCs w:val="20"/>
              </w:rPr>
              <w:t>. Následoval</w:t>
            </w:r>
            <w:r w:rsidR="00466CA7">
              <w:rPr>
                <w:spacing w:val="-2"/>
                <w:szCs w:val="20"/>
              </w:rPr>
              <w:t>o silně průmyslové Německo (21,7</w:t>
            </w:r>
            <w:r w:rsidRPr="007964CF">
              <w:rPr>
                <w:spacing w:val="-2"/>
                <w:szCs w:val="20"/>
              </w:rPr>
              <w:t xml:space="preserve">) </w:t>
            </w:r>
            <w:r w:rsidR="00307E77" w:rsidRPr="007964CF">
              <w:rPr>
                <w:spacing w:val="-2"/>
                <w:szCs w:val="20"/>
              </w:rPr>
              <w:t>a </w:t>
            </w:r>
            <w:r w:rsidRPr="007964CF">
              <w:rPr>
                <w:spacing w:val="-2"/>
                <w:szCs w:val="20"/>
              </w:rPr>
              <w:t>Belgie (18,8). Na opačné straně spektra figurovalo Bulharsko (5,8)</w:t>
            </w:r>
            <w:r w:rsidRPr="007964CF">
              <w:rPr>
                <w:rStyle w:val="Znakapoznpodarou"/>
                <w:spacing w:val="-2"/>
                <w:szCs w:val="20"/>
              </w:rPr>
              <w:footnoteReference w:id="23"/>
            </w:r>
            <w:r w:rsidRPr="007964CF">
              <w:rPr>
                <w:spacing w:val="-2"/>
                <w:szCs w:val="20"/>
              </w:rPr>
              <w:t xml:space="preserve">. Mezi zeměmi s podprůměrnou výší výdělků byly dle očekávání zastoupeny téměř výhradně novější členské státy Unie. Výjimkou bylo Portugalsko, v němž hodinové mzdy v poslední dekádě pouze stagnovaly. Z novějších členů EU měly mzdy v průmyslu výrazněji vyšší než ČR jen Malta (13,5) a Slovinsko (10,9). Polsko </w:t>
            </w:r>
            <w:r w:rsidR="00307E77" w:rsidRPr="007964CF">
              <w:rPr>
                <w:spacing w:val="-2"/>
                <w:szCs w:val="20"/>
              </w:rPr>
              <w:t>a </w:t>
            </w:r>
            <w:r w:rsidRPr="007964CF">
              <w:rPr>
                <w:spacing w:val="-2"/>
                <w:szCs w:val="20"/>
              </w:rPr>
              <w:t xml:space="preserve">Kypr se blížily tuzemské úrovni </w:t>
            </w:r>
            <w:r w:rsidR="00307E77" w:rsidRPr="007964CF">
              <w:rPr>
                <w:spacing w:val="-2"/>
                <w:szCs w:val="20"/>
              </w:rPr>
              <w:t>a </w:t>
            </w:r>
            <w:r w:rsidRPr="007964CF">
              <w:rPr>
                <w:spacing w:val="-2"/>
                <w:szCs w:val="20"/>
              </w:rPr>
              <w:t xml:space="preserve">silně průmyslové Slovensko </w:t>
            </w:r>
            <w:r w:rsidR="005B7BE7" w:rsidRPr="007964CF">
              <w:rPr>
                <w:spacing w:val="-2"/>
                <w:szCs w:val="20"/>
              </w:rPr>
              <w:t>a </w:t>
            </w:r>
            <w:r w:rsidRPr="007964CF">
              <w:rPr>
                <w:spacing w:val="-2"/>
                <w:szCs w:val="20"/>
              </w:rPr>
              <w:t>Maďarsko se nacházely desetinu pod ní.</w:t>
            </w:r>
          </w:p>
        </w:tc>
      </w:tr>
      <w:tr w:rsidR="00097078" w14:paraId="331F7975" w14:textId="77777777" w:rsidTr="00BA35B6">
        <w:trPr>
          <w:trHeight w:val="14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4C6DA" w14:textId="4B4D8CE0" w:rsidR="00097078" w:rsidRDefault="00097078" w:rsidP="00044059">
            <w:pPr>
              <w:pStyle w:val="Marginlie"/>
            </w:pPr>
            <w:r>
              <w:lastRenderedPageBreak/>
              <w:t xml:space="preserve">Relativně nejvyšší rozdíl mezd mužů </w:t>
            </w:r>
            <w:r w:rsidR="00307E77">
              <w:t>a </w:t>
            </w:r>
            <w:r>
              <w:t>žen v průmyslu byl v Estonsku, nejnižší ve Švédsku.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D761C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8CCA3" w14:textId="06A4DA73" w:rsidR="00097078" w:rsidRDefault="00097078" w:rsidP="00044059">
            <w:pPr>
              <w:spacing w:after="220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 xml:space="preserve">Pro všechny sledované státy platilo, že hodinové výdělky mužů byly v průmyslu vyšší než </w:t>
            </w:r>
            <w:r w:rsidR="00307E77">
              <w:rPr>
                <w:spacing w:val="-2"/>
                <w:szCs w:val="20"/>
              </w:rPr>
              <w:t>u </w:t>
            </w:r>
            <w:r>
              <w:rPr>
                <w:spacing w:val="-2"/>
                <w:szCs w:val="20"/>
              </w:rPr>
              <w:t>žen. Relativně nejvýraznější disproporce panovala v roce 2018 v Estonsku, kde ženy inkasovaly jen 72</w:t>
            </w:r>
            <w:r w:rsidR="006E33D0">
              <w:rPr>
                <w:spacing w:val="-2"/>
                <w:szCs w:val="20"/>
              </w:rPr>
              <w:t> %</w:t>
            </w:r>
            <w:r>
              <w:rPr>
                <w:spacing w:val="-2"/>
                <w:szCs w:val="20"/>
              </w:rPr>
              <w:t xml:space="preserve"> mzdy mužů. Nejmenší </w:t>
            </w:r>
            <w:r w:rsidR="00FC6AB4">
              <w:rPr>
                <w:spacing w:val="-2"/>
                <w:szCs w:val="20"/>
              </w:rPr>
              <w:t xml:space="preserve">byl rozdíl </w:t>
            </w:r>
            <w:r>
              <w:rPr>
                <w:spacing w:val="-2"/>
                <w:szCs w:val="20"/>
              </w:rPr>
              <w:t>ve skandinávských státech (ve Švédsku 96 %). V Česku, stejně jako v Německu, byl poměr 77</w:t>
            </w:r>
            <w:r w:rsidR="006E33D0">
              <w:rPr>
                <w:spacing w:val="-2"/>
                <w:szCs w:val="20"/>
              </w:rPr>
              <w:t> %</w:t>
            </w:r>
            <w:r>
              <w:rPr>
                <w:spacing w:val="-2"/>
                <w:szCs w:val="20"/>
              </w:rPr>
              <w:t xml:space="preserve">. Rozdíly mezi státy mohou být částečně ovlivněny vnitřní skladbou průmyslu (např. v odvětvích těžkého průmyslu výrazně častěji působí muži </w:t>
            </w:r>
            <w:r w:rsidR="00307E77">
              <w:rPr>
                <w:spacing w:val="-2"/>
                <w:szCs w:val="20"/>
              </w:rPr>
              <w:t>a </w:t>
            </w:r>
            <w:r>
              <w:rPr>
                <w:spacing w:val="-2"/>
                <w:szCs w:val="20"/>
              </w:rPr>
              <w:t xml:space="preserve">úroveň výdělků bývá zpravidla ve vztahu </w:t>
            </w:r>
            <w:r w:rsidR="00FC6AB4">
              <w:rPr>
                <w:spacing w:val="-2"/>
                <w:szCs w:val="20"/>
              </w:rPr>
              <w:t>k </w:t>
            </w:r>
            <w:r>
              <w:rPr>
                <w:spacing w:val="-2"/>
                <w:szCs w:val="20"/>
              </w:rPr>
              <w:t>ostatním průmyslovým oborům v daném státě nadprůměrná). V zásadě ale platí, že „gender pay gap“ v průmyslu kopíruje v jednotlivých státech vzorec typický pro celou ekonom</w:t>
            </w:r>
            <w:r w:rsidR="00642FB8">
              <w:rPr>
                <w:spacing w:val="-2"/>
                <w:szCs w:val="20"/>
              </w:rPr>
              <w:t>i</w:t>
            </w:r>
            <w:r>
              <w:rPr>
                <w:spacing w:val="-2"/>
                <w:szCs w:val="20"/>
              </w:rPr>
              <w:t>ku.</w:t>
            </w:r>
          </w:p>
        </w:tc>
      </w:tr>
      <w:tr w:rsidR="00097078" w14:paraId="7B02FADC" w14:textId="77777777" w:rsidTr="00BA35B6">
        <w:trPr>
          <w:trHeight w:val="14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35B3D" w14:textId="12EF4A59" w:rsidR="00097078" w:rsidRDefault="00097078" w:rsidP="00044059">
            <w:pPr>
              <w:pStyle w:val="Marginlie"/>
            </w:pPr>
            <w:r>
              <w:t>Nejrychlejší reálnou mzdovou konvergenci k německým mzdám vykázalo z novějších členů EU Rumunsko, nejslabší Slovinsko.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015EB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59B48" w14:textId="2BEA028A" w:rsidR="00097078" w:rsidRPr="00EC1470" w:rsidRDefault="00097078" w:rsidP="003922DF">
            <w:pPr>
              <w:spacing w:after="220"/>
              <w:rPr>
                <w:spacing w:val="-3"/>
                <w:szCs w:val="20"/>
              </w:rPr>
            </w:pPr>
            <w:r w:rsidRPr="00EC1470">
              <w:rPr>
                <w:spacing w:val="-3"/>
                <w:szCs w:val="20"/>
              </w:rPr>
              <w:t xml:space="preserve">Pořadí států EU dle výše celkové hodinové mzdy </w:t>
            </w:r>
            <w:r w:rsidR="00307E77" w:rsidRPr="00EC1470">
              <w:rPr>
                <w:spacing w:val="-3"/>
                <w:szCs w:val="20"/>
              </w:rPr>
              <w:t>v </w:t>
            </w:r>
            <w:r w:rsidRPr="00EC1470">
              <w:rPr>
                <w:spacing w:val="-3"/>
                <w:szCs w:val="20"/>
              </w:rPr>
              <w:t xml:space="preserve">průmyslu se mezi roky 2006 </w:t>
            </w:r>
            <w:r w:rsidR="00307E77" w:rsidRPr="00EC1470">
              <w:rPr>
                <w:spacing w:val="-3"/>
                <w:szCs w:val="20"/>
              </w:rPr>
              <w:t>a </w:t>
            </w:r>
            <w:r w:rsidRPr="00EC1470">
              <w:rPr>
                <w:spacing w:val="-3"/>
                <w:szCs w:val="20"/>
              </w:rPr>
              <w:t>2018 příliš nezměnilo. Mezi staršími členskými státy byly rozdíly v tempech celkového růstu relativně malé (Lucembursko +6</w:t>
            </w:r>
            <w:r w:rsidR="006E33D0" w:rsidRPr="00EC1470">
              <w:rPr>
                <w:spacing w:val="-3"/>
                <w:szCs w:val="20"/>
              </w:rPr>
              <w:t> %</w:t>
            </w:r>
            <w:r w:rsidRPr="00EC1470">
              <w:rPr>
                <w:spacing w:val="-3"/>
                <w:szCs w:val="20"/>
              </w:rPr>
              <w:t>, Dánsko +35</w:t>
            </w:r>
            <w:r w:rsidR="006E33D0" w:rsidRPr="00EC1470">
              <w:rPr>
                <w:spacing w:val="-3"/>
                <w:szCs w:val="20"/>
              </w:rPr>
              <w:t> %</w:t>
            </w:r>
            <w:r w:rsidRPr="00EC1470">
              <w:rPr>
                <w:spacing w:val="-3"/>
                <w:szCs w:val="20"/>
              </w:rPr>
              <w:t xml:space="preserve">). </w:t>
            </w:r>
            <w:r w:rsidR="00307E77" w:rsidRPr="00EC1470">
              <w:rPr>
                <w:spacing w:val="-3"/>
                <w:szCs w:val="20"/>
              </w:rPr>
              <w:t>U </w:t>
            </w:r>
            <w:r w:rsidRPr="00EC1470">
              <w:rPr>
                <w:spacing w:val="-3"/>
                <w:szCs w:val="20"/>
              </w:rPr>
              <w:t xml:space="preserve">členů ze střední </w:t>
            </w:r>
            <w:r w:rsidR="00307E77" w:rsidRPr="00EC1470">
              <w:rPr>
                <w:spacing w:val="-3"/>
                <w:szCs w:val="20"/>
              </w:rPr>
              <w:t>a </w:t>
            </w:r>
            <w:r w:rsidRPr="00EC1470">
              <w:rPr>
                <w:spacing w:val="-3"/>
                <w:szCs w:val="20"/>
              </w:rPr>
              <w:t>východní Evropy probíhala reálná mzdová konvergence k EU. V Rumunsku činil růst 182</w:t>
            </w:r>
            <w:r w:rsidR="006E33D0" w:rsidRPr="00EC1470">
              <w:rPr>
                <w:spacing w:val="-3"/>
                <w:szCs w:val="20"/>
              </w:rPr>
              <w:t> %</w:t>
            </w:r>
            <w:r w:rsidRPr="00EC1470">
              <w:rPr>
                <w:spacing w:val="-3"/>
                <w:szCs w:val="20"/>
              </w:rPr>
              <w:t xml:space="preserve">, v Bulharsku 138 %. Vysoká dynamika zde odrážela </w:t>
            </w:r>
            <w:r w:rsidR="00307E77" w:rsidRPr="00EC1470">
              <w:rPr>
                <w:spacing w:val="-3"/>
                <w:szCs w:val="20"/>
              </w:rPr>
              <w:t>i </w:t>
            </w:r>
            <w:r w:rsidRPr="00EC1470">
              <w:rPr>
                <w:spacing w:val="-3"/>
                <w:szCs w:val="20"/>
              </w:rPr>
              <w:t>nízkou srovnávací základnu roku 2006, kdy tyto státy ještě nebyly členy EU. Z </w:t>
            </w:r>
            <w:r w:rsidR="00DF4595" w:rsidRPr="00EC1470">
              <w:rPr>
                <w:spacing w:val="-3"/>
                <w:szCs w:val="20"/>
              </w:rPr>
              <w:t xml:space="preserve">visegrádských </w:t>
            </w:r>
            <w:r w:rsidRPr="00EC1470">
              <w:rPr>
                <w:spacing w:val="-3"/>
                <w:szCs w:val="20"/>
              </w:rPr>
              <w:t>zemí posílily nejvíce mzdy v Polsku (+62</w:t>
            </w:r>
            <w:r w:rsidR="006E33D0" w:rsidRPr="00EC1470">
              <w:rPr>
                <w:spacing w:val="-3"/>
                <w:szCs w:val="20"/>
              </w:rPr>
              <w:t> %</w:t>
            </w:r>
            <w:r w:rsidRPr="00EC1470">
              <w:rPr>
                <w:spacing w:val="-3"/>
                <w:szCs w:val="20"/>
              </w:rPr>
              <w:t>), nejméně v ČR (+47</w:t>
            </w:r>
            <w:r w:rsidR="006E33D0" w:rsidRPr="00EC1470">
              <w:rPr>
                <w:spacing w:val="-3"/>
                <w:szCs w:val="20"/>
              </w:rPr>
              <w:t> %</w:t>
            </w:r>
            <w:r w:rsidRPr="00EC1470">
              <w:rPr>
                <w:spacing w:val="-3"/>
                <w:szCs w:val="20"/>
              </w:rPr>
              <w:t>). V roce 2018 činila mzdová koupěschopnost zaměstnanc</w:t>
            </w:r>
            <w:r w:rsidR="00B81025" w:rsidRPr="00EC1470">
              <w:rPr>
                <w:spacing w:val="-3"/>
                <w:szCs w:val="20"/>
              </w:rPr>
              <w:t>ů průmyslu v Česku 45</w:t>
            </w:r>
            <w:r w:rsidR="006E33D0" w:rsidRPr="00EC1470">
              <w:rPr>
                <w:spacing w:val="-3"/>
                <w:szCs w:val="20"/>
              </w:rPr>
              <w:t> %</w:t>
            </w:r>
            <w:r w:rsidR="00B81025" w:rsidRPr="00EC1470">
              <w:rPr>
                <w:spacing w:val="-3"/>
                <w:szCs w:val="20"/>
              </w:rPr>
              <w:t xml:space="preserve"> úrovně n</w:t>
            </w:r>
            <w:r w:rsidRPr="00EC1470">
              <w:rPr>
                <w:spacing w:val="-3"/>
                <w:szCs w:val="20"/>
              </w:rPr>
              <w:t>ěmeckých mezd v </w:t>
            </w:r>
            <w:r w:rsidR="00466CA7">
              <w:rPr>
                <w:spacing w:val="-3"/>
                <w:szCs w:val="20"/>
              </w:rPr>
              <w:t>průmyslu, v roce 2006 to bylo 39</w:t>
            </w:r>
            <w:r w:rsidR="006E33D0" w:rsidRPr="00EC1470">
              <w:rPr>
                <w:spacing w:val="-3"/>
                <w:szCs w:val="20"/>
              </w:rPr>
              <w:t> %</w:t>
            </w:r>
            <w:r w:rsidRPr="00EC1470">
              <w:rPr>
                <w:spacing w:val="-3"/>
                <w:szCs w:val="20"/>
              </w:rPr>
              <w:t>. K nejslabší konvergenci k německým mzdám došlo mezi novějšími členy Unie ve Slovinsku (</w:t>
            </w:r>
            <w:r w:rsidR="00307E77" w:rsidRPr="00EC1470">
              <w:rPr>
                <w:spacing w:val="-3"/>
                <w:szCs w:val="20"/>
              </w:rPr>
              <w:t>z</w:t>
            </w:r>
            <w:r w:rsidR="00192F37" w:rsidRPr="00EC1470">
              <w:rPr>
                <w:spacing w:val="-3"/>
                <w:szCs w:val="20"/>
              </w:rPr>
              <w:t xml:space="preserve">e </w:t>
            </w:r>
            <w:r w:rsidRPr="00EC1470">
              <w:rPr>
                <w:spacing w:val="-3"/>
                <w:szCs w:val="20"/>
              </w:rPr>
              <w:t>47</w:t>
            </w:r>
            <w:r w:rsidR="006E33D0" w:rsidRPr="00EC1470">
              <w:rPr>
                <w:spacing w:val="-3"/>
                <w:szCs w:val="20"/>
              </w:rPr>
              <w:t> %</w:t>
            </w:r>
            <w:r w:rsidRPr="00EC1470">
              <w:rPr>
                <w:spacing w:val="-3"/>
                <w:szCs w:val="20"/>
              </w:rPr>
              <w:t xml:space="preserve"> na 50</w:t>
            </w:r>
            <w:r w:rsidR="006E33D0" w:rsidRPr="00EC1470">
              <w:rPr>
                <w:spacing w:val="-3"/>
                <w:szCs w:val="20"/>
              </w:rPr>
              <w:t> %</w:t>
            </w:r>
            <w:r w:rsidRPr="00EC1470">
              <w:rPr>
                <w:spacing w:val="-3"/>
                <w:szCs w:val="20"/>
              </w:rPr>
              <w:t>). Naproti tomu posun v Rumunsku byl silný (ze 17</w:t>
            </w:r>
            <w:r w:rsidR="00192F37" w:rsidRPr="00EC1470">
              <w:rPr>
                <w:spacing w:val="-3"/>
                <w:szCs w:val="20"/>
              </w:rPr>
              <w:t> %</w:t>
            </w:r>
            <w:r w:rsidRPr="00EC1470">
              <w:rPr>
                <w:spacing w:val="-3"/>
                <w:szCs w:val="20"/>
              </w:rPr>
              <w:t xml:space="preserve"> na 38</w:t>
            </w:r>
            <w:r w:rsidR="006E33D0" w:rsidRPr="00EC1470">
              <w:rPr>
                <w:spacing w:val="-3"/>
                <w:szCs w:val="20"/>
              </w:rPr>
              <w:t> %</w:t>
            </w:r>
            <w:r w:rsidRPr="00EC1470">
              <w:rPr>
                <w:spacing w:val="-3"/>
                <w:szCs w:val="20"/>
              </w:rPr>
              <w:t>).</w:t>
            </w:r>
            <w:r w:rsidR="00D364FE">
              <w:rPr>
                <w:spacing w:val="-3"/>
                <w:szCs w:val="20"/>
              </w:rPr>
              <w:t xml:space="preserve"> </w:t>
            </w:r>
            <w:r w:rsidR="00D364FE">
              <w:rPr>
                <w:spacing w:val="-2"/>
                <w:szCs w:val="20"/>
              </w:rPr>
              <w:t>Ve vztahu k průmyslu v celé EU27 činila v roce 2018 koupěschopnost tuzemských hodinových mezd 64 %.</w:t>
            </w:r>
          </w:p>
        </w:tc>
      </w:tr>
      <w:tr w:rsidR="00097078" w14:paraId="0719F076" w14:textId="77777777" w:rsidTr="00BA35B6">
        <w:trPr>
          <w:trHeight w:val="14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E08B0" w14:textId="0898E608" w:rsidR="00097078" w:rsidRDefault="00097078" w:rsidP="0001653D">
            <w:pPr>
              <w:pStyle w:val="Marginlie"/>
            </w:pPr>
            <w:r>
              <w:t xml:space="preserve">Úplné hodinové náklady práce na zaměstnance v průmyslu byly v roce 2018 </w:t>
            </w:r>
            <w:r w:rsidR="0001653D">
              <w:t>v </w:t>
            </w:r>
            <w:r>
              <w:t>ČR jedenácté nejnižší mezi státy EU.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FF7BE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00985" w14:textId="161EDA24" w:rsidR="00097078" w:rsidRDefault="00097078" w:rsidP="00044059">
            <w:pPr>
              <w:spacing w:after="220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 xml:space="preserve">Na problematiku ocenění pracovní síly je možné nazírat </w:t>
            </w:r>
            <w:r w:rsidR="00307E77">
              <w:rPr>
                <w:spacing w:val="-2"/>
                <w:szCs w:val="20"/>
              </w:rPr>
              <w:t>i </w:t>
            </w:r>
            <w:r>
              <w:rPr>
                <w:spacing w:val="-2"/>
                <w:szCs w:val="20"/>
              </w:rPr>
              <w:t xml:space="preserve">z pohledu zaměstnavatelů. V takovém případě je třeba uvažovat </w:t>
            </w:r>
            <w:r w:rsidR="00307E77">
              <w:rPr>
                <w:spacing w:val="-2"/>
                <w:szCs w:val="20"/>
              </w:rPr>
              <w:t>o </w:t>
            </w:r>
            <w:r>
              <w:rPr>
                <w:spacing w:val="-2"/>
                <w:szCs w:val="20"/>
              </w:rPr>
              <w:t xml:space="preserve">úplných nákladech práce, které vedle dominantní složky mezd </w:t>
            </w:r>
            <w:r w:rsidR="00307E77">
              <w:rPr>
                <w:spacing w:val="-2"/>
                <w:szCs w:val="20"/>
              </w:rPr>
              <w:t>a </w:t>
            </w:r>
            <w:r>
              <w:rPr>
                <w:spacing w:val="-2"/>
                <w:szCs w:val="20"/>
              </w:rPr>
              <w:t xml:space="preserve">platů zahrnují </w:t>
            </w:r>
            <w:r w:rsidR="00307E77">
              <w:rPr>
                <w:spacing w:val="-2"/>
                <w:szCs w:val="20"/>
              </w:rPr>
              <w:t>i </w:t>
            </w:r>
            <w:r>
              <w:rPr>
                <w:spacing w:val="-2"/>
                <w:szCs w:val="20"/>
              </w:rPr>
              <w:t>další náklady</w:t>
            </w:r>
            <w:r w:rsidR="0001653D">
              <w:rPr>
                <w:spacing w:val="-2"/>
                <w:szCs w:val="20"/>
              </w:rPr>
              <w:t> </w:t>
            </w:r>
            <w:r>
              <w:rPr>
                <w:spacing w:val="-2"/>
                <w:szCs w:val="20"/>
              </w:rPr>
              <w:t xml:space="preserve">– sociální příspěvky zaměstnavatelů </w:t>
            </w:r>
            <w:r w:rsidR="00307E77">
              <w:rPr>
                <w:spacing w:val="-2"/>
                <w:szCs w:val="20"/>
              </w:rPr>
              <w:t>a </w:t>
            </w:r>
            <w:r>
              <w:rPr>
                <w:spacing w:val="-2"/>
                <w:szCs w:val="20"/>
              </w:rPr>
              <w:t xml:space="preserve">saldo daní </w:t>
            </w:r>
            <w:r w:rsidR="00307E77">
              <w:rPr>
                <w:spacing w:val="-2"/>
                <w:szCs w:val="20"/>
              </w:rPr>
              <w:t>a </w:t>
            </w:r>
            <w:r>
              <w:rPr>
                <w:spacing w:val="-2"/>
                <w:szCs w:val="20"/>
              </w:rPr>
              <w:t xml:space="preserve">dotací spojených se zaměstnáváním osob. </w:t>
            </w:r>
            <w:r w:rsidR="00307E77">
              <w:rPr>
                <w:spacing w:val="-2"/>
                <w:szCs w:val="20"/>
              </w:rPr>
              <w:t>A </w:t>
            </w:r>
            <w:r>
              <w:rPr>
                <w:spacing w:val="-2"/>
                <w:szCs w:val="20"/>
              </w:rPr>
              <w:t>protože nadnárodní firmy mohou pracovní místa vytvářet mj.</w:t>
            </w:r>
            <w:r w:rsidR="0001653D">
              <w:rPr>
                <w:spacing w:val="-2"/>
                <w:szCs w:val="20"/>
              </w:rPr>
              <w:t> </w:t>
            </w:r>
            <w:r>
              <w:rPr>
                <w:spacing w:val="-2"/>
                <w:szCs w:val="20"/>
              </w:rPr>
              <w:t>v různých zemích EU, je vhodné vyjádřit náklady v eurech. V rámci EU dlouhodobě panují obrovské rozdíly v hodinových nákladech na pracovníka v průmyslu. Maxima dosahovaly v roce 2019 v Dánsku (41,</w:t>
            </w:r>
            <w:r w:rsidR="00307E77">
              <w:rPr>
                <w:spacing w:val="-2"/>
                <w:szCs w:val="20"/>
              </w:rPr>
              <w:t>3 </w:t>
            </w:r>
            <w:r w:rsidR="0001653D">
              <w:rPr>
                <w:spacing w:val="-2"/>
                <w:szCs w:val="20"/>
              </w:rPr>
              <w:t>eura</w:t>
            </w:r>
            <w:r>
              <w:rPr>
                <w:spacing w:val="-2"/>
                <w:szCs w:val="20"/>
              </w:rPr>
              <w:t xml:space="preserve">), </w:t>
            </w:r>
            <w:r w:rsidR="00797D5F">
              <w:rPr>
                <w:spacing w:val="-2"/>
                <w:szCs w:val="20"/>
              </w:rPr>
              <w:t xml:space="preserve">minima </w:t>
            </w:r>
            <w:r w:rsidR="00307E77">
              <w:rPr>
                <w:spacing w:val="-2"/>
                <w:szCs w:val="20"/>
              </w:rPr>
              <w:t>v </w:t>
            </w:r>
            <w:r>
              <w:rPr>
                <w:spacing w:val="-2"/>
                <w:szCs w:val="20"/>
              </w:rPr>
              <w:t>Bulharsku (5,</w:t>
            </w:r>
            <w:r w:rsidR="00307E77">
              <w:rPr>
                <w:spacing w:val="-2"/>
                <w:szCs w:val="20"/>
              </w:rPr>
              <w:t>7 </w:t>
            </w:r>
            <w:r w:rsidR="0001653D">
              <w:rPr>
                <w:spacing w:val="-2"/>
                <w:szCs w:val="20"/>
              </w:rPr>
              <w:t>eura</w:t>
            </w:r>
            <w:r>
              <w:rPr>
                <w:spacing w:val="-2"/>
                <w:szCs w:val="20"/>
              </w:rPr>
              <w:t>). Náklady v Česku dosahovaly 48</w:t>
            </w:r>
            <w:r w:rsidR="006E33D0">
              <w:rPr>
                <w:spacing w:val="-2"/>
                <w:szCs w:val="20"/>
              </w:rPr>
              <w:t> %</w:t>
            </w:r>
            <w:r>
              <w:rPr>
                <w:spacing w:val="-2"/>
                <w:szCs w:val="20"/>
              </w:rPr>
              <w:t xml:space="preserve"> úrovně EU </w:t>
            </w:r>
            <w:r w:rsidR="00307E77">
              <w:rPr>
                <w:spacing w:val="-2"/>
                <w:szCs w:val="20"/>
              </w:rPr>
              <w:t>a </w:t>
            </w:r>
            <w:r>
              <w:rPr>
                <w:spacing w:val="-2"/>
                <w:szCs w:val="20"/>
              </w:rPr>
              <w:t>mezi jejími členy byly jedenácté nejnižší (9,</w:t>
            </w:r>
            <w:r w:rsidR="00307E77">
              <w:rPr>
                <w:spacing w:val="-2"/>
                <w:szCs w:val="20"/>
              </w:rPr>
              <w:t>9 </w:t>
            </w:r>
            <w:r w:rsidR="0001653D">
              <w:rPr>
                <w:spacing w:val="-2"/>
                <w:szCs w:val="20"/>
              </w:rPr>
              <w:t>eura</w:t>
            </w:r>
            <w:r>
              <w:rPr>
                <w:spacing w:val="-2"/>
                <w:szCs w:val="20"/>
              </w:rPr>
              <w:t>). Z novějších států Unie však převyšovaly úroveň ČR jen tři</w:t>
            </w:r>
            <w:r w:rsidR="0001653D">
              <w:rPr>
                <w:spacing w:val="-2"/>
                <w:szCs w:val="20"/>
              </w:rPr>
              <w:t> </w:t>
            </w:r>
            <w:r>
              <w:rPr>
                <w:spacing w:val="-2"/>
                <w:szCs w:val="20"/>
              </w:rPr>
              <w:t xml:space="preserve">– Slovinsko (19,2), Malta (14,3) </w:t>
            </w:r>
            <w:r w:rsidR="00307E77">
              <w:rPr>
                <w:spacing w:val="-2"/>
                <w:szCs w:val="20"/>
              </w:rPr>
              <w:t>a </w:t>
            </w:r>
            <w:r>
              <w:rPr>
                <w:spacing w:val="-2"/>
                <w:szCs w:val="20"/>
              </w:rPr>
              <w:t>Kypr (14,1).</w:t>
            </w:r>
          </w:p>
        </w:tc>
      </w:tr>
      <w:tr w:rsidR="00097078" w14:paraId="7641EE07" w14:textId="77777777" w:rsidTr="00BA35B6">
        <w:trPr>
          <w:trHeight w:val="14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A9ABD" w14:textId="77777777" w:rsidR="00097078" w:rsidRDefault="00097078" w:rsidP="00044059">
            <w:pPr>
              <w:pStyle w:val="Marginlie"/>
            </w:pPr>
            <w:r>
              <w:t>Podíl nemzdových nákladů práce patří v Česku v rámci EU dlouhodobě k nadprůměrným.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EFD28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2BFB9" w14:textId="73C637E9" w:rsidR="00097078" w:rsidRPr="000B21DD" w:rsidRDefault="00097078" w:rsidP="00044059">
            <w:pPr>
              <w:spacing w:after="220"/>
              <w:rPr>
                <w:spacing w:val="-4"/>
                <w:szCs w:val="20"/>
              </w:rPr>
            </w:pPr>
            <w:r w:rsidRPr="000B21DD">
              <w:rPr>
                <w:spacing w:val="-4"/>
                <w:szCs w:val="20"/>
              </w:rPr>
              <w:t xml:space="preserve">Přestože </w:t>
            </w:r>
            <w:r w:rsidR="00BD26F7" w:rsidRPr="000B21DD">
              <w:rPr>
                <w:spacing w:val="-4"/>
                <w:szCs w:val="20"/>
              </w:rPr>
              <w:t xml:space="preserve">rozdíly </w:t>
            </w:r>
            <w:r w:rsidR="00C211B3">
              <w:rPr>
                <w:spacing w:val="-4"/>
                <w:szCs w:val="20"/>
              </w:rPr>
              <w:t>v </w:t>
            </w:r>
            <w:r w:rsidR="00BD26F7" w:rsidRPr="000B21DD">
              <w:rPr>
                <w:spacing w:val="-4"/>
                <w:szCs w:val="20"/>
              </w:rPr>
              <w:t xml:space="preserve">celkových </w:t>
            </w:r>
            <w:r w:rsidR="00C211B3" w:rsidRPr="000B21DD">
              <w:rPr>
                <w:spacing w:val="-4"/>
                <w:szCs w:val="20"/>
              </w:rPr>
              <w:t>náklad</w:t>
            </w:r>
            <w:r w:rsidR="00C211B3">
              <w:rPr>
                <w:spacing w:val="-4"/>
                <w:szCs w:val="20"/>
              </w:rPr>
              <w:t>ech</w:t>
            </w:r>
            <w:r w:rsidR="00C211B3" w:rsidRPr="000B21DD">
              <w:rPr>
                <w:spacing w:val="-4"/>
                <w:szCs w:val="20"/>
              </w:rPr>
              <w:t xml:space="preserve"> </w:t>
            </w:r>
            <w:r w:rsidR="00BD26F7" w:rsidRPr="000B21DD">
              <w:rPr>
                <w:spacing w:val="-4"/>
                <w:szCs w:val="20"/>
              </w:rPr>
              <w:t xml:space="preserve">práce </w:t>
            </w:r>
            <w:r w:rsidRPr="000B21DD">
              <w:rPr>
                <w:spacing w:val="-4"/>
                <w:szCs w:val="20"/>
              </w:rPr>
              <w:t>mezi státy odráž</w:t>
            </w:r>
            <w:r w:rsidR="00D73127">
              <w:rPr>
                <w:spacing w:val="-4"/>
                <w:szCs w:val="20"/>
              </w:rPr>
              <w:t>ej</w:t>
            </w:r>
            <w:r w:rsidRPr="000B21DD">
              <w:rPr>
                <w:spacing w:val="-4"/>
                <w:szCs w:val="20"/>
              </w:rPr>
              <w:t xml:space="preserve">í zejména mzdové výdaje podniků, role ostatních nákladů není zdaleka zanedbatelná. </w:t>
            </w:r>
            <w:r w:rsidR="002E1475" w:rsidRPr="000B21DD">
              <w:rPr>
                <w:spacing w:val="-4"/>
                <w:szCs w:val="20"/>
              </w:rPr>
              <w:t>Ty v</w:t>
            </w:r>
            <w:r w:rsidRPr="000B21DD">
              <w:rPr>
                <w:spacing w:val="-4"/>
                <w:szCs w:val="20"/>
              </w:rPr>
              <w:t> sedmnácti zemích EU tvořily v roce 2019 více než pětinu všech pracovních nákladů, z </w:t>
            </w:r>
            <w:r w:rsidR="00CE2061" w:rsidRPr="000B21DD">
              <w:rPr>
                <w:spacing w:val="-4"/>
                <w:szCs w:val="20"/>
              </w:rPr>
              <w:t>toho v </w:t>
            </w:r>
            <w:r w:rsidR="00D73127" w:rsidRPr="000B21DD">
              <w:rPr>
                <w:spacing w:val="-4"/>
                <w:szCs w:val="20"/>
              </w:rPr>
              <w:t>It</w:t>
            </w:r>
            <w:r w:rsidR="00D73127">
              <w:rPr>
                <w:spacing w:val="-4"/>
                <w:szCs w:val="20"/>
              </w:rPr>
              <w:t>á</w:t>
            </w:r>
            <w:r w:rsidR="00D73127" w:rsidRPr="000B21DD">
              <w:rPr>
                <w:spacing w:val="-4"/>
                <w:szCs w:val="20"/>
              </w:rPr>
              <w:t xml:space="preserve">lii </w:t>
            </w:r>
            <w:r w:rsidR="00CE2061" w:rsidRPr="000B21DD">
              <w:rPr>
                <w:spacing w:val="-4"/>
                <w:szCs w:val="20"/>
              </w:rPr>
              <w:t xml:space="preserve">či </w:t>
            </w:r>
            <w:r w:rsidR="00D73127">
              <w:rPr>
                <w:spacing w:val="-4"/>
                <w:szCs w:val="20"/>
              </w:rPr>
              <w:t xml:space="preserve">ve </w:t>
            </w:r>
            <w:r w:rsidR="00CE2061" w:rsidRPr="000B21DD">
              <w:rPr>
                <w:spacing w:val="-4"/>
                <w:szCs w:val="20"/>
              </w:rPr>
              <w:t xml:space="preserve">Švédsku </w:t>
            </w:r>
            <w:r w:rsidRPr="000B21DD">
              <w:rPr>
                <w:spacing w:val="-4"/>
                <w:szCs w:val="20"/>
              </w:rPr>
              <w:t>více než 30</w:t>
            </w:r>
            <w:r w:rsidR="006E33D0">
              <w:rPr>
                <w:spacing w:val="-4"/>
                <w:szCs w:val="20"/>
              </w:rPr>
              <w:t> %</w:t>
            </w:r>
            <w:r w:rsidRPr="000B21DD">
              <w:rPr>
                <w:spacing w:val="-4"/>
                <w:szCs w:val="20"/>
              </w:rPr>
              <w:t xml:space="preserve">. Do skupiny zemí s významnější rolí vedlejších nákladů práce dlouhodobě patří </w:t>
            </w:r>
            <w:r w:rsidR="00307E77" w:rsidRPr="000B21DD">
              <w:rPr>
                <w:spacing w:val="-4"/>
                <w:szCs w:val="20"/>
              </w:rPr>
              <w:t>i</w:t>
            </w:r>
            <w:r w:rsidR="00307E77">
              <w:rPr>
                <w:spacing w:val="-4"/>
                <w:szCs w:val="20"/>
              </w:rPr>
              <w:t> </w:t>
            </w:r>
            <w:r w:rsidRPr="000B21DD">
              <w:rPr>
                <w:spacing w:val="-4"/>
                <w:szCs w:val="20"/>
              </w:rPr>
              <w:t>Česko či Slovensko (shodně 27</w:t>
            </w:r>
            <w:r w:rsidR="006E33D0">
              <w:rPr>
                <w:spacing w:val="-4"/>
                <w:szCs w:val="20"/>
              </w:rPr>
              <w:t> %</w:t>
            </w:r>
            <w:r w:rsidRPr="000B21DD">
              <w:rPr>
                <w:spacing w:val="-4"/>
                <w:szCs w:val="20"/>
              </w:rPr>
              <w:t>). Naproti tomu méně než desetinovou váhu měly jen v některých malých</w:t>
            </w:r>
            <w:r w:rsidR="007567BD" w:rsidRPr="000B21DD">
              <w:rPr>
                <w:spacing w:val="-4"/>
                <w:szCs w:val="20"/>
              </w:rPr>
              <w:t xml:space="preserve"> ekonomikách (Malta, Litva). Role</w:t>
            </w:r>
            <w:r w:rsidRPr="000B21DD">
              <w:rPr>
                <w:spacing w:val="-4"/>
                <w:szCs w:val="20"/>
              </w:rPr>
              <w:t xml:space="preserve"> vedlejších nákladů práce souvisí </w:t>
            </w:r>
            <w:r w:rsidRPr="000B21DD">
              <w:rPr>
                <w:spacing w:val="-4"/>
                <w:szCs w:val="20"/>
              </w:rPr>
              <w:lastRenderedPageBreak/>
              <w:t xml:space="preserve">především </w:t>
            </w:r>
            <w:r w:rsidR="00307E77" w:rsidRPr="000B21DD">
              <w:rPr>
                <w:spacing w:val="-4"/>
                <w:szCs w:val="20"/>
              </w:rPr>
              <w:t>s</w:t>
            </w:r>
            <w:r w:rsidR="00307E77">
              <w:rPr>
                <w:spacing w:val="-4"/>
                <w:szCs w:val="20"/>
              </w:rPr>
              <w:t> </w:t>
            </w:r>
            <w:r w:rsidRPr="000B21DD">
              <w:rPr>
                <w:spacing w:val="-4"/>
                <w:szCs w:val="20"/>
              </w:rPr>
              <w:t xml:space="preserve">nastavením daňového </w:t>
            </w:r>
            <w:r w:rsidR="00307E77" w:rsidRPr="000B21DD">
              <w:rPr>
                <w:spacing w:val="-4"/>
                <w:szCs w:val="20"/>
              </w:rPr>
              <w:t>a</w:t>
            </w:r>
            <w:r w:rsidR="00307E77">
              <w:rPr>
                <w:spacing w:val="-4"/>
                <w:szCs w:val="20"/>
              </w:rPr>
              <w:t> </w:t>
            </w:r>
            <w:r w:rsidRPr="000B21DD">
              <w:rPr>
                <w:spacing w:val="-4"/>
                <w:szCs w:val="20"/>
              </w:rPr>
              <w:t>pojistného systému v jednotlivých státech. Součástí veřejných rozpočtů je nejen většina sociálních příspěvků, ale také daně, které odvád</w:t>
            </w:r>
            <w:r w:rsidR="00D73127">
              <w:rPr>
                <w:spacing w:val="-4"/>
                <w:szCs w:val="20"/>
              </w:rPr>
              <w:t>ěj</w:t>
            </w:r>
            <w:r w:rsidRPr="000B21DD">
              <w:rPr>
                <w:spacing w:val="-4"/>
                <w:szCs w:val="20"/>
              </w:rPr>
              <w:t>í zaměstnanci ze svých hrubých výdělků. Relativně nižší váha sociálních příspěvků v rámci všech pracovních nákladů může být v některých státech kompenzována vyšší</w:t>
            </w:r>
            <w:r w:rsidR="007567BD" w:rsidRPr="000B21DD">
              <w:rPr>
                <w:spacing w:val="-4"/>
                <w:szCs w:val="20"/>
              </w:rPr>
              <w:t>m</w:t>
            </w:r>
            <w:r w:rsidRPr="000B21DD">
              <w:rPr>
                <w:spacing w:val="-4"/>
                <w:szCs w:val="20"/>
              </w:rPr>
              <w:t xml:space="preserve"> zdanění</w:t>
            </w:r>
            <w:r w:rsidR="007567BD" w:rsidRPr="000B21DD">
              <w:rPr>
                <w:spacing w:val="-4"/>
                <w:szCs w:val="20"/>
              </w:rPr>
              <w:t>m</w:t>
            </w:r>
            <w:r w:rsidRPr="000B21DD">
              <w:rPr>
                <w:spacing w:val="-4"/>
                <w:szCs w:val="20"/>
              </w:rPr>
              <w:t xml:space="preserve"> mezd.</w:t>
            </w:r>
          </w:p>
        </w:tc>
      </w:tr>
      <w:tr w:rsidR="00097078" w14:paraId="46B967E7" w14:textId="77777777" w:rsidTr="00BA35B6">
        <w:trPr>
          <w:trHeight w:val="14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569DE" w14:textId="77777777" w:rsidR="00097078" w:rsidRDefault="00097078" w:rsidP="00044059">
            <w:pPr>
              <w:pStyle w:val="Marginlie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B5613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1C403" w14:textId="25B8872E" w:rsidR="00097078" w:rsidRPr="008909FB" w:rsidRDefault="004C0391" w:rsidP="00044059">
            <w:pPr>
              <w:spacing w:after="0"/>
              <w:rPr>
                <w:b/>
                <w:spacing w:val="-2"/>
                <w:szCs w:val="20"/>
              </w:rPr>
            </w:pPr>
            <w:r>
              <w:rPr>
                <w:b/>
                <w:spacing w:val="-2"/>
                <w:szCs w:val="20"/>
              </w:rPr>
              <w:t>Graf</w:t>
            </w:r>
            <w:r w:rsidR="006E33D0">
              <w:rPr>
                <w:b/>
                <w:spacing w:val="-2"/>
                <w:szCs w:val="20"/>
              </w:rPr>
              <w:t xml:space="preserve"> č. </w:t>
            </w:r>
            <w:r>
              <w:rPr>
                <w:b/>
                <w:spacing w:val="-2"/>
                <w:szCs w:val="20"/>
              </w:rPr>
              <w:t>20</w:t>
            </w:r>
            <w:r w:rsidR="00097078" w:rsidRPr="00FE531D">
              <w:rPr>
                <w:b/>
                <w:spacing w:val="-2"/>
                <w:szCs w:val="20"/>
              </w:rPr>
              <w:t xml:space="preserve">  </w:t>
            </w:r>
            <w:r w:rsidR="00097078" w:rsidRPr="009E447F">
              <w:rPr>
                <w:b/>
                <w:bCs/>
                <w:spacing w:val="-2"/>
                <w:szCs w:val="20"/>
              </w:rPr>
              <w:t xml:space="preserve">Průměrné hodinové náklady práce </w:t>
            </w:r>
            <w:r w:rsidR="00097078">
              <w:rPr>
                <w:b/>
                <w:bCs/>
                <w:spacing w:val="-2"/>
                <w:szCs w:val="20"/>
              </w:rPr>
              <w:t xml:space="preserve">v průmyslu </w:t>
            </w:r>
            <w:r w:rsidR="00097078" w:rsidRPr="00FE531D">
              <w:rPr>
                <w:b/>
                <w:spacing w:val="-2"/>
                <w:szCs w:val="20"/>
              </w:rPr>
              <w:t>ve vybraných evropských státech</w:t>
            </w:r>
            <w:r w:rsidR="00097078">
              <w:rPr>
                <w:b/>
                <w:spacing w:val="-2"/>
                <w:szCs w:val="20"/>
              </w:rPr>
              <w:t xml:space="preserve"> </w:t>
            </w:r>
            <w:r w:rsidR="00097078" w:rsidRPr="00FE531D">
              <w:rPr>
                <w:spacing w:val="-2"/>
                <w:szCs w:val="20"/>
              </w:rPr>
              <w:t xml:space="preserve">(na </w:t>
            </w:r>
            <w:r w:rsidR="00307E77" w:rsidRPr="00FE531D">
              <w:rPr>
                <w:spacing w:val="-2"/>
                <w:szCs w:val="20"/>
              </w:rPr>
              <w:t>1</w:t>
            </w:r>
            <w:r w:rsidR="00307E77">
              <w:rPr>
                <w:spacing w:val="-2"/>
                <w:szCs w:val="20"/>
              </w:rPr>
              <w:t> </w:t>
            </w:r>
            <w:r w:rsidR="00097078" w:rsidRPr="00FE531D">
              <w:rPr>
                <w:spacing w:val="-2"/>
                <w:szCs w:val="20"/>
              </w:rPr>
              <w:t>zaměstnance, v</w:t>
            </w:r>
            <w:r w:rsidR="00097078" w:rsidRPr="00FE531D">
              <w:rPr>
                <w:b/>
                <w:spacing w:val="-2"/>
                <w:szCs w:val="20"/>
              </w:rPr>
              <w:t> </w:t>
            </w:r>
            <w:r w:rsidR="00D25397">
              <w:rPr>
                <w:spacing w:val="-2"/>
                <w:szCs w:val="20"/>
              </w:rPr>
              <w:t>eurech</w:t>
            </w:r>
            <w:r w:rsidR="00097078" w:rsidRPr="00FE531D">
              <w:rPr>
                <w:spacing w:val="-2"/>
                <w:szCs w:val="20"/>
              </w:rPr>
              <w:t>)</w:t>
            </w:r>
          </w:p>
        </w:tc>
      </w:tr>
      <w:tr w:rsidR="00097078" w14:paraId="3F8D55C2" w14:textId="77777777" w:rsidTr="00BA35B6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3E754" w14:textId="77777777" w:rsidR="00097078" w:rsidRDefault="00097078" w:rsidP="00044059">
            <w:pPr>
              <w:pStyle w:val="Marginlie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E5642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00C86" w14:textId="5B799851" w:rsidR="00097078" w:rsidRDefault="007964CF" w:rsidP="00044059">
            <w:pPr>
              <w:spacing w:after="0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2D544FF" wp14:editId="1D167074">
                  <wp:extent cx="4817660" cy="3445510"/>
                  <wp:effectExtent l="0" t="0" r="2540" b="2540"/>
                  <wp:docPr id="17" name="Graf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  <w:tr w:rsidR="00097078" w14:paraId="4D34D219" w14:textId="77777777" w:rsidTr="00BA35B6">
        <w:trPr>
          <w:trHeight w:val="14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FCE97" w14:textId="77777777" w:rsidR="00097078" w:rsidRDefault="00097078" w:rsidP="00044059">
            <w:pPr>
              <w:pStyle w:val="Marginlie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54BE6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D055B" w14:textId="77777777" w:rsidR="00307E77" w:rsidRDefault="00097078" w:rsidP="00044059">
            <w:pPr>
              <w:spacing w:after="0"/>
              <w:rPr>
                <w:sz w:val="14"/>
                <w:szCs w:val="14"/>
              </w:rPr>
            </w:pPr>
            <w:r w:rsidRPr="00F710D4">
              <w:rPr>
                <w:sz w:val="14"/>
                <w:szCs w:val="14"/>
              </w:rPr>
              <w:t xml:space="preserve">Poznámka: Údaje za Černou Horu, Bosnu </w:t>
            </w:r>
            <w:r w:rsidR="00307E77" w:rsidRPr="00F710D4">
              <w:rPr>
                <w:sz w:val="14"/>
                <w:szCs w:val="14"/>
              </w:rPr>
              <w:t>a</w:t>
            </w:r>
            <w:r w:rsidR="00307E77">
              <w:rPr>
                <w:sz w:val="14"/>
                <w:szCs w:val="14"/>
              </w:rPr>
              <w:t> </w:t>
            </w:r>
            <w:r w:rsidRPr="00F710D4">
              <w:rPr>
                <w:sz w:val="14"/>
                <w:szCs w:val="14"/>
              </w:rPr>
              <w:t xml:space="preserve">Hercegovinu, Severní Makedonii </w:t>
            </w:r>
            <w:r w:rsidR="00307E77" w:rsidRPr="00F710D4">
              <w:rPr>
                <w:sz w:val="14"/>
                <w:szCs w:val="14"/>
              </w:rPr>
              <w:t>a</w:t>
            </w:r>
            <w:r w:rsidR="00307E77">
              <w:rPr>
                <w:sz w:val="14"/>
                <w:szCs w:val="14"/>
              </w:rPr>
              <w:t> </w:t>
            </w:r>
            <w:r w:rsidRPr="00F710D4">
              <w:rPr>
                <w:sz w:val="14"/>
                <w:szCs w:val="14"/>
              </w:rPr>
              <w:t>Albánii nebyly za rok 2019 dostupné.</w:t>
            </w:r>
          </w:p>
          <w:p w14:paraId="4907D9A1" w14:textId="6FC27F5D" w:rsidR="00097078" w:rsidRDefault="00097078" w:rsidP="00044059">
            <w:pPr>
              <w:spacing w:after="220"/>
              <w:rPr>
                <w:sz w:val="16"/>
                <w:szCs w:val="16"/>
              </w:rPr>
            </w:pPr>
            <w:r w:rsidRPr="00F710D4">
              <w:rPr>
                <w:sz w:val="14"/>
                <w:szCs w:val="14"/>
              </w:rPr>
              <w:t>Zdroj: Eurostat</w:t>
            </w:r>
          </w:p>
        </w:tc>
      </w:tr>
      <w:tr w:rsidR="00097078" w14:paraId="51A13EAB" w14:textId="77777777" w:rsidTr="00BA35B6">
        <w:trPr>
          <w:trHeight w:val="14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CF666" w14:textId="142D3AE7" w:rsidR="00097078" w:rsidRDefault="003678F2" w:rsidP="00044059">
            <w:pPr>
              <w:pStyle w:val="Marginlie"/>
            </w:pPr>
            <w:r>
              <w:t xml:space="preserve">Poměr mezi státy s nejvyššími </w:t>
            </w:r>
            <w:r w:rsidR="00307E77">
              <w:t>a </w:t>
            </w:r>
            <w:r w:rsidR="009C5FEA">
              <w:t xml:space="preserve">nejnižšími hodinovými náklady práce klesl mezi roky 2008 </w:t>
            </w:r>
            <w:r w:rsidR="00307E77">
              <w:t>a </w:t>
            </w:r>
            <w:r w:rsidR="009C5FEA">
              <w:t xml:space="preserve">2019 skoro </w:t>
            </w:r>
            <w:r w:rsidR="00307E77">
              <w:t>o </w:t>
            </w:r>
            <w:r w:rsidR="009C5FEA">
              <w:t>polovinu.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5A7C8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27FE4" w14:textId="17A7705A" w:rsidR="00097078" w:rsidRPr="009C5FEA" w:rsidRDefault="00097078" w:rsidP="00044059">
            <w:pPr>
              <w:spacing w:after="220"/>
              <w:rPr>
                <w:spacing w:val="-4"/>
                <w:szCs w:val="20"/>
              </w:rPr>
            </w:pPr>
            <w:r w:rsidRPr="009C5FEA">
              <w:rPr>
                <w:spacing w:val="-4"/>
                <w:szCs w:val="20"/>
              </w:rPr>
              <w:t xml:space="preserve">Mezi roky 2016 </w:t>
            </w:r>
            <w:r w:rsidR="00307E77" w:rsidRPr="009C5FEA">
              <w:rPr>
                <w:spacing w:val="-4"/>
                <w:szCs w:val="20"/>
              </w:rPr>
              <w:t>a</w:t>
            </w:r>
            <w:r w:rsidR="00307E77">
              <w:rPr>
                <w:spacing w:val="-4"/>
                <w:szCs w:val="20"/>
              </w:rPr>
              <w:t> </w:t>
            </w:r>
            <w:r w:rsidRPr="009C5FEA">
              <w:rPr>
                <w:spacing w:val="-4"/>
                <w:szCs w:val="20"/>
              </w:rPr>
              <w:t>2019 došlo v rámci EU k nejvyššímu růstu úplných průměrných hodinových nákladů práce v průmyslu v Bulharsku (36</w:t>
            </w:r>
            <w:r w:rsidR="006E33D0">
              <w:rPr>
                <w:spacing w:val="-4"/>
                <w:szCs w:val="20"/>
              </w:rPr>
              <w:t> %</w:t>
            </w:r>
            <w:r w:rsidRPr="009C5FEA">
              <w:rPr>
                <w:spacing w:val="-4"/>
                <w:szCs w:val="20"/>
              </w:rPr>
              <w:t>), Rumunsku (35</w:t>
            </w:r>
            <w:r w:rsidR="006E33D0">
              <w:rPr>
                <w:spacing w:val="-4"/>
                <w:szCs w:val="20"/>
              </w:rPr>
              <w:t> %</w:t>
            </w:r>
            <w:r w:rsidRPr="009C5FEA">
              <w:rPr>
                <w:spacing w:val="-4"/>
                <w:szCs w:val="20"/>
              </w:rPr>
              <w:t xml:space="preserve">) </w:t>
            </w:r>
            <w:r w:rsidR="00307E77" w:rsidRPr="009C5FEA">
              <w:rPr>
                <w:spacing w:val="-4"/>
                <w:szCs w:val="20"/>
              </w:rPr>
              <w:t>a</w:t>
            </w:r>
            <w:r w:rsidR="00307E77">
              <w:rPr>
                <w:spacing w:val="-4"/>
                <w:szCs w:val="20"/>
              </w:rPr>
              <w:t> </w:t>
            </w:r>
            <w:r w:rsidR="003678F2">
              <w:rPr>
                <w:spacing w:val="-4"/>
                <w:szCs w:val="20"/>
              </w:rPr>
              <w:t xml:space="preserve">také </w:t>
            </w:r>
            <w:r w:rsidR="00307E77">
              <w:rPr>
                <w:spacing w:val="-4"/>
                <w:szCs w:val="20"/>
              </w:rPr>
              <w:t>v </w:t>
            </w:r>
            <w:r w:rsidR="003678F2">
              <w:rPr>
                <w:spacing w:val="-4"/>
                <w:szCs w:val="20"/>
              </w:rPr>
              <w:t xml:space="preserve">Česku (31 %), kde ke svižnému růstu </w:t>
            </w:r>
            <w:r w:rsidRPr="009C5FEA">
              <w:rPr>
                <w:spacing w:val="-4"/>
                <w:szCs w:val="20"/>
              </w:rPr>
              <w:t xml:space="preserve">zčásti přispělo </w:t>
            </w:r>
            <w:r w:rsidR="00307E77" w:rsidRPr="009C5FEA">
              <w:rPr>
                <w:spacing w:val="-4"/>
                <w:szCs w:val="20"/>
              </w:rPr>
              <w:t>i</w:t>
            </w:r>
            <w:r w:rsidR="00307E77">
              <w:rPr>
                <w:spacing w:val="-4"/>
                <w:szCs w:val="20"/>
              </w:rPr>
              <w:t> </w:t>
            </w:r>
            <w:r w:rsidRPr="009C5FEA">
              <w:rPr>
                <w:spacing w:val="-4"/>
                <w:szCs w:val="20"/>
              </w:rPr>
              <w:t>posílení koruny vůči euru. V delším období 2006 až 2018 vzrostly pracovní náklady nejvíce v Bulharsku (</w:t>
            </w:r>
            <w:r w:rsidR="00307E77" w:rsidRPr="009C5FEA">
              <w:rPr>
                <w:spacing w:val="-4"/>
                <w:szCs w:val="20"/>
              </w:rPr>
              <w:t>o</w:t>
            </w:r>
            <w:r w:rsidR="00307E77">
              <w:rPr>
                <w:spacing w:val="-4"/>
                <w:szCs w:val="20"/>
              </w:rPr>
              <w:t> </w:t>
            </w:r>
            <w:r w:rsidRPr="009C5FEA">
              <w:rPr>
                <w:spacing w:val="-4"/>
                <w:szCs w:val="20"/>
              </w:rPr>
              <w:t>128</w:t>
            </w:r>
            <w:r w:rsidR="006E33D0">
              <w:rPr>
                <w:spacing w:val="-4"/>
                <w:szCs w:val="20"/>
              </w:rPr>
              <w:t> %</w:t>
            </w:r>
            <w:r w:rsidRPr="009C5FEA">
              <w:rPr>
                <w:spacing w:val="-4"/>
                <w:szCs w:val="20"/>
              </w:rPr>
              <w:t xml:space="preserve">), </w:t>
            </w:r>
            <w:r w:rsidR="004D26B7">
              <w:rPr>
                <w:spacing w:val="-4"/>
                <w:szCs w:val="20"/>
              </w:rPr>
              <w:t xml:space="preserve">na </w:t>
            </w:r>
            <w:r w:rsidR="003678F2">
              <w:rPr>
                <w:spacing w:val="-4"/>
                <w:szCs w:val="20"/>
              </w:rPr>
              <w:t>Slovensku (82</w:t>
            </w:r>
            <w:r w:rsidR="006E33D0">
              <w:rPr>
                <w:spacing w:val="-4"/>
                <w:szCs w:val="20"/>
              </w:rPr>
              <w:t> %</w:t>
            </w:r>
            <w:r w:rsidR="003678F2">
              <w:rPr>
                <w:spacing w:val="-4"/>
                <w:szCs w:val="20"/>
              </w:rPr>
              <w:t xml:space="preserve">) </w:t>
            </w:r>
            <w:r w:rsidR="00307E77">
              <w:rPr>
                <w:spacing w:val="-4"/>
                <w:szCs w:val="20"/>
              </w:rPr>
              <w:t>a </w:t>
            </w:r>
            <w:r w:rsidR="004D26B7">
              <w:rPr>
                <w:spacing w:val="-4"/>
                <w:szCs w:val="20"/>
              </w:rPr>
              <w:t>v </w:t>
            </w:r>
            <w:r w:rsidR="003678F2">
              <w:rPr>
                <w:spacing w:val="-4"/>
                <w:szCs w:val="20"/>
              </w:rPr>
              <w:t>Lotyšsku (78</w:t>
            </w:r>
            <w:r w:rsidR="003678F2" w:rsidRPr="009C5FEA">
              <w:rPr>
                <w:spacing w:val="-4"/>
                <w:szCs w:val="20"/>
              </w:rPr>
              <w:t> </w:t>
            </w:r>
            <w:r w:rsidRPr="009C5FEA">
              <w:rPr>
                <w:spacing w:val="-4"/>
                <w:szCs w:val="20"/>
              </w:rPr>
              <w:t>%). V Česku činil růst 51</w:t>
            </w:r>
            <w:r w:rsidR="006E33D0">
              <w:rPr>
                <w:spacing w:val="-4"/>
                <w:szCs w:val="20"/>
              </w:rPr>
              <w:t> %</w:t>
            </w:r>
            <w:r w:rsidRPr="009C5FEA">
              <w:rPr>
                <w:spacing w:val="-4"/>
                <w:szCs w:val="20"/>
              </w:rPr>
              <w:t xml:space="preserve">, v Polsku </w:t>
            </w:r>
            <w:r w:rsidR="00307E77" w:rsidRPr="009C5FEA">
              <w:rPr>
                <w:spacing w:val="-4"/>
                <w:szCs w:val="20"/>
              </w:rPr>
              <w:t>a</w:t>
            </w:r>
            <w:r w:rsidR="00307E77">
              <w:rPr>
                <w:spacing w:val="-4"/>
                <w:szCs w:val="20"/>
              </w:rPr>
              <w:t> </w:t>
            </w:r>
            <w:r w:rsidRPr="009C5FEA">
              <w:rPr>
                <w:spacing w:val="-4"/>
                <w:szCs w:val="20"/>
              </w:rPr>
              <w:t>Maďarsku shodně 40</w:t>
            </w:r>
            <w:r w:rsidR="006E33D0">
              <w:rPr>
                <w:spacing w:val="-4"/>
                <w:szCs w:val="20"/>
              </w:rPr>
              <w:t> %</w:t>
            </w:r>
            <w:r w:rsidRPr="009C5FEA">
              <w:rPr>
                <w:spacing w:val="-4"/>
                <w:szCs w:val="20"/>
              </w:rPr>
              <w:t>. K poklesu došlo jen v Řecku (</w:t>
            </w:r>
            <w:r w:rsidR="00307E77" w:rsidRPr="009C5FEA">
              <w:rPr>
                <w:spacing w:val="-4"/>
                <w:szCs w:val="20"/>
              </w:rPr>
              <w:t>o</w:t>
            </w:r>
            <w:r w:rsidR="00307E77">
              <w:rPr>
                <w:spacing w:val="-4"/>
                <w:szCs w:val="20"/>
              </w:rPr>
              <w:t> </w:t>
            </w:r>
            <w:r w:rsidRPr="009C5FEA">
              <w:rPr>
                <w:spacing w:val="-4"/>
                <w:szCs w:val="20"/>
              </w:rPr>
              <w:t>3</w:t>
            </w:r>
            <w:r w:rsidR="004D5B88">
              <w:rPr>
                <w:spacing w:val="-4"/>
                <w:szCs w:val="20"/>
              </w:rPr>
              <w:t> </w:t>
            </w:r>
            <w:r w:rsidRPr="009C5FEA">
              <w:rPr>
                <w:spacing w:val="-4"/>
                <w:szCs w:val="20"/>
              </w:rPr>
              <w:t xml:space="preserve">%) </w:t>
            </w:r>
            <w:r w:rsidR="00307E77" w:rsidRPr="009C5FEA">
              <w:rPr>
                <w:spacing w:val="-4"/>
                <w:szCs w:val="20"/>
              </w:rPr>
              <w:t>a</w:t>
            </w:r>
            <w:r w:rsidR="00307E77">
              <w:rPr>
                <w:spacing w:val="-4"/>
                <w:szCs w:val="20"/>
              </w:rPr>
              <w:t> </w:t>
            </w:r>
            <w:r w:rsidRPr="009C5FEA">
              <w:rPr>
                <w:spacing w:val="-4"/>
                <w:szCs w:val="20"/>
              </w:rPr>
              <w:t>na Kypru (</w:t>
            </w:r>
            <w:r w:rsidR="00307E77" w:rsidRPr="009C5FEA">
              <w:rPr>
                <w:spacing w:val="-4"/>
                <w:szCs w:val="20"/>
              </w:rPr>
              <w:t>o</w:t>
            </w:r>
            <w:r w:rsidR="00307E77">
              <w:rPr>
                <w:spacing w:val="-4"/>
                <w:szCs w:val="20"/>
              </w:rPr>
              <w:t> </w:t>
            </w:r>
            <w:r w:rsidRPr="009C5FEA">
              <w:rPr>
                <w:spacing w:val="-4"/>
                <w:szCs w:val="20"/>
              </w:rPr>
              <w:t>1</w:t>
            </w:r>
            <w:r w:rsidR="006E33D0">
              <w:rPr>
                <w:spacing w:val="-4"/>
                <w:szCs w:val="20"/>
              </w:rPr>
              <w:t> %</w:t>
            </w:r>
            <w:r w:rsidRPr="009C5FEA">
              <w:rPr>
                <w:spacing w:val="-4"/>
                <w:szCs w:val="20"/>
              </w:rPr>
              <w:t>).</w:t>
            </w:r>
            <w:r w:rsidR="00044059" w:rsidRPr="009C5FEA">
              <w:rPr>
                <w:spacing w:val="-4"/>
                <w:szCs w:val="20"/>
              </w:rPr>
              <w:t xml:space="preserve"> Poměr mezi státy </w:t>
            </w:r>
            <w:r w:rsidR="003678F2">
              <w:rPr>
                <w:spacing w:val="-4"/>
                <w:szCs w:val="20"/>
              </w:rPr>
              <w:t xml:space="preserve">Unie </w:t>
            </w:r>
            <w:r w:rsidR="00044059" w:rsidRPr="009C5FEA">
              <w:rPr>
                <w:spacing w:val="-4"/>
                <w:szCs w:val="20"/>
              </w:rPr>
              <w:t xml:space="preserve">s nejvyššími </w:t>
            </w:r>
            <w:r w:rsidR="00307E77" w:rsidRPr="009C5FEA">
              <w:rPr>
                <w:spacing w:val="-4"/>
                <w:szCs w:val="20"/>
              </w:rPr>
              <w:t>a</w:t>
            </w:r>
            <w:r w:rsidR="00307E77">
              <w:rPr>
                <w:spacing w:val="-4"/>
                <w:szCs w:val="20"/>
              </w:rPr>
              <w:t> </w:t>
            </w:r>
            <w:r w:rsidR="00044059" w:rsidRPr="009C5FEA">
              <w:rPr>
                <w:spacing w:val="-4"/>
                <w:szCs w:val="20"/>
              </w:rPr>
              <w:t xml:space="preserve">nejnižšími hodinovými náklady práce v průmyslu </w:t>
            </w:r>
            <w:r w:rsidR="00AC6895">
              <w:rPr>
                <w:spacing w:val="-4"/>
                <w:szCs w:val="20"/>
              </w:rPr>
              <w:t xml:space="preserve">dlouhodobě </w:t>
            </w:r>
            <w:r w:rsidR="00044059" w:rsidRPr="009C5FEA">
              <w:rPr>
                <w:spacing w:val="-4"/>
                <w:szCs w:val="20"/>
              </w:rPr>
              <w:t>plynule klesal (</w:t>
            </w:r>
            <w:r w:rsidR="00307E77" w:rsidRPr="009C5FEA">
              <w:rPr>
                <w:spacing w:val="-4"/>
                <w:szCs w:val="20"/>
              </w:rPr>
              <w:t>z</w:t>
            </w:r>
            <w:r w:rsidR="00307E77">
              <w:rPr>
                <w:spacing w:val="-4"/>
                <w:szCs w:val="20"/>
              </w:rPr>
              <w:t> </w:t>
            </w:r>
            <w:r w:rsidR="00044059" w:rsidRPr="009C5FEA">
              <w:rPr>
                <w:spacing w:val="-4"/>
                <w:szCs w:val="20"/>
              </w:rPr>
              <w:t>15,</w:t>
            </w:r>
            <w:r w:rsidR="00307E77" w:rsidRPr="009C5FEA">
              <w:rPr>
                <w:spacing w:val="-4"/>
                <w:szCs w:val="20"/>
              </w:rPr>
              <w:t>0</w:t>
            </w:r>
            <w:r w:rsidR="004D5B88">
              <w:rPr>
                <w:spacing w:val="-4"/>
                <w:szCs w:val="20"/>
              </w:rPr>
              <w:t xml:space="preserve"> </w:t>
            </w:r>
            <w:r w:rsidR="00044059" w:rsidRPr="009C5FEA">
              <w:rPr>
                <w:spacing w:val="-4"/>
                <w:szCs w:val="20"/>
              </w:rPr>
              <w:t>v roce 2008 na 8,</w:t>
            </w:r>
            <w:r w:rsidR="00307E77" w:rsidRPr="009C5FEA">
              <w:rPr>
                <w:spacing w:val="-4"/>
                <w:szCs w:val="20"/>
              </w:rPr>
              <w:t>3</w:t>
            </w:r>
            <w:r w:rsidR="004D5B88">
              <w:rPr>
                <w:spacing w:val="-4"/>
                <w:szCs w:val="20"/>
              </w:rPr>
              <w:t xml:space="preserve"> </w:t>
            </w:r>
            <w:r w:rsidR="00044059" w:rsidRPr="009C5FEA">
              <w:rPr>
                <w:spacing w:val="-4"/>
                <w:szCs w:val="20"/>
              </w:rPr>
              <w:t>v roce 2019).</w:t>
            </w:r>
          </w:p>
        </w:tc>
      </w:tr>
      <w:tr w:rsidR="00D569B1" w14:paraId="34E4C427" w14:textId="77777777" w:rsidTr="00BA35B6">
        <w:trPr>
          <w:trHeight w:val="14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E1517" w14:textId="24C9CA6C" w:rsidR="00D569B1" w:rsidRDefault="003F48D7" w:rsidP="00044059">
            <w:pPr>
              <w:pStyle w:val="Marginlie"/>
            </w:pPr>
            <w:r>
              <w:t>Nejvyšší produktivit</w:t>
            </w:r>
            <w:r w:rsidR="009248DD">
              <w:t>y</w:t>
            </w:r>
            <w:r>
              <w:t xml:space="preserve"> práce v průmyslu dosahují starší členské státy EU, kde průmysl nevyniká svo</w:t>
            </w:r>
            <w:r w:rsidR="009248DD">
              <w:t>u</w:t>
            </w:r>
            <w:r>
              <w:t xml:space="preserve"> velikostí, ale výraznější specializací.</w:t>
            </w:r>
          </w:p>
          <w:p w14:paraId="15ABED92" w14:textId="77777777" w:rsidR="003F48D7" w:rsidRDefault="003F48D7" w:rsidP="00044059">
            <w:pPr>
              <w:pStyle w:val="Marginlie"/>
            </w:pPr>
          </w:p>
          <w:p w14:paraId="7FC5C830" w14:textId="77777777" w:rsidR="003F48D7" w:rsidRDefault="003F48D7" w:rsidP="00044059">
            <w:pPr>
              <w:pStyle w:val="Marginlie"/>
            </w:pPr>
          </w:p>
          <w:p w14:paraId="619DC495" w14:textId="77777777" w:rsidR="003F48D7" w:rsidRDefault="003F48D7" w:rsidP="00044059">
            <w:pPr>
              <w:pStyle w:val="Marginlie"/>
            </w:pPr>
          </w:p>
          <w:p w14:paraId="7C8B7EBD" w14:textId="77777777" w:rsidR="003F48D7" w:rsidRDefault="003F48D7" w:rsidP="00044059">
            <w:pPr>
              <w:pStyle w:val="Marginlie"/>
            </w:pPr>
          </w:p>
          <w:p w14:paraId="0E8A071C" w14:textId="77777777" w:rsidR="003F48D7" w:rsidRDefault="003F48D7" w:rsidP="00044059">
            <w:pPr>
              <w:pStyle w:val="Marginlie"/>
            </w:pPr>
            <w:r>
              <w:t>Produktivita průmyslu ve Slovinsku byla v roce 2019 téměř dvojnásobná než v Bulharsku.</w:t>
            </w:r>
          </w:p>
          <w:p w14:paraId="603F66C1" w14:textId="77777777" w:rsidR="003F48D7" w:rsidRDefault="003F48D7" w:rsidP="00044059">
            <w:pPr>
              <w:pStyle w:val="Marginlie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5F30B" w14:textId="77777777" w:rsidR="00D569B1" w:rsidRDefault="00D569B1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9F3A5" w14:textId="4F5537C1" w:rsidR="00D569B1" w:rsidRPr="009C5FEA" w:rsidRDefault="00D569B1" w:rsidP="007964CF">
            <w:pPr>
              <w:spacing w:after="220"/>
              <w:rPr>
                <w:spacing w:val="-4"/>
                <w:szCs w:val="20"/>
              </w:rPr>
            </w:pPr>
            <w:r w:rsidRPr="00EC5AA3">
              <w:rPr>
                <w:spacing w:val="-2"/>
                <w:szCs w:val="20"/>
              </w:rPr>
              <w:t xml:space="preserve">Důležitým ukazatelem, který souvisí </w:t>
            </w:r>
            <w:r w:rsidR="00307E77" w:rsidRPr="00EC5AA3">
              <w:rPr>
                <w:spacing w:val="-2"/>
                <w:szCs w:val="20"/>
              </w:rPr>
              <w:t>s</w:t>
            </w:r>
            <w:r w:rsidR="00307E77">
              <w:rPr>
                <w:spacing w:val="-2"/>
                <w:szCs w:val="20"/>
              </w:rPr>
              <w:t> </w:t>
            </w:r>
            <w:r w:rsidRPr="00EC5AA3">
              <w:rPr>
                <w:spacing w:val="-2"/>
                <w:szCs w:val="20"/>
              </w:rPr>
              <w:t xml:space="preserve">odměňováním pracovníků, je produktivita práce. Také </w:t>
            </w:r>
            <w:r w:rsidR="00307E77" w:rsidRPr="00EC5AA3">
              <w:rPr>
                <w:spacing w:val="-2"/>
                <w:szCs w:val="20"/>
              </w:rPr>
              <w:t>u</w:t>
            </w:r>
            <w:r w:rsidR="00307E77">
              <w:rPr>
                <w:spacing w:val="-2"/>
                <w:szCs w:val="20"/>
              </w:rPr>
              <w:t> </w:t>
            </w:r>
            <w:r w:rsidRPr="00EC5AA3">
              <w:rPr>
                <w:spacing w:val="-2"/>
                <w:szCs w:val="20"/>
              </w:rPr>
              <w:t xml:space="preserve">ní dlouhodobě panují v rámci EU značné rozdíly, </w:t>
            </w:r>
            <w:r w:rsidR="00307E77" w:rsidRPr="00EC5AA3">
              <w:rPr>
                <w:spacing w:val="-2"/>
                <w:szCs w:val="20"/>
              </w:rPr>
              <w:t>a</w:t>
            </w:r>
            <w:r w:rsidR="00307E77">
              <w:rPr>
                <w:spacing w:val="-2"/>
                <w:szCs w:val="20"/>
              </w:rPr>
              <w:t> </w:t>
            </w:r>
            <w:r w:rsidRPr="00EC5AA3">
              <w:rPr>
                <w:spacing w:val="-2"/>
                <w:szCs w:val="20"/>
              </w:rPr>
              <w:t xml:space="preserve">to </w:t>
            </w:r>
            <w:r w:rsidR="00307E77" w:rsidRPr="00EC5AA3">
              <w:rPr>
                <w:spacing w:val="-2"/>
                <w:szCs w:val="20"/>
              </w:rPr>
              <w:t>i</w:t>
            </w:r>
            <w:r w:rsidR="00307E77">
              <w:rPr>
                <w:spacing w:val="-2"/>
                <w:szCs w:val="20"/>
              </w:rPr>
              <w:t> </w:t>
            </w:r>
            <w:r w:rsidRPr="00EC5AA3">
              <w:rPr>
                <w:spacing w:val="-2"/>
                <w:szCs w:val="20"/>
              </w:rPr>
              <w:t xml:space="preserve">když zohledníme různé cenové hladiny v jednotlivých </w:t>
            </w:r>
            <w:r w:rsidRPr="007964CF">
              <w:rPr>
                <w:spacing w:val="-2"/>
                <w:szCs w:val="20"/>
              </w:rPr>
              <w:t>ekonomikách (</w:t>
            </w:r>
            <w:r w:rsidR="007964CF">
              <w:rPr>
                <w:spacing w:val="-2"/>
                <w:szCs w:val="20"/>
              </w:rPr>
              <w:t xml:space="preserve">vyjádřením ve </w:t>
            </w:r>
            <w:r w:rsidR="007964CF" w:rsidRPr="007964CF">
              <w:rPr>
                <w:spacing w:val="-2"/>
                <w:szCs w:val="20"/>
              </w:rPr>
              <w:t>standardu</w:t>
            </w:r>
            <w:r w:rsidRPr="007964CF">
              <w:rPr>
                <w:spacing w:val="-2"/>
                <w:szCs w:val="20"/>
              </w:rPr>
              <w:t xml:space="preserve"> kupní síly). Z pohledu produktivity práce v průmyslu se zřetelně vydělují jádrové státy EU </w:t>
            </w:r>
            <w:r w:rsidR="00307E77" w:rsidRPr="007964CF">
              <w:rPr>
                <w:spacing w:val="-2"/>
                <w:szCs w:val="20"/>
              </w:rPr>
              <w:t>a </w:t>
            </w:r>
            <w:r w:rsidRPr="007964CF">
              <w:rPr>
                <w:spacing w:val="-2"/>
                <w:szCs w:val="20"/>
              </w:rPr>
              <w:t>novější členové</w:t>
            </w:r>
            <w:r w:rsidRPr="00EC5AA3">
              <w:rPr>
                <w:spacing w:val="-2"/>
                <w:szCs w:val="20"/>
              </w:rPr>
              <w:t>, kteří do Unie vstoupili až po roce 2</w:t>
            </w:r>
            <w:r w:rsidRPr="00623B49">
              <w:rPr>
                <w:spacing w:val="-2"/>
                <w:szCs w:val="20"/>
              </w:rPr>
              <w:t xml:space="preserve">000. Excentrické postavení má </w:t>
            </w:r>
            <w:r w:rsidR="0024408E" w:rsidRPr="00623B49">
              <w:rPr>
                <w:spacing w:val="-2"/>
                <w:szCs w:val="20"/>
              </w:rPr>
              <w:t xml:space="preserve">po roce 2014 </w:t>
            </w:r>
            <w:r w:rsidRPr="00623B49">
              <w:rPr>
                <w:spacing w:val="-2"/>
                <w:szCs w:val="20"/>
              </w:rPr>
              <w:t xml:space="preserve">Irsko, velmi vysoká produktivita tamějšího průmyslu </w:t>
            </w:r>
            <w:r w:rsidR="009248DD" w:rsidRPr="00623B49">
              <w:rPr>
                <w:spacing w:val="-2"/>
                <w:szCs w:val="20"/>
              </w:rPr>
              <w:t>z </w:t>
            </w:r>
            <w:r w:rsidRPr="00623B49">
              <w:rPr>
                <w:spacing w:val="-2"/>
                <w:szCs w:val="20"/>
              </w:rPr>
              <w:t>velké části odráží vliv</w:t>
            </w:r>
            <w:r w:rsidR="006E33D0" w:rsidRPr="00623B49">
              <w:rPr>
                <w:spacing w:val="-2"/>
                <w:szCs w:val="20"/>
              </w:rPr>
              <w:t xml:space="preserve"> </w:t>
            </w:r>
            <w:r w:rsidRPr="00623B49">
              <w:rPr>
                <w:spacing w:val="-2"/>
                <w:szCs w:val="20"/>
              </w:rPr>
              <w:t xml:space="preserve">administrativního přesunu sídel </w:t>
            </w:r>
            <w:r w:rsidR="00307E77" w:rsidRPr="00623B49">
              <w:rPr>
                <w:spacing w:val="-2"/>
                <w:szCs w:val="20"/>
              </w:rPr>
              <w:t>i </w:t>
            </w:r>
            <w:r w:rsidRPr="00623B49">
              <w:rPr>
                <w:spacing w:val="-2"/>
                <w:szCs w:val="20"/>
              </w:rPr>
              <w:t>aktiv významných nadnárodních korporací</w:t>
            </w:r>
            <w:r w:rsidRPr="00623B49">
              <w:rPr>
                <w:rStyle w:val="Znakapoznpodarou"/>
                <w:spacing w:val="-2"/>
                <w:szCs w:val="20"/>
              </w:rPr>
              <w:footnoteReference w:id="24"/>
            </w:r>
            <w:r w:rsidRPr="00623B49">
              <w:rPr>
                <w:spacing w:val="-2"/>
                <w:szCs w:val="20"/>
              </w:rPr>
              <w:t xml:space="preserve">. Z ostatních států dosahovalo nadprůměrné produktivity zejména Dánsko, </w:t>
            </w:r>
            <w:r w:rsidR="00096E5B" w:rsidRPr="00623B49">
              <w:rPr>
                <w:spacing w:val="-2"/>
                <w:szCs w:val="20"/>
              </w:rPr>
              <w:t>kde</w:t>
            </w:r>
            <w:r w:rsidRPr="00623B49">
              <w:rPr>
                <w:spacing w:val="-2"/>
                <w:szCs w:val="20"/>
              </w:rPr>
              <w:t xml:space="preserve"> </w:t>
            </w:r>
            <w:r w:rsidR="00096E5B" w:rsidRPr="00623B49">
              <w:rPr>
                <w:spacing w:val="-2"/>
                <w:szCs w:val="20"/>
              </w:rPr>
              <w:t xml:space="preserve">vytvořená </w:t>
            </w:r>
            <w:r w:rsidRPr="00623B49">
              <w:rPr>
                <w:spacing w:val="-2"/>
                <w:szCs w:val="20"/>
              </w:rPr>
              <w:t xml:space="preserve">přidaná hodnota připadající na jednoho pracovníka </w:t>
            </w:r>
            <w:r w:rsidR="00096E5B" w:rsidRPr="00623B49">
              <w:rPr>
                <w:spacing w:val="-2"/>
                <w:szCs w:val="20"/>
              </w:rPr>
              <w:t xml:space="preserve">v průmyslu </w:t>
            </w:r>
            <w:r w:rsidRPr="00623B49">
              <w:rPr>
                <w:spacing w:val="-2"/>
                <w:szCs w:val="20"/>
              </w:rPr>
              <w:t>v roce 2019 převyšovala obdobn</w:t>
            </w:r>
            <w:r w:rsidR="00096E5B" w:rsidRPr="00623B49">
              <w:rPr>
                <w:spacing w:val="-2"/>
                <w:szCs w:val="20"/>
              </w:rPr>
              <w:t>ý ukazatel</w:t>
            </w:r>
            <w:r w:rsidRPr="00623B49">
              <w:rPr>
                <w:spacing w:val="-2"/>
                <w:szCs w:val="20"/>
              </w:rPr>
              <w:t xml:space="preserve"> v EU </w:t>
            </w:r>
            <w:r w:rsidR="00307E77" w:rsidRPr="00623B49">
              <w:rPr>
                <w:spacing w:val="-2"/>
                <w:szCs w:val="20"/>
              </w:rPr>
              <w:t>o </w:t>
            </w:r>
            <w:r w:rsidRPr="00623B49">
              <w:rPr>
                <w:spacing w:val="-2"/>
                <w:szCs w:val="20"/>
              </w:rPr>
              <w:t>57</w:t>
            </w:r>
            <w:r w:rsidR="006E33D0" w:rsidRPr="00623B49">
              <w:rPr>
                <w:spacing w:val="-2"/>
                <w:szCs w:val="20"/>
              </w:rPr>
              <w:t> %</w:t>
            </w:r>
            <w:r w:rsidRPr="00623B49">
              <w:rPr>
                <w:spacing w:val="-2"/>
                <w:szCs w:val="20"/>
              </w:rPr>
              <w:t xml:space="preserve">. </w:t>
            </w:r>
            <w:r w:rsidR="00307E77" w:rsidRPr="00623B49">
              <w:rPr>
                <w:spacing w:val="-2"/>
                <w:szCs w:val="20"/>
              </w:rPr>
              <w:t>O </w:t>
            </w:r>
            <w:r w:rsidRPr="00623B49">
              <w:rPr>
                <w:spacing w:val="-2"/>
                <w:szCs w:val="20"/>
              </w:rPr>
              <w:t xml:space="preserve">více než třetinu nad unijní </w:t>
            </w:r>
            <w:r w:rsidR="009248DD" w:rsidRPr="00623B49">
              <w:rPr>
                <w:spacing w:val="-2"/>
                <w:szCs w:val="20"/>
              </w:rPr>
              <w:t xml:space="preserve">úroveň </w:t>
            </w:r>
            <w:r w:rsidRPr="00623B49">
              <w:rPr>
                <w:spacing w:val="-2"/>
                <w:szCs w:val="20"/>
              </w:rPr>
              <w:t xml:space="preserve">dosahovala produktivita i v Belgii, Nizozemsku </w:t>
            </w:r>
            <w:r w:rsidR="00307E77" w:rsidRPr="00623B49">
              <w:rPr>
                <w:spacing w:val="-2"/>
                <w:szCs w:val="20"/>
              </w:rPr>
              <w:t>a </w:t>
            </w:r>
            <w:r w:rsidRPr="00623B49">
              <w:rPr>
                <w:spacing w:val="-2"/>
                <w:szCs w:val="20"/>
              </w:rPr>
              <w:t>Švédsku. Drtivá většina států s nadprůměrnou produktivitou práce v průmyslu se vyznačuje menší velikostí tohoto odvětví (</w:t>
            </w:r>
            <w:r w:rsidR="00307E77" w:rsidRPr="00623B49">
              <w:rPr>
                <w:spacing w:val="-2"/>
                <w:szCs w:val="20"/>
              </w:rPr>
              <w:t>z </w:t>
            </w:r>
            <w:r w:rsidRPr="00623B49">
              <w:rPr>
                <w:spacing w:val="-2"/>
                <w:szCs w:val="20"/>
              </w:rPr>
              <w:t>pohledu zaměstnanosti)</w:t>
            </w:r>
            <w:r w:rsidRPr="00623B49">
              <w:rPr>
                <w:rStyle w:val="Znakapoznpodarou"/>
                <w:spacing w:val="-2"/>
                <w:szCs w:val="20"/>
              </w:rPr>
              <w:footnoteReference w:id="25"/>
            </w:r>
            <w:r w:rsidRPr="00623B49">
              <w:rPr>
                <w:spacing w:val="-2"/>
                <w:szCs w:val="20"/>
              </w:rPr>
              <w:t xml:space="preserve"> </w:t>
            </w:r>
            <w:r w:rsidRPr="00623B49">
              <w:rPr>
                <w:spacing w:val="-2"/>
                <w:szCs w:val="20"/>
              </w:rPr>
              <w:lastRenderedPageBreak/>
              <w:t>i</w:t>
            </w:r>
            <w:r w:rsidRPr="00623B49">
              <w:rPr>
                <w:szCs w:val="20"/>
              </w:rPr>
              <w:t> </w:t>
            </w:r>
            <w:r w:rsidRPr="00623B49">
              <w:rPr>
                <w:spacing w:val="-2"/>
                <w:szCs w:val="20"/>
              </w:rPr>
              <w:t>výraznější specializací (zam</w:t>
            </w:r>
            <w:r w:rsidRPr="00EC5AA3">
              <w:rPr>
                <w:spacing w:val="-2"/>
                <w:szCs w:val="20"/>
              </w:rPr>
              <w:t xml:space="preserve">ěření na high-tech </w:t>
            </w:r>
            <w:r w:rsidRPr="00883FE4">
              <w:rPr>
                <w:spacing w:val="-2"/>
                <w:szCs w:val="20"/>
              </w:rPr>
              <w:t>obory</w:t>
            </w:r>
            <w:r w:rsidRPr="00EC5AA3">
              <w:rPr>
                <w:spacing w:val="-2"/>
                <w:szCs w:val="20"/>
              </w:rPr>
              <w:t>)</w:t>
            </w:r>
            <w:r w:rsidR="000B21DD">
              <w:rPr>
                <w:rStyle w:val="Znakapoznpodarou"/>
                <w:spacing w:val="-2"/>
                <w:szCs w:val="20"/>
              </w:rPr>
              <w:footnoteReference w:id="26"/>
            </w:r>
            <w:r w:rsidRPr="00EC5AA3">
              <w:rPr>
                <w:spacing w:val="-2"/>
                <w:szCs w:val="20"/>
              </w:rPr>
              <w:t>.</w:t>
            </w:r>
            <w:r>
              <w:rPr>
                <w:spacing w:val="-2"/>
                <w:szCs w:val="20"/>
              </w:rPr>
              <w:t xml:space="preserve"> Mezi novějšími členy EU</w:t>
            </w:r>
            <w:r w:rsidR="0024408E">
              <w:rPr>
                <w:spacing w:val="-2"/>
                <w:szCs w:val="20"/>
              </w:rPr>
              <w:t xml:space="preserve"> docílilo nejvyšší produktivity</w:t>
            </w:r>
            <w:r>
              <w:rPr>
                <w:spacing w:val="-2"/>
                <w:szCs w:val="20"/>
              </w:rPr>
              <w:t xml:space="preserve"> Slovinsko (77</w:t>
            </w:r>
            <w:r w:rsidR="006E33D0">
              <w:rPr>
                <w:spacing w:val="-2"/>
                <w:szCs w:val="20"/>
              </w:rPr>
              <w:t> %</w:t>
            </w:r>
            <w:r>
              <w:rPr>
                <w:spacing w:val="-2"/>
                <w:szCs w:val="20"/>
              </w:rPr>
              <w:t xml:space="preserve"> úrovně EU). Česko se pohybovalo na 72</w:t>
            </w:r>
            <w:r w:rsidR="006E33D0">
              <w:rPr>
                <w:spacing w:val="-2"/>
                <w:szCs w:val="20"/>
              </w:rPr>
              <w:t> %</w:t>
            </w:r>
            <w:r>
              <w:rPr>
                <w:spacing w:val="-2"/>
                <w:szCs w:val="20"/>
              </w:rPr>
              <w:t>, což bylo nejvíce z </w:t>
            </w:r>
            <w:r w:rsidR="009248DD">
              <w:rPr>
                <w:spacing w:val="-2"/>
                <w:szCs w:val="20"/>
              </w:rPr>
              <w:t xml:space="preserve">visegrádských </w:t>
            </w:r>
            <w:r>
              <w:rPr>
                <w:spacing w:val="-2"/>
                <w:szCs w:val="20"/>
              </w:rPr>
              <w:t>zemí. Na nejnižší úrovni se nacházelo Bulharsko (41</w:t>
            </w:r>
            <w:r w:rsidR="006E33D0">
              <w:rPr>
                <w:spacing w:val="-2"/>
                <w:szCs w:val="20"/>
              </w:rPr>
              <w:t> %</w:t>
            </w:r>
            <w:r>
              <w:rPr>
                <w:spacing w:val="-2"/>
                <w:szCs w:val="20"/>
              </w:rPr>
              <w:t>).</w:t>
            </w:r>
          </w:p>
        </w:tc>
      </w:tr>
      <w:tr w:rsidR="00097078" w:rsidRPr="00FE531D" w14:paraId="7932727D" w14:textId="77777777" w:rsidTr="00BA35B6">
        <w:trPr>
          <w:trHeight w:val="14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5E362" w14:textId="77777777" w:rsidR="00097078" w:rsidRDefault="00097078" w:rsidP="00044059">
            <w:pPr>
              <w:pStyle w:val="Marginlie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110EC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3D649" w14:textId="77777777" w:rsidR="00307E77" w:rsidRDefault="004C0391" w:rsidP="00044059">
            <w:pPr>
              <w:spacing w:after="0"/>
              <w:rPr>
                <w:b/>
                <w:spacing w:val="-2"/>
                <w:szCs w:val="20"/>
              </w:rPr>
            </w:pPr>
            <w:r>
              <w:rPr>
                <w:b/>
                <w:spacing w:val="-2"/>
                <w:szCs w:val="20"/>
              </w:rPr>
              <w:t>Graf</w:t>
            </w:r>
            <w:r w:rsidR="006E33D0">
              <w:rPr>
                <w:b/>
                <w:spacing w:val="-2"/>
                <w:szCs w:val="20"/>
              </w:rPr>
              <w:t xml:space="preserve"> č. </w:t>
            </w:r>
            <w:r>
              <w:rPr>
                <w:b/>
                <w:spacing w:val="-2"/>
                <w:szCs w:val="20"/>
              </w:rPr>
              <w:t>21</w:t>
            </w:r>
            <w:r w:rsidR="00097078" w:rsidRPr="00FE531D">
              <w:rPr>
                <w:b/>
                <w:spacing w:val="-2"/>
                <w:szCs w:val="20"/>
              </w:rPr>
              <w:t xml:space="preserve">  Produktivita práce </w:t>
            </w:r>
            <w:r w:rsidR="00097078">
              <w:rPr>
                <w:b/>
                <w:spacing w:val="-2"/>
                <w:szCs w:val="20"/>
              </w:rPr>
              <w:t xml:space="preserve">v průmyslu </w:t>
            </w:r>
            <w:r w:rsidR="00097078" w:rsidRPr="00FE531D">
              <w:rPr>
                <w:b/>
                <w:spacing w:val="-2"/>
                <w:szCs w:val="20"/>
              </w:rPr>
              <w:t>ve vybraných evropských státech</w:t>
            </w:r>
          </w:p>
          <w:p w14:paraId="0E73528C" w14:textId="5A1ED00E" w:rsidR="00097078" w:rsidRPr="00FE531D" w:rsidRDefault="00097078" w:rsidP="00044059">
            <w:pPr>
              <w:spacing w:after="0"/>
              <w:rPr>
                <w:b/>
                <w:spacing w:val="-2"/>
                <w:szCs w:val="20"/>
              </w:rPr>
            </w:pPr>
            <w:r w:rsidRPr="00FE531D">
              <w:rPr>
                <w:spacing w:val="-2"/>
                <w:szCs w:val="20"/>
              </w:rPr>
              <w:t>(</w:t>
            </w:r>
            <w:r>
              <w:rPr>
                <w:spacing w:val="-2"/>
                <w:szCs w:val="20"/>
              </w:rPr>
              <w:t xml:space="preserve">hrubá přidaná hodnota </w:t>
            </w:r>
            <w:r w:rsidRPr="00FE531D">
              <w:rPr>
                <w:spacing w:val="-2"/>
                <w:szCs w:val="20"/>
              </w:rPr>
              <w:t>na za</w:t>
            </w:r>
            <w:r w:rsidR="000C6375">
              <w:rPr>
                <w:spacing w:val="-2"/>
                <w:szCs w:val="20"/>
              </w:rPr>
              <w:t>městnanou osobu</w:t>
            </w:r>
            <w:r w:rsidRPr="007964CF">
              <w:rPr>
                <w:spacing w:val="-2"/>
                <w:szCs w:val="20"/>
              </w:rPr>
              <w:t>, v</w:t>
            </w:r>
            <w:r w:rsidR="007964CF" w:rsidRPr="007964CF">
              <w:rPr>
                <w:spacing w:val="-2"/>
                <w:szCs w:val="20"/>
              </w:rPr>
              <w:t>e standardu</w:t>
            </w:r>
            <w:r w:rsidRPr="007964CF">
              <w:rPr>
                <w:spacing w:val="-2"/>
                <w:szCs w:val="20"/>
              </w:rPr>
              <w:t xml:space="preserve"> kupní síly </w:t>
            </w:r>
            <w:r w:rsidR="00307E77" w:rsidRPr="007964CF">
              <w:rPr>
                <w:spacing w:val="-2"/>
                <w:szCs w:val="20"/>
              </w:rPr>
              <w:t>–</w:t>
            </w:r>
            <w:r w:rsidRPr="007964CF">
              <w:rPr>
                <w:spacing w:val="-2"/>
                <w:szCs w:val="20"/>
              </w:rPr>
              <w:t xml:space="preserve"> PPS)</w:t>
            </w:r>
          </w:p>
        </w:tc>
      </w:tr>
      <w:tr w:rsidR="00097078" w14:paraId="21B18821" w14:textId="77777777" w:rsidTr="00BA35B6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F1701" w14:textId="77777777" w:rsidR="00097078" w:rsidRDefault="00097078" w:rsidP="00044059">
            <w:pPr>
              <w:pStyle w:val="Marginlie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242EE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E5577" w14:textId="2F231AC0" w:rsidR="00097078" w:rsidRDefault="00EC1470" w:rsidP="00044059">
            <w:pPr>
              <w:spacing w:after="0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0C60453" wp14:editId="34B9FA22">
                  <wp:extent cx="4722126" cy="3377821"/>
                  <wp:effectExtent l="0" t="0" r="2540" b="0"/>
                  <wp:docPr id="18" name="Graf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  <w:tr w:rsidR="00097078" w:rsidRPr="00F710D4" w14:paraId="0FE8FE48" w14:textId="77777777" w:rsidTr="00BA35B6">
        <w:trPr>
          <w:trHeight w:val="14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021EC" w14:textId="77777777" w:rsidR="00097078" w:rsidRDefault="00097078" w:rsidP="00044059">
            <w:pPr>
              <w:pStyle w:val="Marginlie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21C99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FE675" w14:textId="77777777" w:rsidR="00097078" w:rsidRPr="00F710D4" w:rsidRDefault="00097078" w:rsidP="00044059">
            <w:pPr>
              <w:spacing w:after="220"/>
              <w:rPr>
                <w:sz w:val="14"/>
                <w:szCs w:val="14"/>
              </w:rPr>
            </w:pPr>
            <w:r w:rsidRPr="00F710D4">
              <w:rPr>
                <w:sz w:val="14"/>
                <w:szCs w:val="14"/>
              </w:rPr>
              <w:t>Zdroj: Eurostat</w:t>
            </w:r>
          </w:p>
        </w:tc>
      </w:tr>
      <w:tr w:rsidR="004F0CBA" w:rsidRPr="00E23543" w14:paraId="215CB974" w14:textId="77777777" w:rsidTr="00BA35B6">
        <w:trPr>
          <w:trHeight w:val="14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FD9A8" w14:textId="3D88F47F" w:rsidR="004F0CBA" w:rsidRDefault="00307E77" w:rsidP="00044059">
            <w:pPr>
              <w:pStyle w:val="Marginlie"/>
            </w:pPr>
            <w:r>
              <w:t>Z </w:t>
            </w:r>
            <w:r w:rsidR="003F48D7">
              <w:t xml:space="preserve">hlediska produktivity práce </w:t>
            </w:r>
            <w:r w:rsidR="00623B49">
              <w:t xml:space="preserve">v průmyslu </w:t>
            </w:r>
            <w:r w:rsidR="003F48D7">
              <w:t xml:space="preserve">konvergovaly po roce 2005 k úrovni EU nejvíce Rumunsko, Bulharsko </w:t>
            </w:r>
            <w:r>
              <w:t>a </w:t>
            </w:r>
            <w:r w:rsidR="003F48D7">
              <w:t>pobaltské státy.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E0980" w14:textId="77777777" w:rsidR="004F0CBA" w:rsidRDefault="004F0CBA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F5CED" w14:textId="3FF2D29B" w:rsidR="004F0CBA" w:rsidRPr="00EC5AA3" w:rsidRDefault="00F43F77" w:rsidP="00096E5B">
            <w:pPr>
              <w:spacing w:after="220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Produktivita práce v průmyslu dlouhodobě rostla v</w:t>
            </w:r>
            <w:r w:rsidR="009248DD">
              <w:rPr>
                <w:spacing w:val="-2"/>
                <w:szCs w:val="20"/>
              </w:rPr>
              <w:t xml:space="preserve">e </w:t>
            </w:r>
            <w:r>
              <w:rPr>
                <w:spacing w:val="-2"/>
                <w:szCs w:val="20"/>
              </w:rPr>
              <w:t>starších členských státech pomaleji než v ostatních zemích EU. Jestliže v roce 2005 v uskupení EU15 činila 124</w:t>
            </w:r>
            <w:r w:rsidR="006E33D0">
              <w:rPr>
                <w:spacing w:val="-2"/>
                <w:szCs w:val="20"/>
              </w:rPr>
              <w:t> %</w:t>
            </w:r>
            <w:r>
              <w:rPr>
                <w:spacing w:val="-2"/>
                <w:szCs w:val="20"/>
              </w:rPr>
              <w:t xml:space="preserve"> úrovně celé Unie, v roce 2019 již jen 119</w:t>
            </w:r>
            <w:r w:rsidR="006E33D0">
              <w:rPr>
                <w:spacing w:val="-2"/>
                <w:szCs w:val="20"/>
              </w:rPr>
              <w:t> %</w:t>
            </w:r>
            <w:r>
              <w:rPr>
                <w:spacing w:val="-2"/>
                <w:szCs w:val="20"/>
              </w:rPr>
              <w:t xml:space="preserve">. </w:t>
            </w:r>
            <w:r w:rsidR="00096E5B">
              <w:rPr>
                <w:spacing w:val="-2"/>
                <w:szCs w:val="20"/>
              </w:rPr>
              <w:t>Naproti tomu např. Rumunsko docílilo za stejné období posunu úrovně z 38</w:t>
            </w:r>
            <w:r w:rsidR="006E33D0">
              <w:rPr>
                <w:spacing w:val="-2"/>
                <w:szCs w:val="20"/>
              </w:rPr>
              <w:t> %</w:t>
            </w:r>
            <w:r w:rsidR="00096E5B">
              <w:rPr>
                <w:spacing w:val="-2"/>
                <w:szCs w:val="20"/>
              </w:rPr>
              <w:t xml:space="preserve"> na 67</w:t>
            </w:r>
            <w:r w:rsidR="006E33D0">
              <w:rPr>
                <w:spacing w:val="-2"/>
                <w:szCs w:val="20"/>
              </w:rPr>
              <w:t> %</w:t>
            </w:r>
            <w:r w:rsidR="00096E5B">
              <w:rPr>
                <w:spacing w:val="-2"/>
                <w:szCs w:val="20"/>
              </w:rPr>
              <w:t xml:space="preserve">. Z ostatních novějších členů EU významně konvergovaly také Bulharsko či pobaltské státy. </w:t>
            </w:r>
            <w:r w:rsidR="009C38E5">
              <w:rPr>
                <w:spacing w:val="-2"/>
                <w:szCs w:val="20"/>
              </w:rPr>
              <w:t>V </w:t>
            </w:r>
            <w:r w:rsidR="00883FE4">
              <w:rPr>
                <w:spacing w:val="-2"/>
                <w:szCs w:val="20"/>
              </w:rPr>
              <w:t xml:space="preserve">Česku </w:t>
            </w:r>
            <w:r w:rsidR="009C38E5">
              <w:rPr>
                <w:spacing w:val="-2"/>
                <w:szCs w:val="20"/>
              </w:rPr>
              <w:t>došlo k nárůstu z</w:t>
            </w:r>
            <w:r w:rsidR="00883FE4">
              <w:rPr>
                <w:spacing w:val="-2"/>
                <w:szCs w:val="20"/>
              </w:rPr>
              <w:t xml:space="preserve">e </w:t>
            </w:r>
            <w:r w:rsidR="009C38E5">
              <w:rPr>
                <w:spacing w:val="-2"/>
                <w:szCs w:val="20"/>
              </w:rPr>
              <w:t>68</w:t>
            </w:r>
            <w:r w:rsidR="006E33D0">
              <w:rPr>
                <w:spacing w:val="-2"/>
                <w:szCs w:val="20"/>
              </w:rPr>
              <w:t> %</w:t>
            </w:r>
            <w:r w:rsidR="009C38E5">
              <w:rPr>
                <w:spacing w:val="-2"/>
                <w:szCs w:val="20"/>
              </w:rPr>
              <w:t xml:space="preserve"> na 72</w:t>
            </w:r>
            <w:r w:rsidR="006E33D0">
              <w:rPr>
                <w:spacing w:val="-2"/>
                <w:szCs w:val="20"/>
              </w:rPr>
              <w:t> %</w:t>
            </w:r>
            <w:r w:rsidR="009C38E5">
              <w:rPr>
                <w:spacing w:val="-2"/>
                <w:szCs w:val="20"/>
              </w:rPr>
              <w:t xml:space="preserve">, téměř výhradně vlivem vývoje mezi roky 2005 </w:t>
            </w:r>
            <w:r w:rsidR="00307E77">
              <w:rPr>
                <w:spacing w:val="-2"/>
                <w:szCs w:val="20"/>
              </w:rPr>
              <w:t>a </w:t>
            </w:r>
            <w:r w:rsidR="009C38E5">
              <w:rPr>
                <w:spacing w:val="-2"/>
                <w:szCs w:val="20"/>
              </w:rPr>
              <w:t>2008.</w:t>
            </w:r>
          </w:p>
        </w:tc>
      </w:tr>
    </w:tbl>
    <w:p w14:paraId="7D436A4F" w14:textId="77777777" w:rsidR="00921A5C" w:rsidRPr="00EC1470" w:rsidRDefault="00921A5C" w:rsidP="00097078">
      <w:pPr>
        <w:pStyle w:val="Nadpis2"/>
        <w:rPr>
          <w:sz w:val="2"/>
          <w:szCs w:val="2"/>
        </w:rPr>
      </w:pPr>
    </w:p>
    <w:p w14:paraId="1E524A5E" w14:textId="6428ABD0" w:rsidR="00921A5C" w:rsidRPr="002C154B" w:rsidRDefault="00921A5C" w:rsidP="00921A5C">
      <w:pPr>
        <w:rPr>
          <w:sz w:val="2"/>
          <w:szCs w:val="2"/>
        </w:rPr>
      </w:pPr>
    </w:p>
    <w:sectPr w:rsidR="00921A5C" w:rsidRPr="002C154B" w:rsidSect="006F5416">
      <w:headerReference w:type="even" r:id="rId24"/>
      <w:headerReference w:type="default" r:id="rId25"/>
      <w:footerReference w:type="even" r:id="rId26"/>
      <w:footerReference w:type="default" r:id="rId27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132AD8" w16cid:durableId="23837235"/>
  <w16cid:commentId w16cid:paraId="349E0065" w16cid:durableId="2383738F"/>
  <w16cid:commentId w16cid:paraId="70323CDE" w16cid:durableId="23837548"/>
  <w16cid:commentId w16cid:paraId="72539BE7" w16cid:durableId="2386DE07"/>
  <w16cid:commentId w16cid:paraId="11D8F9A5" w16cid:durableId="23849388"/>
  <w16cid:commentId w16cid:paraId="09132031" w16cid:durableId="238495BE"/>
  <w16cid:commentId w16cid:paraId="7EB7DE74" w16cid:durableId="238496FC"/>
  <w16cid:commentId w16cid:paraId="4537AB62" w16cid:durableId="2384B67A"/>
  <w16cid:commentId w16cid:paraId="733CEAEE" w16cid:durableId="2384A413"/>
  <w16cid:commentId w16cid:paraId="6D4EA8B4" w16cid:durableId="2384C00C"/>
  <w16cid:commentId w16cid:paraId="4E5C825E" w16cid:durableId="2384C359"/>
  <w16cid:commentId w16cid:paraId="704695B7" w16cid:durableId="2384C623"/>
  <w16cid:commentId w16cid:paraId="5005EA8D" w16cid:durableId="2384EB9C"/>
  <w16cid:commentId w16cid:paraId="4FAEE49E" w16cid:durableId="2384EA6D"/>
  <w16cid:commentId w16cid:paraId="1803CB1D" w16cid:durableId="2384F215"/>
  <w16cid:commentId w16cid:paraId="750B1B6F" w16cid:durableId="2384F56F"/>
  <w16cid:commentId w16cid:paraId="4D3465C5" w16cid:durableId="2384F7F1"/>
  <w16cid:commentId w16cid:paraId="3E5A7AF7" w16cid:durableId="2384F77E"/>
  <w16cid:commentId w16cid:paraId="04798E97" w16cid:durableId="2385BB3F"/>
  <w16cid:commentId w16cid:paraId="7271199B" w16cid:durableId="2385BBA9"/>
  <w16cid:commentId w16cid:paraId="7C02A283" w16cid:durableId="2385BF49"/>
  <w16cid:commentId w16cid:paraId="139C2364" w16cid:durableId="2386025E"/>
  <w16cid:commentId w16cid:paraId="57E4EF6D" w16cid:durableId="2386084B"/>
  <w16cid:commentId w16cid:paraId="493AAA68" w16cid:durableId="23860DAB"/>
  <w16cid:commentId w16cid:paraId="643B8604" w16cid:durableId="23861055"/>
  <w16cid:commentId w16cid:paraId="025F2620" w16cid:durableId="238612E3"/>
  <w16cid:commentId w16cid:paraId="0AC073A7" w16cid:durableId="2386145F"/>
  <w16cid:commentId w16cid:paraId="6DD3E6B0" w16cid:durableId="238616B3"/>
  <w16cid:commentId w16cid:paraId="79F18DB0" w16cid:durableId="23861655"/>
  <w16cid:commentId w16cid:paraId="56FA7E4B" w16cid:durableId="2386106D"/>
  <w16cid:commentId w16cid:paraId="2B9CFEB3" w16cid:durableId="23861F26"/>
  <w16cid:commentId w16cid:paraId="7C843B15" w16cid:durableId="238622D0"/>
  <w16cid:commentId w16cid:paraId="35AEB49B" w16cid:durableId="23862367"/>
  <w16cid:commentId w16cid:paraId="7F3CBEDF" w16cid:durableId="23860305"/>
  <w16cid:commentId w16cid:paraId="77820AE3" w16cid:durableId="2386D3D0"/>
  <w16cid:commentId w16cid:paraId="4E8ADA6F" w16cid:durableId="2386D323"/>
  <w16cid:commentId w16cid:paraId="6E4281BD" w16cid:durableId="2386DF12"/>
  <w16cid:commentId w16cid:paraId="5100CD21" w16cid:durableId="2386E459"/>
  <w16cid:commentId w16cid:paraId="41BC835A" w16cid:durableId="2386D5A2"/>
  <w16cid:commentId w16cid:paraId="543C07C7" w16cid:durableId="2386EAF8"/>
  <w16cid:commentId w16cid:paraId="5B600DF4" w16cid:durableId="2386D881"/>
  <w16cid:commentId w16cid:paraId="0D295971" w16cid:durableId="2386D7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52074" w14:textId="77777777" w:rsidR="00FC0246" w:rsidRDefault="00FC0246" w:rsidP="00E71A58">
      <w:r>
        <w:separator/>
      </w:r>
    </w:p>
  </w:endnote>
  <w:endnote w:type="continuationSeparator" w:id="0">
    <w:p w14:paraId="13360843" w14:textId="77777777" w:rsidR="00FC0246" w:rsidRDefault="00FC0246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DC369" w14:textId="3BDAD1C0" w:rsidR="009728D1" w:rsidRPr="00932443" w:rsidRDefault="009728D1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4CBC08E" wp14:editId="37A6C6E7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3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FC2B47">
      <w:rPr>
        <w:szCs w:val="16"/>
      </w:rPr>
      <w:t>2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 w:rsidR="00067B81">
      <w:rPr>
        <w:szCs w:val="16"/>
      </w:rP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5F496" w14:textId="0850F0B5" w:rsidR="009728D1" w:rsidRPr="00932443" w:rsidRDefault="009728D1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6704" behindDoc="0" locked="0" layoutInCell="1" allowOverlap="1" wp14:anchorId="1429520E" wp14:editId="103D972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1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 w:rsidR="00067B81">
      <w:rPr>
        <w:rStyle w:val="ZpatChar"/>
        <w:szCs w:val="16"/>
      </w:rPr>
      <w:t>2020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FC2B47">
      <w:rPr>
        <w:rStyle w:val="ZpatChar"/>
        <w:szCs w:val="16"/>
      </w:rPr>
      <w:t>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F902C" w14:textId="77777777" w:rsidR="00FC0246" w:rsidRDefault="00FC0246" w:rsidP="0084727E">
      <w:pPr>
        <w:spacing w:after="0"/>
      </w:pPr>
      <w:r>
        <w:separator/>
      </w:r>
    </w:p>
  </w:footnote>
  <w:footnote w:type="continuationSeparator" w:id="0">
    <w:p w14:paraId="26021FAC" w14:textId="77777777" w:rsidR="00FC0246" w:rsidRDefault="00FC0246" w:rsidP="00E71A58">
      <w:r>
        <w:continuationSeparator/>
      </w:r>
    </w:p>
  </w:footnote>
  <w:footnote w:id="1">
    <w:p w14:paraId="380DDD58" w14:textId="77777777" w:rsidR="002257E8" w:rsidRPr="00C8155D" w:rsidRDefault="002257E8" w:rsidP="002257E8">
      <w:pPr>
        <w:pStyle w:val="Textpoznpodarou"/>
        <w:rPr>
          <w:sz w:val="16"/>
          <w:szCs w:val="16"/>
        </w:rPr>
      </w:pPr>
      <w:r w:rsidRPr="00C8155D">
        <w:rPr>
          <w:rStyle w:val="Znakapoznpodarou"/>
          <w:szCs w:val="16"/>
        </w:rPr>
        <w:footnoteRef/>
      </w:r>
      <w:r>
        <w:rPr>
          <w:sz w:val="16"/>
          <w:szCs w:val="16"/>
        </w:rPr>
        <w:t xml:space="preserve"> Není-li uvedeno jinak, vycházejí všechna data o zaměstnanosti z národních účtů a jsou vyjádřena v přepočtu na plné úvazky.</w:t>
      </w:r>
    </w:p>
  </w:footnote>
  <w:footnote w:id="2">
    <w:p w14:paraId="0353F728" w14:textId="63AE02A9" w:rsidR="009728D1" w:rsidRPr="00C8155D" w:rsidRDefault="009728D1" w:rsidP="00097078">
      <w:pPr>
        <w:pStyle w:val="Textpoznpodarou"/>
        <w:rPr>
          <w:sz w:val="16"/>
          <w:szCs w:val="16"/>
        </w:rPr>
      </w:pPr>
      <w:r w:rsidRPr="00C8155D">
        <w:rPr>
          <w:rStyle w:val="Znakapoznpodarou"/>
          <w:szCs w:val="16"/>
        </w:rPr>
        <w:footnoteRef/>
      </w:r>
      <w:r>
        <w:rPr>
          <w:sz w:val="16"/>
          <w:szCs w:val="16"/>
        </w:rPr>
        <w:t xml:space="preserve"> Dle údajů z VŠPS pracovala v průmyslu v roce 2019 na zkrácené úvazky jen 2,1 % zde zaměstnaných mužů, resp. 6,1 % žen. To byly pouze poloviční podíly než v případě celého národního hospodářství.</w:t>
      </w:r>
    </w:p>
  </w:footnote>
  <w:footnote w:id="3">
    <w:p w14:paraId="473D5D32" w14:textId="7B1F657C" w:rsidR="009728D1" w:rsidRPr="00647DD8" w:rsidRDefault="009728D1" w:rsidP="00097078">
      <w:pPr>
        <w:pStyle w:val="Textpoznpodarou"/>
        <w:rPr>
          <w:spacing w:val="-3"/>
          <w:sz w:val="16"/>
          <w:szCs w:val="16"/>
        </w:rPr>
      </w:pPr>
      <w:r w:rsidRPr="00647DD8">
        <w:rPr>
          <w:rStyle w:val="Znakapoznpodarou"/>
          <w:spacing w:val="-3"/>
          <w:szCs w:val="16"/>
        </w:rPr>
        <w:footnoteRef/>
      </w:r>
      <w:r w:rsidRPr="00647DD8">
        <w:rPr>
          <w:spacing w:val="-3"/>
          <w:sz w:val="16"/>
          <w:szCs w:val="16"/>
        </w:rPr>
        <w:t xml:space="preserve"> Z podniko</w:t>
      </w:r>
      <w:r>
        <w:rPr>
          <w:spacing w:val="-3"/>
          <w:sz w:val="16"/>
          <w:szCs w:val="16"/>
        </w:rPr>
        <w:t>vých statistik vyplývá, že relace</w:t>
      </w:r>
      <w:r w:rsidRPr="00647DD8">
        <w:rPr>
          <w:spacing w:val="-3"/>
          <w:sz w:val="16"/>
          <w:szCs w:val="16"/>
        </w:rPr>
        <w:t xml:space="preserve"> p</w:t>
      </w:r>
      <w:r>
        <w:rPr>
          <w:spacing w:val="-3"/>
          <w:sz w:val="16"/>
          <w:szCs w:val="16"/>
        </w:rPr>
        <w:t>lateb za agenturní pracovníky k celkovým personálním nákladům</w:t>
      </w:r>
      <w:r w:rsidRPr="00647DD8">
        <w:rPr>
          <w:spacing w:val="-3"/>
          <w:sz w:val="16"/>
          <w:szCs w:val="16"/>
        </w:rPr>
        <w:t xml:space="preserve"> vzrostl</w:t>
      </w:r>
      <w:r>
        <w:rPr>
          <w:spacing w:val="-3"/>
          <w:sz w:val="16"/>
          <w:szCs w:val="16"/>
        </w:rPr>
        <w:t>a</w:t>
      </w:r>
      <w:r w:rsidRPr="00647DD8">
        <w:rPr>
          <w:spacing w:val="-3"/>
          <w:sz w:val="16"/>
          <w:szCs w:val="16"/>
        </w:rPr>
        <w:t xml:space="preserve"> v průmyslu mezi roky 2008 a</w:t>
      </w:r>
      <w:r>
        <w:rPr>
          <w:spacing w:val="-3"/>
          <w:sz w:val="16"/>
          <w:szCs w:val="16"/>
        </w:rPr>
        <w:t> </w:t>
      </w:r>
      <w:r w:rsidRPr="00647DD8">
        <w:rPr>
          <w:spacing w:val="-3"/>
          <w:sz w:val="16"/>
          <w:szCs w:val="16"/>
        </w:rPr>
        <w:t>2018 z 2,8</w:t>
      </w:r>
      <w:r>
        <w:rPr>
          <w:spacing w:val="-3"/>
          <w:sz w:val="16"/>
          <w:szCs w:val="16"/>
        </w:rPr>
        <w:t> %</w:t>
      </w:r>
      <w:r w:rsidRPr="00647DD8">
        <w:rPr>
          <w:spacing w:val="-3"/>
          <w:sz w:val="16"/>
          <w:szCs w:val="16"/>
        </w:rPr>
        <w:t xml:space="preserve"> na 5,3</w:t>
      </w:r>
      <w:r>
        <w:rPr>
          <w:spacing w:val="-3"/>
          <w:sz w:val="16"/>
          <w:szCs w:val="16"/>
        </w:rPr>
        <w:t> %</w:t>
      </w:r>
      <w:r w:rsidRPr="00647DD8">
        <w:rPr>
          <w:spacing w:val="-3"/>
          <w:sz w:val="16"/>
          <w:szCs w:val="16"/>
        </w:rPr>
        <w:t>. V samotném oddíle výroby motorových vozidel za stejné období posílil</w:t>
      </w:r>
      <w:r>
        <w:rPr>
          <w:spacing w:val="-3"/>
          <w:sz w:val="16"/>
          <w:szCs w:val="16"/>
        </w:rPr>
        <w:t>a</w:t>
      </w:r>
      <w:r w:rsidRPr="00647DD8">
        <w:rPr>
          <w:spacing w:val="-3"/>
          <w:sz w:val="16"/>
          <w:szCs w:val="16"/>
        </w:rPr>
        <w:t xml:space="preserve"> z</w:t>
      </w:r>
      <w:r>
        <w:rPr>
          <w:spacing w:val="-3"/>
          <w:sz w:val="16"/>
          <w:szCs w:val="16"/>
        </w:rPr>
        <w:t> </w:t>
      </w:r>
      <w:r w:rsidRPr="00647DD8">
        <w:rPr>
          <w:spacing w:val="-3"/>
          <w:sz w:val="16"/>
          <w:szCs w:val="16"/>
        </w:rPr>
        <w:t>3,6</w:t>
      </w:r>
      <w:r>
        <w:rPr>
          <w:spacing w:val="-3"/>
          <w:sz w:val="16"/>
          <w:szCs w:val="16"/>
        </w:rPr>
        <w:t xml:space="preserve"> % </w:t>
      </w:r>
      <w:r w:rsidRPr="00647DD8">
        <w:rPr>
          <w:spacing w:val="-3"/>
          <w:sz w:val="16"/>
          <w:szCs w:val="16"/>
        </w:rPr>
        <w:t>na 10,2</w:t>
      </w:r>
      <w:r>
        <w:rPr>
          <w:spacing w:val="-3"/>
          <w:sz w:val="16"/>
          <w:szCs w:val="16"/>
        </w:rPr>
        <w:t> %</w:t>
      </w:r>
      <w:r w:rsidRPr="00647DD8">
        <w:rPr>
          <w:spacing w:val="-3"/>
          <w:sz w:val="16"/>
          <w:szCs w:val="16"/>
        </w:rPr>
        <w:t>. Projevil se jak rostoucí počet těchto pracovníků, tak postupné navyšování minimální mzdy a</w:t>
      </w:r>
      <w:r>
        <w:rPr>
          <w:spacing w:val="-3"/>
          <w:sz w:val="16"/>
          <w:szCs w:val="16"/>
        </w:rPr>
        <w:t> </w:t>
      </w:r>
      <w:r w:rsidRPr="00647DD8">
        <w:rPr>
          <w:spacing w:val="-3"/>
          <w:sz w:val="16"/>
          <w:szCs w:val="16"/>
        </w:rPr>
        <w:t>na ni navázaných pásem zaručených mezd.</w:t>
      </w:r>
    </w:p>
  </w:footnote>
  <w:footnote w:id="4">
    <w:p w14:paraId="182D32B1" w14:textId="2D4D3C85" w:rsidR="009728D1" w:rsidRPr="00AC7386" w:rsidRDefault="009728D1" w:rsidP="00097078">
      <w:pPr>
        <w:pStyle w:val="Textpoznpodarou"/>
        <w:rPr>
          <w:sz w:val="16"/>
          <w:szCs w:val="16"/>
        </w:rPr>
      </w:pPr>
      <w:r w:rsidRPr="00AC7386">
        <w:rPr>
          <w:rStyle w:val="Znakapoznpodarou"/>
          <w:szCs w:val="16"/>
        </w:rPr>
        <w:footnoteRef/>
      </w:r>
      <w:r w:rsidRPr="00AC7386">
        <w:rPr>
          <w:sz w:val="16"/>
          <w:szCs w:val="16"/>
        </w:rPr>
        <w:t xml:space="preserve"> Silné postavení kovodělného průmyslu souvisí také s tím, že toto odvětví koncentruje téměř čtvrtinu sebezaměstnaných osob z celého průmyslu. V roce 2019 tvořili drobní podnikatelé 8</w:t>
      </w:r>
      <w:r>
        <w:rPr>
          <w:sz w:val="16"/>
          <w:szCs w:val="16"/>
        </w:rPr>
        <w:t> %</w:t>
      </w:r>
      <w:r w:rsidRPr="00AC7386">
        <w:rPr>
          <w:sz w:val="16"/>
          <w:szCs w:val="16"/>
        </w:rPr>
        <w:t xml:space="preserve"> všech pracovníků </w:t>
      </w:r>
      <w:r>
        <w:rPr>
          <w:sz w:val="16"/>
          <w:szCs w:val="16"/>
        </w:rPr>
        <w:t>v </w:t>
      </w:r>
      <w:r w:rsidRPr="00AC7386">
        <w:rPr>
          <w:sz w:val="16"/>
          <w:szCs w:val="16"/>
        </w:rPr>
        <w:t>průmyslu, v kovodělném průmyslu ale 14</w:t>
      </w:r>
      <w:r>
        <w:rPr>
          <w:sz w:val="16"/>
          <w:szCs w:val="16"/>
        </w:rPr>
        <w:t> %</w:t>
      </w:r>
      <w:r w:rsidRPr="00AC7386">
        <w:rPr>
          <w:sz w:val="16"/>
          <w:szCs w:val="16"/>
        </w:rPr>
        <w:t>. Největšího podílu dosahovali v průmyslu dřevozpracujícím (36</w:t>
      </w:r>
      <w:r>
        <w:rPr>
          <w:sz w:val="16"/>
          <w:szCs w:val="16"/>
        </w:rPr>
        <w:t> %</w:t>
      </w:r>
      <w:r w:rsidRPr="00AC7386">
        <w:rPr>
          <w:sz w:val="16"/>
          <w:szCs w:val="16"/>
        </w:rPr>
        <w:t>), oděvním (33</w:t>
      </w:r>
      <w:r>
        <w:rPr>
          <w:sz w:val="16"/>
          <w:szCs w:val="16"/>
        </w:rPr>
        <w:t> %</w:t>
      </w:r>
      <w:r w:rsidRPr="00AC7386">
        <w:rPr>
          <w:sz w:val="16"/>
          <w:szCs w:val="16"/>
        </w:rPr>
        <w:t>), nábytkářském (24</w:t>
      </w:r>
      <w:r>
        <w:rPr>
          <w:sz w:val="16"/>
          <w:szCs w:val="16"/>
        </w:rPr>
        <w:t> %</w:t>
      </w:r>
      <w:r w:rsidRPr="00AC7386">
        <w:rPr>
          <w:sz w:val="16"/>
          <w:szCs w:val="16"/>
        </w:rPr>
        <w:t>), tiskařském (21</w:t>
      </w:r>
      <w:r>
        <w:rPr>
          <w:sz w:val="16"/>
          <w:szCs w:val="16"/>
        </w:rPr>
        <w:t> %</w:t>
      </w:r>
      <w:r w:rsidRPr="00AC7386">
        <w:rPr>
          <w:sz w:val="16"/>
          <w:szCs w:val="16"/>
        </w:rPr>
        <w:t>), farmaceutickém (20</w:t>
      </w:r>
      <w:r>
        <w:rPr>
          <w:sz w:val="16"/>
          <w:szCs w:val="16"/>
        </w:rPr>
        <w:t> %</w:t>
      </w:r>
      <w:r w:rsidRPr="00AC7386">
        <w:rPr>
          <w:sz w:val="16"/>
          <w:szCs w:val="16"/>
        </w:rPr>
        <w:t>) a</w:t>
      </w:r>
      <w:r>
        <w:rPr>
          <w:sz w:val="16"/>
          <w:szCs w:val="16"/>
        </w:rPr>
        <w:t> </w:t>
      </w:r>
      <w:r w:rsidRPr="00AC7386">
        <w:rPr>
          <w:sz w:val="16"/>
          <w:szCs w:val="16"/>
        </w:rPr>
        <w:t>ve výrobě nápojů (18</w:t>
      </w:r>
      <w:r>
        <w:rPr>
          <w:sz w:val="16"/>
          <w:szCs w:val="16"/>
        </w:rPr>
        <w:t> %</w:t>
      </w:r>
      <w:r w:rsidRPr="00AC7386">
        <w:rPr>
          <w:sz w:val="16"/>
          <w:szCs w:val="16"/>
        </w:rPr>
        <w:t>).</w:t>
      </w:r>
    </w:p>
  </w:footnote>
  <w:footnote w:id="5">
    <w:p w14:paraId="18FE6D85" w14:textId="475FF609" w:rsidR="009728D1" w:rsidRPr="00AC7386" w:rsidRDefault="009728D1" w:rsidP="00097078">
      <w:pPr>
        <w:pStyle w:val="Textpoznpodarou"/>
        <w:rPr>
          <w:sz w:val="16"/>
          <w:szCs w:val="16"/>
        </w:rPr>
      </w:pPr>
      <w:r w:rsidRPr="00AC7386">
        <w:rPr>
          <w:rStyle w:val="Znakapoznpodarou"/>
          <w:szCs w:val="16"/>
        </w:rPr>
        <w:footnoteRef/>
      </w:r>
      <w:r w:rsidRPr="00AC7386">
        <w:rPr>
          <w:sz w:val="16"/>
          <w:szCs w:val="16"/>
        </w:rPr>
        <w:t xml:space="preserve"> Zahrnuje především pracovníky v podnicích orientovaných na železniční a</w:t>
      </w:r>
      <w:r>
        <w:rPr>
          <w:sz w:val="16"/>
          <w:szCs w:val="16"/>
        </w:rPr>
        <w:t> </w:t>
      </w:r>
      <w:r w:rsidRPr="00AC7386">
        <w:rPr>
          <w:sz w:val="16"/>
          <w:szCs w:val="16"/>
        </w:rPr>
        <w:t>leteckou dopravu.</w:t>
      </w:r>
    </w:p>
  </w:footnote>
  <w:footnote w:id="6">
    <w:p w14:paraId="73BC4A26" w14:textId="44AC1BF6" w:rsidR="009728D1" w:rsidRPr="00307E77" w:rsidRDefault="009728D1" w:rsidP="00097078">
      <w:pPr>
        <w:pStyle w:val="Textpoznpodarou"/>
        <w:rPr>
          <w:sz w:val="16"/>
          <w:szCs w:val="16"/>
        </w:rPr>
      </w:pPr>
      <w:r w:rsidRPr="00AC7386">
        <w:rPr>
          <w:rStyle w:val="Znakapoznpodarou"/>
          <w:szCs w:val="16"/>
        </w:rPr>
        <w:footnoteRef/>
      </w:r>
      <w:r w:rsidRPr="00AC7386">
        <w:rPr>
          <w:sz w:val="16"/>
          <w:szCs w:val="16"/>
        </w:rPr>
        <w:t xml:space="preserve"> </w:t>
      </w:r>
      <w:r w:rsidRPr="002D2156">
        <w:rPr>
          <w:spacing w:val="-2"/>
          <w:sz w:val="16"/>
          <w:szCs w:val="16"/>
        </w:rPr>
        <w:t>V těchto krajích se také výrazněji projevuje efekt mezikrajské dojížďky za prací. Z</w:t>
      </w:r>
      <w:r>
        <w:rPr>
          <w:spacing w:val="-2"/>
          <w:sz w:val="16"/>
          <w:szCs w:val="16"/>
        </w:rPr>
        <w:t> </w:t>
      </w:r>
      <w:r w:rsidRPr="002D2156">
        <w:rPr>
          <w:spacing w:val="-2"/>
          <w:sz w:val="16"/>
          <w:szCs w:val="16"/>
        </w:rPr>
        <w:t>údajů z národních účtů, které zachycují zaměstnanost v průmyslu dle místa pracoviště, vyplývá, že v roce 2018 dosáhl celkový podíl průmysl</w:t>
      </w:r>
      <w:r>
        <w:rPr>
          <w:spacing w:val="-2"/>
          <w:sz w:val="16"/>
          <w:szCs w:val="16"/>
        </w:rPr>
        <w:t>u ve Středočeském kraji</w:t>
      </w:r>
      <w:r w:rsidRPr="002D2156">
        <w:rPr>
          <w:spacing w:val="-2"/>
          <w:sz w:val="16"/>
          <w:szCs w:val="16"/>
        </w:rPr>
        <w:t xml:space="preserve"> 32,8</w:t>
      </w:r>
      <w:r>
        <w:rPr>
          <w:spacing w:val="-2"/>
          <w:sz w:val="16"/>
          <w:szCs w:val="16"/>
        </w:rPr>
        <w:t> %</w:t>
      </w:r>
      <w:r w:rsidRPr="002D2156">
        <w:rPr>
          <w:spacing w:val="-2"/>
          <w:sz w:val="16"/>
          <w:szCs w:val="16"/>
        </w:rPr>
        <w:t xml:space="preserve"> a</w:t>
      </w:r>
      <w:r>
        <w:rPr>
          <w:spacing w:val="-2"/>
          <w:sz w:val="16"/>
          <w:szCs w:val="16"/>
        </w:rPr>
        <w:t> </w:t>
      </w:r>
      <w:r w:rsidRPr="002D2156">
        <w:rPr>
          <w:spacing w:val="-2"/>
          <w:sz w:val="16"/>
          <w:szCs w:val="16"/>
        </w:rPr>
        <w:t>byl tak vyšší než v celé ČR (29,0</w:t>
      </w:r>
      <w:r>
        <w:rPr>
          <w:spacing w:val="-2"/>
          <w:sz w:val="16"/>
          <w:szCs w:val="16"/>
        </w:rPr>
        <w:t> %</w:t>
      </w:r>
      <w:r w:rsidRPr="002D2156">
        <w:rPr>
          <w:spacing w:val="-2"/>
          <w:sz w:val="16"/>
          <w:szCs w:val="16"/>
        </w:rPr>
        <w:t xml:space="preserve">). Silnější postavení, než naznačovaly údaje dle místa bydliště pracujících, měl také </w:t>
      </w:r>
      <w:r w:rsidR="007D7668">
        <w:rPr>
          <w:spacing w:val="-2"/>
          <w:sz w:val="16"/>
          <w:szCs w:val="16"/>
        </w:rPr>
        <w:t xml:space="preserve">např. </w:t>
      </w:r>
      <w:r w:rsidRPr="002D2156">
        <w:rPr>
          <w:spacing w:val="-2"/>
          <w:sz w:val="16"/>
          <w:szCs w:val="16"/>
        </w:rPr>
        <w:t>Královéhradecký kraj (36,4</w:t>
      </w:r>
      <w:r>
        <w:rPr>
          <w:spacing w:val="-2"/>
          <w:sz w:val="16"/>
          <w:szCs w:val="16"/>
        </w:rPr>
        <w:t> %</w:t>
      </w:r>
      <w:r w:rsidRPr="002D2156">
        <w:rPr>
          <w:spacing w:val="-2"/>
          <w:sz w:val="16"/>
          <w:szCs w:val="16"/>
        </w:rPr>
        <w:t>). Opačně tomu bylo v Praze a</w:t>
      </w:r>
      <w:r>
        <w:rPr>
          <w:spacing w:val="-2"/>
          <w:sz w:val="16"/>
          <w:szCs w:val="16"/>
        </w:rPr>
        <w:t> </w:t>
      </w:r>
      <w:r w:rsidRPr="002D2156">
        <w:rPr>
          <w:spacing w:val="-2"/>
          <w:sz w:val="16"/>
          <w:szCs w:val="16"/>
        </w:rPr>
        <w:t>Jihomoravském kraji, kde se průmysl na celkovém počtu obsazených pracovních míst podílel 8,1</w:t>
      </w:r>
      <w:r>
        <w:rPr>
          <w:spacing w:val="-2"/>
          <w:sz w:val="16"/>
          <w:szCs w:val="16"/>
        </w:rPr>
        <w:t> %</w:t>
      </w:r>
      <w:r w:rsidRPr="002D2156">
        <w:rPr>
          <w:spacing w:val="-2"/>
          <w:sz w:val="16"/>
          <w:szCs w:val="16"/>
        </w:rPr>
        <w:t>, resp. 24,5</w:t>
      </w:r>
      <w:r>
        <w:rPr>
          <w:spacing w:val="-2"/>
          <w:sz w:val="16"/>
          <w:szCs w:val="16"/>
        </w:rPr>
        <w:t> %</w:t>
      </w:r>
      <w:r w:rsidRPr="002D2156">
        <w:rPr>
          <w:spacing w:val="-2"/>
          <w:sz w:val="16"/>
          <w:szCs w:val="16"/>
        </w:rPr>
        <w:t>.</w:t>
      </w:r>
    </w:p>
  </w:footnote>
  <w:footnote w:id="7">
    <w:p w14:paraId="197594E9" w14:textId="65A43D7E" w:rsidR="009728D1" w:rsidRPr="00C8155D" w:rsidRDefault="009728D1" w:rsidP="00097078">
      <w:pPr>
        <w:pStyle w:val="Textpoznpodarou"/>
        <w:rPr>
          <w:sz w:val="16"/>
          <w:szCs w:val="16"/>
        </w:rPr>
      </w:pPr>
      <w:r w:rsidRPr="00C8155D">
        <w:rPr>
          <w:rStyle w:val="Znakapoznpodarou"/>
          <w:szCs w:val="16"/>
        </w:rPr>
        <w:footnoteRef/>
      </w:r>
      <w:r>
        <w:rPr>
          <w:sz w:val="16"/>
          <w:szCs w:val="16"/>
        </w:rPr>
        <w:t xml:space="preserve"> Např. zaměstnaní muži bydlící v Moravs</w:t>
      </w:r>
      <w:r w:rsidR="007D7668">
        <w:rPr>
          <w:sz w:val="16"/>
          <w:szCs w:val="16"/>
        </w:rPr>
        <w:t>koslezském kraji pracovali ve 45</w:t>
      </w:r>
      <w:r>
        <w:rPr>
          <w:sz w:val="16"/>
          <w:szCs w:val="16"/>
        </w:rPr>
        <w:t> % v průmyslu, ženy jen ve</w:t>
      </w:r>
      <w:r w:rsidR="007D7668">
        <w:rPr>
          <w:sz w:val="16"/>
          <w:szCs w:val="16"/>
        </w:rPr>
        <w:t xml:space="preserve"> 23</w:t>
      </w:r>
      <w:r>
        <w:rPr>
          <w:sz w:val="16"/>
          <w:szCs w:val="16"/>
        </w:rPr>
        <w:t> %.</w:t>
      </w:r>
    </w:p>
  </w:footnote>
  <w:footnote w:id="8">
    <w:p w14:paraId="4EDE60EC" w14:textId="3FECA441" w:rsidR="009728D1" w:rsidRPr="00C8155D" w:rsidRDefault="009728D1" w:rsidP="00097078">
      <w:pPr>
        <w:pStyle w:val="Textpoznpodarou"/>
        <w:rPr>
          <w:sz w:val="16"/>
          <w:szCs w:val="16"/>
        </w:rPr>
      </w:pPr>
      <w:r w:rsidRPr="00C8155D">
        <w:rPr>
          <w:rStyle w:val="Znakapoznpodarou"/>
          <w:szCs w:val="16"/>
        </w:rPr>
        <w:footnoteRef/>
      </w:r>
      <w:r>
        <w:rPr>
          <w:sz w:val="16"/>
          <w:szCs w:val="16"/>
        </w:rPr>
        <w:t xml:space="preserve"> Jde o osoby zahrnuté do 6. až 9. třídy klasifikace zaměstnání CZ ISCO (viz graf 9).</w:t>
      </w:r>
    </w:p>
  </w:footnote>
  <w:footnote w:id="9">
    <w:p w14:paraId="44391301" w14:textId="6C0EA343" w:rsidR="009728D1" w:rsidRPr="00C8155D" w:rsidRDefault="009728D1" w:rsidP="00097078">
      <w:pPr>
        <w:pStyle w:val="Textpoznpodarou"/>
        <w:rPr>
          <w:sz w:val="16"/>
          <w:szCs w:val="16"/>
        </w:rPr>
      </w:pPr>
      <w:r w:rsidRPr="00C8155D">
        <w:rPr>
          <w:rStyle w:val="Znakapoznpodarou"/>
          <w:szCs w:val="16"/>
        </w:rPr>
        <w:footnoteRef/>
      </w:r>
      <w:r>
        <w:rPr>
          <w:sz w:val="16"/>
          <w:szCs w:val="16"/>
        </w:rPr>
        <w:t xml:space="preserve"> Pro tyto účely jde s určitým zjednodušením o odvětví v sekcích O až R (Veřejná správa, obrana a sociální zabezpečení</w:t>
      </w:r>
      <w:r w:rsidRPr="004F0CBA">
        <w:rPr>
          <w:sz w:val="16"/>
          <w:szCs w:val="16"/>
        </w:rPr>
        <w:t>;</w:t>
      </w:r>
      <w:r>
        <w:rPr>
          <w:sz w:val="16"/>
          <w:szCs w:val="16"/>
        </w:rPr>
        <w:t xml:space="preserve"> Vzdělávání; Zdravotní a sociální péče; Kulturní, zábavní a rekreační činnosti).</w:t>
      </w:r>
    </w:p>
  </w:footnote>
  <w:footnote w:id="10">
    <w:p w14:paraId="5C9ADBF6" w14:textId="178E9932" w:rsidR="009728D1" w:rsidRPr="00961897" w:rsidRDefault="009728D1" w:rsidP="00097078">
      <w:pPr>
        <w:pStyle w:val="Textpoznpodarou"/>
        <w:rPr>
          <w:sz w:val="16"/>
          <w:szCs w:val="16"/>
        </w:rPr>
      </w:pPr>
      <w:r w:rsidRPr="00961897">
        <w:rPr>
          <w:rStyle w:val="Znakapoznpodarou"/>
          <w:szCs w:val="16"/>
        </w:rPr>
        <w:footnoteRef/>
      </w:r>
      <w:r w:rsidRPr="00961897">
        <w:rPr>
          <w:sz w:val="16"/>
          <w:szCs w:val="16"/>
        </w:rPr>
        <w:t xml:space="preserve"> Např. z</w:t>
      </w:r>
      <w:r>
        <w:rPr>
          <w:sz w:val="16"/>
          <w:szCs w:val="16"/>
        </w:rPr>
        <w:t> </w:t>
      </w:r>
      <w:r w:rsidRPr="00961897">
        <w:rPr>
          <w:sz w:val="16"/>
          <w:szCs w:val="16"/>
        </w:rPr>
        <w:t>pravidelných šetření o</w:t>
      </w:r>
      <w:r>
        <w:rPr>
          <w:sz w:val="16"/>
          <w:szCs w:val="16"/>
        </w:rPr>
        <w:t> </w:t>
      </w:r>
      <w:r w:rsidRPr="00961897">
        <w:rPr>
          <w:sz w:val="16"/>
          <w:szCs w:val="16"/>
        </w:rPr>
        <w:t>úplných nákladech práce vyplývá, že v roce 2018 činil podíl sociálních požitků a</w:t>
      </w:r>
      <w:r>
        <w:rPr>
          <w:sz w:val="16"/>
          <w:szCs w:val="16"/>
        </w:rPr>
        <w:t> </w:t>
      </w:r>
      <w:r w:rsidRPr="00961897">
        <w:rPr>
          <w:sz w:val="16"/>
          <w:szCs w:val="16"/>
        </w:rPr>
        <w:t>ostatních sociálních výdajů (mimo platby zákonného pojistného) na celkových pracovních nákladech podniků v těžbě a</w:t>
      </w:r>
      <w:r>
        <w:rPr>
          <w:sz w:val="16"/>
          <w:szCs w:val="16"/>
        </w:rPr>
        <w:t> </w:t>
      </w:r>
      <w:r w:rsidRPr="00961897">
        <w:rPr>
          <w:sz w:val="16"/>
          <w:szCs w:val="16"/>
        </w:rPr>
        <w:t>dobývání 4,9</w:t>
      </w:r>
      <w:r>
        <w:rPr>
          <w:sz w:val="16"/>
          <w:szCs w:val="16"/>
        </w:rPr>
        <w:t> %</w:t>
      </w:r>
      <w:r w:rsidRPr="00961897">
        <w:rPr>
          <w:sz w:val="16"/>
          <w:szCs w:val="16"/>
        </w:rPr>
        <w:t xml:space="preserve"> a</w:t>
      </w:r>
      <w:r>
        <w:rPr>
          <w:sz w:val="16"/>
          <w:szCs w:val="16"/>
        </w:rPr>
        <w:t> </w:t>
      </w:r>
      <w:r w:rsidRPr="00961897">
        <w:rPr>
          <w:sz w:val="16"/>
          <w:szCs w:val="16"/>
        </w:rPr>
        <w:t>podniků v energetice 5,2</w:t>
      </w:r>
      <w:r>
        <w:rPr>
          <w:sz w:val="16"/>
          <w:szCs w:val="16"/>
        </w:rPr>
        <w:t> %</w:t>
      </w:r>
      <w:r w:rsidRPr="00961897">
        <w:rPr>
          <w:sz w:val="16"/>
          <w:szCs w:val="16"/>
        </w:rPr>
        <w:t>. V</w:t>
      </w:r>
      <w:r>
        <w:rPr>
          <w:sz w:val="16"/>
          <w:szCs w:val="16"/>
        </w:rPr>
        <w:t> </w:t>
      </w:r>
      <w:r w:rsidRPr="00961897">
        <w:rPr>
          <w:sz w:val="16"/>
          <w:szCs w:val="16"/>
        </w:rPr>
        <w:t>takovém rozsahu neprofitovali z nepřímých nákladů práce svého zaměstnavatele pracovníci v žádném jiném odvětví ekonomiky. V peněžnictví a</w:t>
      </w:r>
      <w:r>
        <w:rPr>
          <w:sz w:val="16"/>
          <w:szCs w:val="16"/>
        </w:rPr>
        <w:t> </w:t>
      </w:r>
      <w:r w:rsidRPr="00961897">
        <w:rPr>
          <w:sz w:val="16"/>
          <w:szCs w:val="16"/>
        </w:rPr>
        <w:t>pojišťovnictví dosáhl tento podíl 3,9</w:t>
      </w:r>
      <w:r>
        <w:rPr>
          <w:sz w:val="16"/>
          <w:szCs w:val="16"/>
        </w:rPr>
        <w:t> %</w:t>
      </w:r>
      <w:r w:rsidRPr="00961897">
        <w:rPr>
          <w:sz w:val="16"/>
          <w:szCs w:val="16"/>
        </w:rPr>
        <w:t>, ve vodním a</w:t>
      </w:r>
      <w:r>
        <w:rPr>
          <w:sz w:val="16"/>
          <w:szCs w:val="16"/>
        </w:rPr>
        <w:t> </w:t>
      </w:r>
      <w:r w:rsidRPr="00961897">
        <w:rPr>
          <w:sz w:val="16"/>
          <w:szCs w:val="16"/>
        </w:rPr>
        <w:t>odpadovém hospodářství 3,1</w:t>
      </w:r>
      <w:r>
        <w:rPr>
          <w:sz w:val="16"/>
          <w:szCs w:val="16"/>
        </w:rPr>
        <w:t> %</w:t>
      </w:r>
      <w:r w:rsidRPr="00961897">
        <w:rPr>
          <w:sz w:val="16"/>
          <w:szCs w:val="16"/>
        </w:rPr>
        <w:t xml:space="preserve"> a</w:t>
      </w:r>
      <w:r>
        <w:rPr>
          <w:sz w:val="16"/>
          <w:szCs w:val="16"/>
        </w:rPr>
        <w:t> </w:t>
      </w:r>
      <w:r w:rsidRPr="00961897">
        <w:rPr>
          <w:sz w:val="16"/>
          <w:szCs w:val="16"/>
        </w:rPr>
        <w:t>v celé ekonomice 2,1</w:t>
      </w:r>
      <w:r>
        <w:rPr>
          <w:sz w:val="16"/>
          <w:szCs w:val="16"/>
        </w:rPr>
        <w:t> %</w:t>
      </w:r>
      <w:r w:rsidRPr="00961897">
        <w:rPr>
          <w:sz w:val="16"/>
          <w:szCs w:val="16"/>
        </w:rPr>
        <w:t>. Otázce pracovních nákladů se podrobněji věnuje kap</w:t>
      </w:r>
      <w:r>
        <w:rPr>
          <w:sz w:val="16"/>
          <w:szCs w:val="16"/>
        </w:rPr>
        <w:t>itola</w:t>
      </w:r>
      <w:r w:rsidRPr="00961897">
        <w:rPr>
          <w:sz w:val="16"/>
          <w:szCs w:val="16"/>
        </w:rPr>
        <w:t xml:space="preserve"> </w:t>
      </w:r>
      <w:r>
        <w:rPr>
          <w:sz w:val="16"/>
          <w:szCs w:val="16"/>
        </w:rPr>
        <w:t>3</w:t>
      </w:r>
      <w:r w:rsidRPr="00961897">
        <w:rPr>
          <w:sz w:val="16"/>
          <w:szCs w:val="16"/>
        </w:rPr>
        <w:t>.3.</w:t>
      </w:r>
    </w:p>
  </w:footnote>
  <w:footnote w:id="11">
    <w:p w14:paraId="3BF55AF6" w14:textId="3EA2A46B" w:rsidR="009728D1" w:rsidRPr="007E3596" w:rsidRDefault="009728D1" w:rsidP="00097078">
      <w:pPr>
        <w:pStyle w:val="Textpoznpodarou"/>
        <w:rPr>
          <w:spacing w:val="-3"/>
          <w:sz w:val="16"/>
          <w:szCs w:val="16"/>
        </w:rPr>
      </w:pPr>
      <w:r w:rsidRPr="00961897">
        <w:rPr>
          <w:rStyle w:val="Znakapoznpodarou"/>
          <w:szCs w:val="16"/>
        </w:rPr>
        <w:footnoteRef/>
      </w:r>
      <w:r w:rsidRPr="00961897">
        <w:rPr>
          <w:sz w:val="16"/>
          <w:szCs w:val="16"/>
        </w:rPr>
        <w:t xml:space="preserve"> Výjimku představuje odvětví zemědělství, lesnictví a</w:t>
      </w:r>
      <w:r>
        <w:rPr>
          <w:sz w:val="16"/>
          <w:szCs w:val="16"/>
        </w:rPr>
        <w:t> </w:t>
      </w:r>
      <w:r w:rsidRPr="00961897">
        <w:rPr>
          <w:sz w:val="16"/>
          <w:szCs w:val="16"/>
        </w:rPr>
        <w:t>rybářství, kde dosahovala v roce 2018 průměrná mzda zaměstnance</w:t>
      </w:r>
      <w:r>
        <w:rPr>
          <w:sz w:val="16"/>
          <w:szCs w:val="16"/>
        </w:rPr>
        <w:t xml:space="preserve"> v Praze</w:t>
      </w:r>
      <w:r w:rsidRPr="00961897">
        <w:rPr>
          <w:sz w:val="16"/>
          <w:szCs w:val="16"/>
        </w:rPr>
        <w:t xml:space="preserve"> jen necelých čtyř pětin úrovně tohoto odvětví v celém národním hospodářství. V metropoli však v tomto odvětví pracoval</w:t>
      </w:r>
      <w:r>
        <w:rPr>
          <w:sz w:val="16"/>
          <w:szCs w:val="16"/>
        </w:rPr>
        <w:t>y</w:t>
      </w:r>
      <w:r w:rsidRPr="00961897">
        <w:rPr>
          <w:sz w:val="16"/>
          <w:szCs w:val="16"/>
        </w:rPr>
        <w:t xml:space="preserve"> jen 4</w:t>
      </w:r>
      <w:r>
        <w:rPr>
          <w:sz w:val="16"/>
          <w:szCs w:val="16"/>
        </w:rPr>
        <w:t> tisíce</w:t>
      </w:r>
      <w:r w:rsidRPr="00961897">
        <w:rPr>
          <w:sz w:val="16"/>
          <w:szCs w:val="16"/>
        </w:rPr>
        <w:t xml:space="preserve"> zaměstnanců v evidenčním počtu (0,5</w:t>
      </w:r>
      <w:r>
        <w:rPr>
          <w:sz w:val="16"/>
          <w:szCs w:val="16"/>
        </w:rPr>
        <w:t> %</w:t>
      </w:r>
      <w:r w:rsidRPr="00961897">
        <w:rPr>
          <w:sz w:val="16"/>
          <w:szCs w:val="16"/>
        </w:rPr>
        <w:t xml:space="preserve"> z celkového počtu pražských zaměstnanců).</w:t>
      </w:r>
    </w:p>
  </w:footnote>
  <w:footnote w:id="12">
    <w:p w14:paraId="4EAF6D1A" w14:textId="09A951A4" w:rsidR="009728D1" w:rsidRPr="00307E77" w:rsidRDefault="009728D1" w:rsidP="00097078">
      <w:pPr>
        <w:pStyle w:val="Textpoznpodarou"/>
        <w:rPr>
          <w:sz w:val="16"/>
          <w:szCs w:val="16"/>
        </w:rPr>
      </w:pPr>
      <w:r w:rsidRPr="00961897">
        <w:rPr>
          <w:rStyle w:val="Znakapoznpodarou"/>
          <w:szCs w:val="16"/>
        </w:rPr>
        <w:footnoteRef/>
      </w:r>
      <w:r>
        <w:rPr>
          <w:sz w:val="16"/>
          <w:szCs w:val="16"/>
        </w:rPr>
        <w:t xml:space="preserve"> Mzda je zde z důvodu dostupnosti delších časových řad vztažena k fyzickému počtu pracovníků. Rozdíl mezi vyjádřením průměrné mzdy na fyzický a přepočtený počet pracovníků je ale v odvětví průmyslu dlouhodobě minimální.</w:t>
      </w:r>
    </w:p>
  </w:footnote>
  <w:footnote w:id="13">
    <w:p w14:paraId="3AF96134" w14:textId="4377C886" w:rsidR="009728D1" w:rsidRPr="007E3596" w:rsidRDefault="009728D1" w:rsidP="00097078">
      <w:pPr>
        <w:pStyle w:val="Textpoznpodarou"/>
        <w:rPr>
          <w:spacing w:val="-3"/>
          <w:sz w:val="16"/>
          <w:szCs w:val="16"/>
        </w:rPr>
      </w:pPr>
      <w:r w:rsidRPr="007E3596">
        <w:rPr>
          <w:rStyle w:val="Znakapoznpodarou"/>
          <w:spacing w:val="-3"/>
          <w:szCs w:val="16"/>
        </w:rPr>
        <w:footnoteRef/>
      </w:r>
      <w:r>
        <w:rPr>
          <w:spacing w:val="-3"/>
          <w:sz w:val="16"/>
          <w:szCs w:val="16"/>
        </w:rPr>
        <w:t xml:space="preserve"> Mezi roky 2005 a 2018 se evidenční počet zaměstnanců v tomto odvětví v Moravskoslezském kraji snížil z 21,9 tis. na 8,2 tis.</w:t>
      </w:r>
    </w:p>
  </w:footnote>
  <w:footnote w:id="14">
    <w:p w14:paraId="0C12CACE" w14:textId="01D8574E" w:rsidR="009728D1" w:rsidRPr="00C8155D" w:rsidRDefault="009728D1" w:rsidP="00097078">
      <w:pPr>
        <w:pStyle w:val="Textpoznpodarou"/>
        <w:rPr>
          <w:sz w:val="16"/>
          <w:szCs w:val="16"/>
        </w:rPr>
      </w:pPr>
      <w:r w:rsidRPr="00C8155D">
        <w:rPr>
          <w:rStyle w:val="Znakapoznpodarou"/>
          <w:szCs w:val="16"/>
        </w:rPr>
        <w:footnoteRef/>
      </w:r>
      <w:r>
        <w:rPr>
          <w:sz w:val="16"/>
          <w:szCs w:val="16"/>
        </w:rPr>
        <w:t xml:space="preserve"> Zahrnují všechna odvětví s vyloučením sekcí O až R.</w:t>
      </w:r>
    </w:p>
  </w:footnote>
  <w:footnote w:id="15">
    <w:p w14:paraId="47FAFC2E" w14:textId="3522E6A5" w:rsidR="009728D1" w:rsidRPr="00DF3C93" w:rsidRDefault="009728D1" w:rsidP="00097078">
      <w:pPr>
        <w:pStyle w:val="Textpoznpodarou"/>
        <w:rPr>
          <w:sz w:val="16"/>
          <w:szCs w:val="16"/>
        </w:rPr>
      </w:pPr>
      <w:r w:rsidRPr="00C8155D">
        <w:rPr>
          <w:rStyle w:val="Znakapoznpodarou"/>
          <w:szCs w:val="16"/>
        </w:rPr>
        <w:footnoteRef/>
      </w:r>
      <w:r w:rsidRPr="00DF3C93">
        <w:rPr>
          <w:sz w:val="16"/>
          <w:szCs w:val="16"/>
        </w:rPr>
        <w:t xml:space="preserve"> Mzda</w:t>
      </w:r>
      <w:r w:rsidRPr="00DF3C93">
        <w:rPr>
          <w:rFonts w:cs="Arial"/>
        </w:rPr>
        <w:t xml:space="preserve"> </w:t>
      </w:r>
      <w:r w:rsidRPr="00DF3C93">
        <w:rPr>
          <w:spacing w:val="-3"/>
          <w:sz w:val="16"/>
          <w:szCs w:val="16"/>
        </w:rPr>
        <w:t>z tohoto šetření (pokrývající plošně tzv.</w:t>
      </w:r>
      <w:r>
        <w:rPr>
          <w:spacing w:val="-3"/>
          <w:sz w:val="16"/>
          <w:szCs w:val="16"/>
        </w:rPr>
        <w:t> </w:t>
      </w:r>
      <w:r w:rsidRPr="00DF3C93">
        <w:rPr>
          <w:spacing w:val="-3"/>
          <w:sz w:val="16"/>
          <w:szCs w:val="16"/>
        </w:rPr>
        <w:t xml:space="preserve">platovou sféru a výběrově mzdovou sféru) není shodná s průměrnou mzdou z podnikových zjišťování, neboť vychází z údajů o jednotlivých zaměstnancích, </w:t>
      </w:r>
      <w:r>
        <w:rPr>
          <w:spacing w:val="-3"/>
          <w:sz w:val="16"/>
          <w:szCs w:val="16"/>
        </w:rPr>
        <w:t>kdežto</w:t>
      </w:r>
      <w:r w:rsidRPr="00DF3C93">
        <w:rPr>
          <w:spacing w:val="-3"/>
          <w:sz w:val="16"/>
          <w:szCs w:val="16"/>
        </w:rPr>
        <w:t xml:space="preserve"> podniková zjišťování sledují evidenční počet zaměstnanců a objem mezd za celý podnik či organizaci. Průměrná mzda ze strukturálního šetření je vypočtena poměřením s placenou dobou zaměstnance (nezahrnuje se neplacená nepřítomnost v práci, např. pro nemoc), nezapočítávají se ale zaměstnanci s týdenním úvazkem kratším než 30 hodin. V podnikových zjišťováních je vypočtena poměřením s evidenčním počtem zaměstnanců (zaměstnanci s krátkodobou neplacenou nepřítomností jsou zahrnuti) bez ohledu na délku jejich týdenního úvazku. Do hrubých mezd se ve strukturální statistice počítají všechny mzdy za práci včetně prémií, odměn a dalších platů, dále veškeré náhrady mzdy za neodpracovanou dobu (dovolenou, svátky, překážky v práci apod.) a odměny za pracovní pohotovost.</w:t>
      </w:r>
    </w:p>
  </w:footnote>
  <w:footnote w:id="16">
    <w:p w14:paraId="02A94529" w14:textId="77777777" w:rsidR="009728D1" w:rsidRPr="00460E41" w:rsidRDefault="009728D1" w:rsidP="00097078">
      <w:pPr>
        <w:pStyle w:val="Textpoznpodarou"/>
        <w:rPr>
          <w:spacing w:val="-4"/>
          <w:sz w:val="16"/>
          <w:szCs w:val="16"/>
        </w:rPr>
      </w:pPr>
      <w:r w:rsidRPr="00460E41">
        <w:rPr>
          <w:rStyle w:val="Znakapoznpodarou"/>
          <w:spacing w:val="-4"/>
          <w:szCs w:val="16"/>
        </w:rPr>
        <w:footnoteRef/>
      </w:r>
      <w:r w:rsidRPr="00460E41">
        <w:rPr>
          <w:spacing w:val="-4"/>
          <w:sz w:val="16"/>
          <w:szCs w:val="16"/>
        </w:rPr>
        <w:t xml:space="preserve"> </w:t>
      </w:r>
      <w:r w:rsidRPr="00460E41">
        <w:rPr>
          <w:bCs/>
          <w:spacing w:val="-4"/>
          <w:sz w:val="16"/>
          <w:szCs w:val="16"/>
        </w:rPr>
        <w:t xml:space="preserve">Medián mzdy </w:t>
      </w:r>
      <w:r w:rsidRPr="00460E41">
        <w:rPr>
          <w:spacing w:val="-4"/>
          <w:sz w:val="16"/>
          <w:szCs w:val="16"/>
        </w:rPr>
        <w:t xml:space="preserve">ukazuje výdělek zaměstnance </w:t>
      </w:r>
      <w:r w:rsidRPr="00460E41">
        <w:rPr>
          <w:bCs/>
          <w:spacing w:val="-4"/>
          <w:sz w:val="16"/>
          <w:szCs w:val="16"/>
        </w:rPr>
        <w:t>uprostřed</w:t>
      </w:r>
      <w:r w:rsidRPr="00460E41">
        <w:rPr>
          <w:spacing w:val="-4"/>
          <w:sz w:val="16"/>
          <w:szCs w:val="16"/>
        </w:rPr>
        <w:t xml:space="preserve"> mzdového rozdělení (právě stejný počet mezd je vyšších i nižších než medián).</w:t>
      </w:r>
    </w:p>
  </w:footnote>
  <w:footnote w:id="17">
    <w:p w14:paraId="32CEDE35" w14:textId="47318D0E" w:rsidR="009728D1" w:rsidRPr="00460E41" w:rsidRDefault="009728D1" w:rsidP="00097078">
      <w:pPr>
        <w:pStyle w:val="Textpoznpodarou"/>
        <w:rPr>
          <w:sz w:val="16"/>
          <w:szCs w:val="16"/>
        </w:rPr>
      </w:pPr>
      <w:r w:rsidRPr="00460E41">
        <w:rPr>
          <w:rStyle w:val="Znakapoznpodarou"/>
          <w:szCs w:val="16"/>
        </w:rPr>
        <w:footnoteRef/>
      </w:r>
      <w:r w:rsidRPr="00460E41">
        <w:rPr>
          <w:sz w:val="16"/>
          <w:szCs w:val="16"/>
        </w:rPr>
        <w:t xml:space="preserve"> </w:t>
      </w:r>
      <w:r>
        <w:rPr>
          <w:bCs/>
          <w:sz w:val="16"/>
          <w:szCs w:val="16"/>
        </w:rPr>
        <w:t>Zahrnují náhrady za dovolenou, svátky, za překážky práce na straně zaměstnance i jeho zaměstnavatele.</w:t>
      </w:r>
    </w:p>
  </w:footnote>
  <w:footnote w:id="18">
    <w:p w14:paraId="452F6675" w14:textId="485219A4" w:rsidR="009728D1" w:rsidRPr="00460E41" w:rsidRDefault="009728D1" w:rsidP="00097078">
      <w:pPr>
        <w:pStyle w:val="Textpoznpodarou"/>
        <w:rPr>
          <w:sz w:val="16"/>
          <w:szCs w:val="16"/>
        </w:rPr>
      </w:pPr>
      <w:r w:rsidRPr="00460E41">
        <w:rPr>
          <w:rStyle w:val="Znakapoznpodarou"/>
          <w:szCs w:val="16"/>
        </w:rPr>
        <w:footnoteRef/>
      </w:r>
      <w:r w:rsidRPr="00460E41">
        <w:rPr>
          <w:sz w:val="16"/>
          <w:szCs w:val="16"/>
        </w:rPr>
        <w:t xml:space="preserve"> </w:t>
      </w:r>
      <w:r>
        <w:rPr>
          <w:bCs/>
          <w:sz w:val="16"/>
          <w:szCs w:val="16"/>
        </w:rPr>
        <w:t>Odvětvová sekce S zahrnuje různorodé spektrum služeb. Jde např. o poskytování osobních služeb pro domácnosti (kadeřnictví, kosmetické služby, čistírny oděvů, pohřebnictví), o</w:t>
      </w:r>
      <w:r w:rsidRPr="000C6637">
        <w:rPr>
          <w:bCs/>
          <w:sz w:val="16"/>
          <w:szCs w:val="16"/>
        </w:rPr>
        <w:t>pravy počítačů a</w:t>
      </w:r>
      <w:r>
        <w:rPr>
          <w:bCs/>
          <w:sz w:val="16"/>
          <w:szCs w:val="16"/>
        </w:rPr>
        <w:t> </w:t>
      </w:r>
      <w:r w:rsidRPr="000C6637">
        <w:rPr>
          <w:bCs/>
          <w:sz w:val="16"/>
          <w:szCs w:val="16"/>
        </w:rPr>
        <w:t>výrobků pro osobní potřebu a převážně pro</w:t>
      </w:r>
      <w:r>
        <w:rPr>
          <w:bCs/>
          <w:sz w:val="16"/>
          <w:szCs w:val="16"/>
        </w:rPr>
        <w:t xml:space="preserve"> </w:t>
      </w:r>
      <w:r w:rsidRPr="000C6637">
        <w:rPr>
          <w:bCs/>
          <w:sz w:val="16"/>
          <w:szCs w:val="16"/>
        </w:rPr>
        <w:t>domácnost</w:t>
      </w:r>
      <w:r>
        <w:rPr>
          <w:bCs/>
          <w:sz w:val="16"/>
          <w:szCs w:val="16"/>
        </w:rPr>
        <w:t xml:space="preserve"> a také o č</w:t>
      </w:r>
      <w:r w:rsidRPr="000C6637">
        <w:rPr>
          <w:bCs/>
          <w:sz w:val="16"/>
          <w:szCs w:val="16"/>
        </w:rPr>
        <w:t>innosti organizací sdružujících osoby za účelem prosazování společných zájmů</w:t>
      </w:r>
      <w:r>
        <w:rPr>
          <w:bCs/>
          <w:sz w:val="16"/>
          <w:szCs w:val="16"/>
        </w:rPr>
        <w:t xml:space="preserve"> (podnikatelské, zaměstnavatelské a profesní organizace, náboženské organizace, politické strany, ekologická hnutí, občanské iniciativy apod.).</w:t>
      </w:r>
    </w:p>
  </w:footnote>
  <w:footnote w:id="19">
    <w:p w14:paraId="467A60C2" w14:textId="49776C0D" w:rsidR="009728D1" w:rsidRPr="00460E41" w:rsidRDefault="009728D1" w:rsidP="00097078">
      <w:pPr>
        <w:pStyle w:val="Textpoznpodarou"/>
        <w:rPr>
          <w:sz w:val="16"/>
          <w:szCs w:val="16"/>
        </w:rPr>
      </w:pPr>
      <w:r w:rsidRPr="00460E41">
        <w:rPr>
          <w:rStyle w:val="Znakapoznpodarou"/>
          <w:szCs w:val="16"/>
        </w:rPr>
        <w:footnoteRef/>
      </w:r>
      <w:r w:rsidRPr="00460E41">
        <w:rPr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Sociální požitky zahrnují především </w:t>
      </w:r>
      <w:r w:rsidRPr="00975236">
        <w:rPr>
          <w:bCs/>
          <w:sz w:val="16"/>
          <w:szCs w:val="16"/>
        </w:rPr>
        <w:t>příspěvky na stravování</w:t>
      </w:r>
      <w:r>
        <w:rPr>
          <w:bCs/>
          <w:sz w:val="16"/>
          <w:szCs w:val="16"/>
        </w:rPr>
        <w:t xml:space="preserve"> a dále např. příspěvky na bydlení, do sociálního fondu či poskytnutí </w:t>
      </w:r>
      <w:r w:rsidRPr="00975236">
        <w:rPr>
          <w:bCs/>
          <w:sz w:val="16"/>
          <w:szCs w:val="16"/>
        </w:rPr>
        <w:t>služební</w:t>
      </w:r>
      <w:r>
        <w:rPr>
          <w:bCs/>
          <w:sz w:val="16"/>
          <w:szCs w:val="16"/>
        </w:rPr>
        <w:t>ho vozu</w:t>
      </w:r>
      <w:r w:rsidRPr="00975236">
        <w:rPr>
          <w:bCs/>
          <w:sz w:val="16"/>
          <w:szCs w:val="16"/>
        </w:rPr>
        <w:t xml:space="preserve"> k</w:t>
      </w:r>
      <w:r>
        <w:rPr>
          <w:bCs/>
          <w:sz w:val="16"/>
          <w:szCs w:val="16"/>
        </w:rPr>
        <w:t> </w:t>
      </w:r>
      <w:r w:rsidRPr="00975236">
        <w:rPr>
          <w:bCs/>
          <w:sz w:val="16"/>
          <w:szCs w:val="16"/>
        </w:rPr>
        <w:t>soukromým účelům</w:t>
      </w:r>
      <w:r>
        <w:rPr>
          <w:bCs/>
          <w:sz w:val="16"/>
          <w:szCs w:val="16"/>
        </w:rPr>
        <w:t xml:space="preserve">. Ostatní sociální náklady obsahují zejména </w:t>
      </w:r>
      <w:r w:rsidRPr="00B80BFC">
        <w:rPr>
          <w:bCs/>
          <w:sz w:val="16"/>
          <w:szCs w:val="16"/>
        </w:rPr>
        <w:t>nadstandardní programy sociálního zabezpečení</w:t>
      </w:r>
      <w:r>
        <w:rPr>
          <w:bCs/>
          <w:sz w:val="16"/>
          <w:szCs w:val="16"/>
        </w:rPr>
        <w:t>, vyrovnání za nemoc (</w:t>
      </w:r>
      <w:r w:rsidRPr="00B80BFC">
        <w:rPr>
          <w:bCs/>
          <w:sz w:val="16"/>
          <w:szCs w:val="16"/>
        </w:rPr>
        <w:t>placené zaměstnavatelem</w:t>
      </w:r>
      <w:r>
        <w:rPr>
          <w:bCs/>
          <w:sz w:val="16"/>
          <w:szCs w:val="16"/>
        </w:rPr>
        <w:t>) a dále odstupné.</w:t>
      </w:r>
    </w:p>
  </w:footnote>
  <w:footnote w:id="20">
    <w:p w14:paraId="5FDECC8A" w14:textId="4909F9CF" w:rsidR="009728D1" w:rsidRPr="00460E41" w:rsidRDefault="009728D1" w:rsidP="00097078">
      <w:pPr>
        <w:pStyle w:val="Textpoznpodarou"/>
        <w:rPr>
          <w:sz w:val="16"/>
          <w:szCs w:val="16"/>
        </w:rPr>
      </w:pPr>
      <w:r w:rsidRPr="00460E41">
        <w:rPr>
          <w:rStyle w:val="Znakapoznpodarou"/>
          <w:szCs w:val="16"/>
        </w:rPr>
        <w:footnoteRef/>
      </w:r>
      <w:r w:rsidRPr="00460E41">
        <w:rPr>
          <w:sz w:val="16"/>
          <w:szCs w:val="16"/>
        </w:rPr>
        <w:t xml:space="preserve"> </w:t>
      </w:r>
      <w:r>
        <w:rPr>
          <w:bCs/>
          <w:sz w:val="16"/>
          <w:szCs w:val="16"/>
        </w:rPr>
        <w:t>Toto saldo je prakticky ve všech odvětvích ekonomiky záporné, tj. z pohledu podniků přispívá ke snižování nákladů práce. Relativně nejvyšší roli má v odvětví ostatní činnosti služeb (i zde ale snižuje nepřímé pracovní náklady o méně než desetinu).</w:t>
      </w:r>
    </w:p>
  </w:footnote>
  <w:footnote w:id="21">
    <w:p w14:paraId="7C96D244" w14:textId="38DD3F20" w:rsidR="00BA35B6" w:rsidRPr="00BA35B6" w:rsidRDefault="00BA35B6">
      <w:pPr>
        <w:pStyle w:val="Textpoznpodarou"/>
        <w:rPr>
          <w:sz w:val="16"/>
          <w:szCs w:val="16"/>
        </w:rPr>
      </w:pPr>
      <w:r w:rsidRPr="00BA35B6">
        <w:rPr>
          <w:rStyle w:val="Znakapoznpodarou"/>
          <w:sz w:val="16"/>
          <w:szCs w:val="16"/>
        </w:rPr>
        <w:footnoteRef/>
      </w:r>
      <w:r w:rsidRPr="00BA35B6">
        <w:rPr>
          <w:sz w:val="16"/>
          <w:szCs w:val="16"/>
        </w:rPr>
        <w:t xml:space="preserve"> </w:t>
      </w:r>
      <w:r>
        <w:rPr>
          <w:sz w:val="16"/>
          <w:szCs w:val="16"/>
        </w:rPr>
        <w:t>Bez</w:t>
      </w:r>
      <w:r w:rsidRPr="00BA35B6">
        <w:rPr>
          <w:sz w:val="16"/>
          <w:szCs w:val="16"/>
        </w:rPr>
        <w:t xml:space="preserve"> Řecka, za něž nebyly údaje za rok 2018 dostupné. Dle dat z předchozích let ale průměrná mzda v průmyslu v Řecku úroveň ČR převyšovala.</w:t>
      </w:r>
    </w:p>
  </w:footnote>
  <w:footnote w:id="22">
    <w:p w14:paraId="0159B0B7" w14:textId="71699BC9" w:rsidR="009728D1" w:rsidRPr="000C365C" w:rsidRDefault="009728D1" w:rsidP="00097078">
      <w:pPr>
        <w:pStyle w:val="Textpoznpodarou"/>
        <w:rPr>
          <w:sz w:val="16"/>
          <w:szCs w:val="16"/>
        </w:rPr>
      </w:pPr>
      <w:r w:rsidRPr="000C365C">
        <w:rPr>
          <w:rStyle w:val="Znakapoznpodarou"/>
          <w:sz w:val="16"/>
          <w:szCs w:val="16"/>
        </w:rPr>
        <w:footnoteRef/>
      </w:r>
      <w:r w:rsidRPr="000C365C">
        <w:rPr>
          <w:sz w:val="16"/>
          <w:szCs w:val="16"/>
        </w:rPr>
        <w:t xml:space="preserve"> Nepřímo to dokládá i</w:t>
      </w:r>
      <w:r>
        <w:rPr>
          <w:sz w:val="16"/>
          <w:szCs w:val="16"/>
        </w:rPr>
        <w:t> </w:t>
      </w:r>
      <w:r w:rsidRPr="000C365C">
        <w:rPr>
          <w:sz w:val="16"/>
          <w:szCs w:val="16"/>
        </w:rPr>
        <w:t>poměr mzdy v průmyslu k</w:t>
      </w:r>
      <w:r>
        <w:rPr>
          <w:sz w:val="16"/>
          <w:szCs w:val="16"/>
        </w:rPr>
        <w:t> </w:t>
      </w:r>
      <w:r w:rsidRPr="000C365C">
        <w:rPr>
          <w:sz w:val="16"/>
          <w:szCs w:val="16"/>
        </w:rPr>
        <w:t>hodinové mzdě v celé ekonomice (bez odvětví primárního sektoru a</w:t>
      </w:r>
      <w:r>
        <w:rPr>
          <w:sz w:val="16"/>
          <w:szCs w:val="16"/>
        </w:rPr>
        <w:t> </w:t>
      </w:r>
      <w:r w:rsidRPr="000C365C">
        <w:rPr>
          <w:sz w:val="16"/>
          <w:szCs w:val="16"/>
        </w:rPr>
        <w:t>také bez veřejné správy, obrany a</w:t>
      </w:r>
      <w:r>
        <w:rPr>
          <w:sz w:val="16"/>
          <w:szCs w:val="16"/>
        </w:rPr>
        <w:t> </w:t>
      </w:r>
      <w:r w:rsidRPr="000C365C">
        <w:rPr>
          <w:sz w:val="16"/>
          <w:szCs w:val="16"/>
        </w:rPr>
        <w:t>sociálního zabezpečení). Ten patřil v roce 2018 v Dánsku k</w:t>
      </w:r>
      <w:r>
        <w:rPr>
          <w:sz w:val="16"/>
          <w:szCs w:val="16"/>
        </w:rPr>
        <w:t> </w:t>
      </w:r>
      <w:r w:rsidRPr="000C365C">
        <w:rPr>
          <w:sz w:val="16"/>
          <w:szCs w:val="16"/>
        </w:rPr>
        <w:t>nejvyšším z celé EU (115</w:t>
      </w:r>
      <w:r>
        <w:rPr>
          <w:sz w:val="16"/>
          <w:szCs w:val="16"/>
        </w:rPr>
        <w:t> %</w:t>
      </w:r>
      <w:r w:rsidRPr="000C365C">
        <w:rPr>
          <w:sz w:val="16"/>
          <w:szCs w:val="16"/>
        </w:rPr>
        <w:t>). V Německu činil (118</w:t>
      </w:r>
      <w:r>
        <w:rPr>
          <w:sz w:val="16"/>
          <w:szCs w:val="16"/>
        </w:rPr>
        <w:t> %</w:t>
      </w:r>
      <w:r w:rsidRPr="000C365C">
        <w:rPr>
          <w:sz w:val="16"/>
          <w:szCs w:val="16"/>
        </w:rPr>
        <w:t>), na Slovensku (103</w:t>
      </w:r>
      <w:r>
        <w:rPr>
          <w:sz w:val="16"/>
          <w:szCs w:val="16"/>
        </w:rPr>
        <w:t> %</w:t>
      </w:r>
      <w:r w:rsidRPr="000C365C">
        <w:rPr>
          <w:sz w:val="16"/>
          <w:szCs w:val="16"/>
        </w:rPr>
        <w:t>), v ČR (101</w:t>
      </w:r>
      <w:r>
        <w:rPr>
          <w:sz w:val="16"/>
          <w:szCs w:val="16"/>
        </w:rPr>
        <w:t> %</w:t>
      </w:r>
      <w:r w:rsidRPr="000C365C">
        <w:rPr>
          <w:sz w:val="16"/>
          <w:szCs w:val="16"/>
        </w:rPr>
        <w:t>), v Maďarsku (97</w:t>
      </w:r>
      <w:r>
        <w:rPr>
          <w:sz w:val="16"/>
          <w:szCs w:val="16"/>
        </w:rPr>
        <w:t> %</w:t>
      </w:r>
      <w:r w:rsidRPr="000C365C">
        <w:rPr>
          <w:sz w:val="16"/>
          <w:szCs w:val="16"/>
        </w:rPr>
        <w:t>), ale v Rumunsku jen 87</w:t>
      </w:r>
      <w:r>
        <w:rPr>
          <w:sz w:val="16"/>
          <w:szCs w:val="16"/>
        </w:rPr>
        <w:t> %</w:t>
      </w:r>
      <w:r w:rsidRPr="000C365C">
        <w:rPr>
          <w:sz w:val="16"/>
          <w:szCs w:val="16"/>
        </w:rPr>
        <w:t xml:space="preserve"> a</w:t>
      </w:r>
      <w:r>
        <w:rPr>
          <w:sz w:val="16"/>
          <w:szCs w:val="16"/>
        </w:rPr>
        <w:t> v </w:t>
      </w:r>
      <w:r w:rsidRPr="000C365C">
        <w:rPr>
          <w:sz w:val="16"/>
          <w:szCs w:val="16"/>
        </w:rPr>
        <w:t>Portugalsku 86</w:t>
      </w:r>
      <w:r>
        <w:rPr>
          <w:sz w:val="16"/>
          <w:szCs w:val="16"/>
        </w:rPr>
        <w:t> %</w:t>
      </w:r>
      <w:r w:rsidRPr="000C365C">
        <w:rPr>
          <w:sz w:val="16"/>
          <w:szCs w:val="16"/>
        </w:rPr>
        <w:t>.</w:t>
      </w:r>
    </w:p>
  </w:footnote>
  <w:footnote w:id="23">
    <w:p w14:paraId="68DD0324" w14:textId="6E75F36E" w:rsidR="009728D1" w:rsidRPr="00075D7A" w:rsidRDefault="009728D1" w:rsidP="00097078">
      <w:pPr>
        <w:pStyle w:val="Textpoznpodarou"/>
        <w:rPr>
          <w:sz w:val="16"/>
          <w:szCs w:val="16"/>
        </w:rPr>
      </w:pPr>
      <w:r w:rsidRPr="000C365C">
        <w:rPr>
          <w:rStyle w:val="Znakapoznpodarou"/>
          <w:sz w:val="16"/>
          <w:szCs w:val="16"/>
        </w:rPr>
        <w:footnoteRef/>
      </w:r>
      <w:r w:rsidRPr="000C365C">
        <w:rPr>
          <w:sz w:val="16"/>
          <w:szCs w:val="16"/>
        </w:rPr>
        <w:t xml:space="preserve"> Poměr </w:t>
      </w:r>
      <w:r w:rsidRPr="00075D7A">
        <w:rPr>
          <w:sz w:val="16"/>
          <w:szCs w:val="16"/>
        </w:rPr>
        <w:t>hodinových výdělků v průmyslu mezi Dánskem a</w:t>
      </w:r>
      <w:r>
        <w:rPr>
          <w:sz w:val="16"/>
          <w:szCs w:val="16"/>
        </w:rPr>
        <w:t> </w:t>
      </w:r>
      <w:r w:rsidRPr="00075D7A">
        <w:rPr>
          <w:sz w:val="16"/>
          <w:szCs w:val="16"/>
        </w:rPr>
        <w:t xml:space="preserve">Bulharskem byl tak 4,1. Pokud bychom </w:t>
      </w:r>
      <w:r>
        <w:rPr>
          <w:sz w:val="16"/>
          <w:szCs w:val="16"/>
        </w:rPr>
        <w:t>nebrali v potaz rozdílné cenové hladiny v rámci EU</w:t>
      </w:r>
      <w:r w:rsidRPr="00075D7A">
        <w:rPr>
          <w:sz w:val="16"/>
          <w:szCs w:val="16"/>
        </w:rPr>
        <w:t xml:space="preserve"> a</w:t>
      </w:r>
      <w:r>
        <w:rPr>
          <w:sz w:val="16"/>
          <w:szCs w:val="16"/>
        </w:rPr>
        <w:t> </w:t>
      </w:r>
      <w:r w:rsidRPr="00075D7A">
        <w:rPr>
          <w:sz w:val="16"/>
          <w:szCs w:val="16"/>
        </w:rPr>
        <w:t>vyjádřili výdělky v </w:t>
      </w:r>
      <w:r>
        <w:rPr>
          <w:sz w:val="16"/>
          <w:szCs w:val="16"/>
        </w:rPr>
        <w:t>e</w:t>
      </w:r>
      <w:r w:rsidRPr="00075D7A">
        <w:rPr>
          <w:sz w:val="16"/>
          <w:szCs w:val="16"/>
        </w:rPr>
        <w:t>urech (po přepočtu směnným kurzem)</w:t>
      </w:r>
      <w:r>
        <w:rPr>
          <w:sz w:val="16"/>
          <w:szCs w:val="16"/>
        </w:rPr>
        <w:t>, pak by</w:t>
      </w:r>
      <w:r w:rsidRPr="00075D7A">
        <w:rPr>
          <w:sz w:val="16"/>
          <w:szCs w:val="16"/>
        </w:rPr>
        <w:t xml:space="preserve"> by</w:t>
      </w:r>
      <w:r>
        <w:rPr>
          <w:sz w:val="16"/>
          <w:szCs w:val="16"/>
        </w:rPr>
        <w:t>l</w:t>
      </w:r>
      <w:r w:rsidRPr="00075D7A">
        <w:rPr>
          <w:sz w:val="16"/>
          <w:szCs w:val="16"/>
        </w:rPr>
        <w:t xml:space="preserve"> v roce 2018 obdobný poměr mezi těmito státy </w:t>
      </w:r>
      <w:r>
        <w:rPr>
          <w:sz w:val="16"/>
          <w:szCs w:val="16"/>
        </w:rPr>
        <w:t>dokonce 11,2.</w:t>
      </w:r>
    </w:p>
  </w:footnote>
  <w:footnote w:id="24">
    <w:p w14:paraId="01CE71CC" w14:textId="14EEF56F" w:rsidR="009728D1" w:rsidRPr="00FD706B" w:rsidRDefault="009728D1" w:rsidP="00D569B1">
      <w:pPr>
        <w:pStyle w:val="Textpoznpodarou"/>
        <w:rPr>
          <w:sz w:val="16"/>
          <w:szCs w:val="16"/>
        </w:rPr>
      </w:pPr>
      <w:r w:rsidRPr="00FD706B">
        <w:rPr>
          <w:rStyle w:val="Znakapoznpodarou"/>
          <w:sz w:val="16"/>
          <w:szCs w:val="16"/>
        </w:rPr>
        <w:footnoteRef/>
      </w:r>
      <w:r w:rsidRPr="00FD706B">
        <w:rPr>
          <w:sz w:val="16"/>
          <w:szCs w:val="16"/>
        </w:rPr>
        <w:t xml:space="preserve"> To se v rámci průmyslu týkalo např. výroby medicínských přístrojů a vybavení nebo chemického a farmaceutického průmyslu.</w:t>
      </w:r>
    </w:p>
  </w:footnote>
  <w:footnote w:id="25">
    <w:p w14:paraId="67F04565" w14:textId="3B85013B" w:rsidR="009728D1" w:rsidRPr="00134608" w:rsidRDefault="009728D1" w:rsidP="00D569B1">
      <w:pPr>
        <w:pStyle w:val="Textpoznpodarou"/>
        <w:rPr>
          <w:sz w:val="16"/>
          <w:szCs w:val="16"/>
        </w:rPr>
      </w:pPr>
      <w:r w:rsidRPr="00134608">
        <w:rPr>
          <w:rStyle w:val="Znakapoznpodarou"/>
          <w:sz w:val="16"/>
          <w:szCs w:val="16"/>
        </w:rPr>
        <w:footnoteRef/>
      </w:r>
      <w:r w:rsidRPr="00134608">
        <w:rPr>
          <w:sz w:val="16"/>
          <w:szCs w:val="16"/>
        </w:rPr>
        <w:t xml:space="preserve"> Silnější roli měl průmysl jen v Německu a</w:t>
      </w:r>
      <w:r>
        <w:rPr>
          <w:sz w:val="16"/>
          <w:szCs w:val="16"/>
        </w:rPr>
        <w:t> </w:t>
      </w:r>
      <w:r w:rsidRPr="00134608">
        <w:rPr>
          <w:sz w:val="16"/>
          <w:szCs w:val="16"/>
        </w:rPr>
        <w:t xml:space="preserve">Rakousku, kde </w:t>
      </w:r>
      <w:r>
        <w:rPr>
          <w:sz w:val="16"/>
          <w:szCs w:val="16"/>
        </w:rPr>
        <w:t xml:space="preserve">se </w:t>
      </w:r>
      <w:r w:rsidRPr="00134608">
        <w:rPr>
          <w:sz w:val="16"/>
          <w:szCs w:val="16"/>
        </w:rPr>
        <w:t>na celkové zaměstnanosti podílel z</w:t>
      </w:r>
      <w:r>
        <w:rPr>
          <w:sz w:val="16"/>
          <w:szCs w:val="16"/>
        </w:rPr>
        <w:t> 18,5 %, resp. ze 16,1 %</w:t>
      </w:r>
      <w:r w:rsidRPr="00134608">
        <w:rPr>
          <w:sz w:val="16"/>
          <w:szCs w:val="16"/>
        </w:rPr>
        <w:t>.</w:t>
      </w:r>
    </w:p>
  </w:footnote>
  <w:footnote w:id="26">
    <w:p w14:paraId="07A32CEE" w14:textId="4C292470" w:rsidR="009728D1" w:rsidRPr="000B21DD" w:rsidRDefault="009728D1">
      <w:pPr>
        <w:pStyle w:val="Textpoznpodarou"/>
        <w:rPr>
          <w:sz w:val="16"/>
          <w:szCs w:val="16"/>
        </w:rPr>
      </w:pPr>
      <w:r w:rsidRPr="000B21DD">
        <w:rPr>
          <w:rStyle w:val="Znakapoznpodarou"/>
          <w:sz w:val="16"/>
          <w:szCs w:val="16"/>
        </w:rPr>
        <w:footnoteRef/>
      </w:r>
      <w:r w:rsidRPr="000B21DD">
        <w:rPr>
          <w:sz w:val="16"/>
          <w:szCs w:val="16"/>
        </w:rPr>
        <w:t xml:space="preserve"> To se projevuje i</w:t>
      </w:r>
      <w:r>
        <w:rPr>
          <w:sz w:val="16"/>
          <w:szCs w:val="16"/>
        </w:rPr>
        <w:t> </w:t>
      </w:r>
      <w:r w:rsidRPr="000B21DD">
        <w:rPr>
          <w:sz w:val="16"/>
          <w:szCs w:val="16"/>
        </w:rPr>
        <w:t xml:space="preserve">tím, že produktivita práce v průmyslu v těchto zemích výrazněji převyšuje produktivitu v celé ekonomice. </w:t>
      </w:r>
      <w:r>
        <w:rPr>
          <w:sz w:val="16"/>
          <w:szCs w:val="16"/>
        </w:rPr>
        <w:t>Např. v Dánsku to bylo v roce 2019 o 68 %, v Nizozemsku o 63 %, ve Francii a Německu o více než 30 %. V rámci  novějších členských států měl průmysl relativně silnější postavení v produktivitě ve Slovinsku (+17 %) a Maďarsku (+15 %). V Česku se produktivita v průmyslu ve srovnání s celou ekonomikou výrazně nelišila.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AE341" w14:textId="4DEAD05A" w:rsidR="009728D1" w:rsidRPr="004C0391" w:rsidRDefault="009728D1" w:rsidP="004C0391">
    <w:pPr>
      <w:pStyle w:val="Zhlav"/>
    </w:pPr>
    <w:r>
      <w:t>Širší aspekty vývoje průmyslu v ČR i EU z pohledu trhu práce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6E75C" w14:textId="01B2AC05" w:rsidR="009728D1" w:rsidRDefault="009728D1" w:rsidP="00937AE2">
    <w:pPr>
      <w:pStyle w:val="Zhlav"/>
    </w:pPr>
    <w:r>
      <w:t>Širší aspekty vývoje průmyslu v ČR i EU z pohledu trhu práce</w:t>
    </w:r>
  </w:p>
  <w:p w14:paraId="5C2665E0" w14:textId="77777777" w:rsidR="009728D1" w:rsidRPr="006F5416" w:rsidRDefault="009728D1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48B6CC9"/>
    <w:multiLevelType w:val="hybridMultilevel"/>
    <w:tmpl w:val="2208F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8175B"/>
    <w:multiLevelType w:val="hybridMultilevel"/>
    <w:tmpl w:val="8E4C736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43D1B"/>
    <w:multiLevelType w:val="hybridMultilevel"/>
    <w:tmpl w:val="EF4262D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15AC1"/>
    <w:multiLevelType w:val="hybridMultilevel"/>
    <w:tmpl w:val="7464A696"/>
    <w:lvl w:ilvl="0" w:tplc="4246FC1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F1D32"/>
    <w:multiLevelType w:val="hybridMultilevel"/>
    <w:tmpl w:val="422047C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23"/>
  </w:num>
  <w:num w:numId="14">
    <w:abstractNumId w:val="10"/>
  </w:num>
  <w:num w:numId="15">
    <w:abstractNumId w:val="16"/>
  </w:num>
  <w:num w:numId="16">
    <w:abstractNumId w:val="12"/>
  </w:num>
  <w:num w:numId="17">
    <w:abstractNumId w:val="24"/>
  </w:num>
  <w:num w:numId="18">
    <w:abstractNumId w:val="18"/>
  </w:num>
  <w:num w:numId="19">
    <w:abstractNumId w:val="25"/>
  </w:num>
  <w:num w:numId="20">
    <w:abstractNumId w:val="28"/>
  </w:num>
  <w:num w:numId="21">
    <w:abstractNumId w:val="22"/>
  </w:num>
  <w:num w:numId="22">
    <w:abstractNumId w:val="15"/>
  </w:num>
  <w:num w:numId="23">
    <w:abstractNumId w:val="13"/>
  </w:num>
  <w:num w:numId="24">
    <w:abstractNumId w:val="14"/>
  </w:num>
  <w:num w:numId="25">
    <w:abstractNumId w:val="26"/>
  </w:num>
  <w:num w:numId="26">
    <w:abstractNumId w:val="21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02"/>
    <w:rsid w:val="0000083D"/>
    <w:rsid w:val="0000209D"/>
    <w:rsid w:val="00002B85"/>
    <w:rsid w:val="00004D5A"/>
    <w:rsid w:val="000056D5"/>
    <w:rsid w:val="00006ABD"/>
    <w:rsid w:val="0000767A"/>
    <w:rsid w:val="00007BEF"/>
    <w:rsid w:val="00010256"/>
    <w:rsid w:val="00010702"/>
    <w:rsid w:val="00011912"/>
    <w:rsid w:val="00012408"/>
    <w:rsid w:val="00014E7F"/>
    <w:rsid w:val="000159E9"/>
    <w:rsid w:val="00016123"/>
    <w:rsid w:val="0001653D"/>
    <w:rsid w:val="00020CDE"/>
    <w:rsid w:val="0002195D"/>
    <w:rsid w:val="000234D6"/>
    <w:rsid w:val="00023D29"/>
    <w:rsid w:val="00026389"/>
    <w:rsid w:val="00031AE0"/>
    <w:rsid w:val="000322EF"/>
    <w:rsid w:val="000333B9"/>
    <w:rsid w:val="00033FCD"/>
    <w:rsid w:val="00037A79"/>
    <w:rsid w:val="00041CEC"/>
    <w:rsid w:val="000421E4"/>
    <w:rsid w:val="00044059"/>
    <w:rsid w:val="00044407"/>
    <w:rsid w:val="0004694F"/>
    <w:rsid w:val="000500AB"/>
    <w:rsid w:val="000522E4"/>
    <w:rsid w:val="00052B65"/>
    <w:rsid w:val="000610E1"/>
    <w:rsid w:val="000623A2"/>
    <w:rsid w:val="00062EC5"/>
    <w:rsid w:val="00062F22"/>
    <w:rsid w:val="00064B6A"/>
    <w:rsid w:val="00067A82"/>
    <w:rsid w:val="00067B81"/>
    <w:rsid w:val="000712B3"/>
    <w:rsid w:val="00071E70"/>
    <w:rsid w:val="00072AEC"/>
    <w:rsid w:val="000748F2"/>
    <w:rsid w:val="000774EC"/>
    <w:rsid w:val="0008068B"/>
    <w:rsid w:val="0008263E"/>
    <w:rsid w:val="00082A55"/>
    <w:rsid w:val="00082C19"/>
    <w:rsid w:val="00085395"/>
    <w:rsid w:val="000854CA"/>
    <w:rsid w:val="00085D69"/>
    <w:rsid w:val="00087634"/>
    <w:rsid w:val="00087F2B"/>
    <w:rsid w:val="00093E3F"/>
    <w:rsid w:val="00093E53"/>
    <w:rsid w:val="0009474E"/>
    <w:rsid w:val="00095135"/>
    <w:rsid w:val="00096085"/>
    <w:rsid w:val="00096E5B"/>
    <w:rsid w:val="00097078"/>
    <w:rsid w:val="000974D1"/>
    <w:rsid w:val="0009799E"/>
    <w:rsid w:val="000979EC"/>
    <w:rsid w:val="000A1148"/>
    <w:rsid w:val="000A1183"/>
    <w:rsid w:val="000A256D"/>
    <w:rsid w:val="000A3A2C"/>
    <w:rsid w:val="000A5BA4"/>
    <w:rsid w:val="000A66F4"/>
    <w:rsid w:val="000A75F4"/>
    <w:rsid w:val="000B21DD"/>
    <w:rsid w:val="000B525B"/>
    <w:rsid w:val="000C1D78"/>
    <w:rsid w:val="000C3408"/>
    <w:rsid w:val="000C365C"/>
    <w:rsid w:val="000C5703"/>
    <w:rsid w:val="000C6375"/>
    <w:rsid w:val="000C6AFD"/>
    <w:rsid w:val="000D2C3F"/>
    <w:rsid w:val="000D5637"/>
    <w:rsid w:val="000E3D0E"/>
    <w:rsid w:val="000E4053"/>
    <w:rsid w:val="000E53C3"/>
    <w:rsid w:val="000E6C04"/>
    <w:rsid w:val="000E6FBD"/>
    <w:rsid w:val="000F7084"/>
    <w:rsid w:val="000F7FEF"/>
    <w:rsid w:val="00100F5C"/>
    <w:rsid w:val="0010106F"/>
    <w:rsid w:val="00101CDA"/>
    <w:rsid w:val="0010268C"/>
    <w:rsid w:val="00104C4C"/>
    <w:rsid w:val="00106DC7"/>
    <w:rsid w:val="00117623"/>
    <w:rsid w:val="0012192F"/>
    <w:rsid w:val="00122BB3"/>
    <w:rsid w:val="00125A9C"/>
    <w:rsid w:val="00125D69"/>
    <w:rsid w:val="00134608"/>
    <w:rsid w:val="00135FEE"/>
    <w:rsid w:val="00137DF7"/>
    <w:rsid w:val="001405FA"/>
    <w:rsid w:val="00141782"/>
    <w:rsid w:val="001425C3"/>
    <w:rsid w:val="00142C1C"/>
    <w:rsid w:val="0014314C"/>
    <w:rsid w:val="001457AA"/>
    <w:rsid w:val="00146F52"/>
    <w:rsid w:val="00147081"/>
    <w:rsid w:val="0014794C"/>
    <w:rsid w:val="0015085A"/>
    <w:rsid w:val="001528B9"/>
    <w:rsid w:val="001612F4"/>
    <w:rsid w:val="00162312"/>
    <w:rsid w:val="0016256B"/>
    <w:rsid w:val="00163793"/>
    <w:rsid w:val="001671FF"/>
    <w:rsid w:val="001706D6"/>
    <w:rsid w:val="001714F2"/>
    <w:rsid w:val="00175B9F"/>
    <w:rsid w:val="00175F48"/>
    <w:rsid w:val="00181BBC"/>
    <w:rsid w:val="00182799"/>
    <w:rsid w:val="00182E99"/>
    <w:rsid w:val="00184B08"/>
    <w:rsid w:val="00185010"/>
    <w:rsid w:val="001863EA"/>
    <w:rsid w:val="00186919"/>
    <w:rsid w:val="001916DB"/>
    <w:rsid w:val="00192F37"/>
    <w:rsid w:val="00193818"/>
    <w:rsid w:val="00194520"/>
    <w:rsid w:val="001969D1"/>
    <w:rsid w:val="001A0487"/>
    <w:rsid w:val="001A0D6B"/>
    <w:rsid w:val="001A16E3"/>
    <w:rsid w:val="001A33A3"/>
    <w:rsid w:val="001A480E"/>
    <w:rsid w:val="001A5387"/>
    <w:rsid w:val="001A552F"/>
    <w:rsid w:val="001B28D3"/>
    <w:rsid w:val="001B2CA9"/>
    <w:rsid w:val="001B3110"/>
    <w:rsid w:val="001B4422"/>
    <w:rsid w:val="001B4729"/>
    <w:rsid w:val="001B57B8"/>
    <w:rsid w:val="001B5C4D"/>
    <w:rsid w:val="001B6310"/>
    <w:rsid w:val="001B6C09"/>
    <w:rsid w:val="001C05CD"/>
    <w:rsid w:val="001C1B66"/>
    <w:rsid w:val="001C487C"/>
    <w:rsid w:val="001C7EE3"/>
    <w:rsid w:val="001D198A"/>
    <w:rsid w:val="001D463E"/>
    <w:rsid w:val="001D51EB"/>
    <w:rsid w:val="001D68B2"/>
    <w:rsid w:val="001D70E9"/>
    <w:rsid w:val="001E0D3E"/>
    <w:rsid w:val="001E504C"/>
    <w:rsid w:val="001F138C"/>
    <w:rsid w:val="001F4063"/>
    <w:rsid w:val="001F4597"/>
    <w:rsid w:val="001F52D6"/>
    <w:rsid w:val="00201978"/>
    <w:rsid w:val="00203DA4"/>
    <w:rsid w:val="00203E4E"/>
    <w:rsid w:val="002052C6"/>
    <w:rsid w:val="002054B4"/>
    <w:rsid w:val="00207D7B"/>
    <w:rsid w:val="002118B9"/>
    <w:rsid w:val="00213C32"/>
    <w:rsid w:val="00217C5B"/>
    <w:rsid w:val="0022139E"/>
    <w:rsid w:val="00221BD4"/>
    <w:rsid w:val="00222729"/>
    <w:rsid w:val="00222FFB"/>
    <w:rsid w:val="002249F4"/>
    <w:rsid w:val="002252E0"/>
    <w:rsid w:val="002255F6"/>
    <w:rsid w:val="002257E8"/>
    <w:rsid w:val="00227850"/>
    <w:rsid w:val="00227A53"/>
    <w:rsid w:val="00230C6E"/>
    <w:rsid w:val="00231CC2"/>
    <w:rsid w:val="00236443"/>
    <w:rsid w:val="00241035"/>
    <w:rsid w:val="00241B06"/>
    <w:rsid w:val="002436BA"/>
    <w:rsid w:val="0024408E"/>
    <w:rsid w:val="00244A15"/>
    <w:rsid w:val="00244EB3"/>
    <w:rsid w:val="0024680E"/>
    <w:rsid w:val="00247319"/>
    <w:rsid w:val="0024799E"/>
    <w:rsid w:val="00253C0F"/>
    <w:rsid w:val="002558C1"/>
    <w:rsid w:val="00255943"/>
    <w:rsid w:val="00260FC5"/>
    <w:rsid w:val="002632EC"/>
    <w:rsid w:val="002665EC"/>
    <w:rsid w:val="00271465"/>
    <w:rsid w:val="00274037"/>
    <w:rsid w:val="00285412"/>
    <w:rsid w:val="0028587B"/>
    <w:rsid w:val="00291640"/>
    <w:rsid w:val="002A16D4"/>
    <w:rsid w:val="002A230C"/>
    <w:rsid w:val="002A5D97"/>
    <w:rsid w:val="002A7679"/>
    <w:rsid w:val="002B2127"/>
    <w:rsid w:val="002B213A"/>
    <w:rsid w:val="002B4845"/>
    <w:rsid w:val="002B49B9"/>
    <w:rsid w:val="002B6B06"/>
    <w:rsid w:val="002B6F67"/>
    <w:rsid w:val="002C3D06"/>
    <w:rsid w:val="002C43BD"/>
    <w:rsid w:val="002D0E59"/>
    <w:rsid w:val="002D2D9F"/>
    <w:rsid w:val="002D3DCF"/>
    <w:rsid w:val="002D6BD2"/>
    <w:rsid w:val="002E02A1"/>
    <w:rsid w:val="002E1475"/>
    <w:rsid w:val="002E1A9C"/>
    <w:rsid w:val="002E32FC"/>
    <w:rsid w:val="002E4B33"/>
    <w:rsid w:val="002E4E4C"/>
    <w:rsid w:val="002E4F60"/>
    <w:rsid w:val="002E5E3A"/>
    <w:rsid w:val="002E7360"/>
    <w:rsid w:val="002F0A29"/>
    <w:rsid w:val="002F1098"/>
    <w:rsid w:val="002F4860"/>
    <w:rsid w:val="002F550B"/>
    <w:rsid w:val="0030150E"/>
    <w:rsid w:val="00303533"/>
    <w:rsid w:val="00304771"/>
    <w:rsid w:val="003052D4"/>
    <w:rsid w:val="00306C5B"/>
    <w:rsid w:val="00307E77"/>
    <w:rsid w:val="00311448"/>
    <w:rsid w:val="003134A9"/>
    <w:rsid w:val="00314A41"/>
    <w:rsid w:val="003209D6"/>
    <w:rsid w:val="00321924"/>
    <w:rsid w:val="0032314C"/>
    <w:rsid w:val="0032656E"/>
    <w:rsid w:val="00326633"/>
    <w:rsid w:val="003268DD"/>
    <w:rsid w:val="00330060"/>
    <w:rsid w:val="00330085"/>
    <w:rsid w:val="00330711"/>
    <w:rsid w:val="00332190"/>
    <w:rsid w:val="0033250B"/>
    <w:rsid w:val="00334CC0"/>
    <w:rsid w:val="00343331"/>
    <w:rsid w:val="0034335E"/>
    <w:rsid w:val="00343A8A"/>
    <w:rsid w:val="00344668"/>
    <w:rsid w:val="00345D77"/>
    <w:rsid w:val="003462D9"/>
    <w:rsid w:val="00347378"/>
    <w:rsid w:val="00347604"/>
    <w:rsid w:val="00352945"/>
    <w:rsid w:val="003576EB"/>
    <w:rsid w:val="00357908"/>
    <w:rsid w:val="00357D45"/>
    <w:rsid w:val="00360C86"/>
    <w:rsid w:val="00360DE3"/>
    <w:rsid w:val="00360FBC"/>
    <w:rsid w:val="00362E90"/>
    <w:rsid w:val="00364C32"/>
    <w:rsid w:val="00364FA0"/>
    <w:rsid w:val="003657F3"/>
    <w:rsid w:val="003674EB"/>
    <w:rsid w:val="003678F2"/>
    <w:rsid w:val="00371018"/>
    <w:rsid w:val="003722A4"/>
    <w:rsid w:val="003733A0"/>
    <w:rsid w:val="00376C3B"/>
    <w:rsid w:val="003818DC"/>
    <w:rsid w:val="00384327"/>
    <w:rsid w:val="003852A9"/>
    <w:rsid w:val="00385D98"/>
    <w:rsid w:val="0038642D"/>
    <w:rsid w:val="003870EE"/>
    <w:rsid w:val="003922DF"/>
    <w:rsid w:val="003A2B4D"/>
    <w:rsid w:val="003A2D12"/>
    <w:rsid w:val="003A478C"/>
    <w:rsid w:val="003A5525"/>
    <w:rsid w:val="003A6B38"/>
    <w:rsid w:val="003B461F"/>
    <w:rsid w:val="003B5A32"/>
    <w:rsid w:val="003B6B9E"/>
    <w:rsid w:val="003C3490"/>
    <w:rsid w:val="003C4BE8"/>
    <w:rsid w:val="003C77D0"/>
    <w:rsid w:val="003C7E62"/>
    <w:rsid w:val="003D6920"/>
    <w:rsid w:val="003E38BA"/>
    <w:rsid w:val="003E4C91"/>
    <w:rsid w:val="003E4E75"/>
    <w:rsid w:val="003F313C"/>
    <w:rsid w:val="003F37FC"/>
    <w:rsid w:val="003F3890"/>
    <w:rsid w:val="003F48D7"/>
    <w:rsid w:val="003F4B2C"/>
    <w:rsid w:val="003F551C"/>
    <w:rsid w:val="003F72ED"/>
    <w:rsid w:val="003F7D23"/>
    <w:rsid w:val="00400B82"/>
    <w:rsid w:val="0040575D"/>
    <w:rsid w:val="00407C13"/>
    <w:rsid w:val="00410638"/>
    <w:rsid w:val="0041215C"/>
    <w:rsid w:val="0041501E"/>
    <w:rsid w:val="004159C3"/>
    <w:rsid w:val="0041758E"/>
    <w:rsid w:val="004217D2"/>
    <w:rsid w:val="00425F45"/>
    <w:rsid w:val="00432A58"/>
    <w:rsid w:val="00432EA8"/>
    <w:rsid w:val="00433C0C"/>
    <w:rsid w:val="00434617"/>
    <w:rsid w:val="00436778"/>
    <w:rsid w:val="00437E53"/>
    <w:rsid w:val="00440900"/>
    <w:rsid w:val="00441BF6"/>
    <w:rsid w:val="004441A0"/>
    <w:rsid w:val="00444E83"/>
    <w:rsid w:val="0045078A"/>
    <w:rsid w:val="0045086D"/>
    <w:rsid w:val="004528F0"/>
    <w:rsid w:val="00453047"/>
    <w:rsid w:val="0046071E"/>
    <w:rsid w:val="00460FB3"/>
    <w:rsid w:val="00466CA7"/>
    <w:rsid w:val="00467ABC"/>
    <w:rsid w:val="00467C2C"/>
    <w:rsid w:val="00476240"/>
    <w:rsid w:val="00476439"/>
    <w:rsid w:val="0047735C"/>
    <w:rsid w:val="004776BC"/>
    <w:rsid w:val="0048139F"/>
    <w:rsid w:val="00481E40"/>
    <w:rsid w:val="00482DE9"/>
    <w:rsid w:val="00484ECE"/>
    <w:rsid w:val="00486917"/>
    <w:rsid w:val="00487A34"/>
    <w:rsid w:val="004915CB"/>
    <w:rsid w:val="004919B0"/>
    <w:rsid w:val="004924DC"/>
    <w:rsid w:val="0049348B"/>
    <w:rsid w:val="004948F4"/>
    <w:rsid w:val="004950A4"/>
    <w:rsid w:val="004A14E4"/>
    <w:rsid w:val="004A3212"/>
    <w:rsid w:val="004A5494"/>
    <w:rsid w:val="004A61C5"/>
    <w:rsid w:val="004A670E"/>
    <w:rsid w:val="004A77DF"/>
    <w:rsid w:val="004B1417"/>
    <w:rsid w:val="004B1B28"/>
    <w:rsid w:val="004B47CD"/>
    <w:rsid w:val="004B481B"/>
    <w:rsid w:val="004B48DF"/>
    <w:rsid w:val="004B55B7"/>
    <w:rsid w:val="004B6468"/>
    <w:rsid w:val="004B7125"/>
    <w:rsid w:val="004B7637"/>
    <w:rsid w:val="004C0391"/>
    <w:rsid w:val="004C26B0"/>
    <w:rsid w:val="004C384C"/>
    <w:rsid w:val="004C3867"/>
    <w:rsid w:val="004C4CD0"/>
    <w:rsid w:val="004C5FBF"/>
    <w:rsid w:val="004C70DC"/>
    <w:rsid w:val="004D0211"/>
    <w:rsid w:val="004D0794"/>
    <w:rsid w:val="004D26B7"/>
    <w:rsid w:val="004D3177"/>
    <w:rsid w:val="004D5B88"/>
    <w:rsid w:val="004E326C"/>
    <w:rsid w:val="004F06F5"/>
    <w:rsid w:val="004F0CBA"/>
    <w:rsid w:val="004F16F7"/>
    <w:rsid w:val="004F1879"/>
    <w:rsid w:val="004F33A0"/>
    <w:rsid w:val="004F6EDC"/>
    <w:rsid w:val="00503748"/>
    <w:rsid w:val="0050689D"/>
    <w:rsid w:val="0050700F"/>
    <w:rsid w:val="0051031A"/>
    <w:rsid w:val="005108C0"/>
    <w:rsid w:val="00511873"/>
    <w:rsid w:val="00512A2F"/>
    <w:rsid w:val="00513B7E"/>
    <w:rsid w:val="0051465A"/>
    <w:rsid w:val="005152D9"/>
    <w:rsid w:val="00515C74"/>
    <w:rsid w:val="00515FFA"/>
    <w:rsid w:val="005172FF"/>
    <w:rsid w:val="005173AF"/>
    <w:rsid w:val="0052007E"/>
    <w:rsid w:val="0052337A"/>
    <w:rsid w:val="00525137"/>
    <w:rsid w:val="005251DD"/>
    <w:rsid w:val="00525C8F"/>
    <w:rsid w:val="00530243"/>
    <w:rsid w:val="00532CE7"/>
    <w:rsid w:val="0053324C"/>
    <w:rsid w:val="005348F6"/>
    <w:rsid w:val="00534A28"/>
    <w:rsid w:val="005367E8"/>
    <w:rsid w:val="00541508"/>
    <w:rsid w:val="00543498"/>
    <w:rsid w:val="00551238"/>
    <w:rsid w:val="0055599F"/>
    <w:rsid w:val="00556D68"/>
    <w:rsid w:val="00561B03"/>
    <w:rsid w:val="00563EB8"/>
    <w:rsid w:val="005647BF"/>
    <w:rsid w:val="00564AF1"/>
    <w:rsid w:val="00570D95"/>
    <w:rsid w:val="0057364B"/>
    <w:rsid w:val="00574773"/>
    <w:rsid w:val="00577EE4"/>
    <w:rsid w:val="00581AC8"/>
    <w:rsid w:val="00583FFD"/>
    <w:rsid w:val="00585E02"/>
    <w:rsid w:val="00586874"/>
    <w:rsid w:val="005901E9"/>
    <w:rsid w:val="005911BE"/>
    <w:rsid w:val="00592284"/>
    <w:rsid w:val="00593152"/>
    <w:rsid w:val="00596F92"/>
    <w:rsid w:val="005A10F2"/>
    <w:rsid w:val="005A21E0"/>
    <w:rsid w:val="005A28FF"/>
    <w:rsid w:val="005A2A19"/>
    <w:rsid w:val="005A2C1A"/>
    <w:rsid w:val="005A2C7B"/>
    <w:rsid w:val="005A3DF8"/>
    <w:rsid w:val="005A5549"/>
    <w:rsid w:val="005A5D45"/>
    <w:rsid w:val="005A655B"/>
    <w:rsid w:val="005A7666"/>
    <w:rsid w:val="005B121D"/>
    <w:rsid w:val="005B7BE7"/>
    <w:rsid w:val="005B7E2B"/>
    <w:rsid w:val="005C06ED"/>
    <w:rsid w:val="005C2609"/>
    <w:rsid w:val="005C35A1"/>
    <w:rsid w:val="005D3386"/>
    <w:rsid w:val="005D5802"/>
    <w:rsid w:val="005D7119"/>
    <w:rsid w:val="005D724D"/>
    <w:rsid w:val="005D7890"/>
    <w:rsid w:val="005E1B85"/>
    <w:rsid w:val="005E2A7C"/>
    <w:rsid w:val="005E5452"/>
    <w:rsid w:val="005E5906"/>
    <w:rsid w:val="005E7C78"/>
    <w:rsid w:val="005F18C5"/>
    <w:rsid w:val="005F3EB1"/>
    <w:rsid w:val="005F46D8"/>
    <w:rsid w:val="005F5469"/>
    <w:rsid w:val="005F5CE8"/>
    <w:rsid w:val="005F6D11"/>
    <w:rsid w:val="00600079"/>
    <w:rsid w:val="006003D1"/>
    <w:rsid w:val="00601A2E"/>
    <w:rsid w:val="006023F5"/>
    <w:rsid w:val="0060404F"/>
    <w:rsid w:val="00604307"/>
    <w:rsid w:val="0060487F"/>
    <w:rsid w:val="00604EAD"/>
    <w:rsid w:val="006104FB"/>
    <w:rsid w:val="0061249B"/>
    <w:rsid w:val="00612A2F"/>
    <w:rsid w:val="00614586"/>
    <w:rsid w:val="00616E05"/>
    <w:rsid w:val="0062148D"/>
    <w:rsid w:val="00623B49"/>
    <w:rsid w:val="00624093"/>
    <w:rsid w:val="006254CB"/>
    <w:rsid w:val="0063201A"/>
    <w:rsid w:val="006350D5"/>
    <w:rsid w:val="0063567C"/>
    <w:rsid w:val="006404A7"/>
    <w:rsid w:val="00642FB8"/>
    <w:rsid w:val="006451E4"/>
    <w:rsid w:val="00645B33"/>
    <w:rsid w:val="0064648F"/>
    <w:rsid w:val="00650330"/>
    <w:rsid w:val="006516CB"/>
    <w:rsid w:val="00654CAC"/>
    <w:rsid w:val="006558BD"/>
    <w:rsid w:val="00657E87"/>
    <w:rsid w:val="00664741"/>
    <w:rsid w:val="00664803"/>
    <w:rsid w:val="006654F4"/>
    <w:rsid w:val="00665BA4"/>
    <w:rsid w:val="00666D91"/>
    <w:rsid w:val="00667AF2"/>
    <w:rsid w:val="006710C9"/>
    <w:rsid w:val="00674D89"/>
    <w:rsid w:val="00675E37"/>
    <w:rsid w:val="00680001"/>
    <w:rsid w:val="0068174E"/>
    <w:rsid w:val="00681DCE"/>
    <w:rsid w:val="0068260E"/>
    <w:rsid w:val="006863B2"/>
    <w:rsid w:val="00687B41"/>
    <w:rsid w:val="00695BEF"/>
    <w:rsid w:val="006977F6"/>
    <w:rsid w:val="00697A13"/>
    <w:rsid w:val="006A109C"/>
    <w:rsid w:val="006A3E08"/>
    <w:rsid w:val="006A5C31"/>
    <w:rsid w:val="006A73A6"/>
    <w:rsid w:val="006B0F92"/>
    <w:rsid w:val="006B344A"/>
    <w:rsid w:val="006B4B7B"/>
    <w:rsid w:val="006B78D8"/>
    <w:rsid w:val="006C113F"/>
    <w:rsid w:val="006C123E"/>
    <w:rsid w:val="006C1752"/>
    <w:rsid w:val="006C33B2"/>
    <w:rsid w:val="006C378C"/>
    <w:rsid w:val="006C386E"/>
    <w:rsid w:val="006C56D4"/>
    <w:rsid w:val="006C6924"/>
    <w:rsid w:val="006C6AF4"/>
    <w:rsid w:val="006C7CA6"/>
    <w:rsid w:val="006D3E8A"/>
    <w:rsid w:val="006D5C0C"/>
    <w:rsid w:val="006D61F6"/>
    <w:rsid w:val="006D64C2"/>
    <w:rsid w:val="006E279A"/>
    <w:rsid w:val="006E313B"/>
    <w:rsid w:val="006E33D0"/>
    <w:rsid w:val="006E7227"/>
    <w:rsid w:val="006F0813"/>
    <w:rsid w:val="006F0AC6"/>
    <w:rsid w:val="006F2595"/>
    <w:rsid w:val="006F2F95"/>
    <w:rsid w:val="006F438E"/>
    <w:rsid w:val="006F5416"/>
    <w:rsid w:val="00705242"/>
    <w:rsid w:val="00706AD4"/>
    <w:rsid w:val="00707150"/>
    <w:rsid w:val="00711BB0"/>
    <w:rsid w:val="007140BE"/>
    <w:rsid w:val="007142BA"/>
    <w:rsid w:val="00716E3F"/>
    <w:rsid w:val="007211F5"/>
    <w:rsid w:val="007240E2"/>
    <w:rsid w:val="00725BB5"/>
    <w:rsid w:val="0073093A"/>
    <w:rsid w:val="00730AE8"/>
    <w:rsid w:val="00730F1B"/>
    <w:rsid w:val="00740575"/>
    <w:rsid w:val="00741493"/>
    <w:rsid w:val="0074369B"/>
    <w:rsid w:val="00744EE6"/>
    <w:rsid w:val="00745062"/>
    <w:rsid w:val="00745BC3"/>
    <w:rsid w:val="007506A5"/>
    <w:rsid w:val="00750EF8"/>
    <w:rsid w:val="00752180"/>
    <w:rsid w:val="00753CAB"/>
    <w:rsid w:val="00755202"/>
    <w:rsid w:val="00755D3A"/>
    <w:rsid w:val="00756232"/>
    <w:rsid w:val="007567BD"/>
    <w:rsid w:val="007578D3"/>
    <w:rsid w:val="007609C6"/>
    <w:rsid w:val="0076175D"/>
    <w:rsid w:val="00762C17"/>
    <w:rsid w:val="00763B85"/>
    <w:rsid w:val="007640D0"/>
    <w:rsid w:val="0076521E"/>
    <w:rsid w:val="00765698"/>
    <w:rsid w:val="007661E9"/>
    <w:rsid w:val="00774779"/>
    <w:rsid w:val="00775985"/>
    <w:rsid w:val="00775F45"/>
    <w:rsid w:val="00776169"/>
    <w:rsid w:val="00776527"/>
    <w:rsid w:val="00780EF1"/>
    <w:rsid w:val="00785232"/>
    <w:rsid w:val="00790764"/>
    <w:rsid w:val="00791728"/>
    <w:rsid w:val="0079343E"/>
    <w:rsid w:val="0079453C"/>
    <w:rsid w:val="00794677"/>
    <w:rsid w:val="007964CF"/>
    <w:rsid w:val="00797D5F"/>
    <w:rsid w:val="007A33A6"/>
    <w:rsid w:val="007A38F2"/>
    <w:rsid w:val="007A3F0C"/>
    <w:rsid w:val="007A516D"/>
    <w:rsid w:val="007A67F8"/>
    <w:rsid w:val="007B0750"/>
    <w:rsid w:val="007B07A4"/>
    <w:rsid w:val="007B0C39"/>
    <w:rsid w:val="007B6689"/>
    <w:rsid w:val="007C13A4"/>
    <w:rsid w:val="007C2D23"/>
    <w:rsid w:val="007C6BBD"/>
    <w:rsid w:val="007C7BAE"/>
    <w:rsid w:val="007D0C24"/>
    <w:rsid w:val="007D106B"/>
    <w:rsid w:val="007D1AEA"/>
    <w:rsid w:val="007D40DF"/>
    <w:rsid w:val="007D7668"/>
    <w:rsid w:val="007E29B4"/>
    <w:rsid w:val="007E36EA"/>
    <w:rsid w:val="007E435A"/>
    <w:rsid w:val="007E7E61"/>
    <w:rsid w:val="007F0845"/>
    <w:rsid w:val="007F661C"/>
    <w:rsid w:val="007F6797"/>
    <w:rsid w:val="007F708D"/>
    <w:rsid w:val="00801E13"/>
    <w:rsid w:val="00805381"/>
    <w:rsid w:val="00807674"/>
    <w:rsid w:val="00807C82"/>
    <w:rsid w:val="008138B5"/>
    <w:rsid w:val="00816905"/>
    <w:rsid w:val="00817FDA"/>
    <w:rsid w:val="00821FF6"/>
    <w:rsid w:val="008222CD"/>
    <w:rsid w:val="00822574"/>
    <w:rsid w:val="00823046"/>
    <w:rsid w:val="00825C4D"/>
    <w:rsid w:val="0083143E"/>
    <w:rsid w:val="008314D2"/>
    <w:rsid w:val="00831CDE"/>
    <w:rsid w:val="00833BF2"/>
    <w:rsid w:val="00834304"/>
    <w:rsid w:val="00834FAA"/>
    <w:rsid w:val="00836086"/>
    <w:rsid w:val="008364D5"/>
    <w:rsid w:val="00844BB1"/>
    <w:rsid w:val="00846121"/>
    <w:rsid w:val="00846C80"/>
    <w:rsid w:val="0084708F"/>
    <w:rsid w:val="0084727E"/>
    <w:rsid w:val="008477C8"/>
    <w:rsid w:val="00847931"/>
    <w:rsid w:val="0085114D"/>
    <w:rsid w:val="00852217"/>
    <w:rsid w:val="00855408"/>
    <w:rsid w:val="00856D65"/>
    <w:rsid w:val="00857658"/>
    <w:rsid w:val="00861B41"/>
    <w:rsid w:val="00861BE3"/>
    <w:rsid w:val="00863434"/>
    <w:rsid w:val="008637A2"/>
    <w:rsid w:val="008657C3"/>
    <w:rsid w:val="00865E4C"/>
    <w:rsid w:val="008701E4"/>
    <w:rsid w:val="008703A1"/>
    <w:rsid w:val="00873072"/>
    <w:rsid w:val="00873148"/>
    <w:rsid w:val="00874F6D"/>
    <w:rsid w:val="00875A32"/>
    <w:rsid w:val="00876086"/>
    <w:rsid w:val="008834C6"/>
    <w:rsid w:val="00883923"/>
    <w:rsid w:val="00883FE4"/>
    <w:rsid w:val="00884A6F"/>
    <w:rsid w:val="008856A3"/>
    <w:rsid w:val="0088661D"/>
    <w:rsid w:val="008873D4"/>
    <w:rsid w:val="008906E1"/>
    <w:rsid w:val="0089296D"/>
    <w:rsid w:val="00893E85"/>
    <w:rsid w:val="00894031"/>
    <w:rsid w:val="00894C3D"/>
    <w:rsid w:val="00895508"/>
    <w:rsid w:val="00895A7B"/>
    <w:rsid w:val="008A6B40"/>
    <w:rsid w:val="008B1391"/>
    <w:rsid w:val="008B21E6"/>
    <w:rsid w:val="008B2636"/>
    <w:rsid w:val="008B7C02"/>
    <w:rsid w:val="008B7D2B"/>
    <w:rsid w:val="008C0049"/>
    <w:rsid w:val="008C0E88"/>
    <w:rsid w:val="008C56D3"/>
    <w:rsid w:val="008D0DBD"/>
    <w:rsid w:val="008D1E6A"/>
    <w:rsid w:val="008D2A16"/>
    <w:rsid w:val="008D664D"/>
    <w:rsid w:val="008D7BE5"/>
    <w:rsid w:val="008E037D"/>
    <w:rsid w:val="008E0DC9"/>
    <w:rsid w:val="008E2830"/>
    <w:rsid w:val="008E2C57"/>
    <w:rsid w:val="008E31FF"/>
    <w:rsid w:val="008E6F06"/>
    <w:rsid w:val="008E7FC9"/>
    <w:rsid w:val="008F029B"/>
    <w:rsid w:val="008F3FC9"/>
    <w:rsid w:val="008F42B4"/>
    <w:rsid w:val="008F47C7"/>
    <w:rsid w:val="008F585B"/>
    <w:rsid w:val="009003A8"/>
    <w:rsid w:val="00902500"/>
    <w:rsid w:val="00902EFF"/>
    <w:rsid w:val="00906401"/>
    <w:rsid w:val="0091155E"/>
    <w:rsid w:val="00912A92"/>
    <w:rsid w:val="0091495C"/>
    <w:rsid w:val="009149D4"/>
    <w:rsid w:val="00915CF4"/>
    <w:rsid w:val="0091728D"/>
    <w:rsid w:val="009177D4"/>
    <w:rsid w:val="0092180B"/>
    <w:rsid w:val="00921A5C"/>
    <w:rsid w:val="00921F14"/>
    <w:rsid w:val="0092434D"/>
    <w:rsid w:val="009248DD"/>
    <w:rsid w:val="00924AC8"/>
    <w:rsid w:val="0092597A"/>
    <w:rsid w:val="009273FC"/>
    <w:rsid w:val="00930F06"/>
    <w:rsid w:val="00930FB1"/>
    <w:rsid w:val="0093139F"/>
    <w:rsid w:val="00932443"/>
    <w:rsid w:val="009346B6"/>
    <w:rsid w:val="00937AE2"/>
    <w:rsid w:val="00942C19"/>
    <w:rsid w:val="00942FD9"/>
    <w:rsid w:val="0094427A"/>
    <w:rsid w:val="00945245"/>
    <w:rsid w:val="00945F0F"/>
    <w:rsid w:val="00947825"/>
    <w:rsid w:val="00947FD4"/>
    <w:rsid w:val="00953F28"/>
    <w:rsid w:val="009540B7"/>
    <w:rsid w:val="00954CE4"/>
    <w:rsid w:val="009560F8"/>
    <w:rsid w:val="0095759C"/>
    <w:rsid w:val="00957C5D"/>
    <w:rsid w:val="0096090E"/>
    <w:rsid w:val="0096154D"/>
    <w:rsid w:val="0096221A"/>
    <w:rsid w:val="009728D1"/>
    <w:rsid w:val="00972F87"/>
    <w:rsid w:val="00973148"/>
    <w:rsid w:val="00974923"/>
    <w:rsid w:val="00976681"/>
    <w:rsid w:val="00976BAF"/>
    <w:rsid w:val="00980D3D"/>
    <w:rsid w:val="00984C37"/>
    <w:rsid w:val="00987A30"/>
    <w:rsid w:val="00991D30"/>
    <w:rsid w:val="00992CF3"/>
    <w:rsid w:val="009942B6"/>
    <w:rsid w:val="00994317"/>
    <w:rsid w:val="00994868"/>
    <w:rsid w:val="009968D6"/>
    <w:rsid w:val="009A1CAB"/>
    <w:rsid w:val="009A4901"/>
    <w:rsid w:val="009A60D1"/>
    <w:rsid w:val="009B6FD3"/>
    <w:rsid w:val="009B7C82"/>
    <w:rsid w:val="009C0293"/>
    <w:rsid w:val="009C03C8"/>
    <w:rsid w:val="009C1750"/>
    <w:rsid w:val="009C19B4"/>
    <w:rsid w:val="009C1EEA"/>
    <w:rsid w:val="009C2E29"/>
    <w:rsid w:val="009C38E5"/>
    <w:rsid w:val="009C554B"/>
    <w:rsid w:val="009C5FEA"/>
    <w:rsid w:val="009C719E"/>
    <w:rsid w:val="009D3ACD"/>
    <w:rsid w:val="009E093B"/>
    <w:rsid w:val="009E0DD4"/>
    <w:rsid w:val="009E42ED"/>
    <w:rsid w:val="009E5273"/>
    <w:rsid w:val="009E5DDB"/>
    <w:rsid w:val="009F46EA"/>
    <w:rsid w:val="009F4CA7"/>
    <w:rsid w:val="009F4FDF"/>
    <w:rsid w:val="00A0067C"/>
    <w:rsid w:val="00A01CA0"/>
    <w:rsid w:val="00A02041"/>
    <w:rsid w:val="00A04326"/>
    <w:rsid w:val="00A10D66"/>
    <w:rsid w:val="00A1260E"/>
    <w:rsid w:val="00A14114"/>
    <w:rsid w:val="00A16413"/>
    <w:rsid w:val="00A16E1D"/>
    <w:rsid w:val="00A170C9"/>
    <w:rsid w:val="00A17D5B"/>
    <w:rsid w:val="00A20028"/>
    <w:rsid w:val="00A21624"/>
    <w:rsid w:val="00A2181F"/>
    <w:rsid w:val="00A230A8"/>
    <w:rsid w:val="00A23E43"/>
    <w:rsid w:val="00A25216"/>
    <w:rsid w:val="00A27420"/>
    <w:rsid w:val="00A27C85"/>
    <w:rsid w:val="00A30F65"/>
    <w:rsid w:val="00A32759"/>
    <w:rsid w:val="00A329DF"/>
    <w:rsid w:val="00A33767"/>
    <w:rsid w:val="00A341C7"/>
    <w:rsid w:val="00A35142"/>
    <w:rsid w:val="00A35EA6"/>
    <w:rsid w:val="00A40EAC"/>
    <w:rsid w:val="00A416D4"/>
    <w:rsid w:val="00A418BC"/>
    <w:rsid w:val="00A46DE0"/>
    <w:rsid w:val="00A4750C"/>
    <w:rsid w:val="00A50D73"/>
    <w:rsid w:val="00A51F19"/>
    <w:rsid w:val="00A51F45"/>
    <w:rsid w:val="00A52CAD"/>
    <w:rsid w:val="00A537F0"/>
    <w:rsid w:val="00A53FC7"/>
    <w:rsid w:val="00A54250"/>
    <w:rsid w:val="00A55161"/>
    <w:rsid w:val="00A55593"/>
    <w:rsid w:val="00A616FD"/>
    <w:rsid w:val="00A62B23"/>
    <w:rsid w:val="00A62CE1"/>
    <w:rsid w:val="00A65AAC"/>
    <w:rsid w:val="00A66A11"/>
    <w:rsid w:val="00A6741E"/>
    <w:rsid w:val="00A73C77"/>
    <w:rsid w:val="00A75E40"/>
    <w:rsid w:val="00A77D1D"/>
    <w:rsid w:val="00A84923"/>
    <w:rsid w:val="00A857C0"/>
    <w:rsid w:val="00A90FED"/>
    <w:rsid w:val="00A92D9F"/>
    <w:rsid w:val="00A97A1E"/>
    <w:rsid w:val="00A97AD8"/>
    <w:rsid w:val="00AA1DC6"/>
    <w:rsid w:val="00AA2996"/>
    <w:rsid w:val="00AA3E4E"/>
    <w:rsid w:val="00AA52BF"/>
    <w:rsid w:val="00AA559A"/>
    <w:rsid w:val="00AB2AF1"/>
    <w:rsid w:val="00AB49E9"/>
    <w:rsid w:val="00AB5421"/>
    <w:rsid w:val="00AB5F7B"/>
    <w:rsid w:val="00AC1296"/>
    <w:rsid w:val="00AC15AE"/>
    <w:rsid w:val="00AC45BD"/>
    <w:rsid w:val="00AC46DA"/>
    <w:rsid w:val="00AC6895"/>
    <w:rsid w:val="00AD1355"/>
    <w:rsid w:val="00AD168E"/>
    <w:rsid w:val="00AD306C"/>
    <w:rsid w:val="00AD68C4"/>
    <w:rsid w:val="00AD7D0B"/>
    <w:rsid w:val="00AE09B3"/>
    <w:rsid w:val="00AE1738"/>
    <w:rsid w:val="00AE1A83"/>
    <w:rsid w:val="00AE2A2D"/>
    <w:rsid w:val="00AE3FCD"/>
    <w:rsid w:val="00AE7FB2"/>
    <w:rsid w:val="00AF71EC"/>
    <w:rsid w:val="00B00913"/>
    <w:rsid w:val="00B01593"/>
    <w:rsid w:val="00B023F2"/>
    <w:rsid w:val="00B04B4A"/>
    <w:rsid w:val="00B07379"/>
    <w:rsid w:val="00B1032A"/>
    <w:rsid w:val="00B10A4D"/>
    <w:rsid w:val="00B120A1"/>
    <w:rsid w:val="00B12AA6"/>
    <w:rsid w:val="00B14928"/>
    <w:rsid w:val="00B14BC1"/>
    <w:rsid w:val="00B17E71"/>
    <w:rsid w:val="00B17FDE"/>
    <w:rsid w:val="00B20632"/>
    <w:rsid w:val="00B22CD2"/>
    <w:rsid w:val="00B23055"/>
    <w:rsid w:val="00B2335F"/>
    <w:rsid w:val="00B2379C"/>
    <w:rsid w:val="00B2687D"/>
    <w:rsid w:val="00B277B2"/>
    <w:rsid w:val="00B304F7"/>
    <w:rsid w:val="00B32DDB"/>
    <w:rsid w:val="00B34528"/>
    <w:rsid w:val="00B34CC9"/>
    <w:rsid w:val="00B357BF"/>
    <w:rsid w:val="00B366E5"/>
    <w:rsid w:val="00B402FC"/>
    <w:rsid w:val="00B40FF9"/>
    <w:rsid w:val="00B42470"/>
    <w:rsid w:val="00B439DA"/>
    <w:rsid w:val="00B46604"/>
    <w:rsid w:val="00B512A8"/>
    <w:rsid w:val="00B530CD"/>
    <w:rsid w:val="00B53AB0"/>
    <w:rsid w:val="00B54294"/>
    <w:rsid w:val="00B55F5E"/>
    <w:rsid w:val="00B57338"/>
    <w:rsid w:val="00B5752E"/>
    <w:rsid w:val="00B57E25"/>
    <w:rsid w:val="00B606BE"/>
    <w:rsid w:val="00B619A9"/>
    <w:rsid w:val="00B63A11"/>
    <w:rsid w:val="00B64C24"/>
    <w:rsid w:val="00B6608F"/>
    <w:rsid w:val="00B679FB"/>
    <w:rsid w:val="00B76D1E"/>
    <w:rsid w:val="00B775D0"/>
    <w:rsid w:val="00B80EC6"/>
    <w:rsid w:val="00B81025"/>
    <w:rsid w:val="00B84CF6"/>
    <w:rsid w:val="00B85628"/>
    <w:rsid w:val="00B86793"/>
    <w:rsid w:val="00B86F03"/>
    <w:rsid w:val="00B9088A"/>
    <w:rsid w:val="00B9200E"/>
    <w:rsid w:val="00B92D1D"/>
    <w:rsid w:val="00B938C5"/>
    <w:rsid w:val="00B9432C"/>
    <w:rsid w:val="00B950E3"/>
    <w:rsid w:val="00B95940"/>
    <w:rsid w:val="00B962D2"/>
    <w:rsid w:val="00B97434"/>
    <w:rsid w:val="00BA0DD3"/>
    <w:rsid w:val="00BA35B6"/>
    <w:rsid w:val="00BA6405"/>
    <w:rsid w:val="00BA6C2B"/>
    <w:rsid w:val="00BA76E6"/>
    <w:rsid w:val="00BB2F03"/>
    <w:rsid w:val="00BB46F3"/>
    <w:rsid w:val="00BB4AF6"/>
    <w:rsid w:val="00BB4CB1"/>
    <w:rsid w:val="00BB4F98"/>
    <w:rsid w:val="00BC0E31"/>
    <w:rsid w:val="00BC5C12"/>
    <w:rsid w:val="00BC6BEC"/>
    <w:rsid w:val="00BC7075"/>
    <w:rsid w:val="00BC7154"/>
    <w:rsid w:val="00BC731E"/>
    <w:rsid w:val="00BD0A57"/>
    <w:rsid w:val="00BD163C"/>
    <w:rsid w:val="00BD1B27"/>
    <w:rsid w:val="00BD26F7"/>
    <w:rsid w:val="00BD2991"/>
    <w:rsid w:val="00BD366B"/>
    <w:rsid w:val="00BD6D50"/>
    <w:rsid w:val="00BE18B9"/>
    <w:rsid w:val="00BE2495"/>
    <w:rsid w:val="00BE3331"/>
    <w:rsid w:val="00BE468E"/>
    <w:rsid w:val="00BE6186"/>
    <w:rsid w:val="00BF1578"/>
    <w:rsid w:val="00BF45D9"/>
    <w:rsid w:val="00BF4B4B"/>
    <w:rsid w:val="00BF6E3A"/>
    <w:rsid w:val="00BF6EE6"/>
    <w:rsid w:val="00C024B1"/>
    <w:rsid w:val="00C055E9"/>
    <w:rsid w:val="00C1122B"/>
    <w:rsid w:val="00C12D52"/>
    <w:rsid w:val="00C211B3"/>
    <w:rsid w:val="00C21405"/>
    <w:rsid w:val="00C21F94"/>
    <w:rsid w:val="00C25709"/>
    <w:rsid w:val="00C25E4B"/>
    <w:rsid w:val="00C27913"/>
    <w:rsid w:val="00C33B68"/>
    <w:rsid w:val="00C36A79"/>
    <w:rsid w:val="00C36CCC"/>
    <w:rsid w:val="00C401D2"/>
    <w:rsid w:val="00C405D4"/>
    <w:rsid w:val="00C409B8"/>
    <w:rsid w:val="00C4513B"/>
    <w:rsid w:val="00C466D2"/>
    <w:rsid w:val="00C46EE6"/>
    <w:rsid w:val="00C5186E"/>
    <w:rsid w:val="00C529D4"/>
    <w:rsid w:val="00C53576"/>
    <w:rsid w:val="00C5390B"/>
    <w:rsid w:val="00C54697"/>
    <w:rsid w:val="00C55989"/>
    <w:rsid w:val="00C60191"/>
    <w:rsid w:val="00C609C9"/>
    <w:rsid w:val="00C60C25"/>
    <w:rsid w:val="00C6152B"/>
    <w:rsid w:val="00C73885"/>
    <w:rsid w:val="00C747B1"/>
    <w:rsid w:val="00C748B0"/>
    <w:rsid w:val="00C82191"/>
    <w:rsid w:val="00C83134"/>
    <w:rsid w:val="00C83FAA"/>
    <w:rsid w:val="00C8418E"/>
    <w:rsid w:val="00C85545"/>
    <w:rsid w:val="00C86B84"/>
    <w:rsid w:val="00C90CF4"/>
    <w:rsid w:val="00C90F53"/>
    <w:rsid w:val="00C92EB6"/>
    <w:rsid w:val="00C93389"/>
    <w:rsid w:val="00C936C3"/>
    <w:rsid w:val="00C9571A"/>
    <w:rsid w:val="00C96D08"/>
    <w:rsid w:val="00CA28BC"/>
    <w:rsid w:val="00CA6668"/>
    <w:rsid w:val="00CA6AB4"/>
    <w:rsid w:val="00CB259D"/>
    <w:rsid w:val="00CB390A"/>
    <w:rsid w:val="00CB4930"/>
    <w:rsid w:val="00CC1EF0"/>
    <w:rsid w:val="00CC2E7D"/>
    <w:rsid w:val="00CC71EC"/>
    <w:rsid w:val="00CD10A5"/>
    <w:rsid w:val="00CD2076"/>
    <w:rsid w:val="00CD29B5"/>
    <w:rsid w:val="00CD6331"/>
    <w:rsid w:val="00CE05D4"/>
    <w:rsid w:val="00CE153B"/>
    <w:rsid w:val="00CE2061"/>
    <w:rsid w:val="00CE226C"/>
    <w:rsid w:val="00CE670B"/>
    <w:rsid w:val="00CE7F95"/>
    <w:rsid w:val="00CF04A6"/>
    <w:rsid w:val="00CF1C4C"/>
    <w:rsid w:val="00CF20A4"/>
    <w:rsid w:val="00CF26C1"/>
    <w:rsid w:val="00CF3B58"/>
    <w:rsid w:val="00CF4908"/>
    <w:rsid w:val="00CF51EC"/>
    <w:rsid w:val="00CF73AE"/>
    <w:rsid w:val="00D040DD"/>
    <w:rsid w:val="00D050F8"/>
    <w:rsid w:val="00D075BE"/>
    <w:rsid w:val="00D1005A"/>
    <w:rsid w:val="00D11854"/>
    <w:rsid w:val="00D120FA"/>
    <w:rsid w:val="00D13986"/>
    <w:rsid w:val="00D13A4A"/>
    <w:rsid w:val="00D21D83"/>
    <w:rsid w:val="00D22038"/>
    <w:rsid w:val="00D235B7"/>
    <w:rsid w:val="00D25397"/>
    <w:rsid w:val="00D25F28"/>
    <w:rsid w:val="00D26071"/>
    <w:rsid w:val="00D27973"/>
    <w:rsid w:val="00D32F90"/>
    <w:rsid w:val="00D35E1A"/>
    <w:rsid w:val="00D364FE"/>
    <w:rsid w:val="00D41386"/>
    <w:rsid w:val="00D45C8F"/>
    <w:rsid w:val="00D50F46"/>
    <w:rsid w:val="00D52BE2"/>
    <w:rsid w:val="00D569B1"/>
    <w:rsid w:val="00D57677"/>
    <w:rsid w:val="00D57DAD"/>
    <w:rsid w:val="00D62FF4"/>
    <w:rsid w:val="00D64227"/>
    <w:rsid w:val="00D64F56"/>
    <w:rsid w:val="00D66223"/>
    <w:rsid w:val="00D67375"/>
    <w:rsid w:val="00D73127"/>
    <w:rsid w:val="00D73384"/>
    <w:rsid w:val="00D77ECD"/>
    <w:rsid w:val="00D8084C"/>
    <w:rsid w:val="00D85980"/>
    <w:rsid w:val="00D87358"/>
    <w:rsid w:val="00D873CC"/>
    <w:rsid w:val="00D915EA"/>
    <w:rsid w:val="00D92FD1"/>
    <w:rsid w:val="00D93CE2"/>
    <w:rsid w:val="00D9417F"/>
    <w:rsid w:val="00D943C6"/>
    <w:rsid w:val="00D965EC"/>
    <w:rsid w:val="00DA0BBD"/>
    <w:rsid w:val="00DA3D37"/>
    <w:rsid w:val="00DA63E3"/>
    <w:rsid w:val="00DA7AB5"/>
    <w:rsid w:val="00DA7C0C"/>
    <w:rsid w:val="00DA7C43"/>
    <w:rsid w:val="00DB08A9"/>
    <w:rsid w:val="00DB2EC8"/>
    <w:rsid w:val="00DC37E3"/>
    <w:rsid w:val="00DC5B3B"/>
    <w:rsid w:val="00DC639E"/>
    <w:rsid w:val="00DC76ED"/>
    <w:rsid w:val="00DD007F"/>
    <w:rsid w:val="00DD0AE9"/>
    <w:rsid w:val="00DD129F"/>
    <w:rsid w:val="00DD242A"/>
    <w:rsid w:val="00DD49ED"/>
    <w:rsid w:val="00DD6B52"/>
    <w:rsid w:val="00DE0F63"/>
    <w:rsid w:val="00DE4C19"/>
    <w:rsid w:val="00DF317B"/>
    <w:rsid w:val="00DF3C93"/>
    <w:rsid w:val="00DF42FF"/>
    <w:rsid w:val="00DF4595"/>
    <w:rsid w:val="00DF6C2B"/>
    <w:rsid w:val="00DF7190"/>
    <w:rsid w:val="00DF7AD4"/>
    <w:rsid w:val="00E0167B"/>
    <w:rsid w:val="00E01C0E"/>
    <w:rsid w:val="00E03F9A"/>
    <w:rsid w:val="00E04694"/>
    <w:rsid w:val="00E04F27"/>
    <w:rsid w:val="00E04FBD"/>
    <w:rsid w:val="00E05425"/>
    <w:rsid w:val="00E102BD"/>
    <w:rsid w:val="00E10A2E"/>
    <w:rsid w:val="00E11DE1"/>
    <w:rsid w:val="00E123E5"/>
    <w:rsid w:val="00E12B1E"/>
    <w:rsid w:val="00E12F00"/>
    <w:rsid w:val="00E157E1"/>
    <w:rsid w:val="00E17262"/>
    <w:rsid w:val="00E20077"/>
    <w:rsid w:val="00E212C9"/>
    <w:rsid w:val="00E2394F"/>
    <w:rsid w:val="00E23D7A"/>
    <w:rsid w:val="00E253A2"/>
    <w:rsid w:val="00E253C3"/>
    <w:rsid w:val="00E270E1"/>
    <w:rsid w:val="00E305C8"/>
    <w:rsid w:val="00E315D4"/>
    <w:rsid w:val="00E3237B"/>
    <w:rsid w:val="00E3309D"/>
    <w:rsid w:val="00E333BA"/>
    <w:rsid w:val="00E33A0B"/>
    <w:rsid w:val="00E364BB"/>
    <w:rsid w:val="00E453F0"/>
    <w:rsid w:val="00E453F9"/>
    <w:rsid w:val="00E47EBA"/>
    <w:rsid w:val="00E50156"/>
    <w:rsid w:val="00E503A5"/>
    <w:rsid w:val="00E517AE"/>
    <w:rsid w:val="00E53470"/>
    <w:rsid w:val="00E539F6"/>
    <w:rsid w:val="00E6519D"/>
    <w:rsid w:val="00E67696"/>
    <w:rsid w:val="00E67E81"/>
    <w:rsid w:val="00E703A5"/>
    <w:rsid w:val="00E711D1"/>
    <w:rsid w:val="00E716AB"/>
    <w:rsid w:val="00E71A58"/>
    <w:rsid w:val="00E72A7A"/>
    <w:rsid w:val="00E733C7"/>
    <w:rsid w:val="00E75C5C"/>
    <w:rsid w:val="00E75C94"/>
    <w:rsid w:val="00E76E61"/>
    <w:rsid w:val="00E8168E"/>
    <w:rsid w:val="00E924B2"/>
    <w:rsid w:val="00E93820"/>
    <w:rsid w:val="00E94A86"/>
    <w:rsid w:val="00E96143"/>
    <w:rsid w:val="00E972A9"/>
    <w:rsid w:val="00E972B3"/>
    <w:rsid w:val="00EA0840"/>
    <w:rsid w:val="00EA0C68"/>
    <w:rsid w:val="00EA17B0"/>
    <w:rsid w:val="00EA309D"/>
    <w:rsid w:val="00EA32BC"/>
    <w:rsid w:val="00EA405F"/>
    <w:rsid w:val="00EB4511"/>
    <w:rsid w:val="00EB57D0"/>
    <w:rsid w:val="00EB6637"/>
    <w:rsid w:val="00EB6E42"/>
    <w:rsid w:val="00EC03D7"/>
    <w:rsid w:val="00EC135C"/>
    <w:rsid w:val="00EC1470"/>
    <w:rsid w:val="00EC25F0"/>
    <w:rsid w:val="00EC5AA3"/>
    <w:rsid w:val="00EC6A1C"/>
    <w:rsid w:val="00ED62C6"/>
    <w:rsid w:val="00ED64C1"/>
    <w:rsid w:val="00ED7B65"/>
    <w:rsid w:val="00EE160E"/>
    <w:rsid w:val="00EE3446"/>
    <w:rsid w:val="00EE3C8D"/>
    <w:rsid w:val="00EE3E78"/>
    <w:rsid w:val="00EE466C"/>
    <w:rsid w:val="00EE4B1B"/>
    <w:rsid w:val="00EE50DB"/>
    <w:rsid w:val="00EE5BC1"/>
    <w:rsid w:val="00EF150D"/>
    <w:rsid w:val="00EF1C70"/>
    <w:rsid w:val="00EF1F5A"/>
    <w:rsid w:val="00EF348D"/>
    <w:rsid w:val="00EF47BF"/>
    <w:rsid w:val="00F01E16"/>
    <w:rsid w:val="00F02A90"/>
    <w:rsid w:val="00F04811"/>
    <w:rsid w:val="00F0488C"/>
    <w:rsid w:val="00F05E10"/>
    <w:rsid w:val="00F10F11"/>
    <w:rsid w:val="00F118D5"/>
    <w:rsid w:val="00F13819"/>
    <w:rsid w:val="00F13C9C"/>
    <w:rsid w:val="00F15AAA"/>
    <w:rsid w:val="00F15BEF"/>
    <w:rsid w:val="00F160CE"/>
    <w:rsid w:val="00F161E1"/>
    <w:rsid w:val="00F162B3"/>
    <w:rsid w:val="00F231AE"/>
    <w:rsid w:val="00F24407"/>
    <w:rsid w:val="00F24684"/>
    <w:rsid w:val="00F24FAA"/>
    <w:rsid w:val="00F25EFA"/>
    <w:rsid w:val="00F26590"/>
    <w:rsid w:val="00F32668"/>
    <w:rsid w:val="00F3364D"/>
    <w:rsid w:val="00F33926"/>
    <w:rsid w:val="00F33E56"/>
    <w:rsid w:val="00F34774"/>
    <w:rsid w:val="00F41068"/>
    <w:rsid w:val="00F433FE"/>
    <w:rsid w:val="00F437CC"/>
    <w:rsid w:val="00F43F77"/>
    <w:rsid w:val="00F44537"/>
    <w:rsid w:val="00F4530D"/>
    <w:rsid w:val="00F46502"/>
    <w:rsid w:val="00F47067"/>
    <w:rsid w:val="00F5041B"/>
    <w:rsid w:val="00F525EB"/>
    <w:rsid w:val="00F55E08"/>
    <w:rsid w:val="00F56129"/>
    <w:rsid w:val="00F63DDE"/>
    <w:rsid w:val="00F63FB7"/>
    <w:rsid w:val="00F6421B"/>
    <w:rsid w:val="00F649D2"/>
    <w:rsid w:val="00F6602B"/>
    <w:rsid w:val="00F727F2"/>
    <w:rsid w:val="00F73A0C"/>
    <w:rsid w:val="00F73D08"/>
    <w:rsid w:val="00F756DB"/>
    <w:rsid w:val="00F7746D"/>
    <w:rsid w:val="00F8090E"/>
    <w:rsid w:val="00F84E7D"/>
    <w:rsid w:val="00F85066"/>
    <w:rsid w:val="00F853A9"/>
    <w:rsid w:val="00F85789"/>
    <w:rsid w:val="00F859D0"/>
    <w:rsid w:val="00F87A4D"/>
    <w:rsid w:val="00F87A8D"/>
    <w:rsid w:val="00F939E3"/>
    <w:rsid w:val="00F97A48"/>
    <w:rsid w:val="00FA5D4D"/>
    <w:rsid w:val="00FB0EE2"/>
    <w:rsid w:val="00FB542E"/>
    <w:rsid w:val="00FB5B26"/>
    <w:rsid w:val="00FB7A5C"/>
    <w:rsid w:val="00FC0246"/>
    <w:rsid w:val="00FC0359"/>
    <w:rsid w:val="00FC0E5F"/>
    <w:rsid w:val="00FC1A95"/>
    <w:rsid w:val="00FC2B47"/>
    <w:rsid w:val="00FC5504"/>
    <w:rsid w:val="00FC56DE"/>
    <w:rsid w:val="00FC684B"/>
    <w:rsid w:val="00FC6AB4"/>
    <w:rsid w:val="00FD034B"/>
    <w:rsid w:val="00FD3265"/>
    <w:rsid w:val="00FD32DB"/>
    <w:rsid w:val="00FD4056"/>
    <w:rsid w:val="00FD4916"/>
    <w:rsid w:val="00FD706B"/>
    <w:rsid w:val="00FE2D1C"/>
    <w:rsid w:val="00FE2F78"/>
    <w:rsid w:val="00FF3E63"/>
    <w:rsid w:val="00FF3EEC"/>
    <w:rsid w:val="00FF6B81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3B6C90EF"/>
  <w15:docId w15:val="{A4C7AF56-5B51-4067-BDB9-17A6C364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qFormat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EA0840"/>
    <w:rPr>
      <w:noProof/>
      <w:lang w:eastAsia="en-US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uiPriority w:val="99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F46502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Nadpis21">
    <w:name w:val="Nadpis 21"/>
    <w:basedOn w:val="Normln"/>
    <w:uiPriority w:val="9"/>
    <w:qFormat/>
    <w:rsid w:val="00F46502"/>
    <w:pPr>
      <w:keepNext/>
      <w:keepLines/>
      <w:spacing w:after="0"/>
      <w:jc w:val="left"/>
      <w:outlineLvl w:val="1"/>
    </w:pPr>
    <w:rPr>
      <w:rFonts w:eastAsia="MS Gothic"/>
      <w:b/>
      <w:bCs/>
      <w:color w:val="71818C"/>
      <w:sz w:val="28"/>
      <w:szCs w:val="26"/>
    </w:rPr>
  </w:style>
  <w:style w:type="paragraph" w:customStyle="1" w:styleId="Textpoznpodarou1">
    <w:name w:val="Text pozn. pod čarou1"/>
    <w:basedOn w:val="Normln"/>
    <w:rsid w:val="00F46502"/>
    <w:pPr>
      <w:spacing w:after="0" w:line="240" w:lineRule="auto"/>
      <w:jc w:val="left"/>
    </w:pPr>
    <w:rPr>
      <w:rFonts w:eastAsia="Calibri"/>
      <w:color w:val="00000A"/>
      <w:szCs w:val="20"/>
    </w:rPr>
  </w:style>
  <w:style w:type="character" w:customStyle="1" w:styleId="TextpoznpodarouChar1">
    <w:name w:val="Text pozn. pod čarou Char1"/>
    <w:aliases w:val="Text pozn. pod čarou_martin_ang Char1"/>
    <w:basedOn w:val="Standardnpsmoodstavce"/>
    <w:uiPriority w:val="99"/>
    <w:semiHidden/>
    <w:rsid w:val="00F46502"/>
    <w:rPr>
      <w:rFonts w:ascii="Arial" w:eastAsia="Times New Roman" w:hAnsi="Arial" w:cs="Times New Roman"/>
      <w:color w:val="00000A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F46502"/>
    <w:rPr>
      <w:rFonts w:cs="Times New Roman"/>
      <w:vertAlign w:val="superscript"/>
    </w:rPr>
  </w:style>
  <w:style w:type="character" w:customStyle="1" w:styleId="odkaz-style-wrapper">
    <w:name w:val="odkaz-style-wrapper"/>
    <w:basedOn w:val="Standardnpsmoodstavce"/>
    <w:rsid w:val="00BE6186"/>
  </w:style>
  <w:style w:type="paragraph" w:customStyle="1" w:styleId="Nadpis110">
    <w:name w:val="Nadpis 11"/>
    <w:basedOn w:val="Normln"/>
    <w:uiPriority w:val="9"/>
    <w:qFormat/>
    <w:rsid w:val="00BE6186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Nadpis210">
    <w:name w:val="Nadpis 21"/>
    <w:basedOn w:val="Normln"/>
    <w:uiPriority w:val="9"/>
    <w:qFormat/>
    <w:rsid w:val="00BE6186"/>
    <w:pPr>
      <w:keepNext/>
      <w:keepLines/>
      <w:spacing w:after="0"/>
      <w:jc w:val="left"/>
      <w:outlineLvl w:val="1"/>
    </w:pPr>
    <w:rPr>
      <w:rFonts w:eastAsia="MS Gothic"/>
      <w:b/>
      <w:bCs/>
      <w:color w:val="71818C"/>
      <w:sz w:val="28"/>
      <w:szCs w:val="26"/>
    </w:rPr>
  </w:style>
  <w:style w:type="paragraph" w:customStyle="1" w:styleId="Textpoznpodarou10">
    <w:name w:val="Text pozn. pod čarou1"/>
    <w:basedOn w:val="Normln"/>
    <w:rsid w:val="00BE6186"/>
    <w:pPr>
      <w:spacing w:after="0" w:line="240" w:lineRule="auto"/>
      <w:jc w:val="left"/>
    </w:pPr>
    <w:rPr>
      <w:rFonts w:eastAsia="Calibri"/>
      <w:color w:val="00000A"/>
      <w:szCs w:val="20"/>
    </w:rPr>
  </w:style>
  <w:style w:type="paragraph" w:styleId="Normlnweb">
    <w:name w:val="Normal (Web)"/>
    <w:basedOn w:val="Normln"/>
    <w:uiPriority w:val="99"/>
    <w:unhideWhenUsed/>
    <w:rsid w:val="00C96D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semiHidden/>
    <w:rsid w:val="004C5FBF"/>
    <w:pPr>
      <w:widowControl w:val="0"/>
      <w:suppressAutoHyphens/>
      <w:autoSpaceDE w:val="0"/>
      <w:autoSpaceDN w:val="0"/>
      <w:adjustRightInd w:val="0"/>
      <w:spacing w:before="120" w:after="0" w:line="215" w:lineRule="exact"/>
    </w:pPr>
    <w:rPr>
      <w:rFonts w:ascii="Times New Roman CE obyèejné" w:hAnsi="Times New Roman CE obyèejné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C5FBF"/>
    <w:rPr>
      <w:rFonts w:ascii="Times New Roman CE obyèejné" w:eastAsia="Times New Roman" w:hAnsi="Times New Roman CE obyèejné"/>
      <w:lang w:eastAsia="cs-CZ"/>
    </w:rPr>
  </w:style>
  <w:style w:type="character" w:customStyle="1" w:styleId="content">
    <w:name w:val="content"/>
    <w:basedOn w:val="Standardnpsmoodstavce"/>
    <w:rsid w:val="003C4BE8"/>
  </w:style>
  <w:style w:type="paragraph" w:styleId="Textvysvtlivek">
    <w:name w:val="endnote text"/>
    <w:basedOn w:val="Normln"/>
    <w:link w:val="TextvysvtlivekChar"/>
    <w:uiPriority w:val="99"/>
    <w:semiHidden/>
    <w:unhideWhenUsed/>
    <w:rsid w:val="00744EE6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44EE6"/>
    <w:rPr>
      <w:rFonts w:ascii="Arial" w:eastAsia="Times New Roman" w:hAnsi="Arial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744EE6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B4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7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64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8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header" Target="header2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Ro&#269;n&#237;%20anal&#253;za%202018\Ana&#253;za%20ekonomick&#233;ho%20v&#253;voje%20v%20roce%202017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JKAM%20CSU\PUBLIKACE\PUBLIKACE\2020\Ro&#269;n&#237;%20anal&#253;za-Pr&#367;mysl%20od%20recese%20k%20recesi\hototo%20k%2020.11\Pr&#367;mysl-grafy-1.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JKAM%20CSU\PUBLIKACE\PUBLIKACE\2020\Ro&#269;n&#237;%20anal&#253;za-Pr&#367;mysl%20od%20recese%20k%20recesi\hototo%20k%2018.12\Pr&#367;mysl-grafy-1.2.xlsx" TargetMode="Externa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chartUserShapes" Target="../drawings/drawing5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JKAM%20CSU\PUBLIKACE\PUBLIKACE\2020\Ro&#269;n&#237;%20anal&#253;za-Pr&#367;mysl%20od%20recese%20k%20recesi\hototo%20k%2018.12\Pr&#367;mysl-grafy-1.2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JKAM%20CSU\PUBLIKACE\PUBLIKACE\2020\Ro&#269;n&#237;%20anal&#253;za-Pr&#367;mysl%20od%20recese%20k%20recesi\hototo%20k%2018.12\Pr&#367;mysl-grafy-1.2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JKAM%20CSU\PUBLIKACE\PUBLIKACE\2020\Ro&#269;n&#237;%20anal&#253;za-Pr&#367;mysl%20od%20recese%20k%20recesi\hototo%20k%2018.12\Pr&#367;mysl-grafy-1.2.xlsx" TargetMode="Externa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chartUserShapes" Target="../drawings/drawing6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JKAM%20CSU\PUBLIKACE\PUBLIKACE\2020\Ro&#269;n&#237;%20anal&#253;za-Pr&#367;mysl%20od%20recese%20k%20recesi\hototo%20k%2018.12\Pr&#367;mysl-grafy-1.2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JKAM%20CSU\PUBLIKACE\PUBLIKACE\2020\Ro&#269;n&#237;%20anal&#253;za-Pr&#367;mysl%20od%20recese%20k%20recesi\hototo%20k%2018.12\Pr&#367;mysl-grafy-1.2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JKAM%20CSU\PUBLIKACE\PUBLIKACE\2020\Ro&#269;n&#237;%20anal&#253;za-Pr&#367;mysl%20od%20recese%20k%20recesi\hototo%20k%2018.12\Pr&#367;mysl-grafy-1.2.xlsx" TargetMode="External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chartUserShapes" Target="../drawings/drawing7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JKAM%20CSU\PUBLIKACE\PUBLIKACE\2020\Ro&#269;n&#237;%20anal&#253;za-Pr&#367;mysl%20od%20recese%20k%20recesi\hototo%20k%2020.11\Pr&#367;mysl-grafy-1.2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JKAM%20CSU\PUBLIKACE\PUBLIKACE\2020\Ro&#269;n&#237;%20anal&#253;za-Pr&#367;mysl%20od%20recese%20k%20recesi\hototo%20k%2020.11\Pr&#367;mysl-grafy-1.2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JKAM%20CSU\PUBLIKACE\PUBLIKACE\2020\Ro&#269;n&#237;%20anal&#253;za-Pr&#367;mysl%20od%20recese%20k%20recesi\hototo%20k%2020.11\Pr&#367;mysl-grafy-1.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JKAM%20CSU\PUBLIKACE\PUBLIKACE\2020\Ro&#269;n&#237;%20anal&#253;za-Pr&#367;mysl%20od%20recese%20k%20recesi\hototo%20k%2020.11\Pr&#367;mysl-grafy-1.2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JKAM%20CSU\PUBLIKACE\PUBLIKACE\2020\Ro&#269;n&#237;%20anal&#253;za-Pr&#367;mysl%20od%20recese%20k%20recesi\hototo%20k%2020.11\Pr&#367;mysl-grafy-1.2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JKAM%20CSU\PUBLIKACE\PUBLIKACE\2020\Ro&#269;n&#237;%20anal&#253;za-Pr&#367;mysl%20od%20recese%20k%20recesi\hototo%20k%2020.11\Pr&#367;mysl-grafy-1.2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JKAM%20CSU\PUBLIKACE\PUBLIKACE\2020\Ro&#269;n&#237;%20anal&#253;za-Pr&#367;mysl%20od%20recese%20k%20recesi\hototo%20k%2020.11\Pr&#367;mysl-grafy-1.2.xlsx" TargetMode="Externa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chartUserShapes" Target="../drawings/drawing3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JKAM%20CSU\PUBLIKACE\PUBLIKACE\2020\Ro&#269;n&#237;%20anal&#253;za-Pr&#367;mysl%20od%20recese%20k%20recesi\hototo%20k%2018.12\Pr&#367;mysl-grafy-1.2.xlsx" TargetMode="Externa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chartUserShapes" Target="../drawings/drawing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96906441378063E-2"/>
          <c:y val="1.6970485526915973E-2"/>
          <c:w val="0.84751581377003204"/>
          <c:h val="0.81110587672267465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'GRAF-1'!$A$25</c:f>
              <c:strCache>
                <c:ptCount val="1"/>
                <c:pt idx="0">
                  <c:v>Pracovníci celkem (průmysl)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'GRAF-1'!$B$23:$AA$23</c:f>
              <c:numCache>
                <c:formatCode>General</c:formatCode>
                <c:ptCount val="26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  <c:pt idx="16">
                  <c:v>2010</c:v>
                </c:pt>
                <c:pt idx="17">
                  <c:v>2011</c:v>
                </c:pt>
                <c:pt idx="18">
                  <c:v>2012</c:v>
                </c:pt>
                <c:pt idx="19">
                  <c:v>2013</c:v>
                </c:pt>
                <c:pt idx="20">
                  <c:v>2014</c:v>
                </c:pt>
                <c:pt idx="21">
                  <c:v>2015</c:v>
                </c:pt>
                <c:pt idx="22">
                  <c:v>2016</c:v>
                </c:pt>
                <c:pt idx="23">
                  <c:v>2017</c:v>
                </c:pt>
                <c:pt idx="24">
                  <c:v>2018</c:v>
                </c:pt>
                <c:pt idx="25">
                  <c:v>2019</c:v>
                </c:pt>
              </c:numCache>
            </c:numRef>
          </c:cat>
          <c:val>
            <c:numRef>
              <c:f>'GRAF-1'!$B$25:$AA$25</c:f>
              <c:numCache>
                <c:formatCode>0.0</c:formatCode>
                <c:ptCount val="26"/>
                <c:pt idx="0">
                  <c:v>0.30813470358059197</c:v>
                </c:pt>
                <c:pt idx="1">
                  <c:v>7.386410184989245E-2</c:v>
                </c:pt>
                <c:pt idx="2">
                  <c:v>4.3682567708995208</c:v>
                </c:pt>
                <c:pt idx="3">
                  <c:v>0.54731391358313886</c:v>
                </c:pt>
                <c:pt idx="4">
                  <c:v>-1.3039193720616851</c:v>
                </c:pt>
                <c:pt idx="5">
                  <c:v>-4.5886318079206774</c:v>
                </c:pt>
                <c:pt idx="6">
                  <c:v>-2.4017406472684115</c:v>
                </c:pt>
                <c:pt idx="7">
                  <c:v>0.25709192768015043</c:v>
                </c:pt>
                <c:pt idx="8">
                  <c:v>0.23922877843635604</c:v>
                </c:pt>
                <c:pt idx="9">
                  <c:v>-3.8830549554948988</c:v>
                </c:pt>
                <c:pt idx="10">
                  <c:v>1.0715822270463491</c:v>
                </c:pt>
                <c:pt idx="11">
                  <c:v>2.2104458520754093</c:v>
                </c:pt>
                <c:pt idx="12">
                  <c:v>-0.55127631934421117</c:v>
                </c:pt>
                <c:pt idx="13">
                  <c:v>2.5746579644970069</c:v>
                </c:pt>
                <c:pt idx="14">
                  <c:v>0.91819744046792096</c:v>
                </c:pt>
                <c:pt idx="15">
                  <c:v>-7.0509549256075559</c:v>
                </c:pt>
                <c:pt idx="16">
                  <c:v>-3.4160620486700282</c:v>
                </c:pt>
                <c:pt idx="17">
                  <c:v>3.4507336785245144</c:v>
                </c:pt>
                <c:pt idx="18">
                  <c:v>0.22961638547080554</c:v>
                </c:pt>
                <c:pt idx="19">
                  <c:v>-0.27105948253701229</c:v>
                </c:pt>
                <c:pt idx="20">
                  <c:v>1.4743360147426472</c:v>
                </c:pt>
                <c:pt idx="21">
                  <c:v>3.1270832368465875</c:v>
                </c:pt>
                <c:pt idx="22">
                  <c:v>2.0193531836946619</c:v>
                </c:pt>
                <c:pt idx="23">
                  <c:v>1.2307694359923858</c:v>
                </c:pt>
                <c:pt idx="24">
                  <c:v>0.77858210690892804</c:v>
                </c:pt>
                <c:pt idx="25">
                  <c:v>-0.84801278262733604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A3-43EB-B184-E5DB4919BB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axId val="211167600"/>
        <c:axId val="281211184"/>
      </c:barChart>
      <c:lineChart>
        <c:grouping val="standard"/>
        <c:varyColors val="0"/>
        <c:ser>
          <c:idx val="0"/>
          <c:order val="0"/>
          <c:tx>
            <c:strRef>
              <c:f>'GRAF-1'!$A$24</c:f>
              <c:strCache>
                <c:ptCount val="1"/>
                <c:pt idx="0">
                  <c:v>Pracovníci celkem (NH)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0070C0"/>
              </a:solidFill>
              <a:ln w="9525">
                <a:noFill/>
              </a:ln>
              <a:effectLst/>
            </c:spPr>
          </c:marker>
          <c:cat>
            <c:numRef>
              <c:f>'GRAF-1'!$B$23:$AA$23</c:f>
              <c:numCache>
                <c:formatCode>General</c:formatCode>
                <c:ptCount val="26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  <c:pt idx="16">
                  <c:v>2010</c:v>
                </c:pt>
                <c:pt idx="17">
                  <c:v>2011</c:v>
                </c:pt>
                <c:pt idx="18">
                  <c:v>2012</c:v>
                </c:pt>
                <c:pt idx="19">
                  <c:v>2013</c:v>
                </c:pt>
                <c:pt idx="20">
                  <c:v>2014</c:v>
                </c:pt>
                <c:pt idx="21">
                  <c:v>2015</c:v>
                </c:pt>
                <c:pt idx="22">
                  <c:v>2016</c:v>
                </c:pt>
                <c:pt idx="23">
                  <c:v>2017</c:v>
                </c:pt>
                <c:pt idx="24">
                  <c:v>2018</c:v>
                </c:pt>
                <c:pt idx="25">
                  <c:v>2019</c:v>
                </c:pt>
              </c:numCache>
            </c:numRef>
          </c:cat>
          <c:val>
            <c:numRef>
              <c:f>'GRAF-1'!$B$24:$AA$24</c:f>
              <c:numCache>
                <c:formatCode>0.0</c:formatCode>
                <c:ptCount val="26"/>
                <c:pt idx="0">
                  <c:v>1.209514621271552</c:v>
                </c:pt>
                <c:pt idx="1">
                  <c:v>0.99298979848391866</c:v>
                </c:pt>
                <c:pt idx="2">
                  <c:v>0.25032501085983938</c:v>
                </c:pt>
                <c:pt idx="3">
                  <c:v>-0.52157372366565369</c:v>
                </c:pt>
                <c:pt idx="4">
                  <c:v>-1.3805699657039412</c:v>
                </c:pt>
                <c:pt idx="5">
                  <c:v>-2.1074784721762683</c:v>
                </c:pt>
                <c:pt idx="6">
                  <c:v>-0.94223933221093148</c:v>
                </c:pt>
                <c:pt idx="7">
                  <c:v>-6.4868691257714772E-2</c:v>
                </c:pt>
                <c:pt idx="8">
                  <c:v>1.2636626843329992</c:v>
                </c:pt>
                <c:pt idx="9">
                  <c:v>-1.2678793142353868</c:v>
                </c:pt>
                <c:pt idx="10">
                  <c:v>-0.11378146347524876</c:v>
                </c:pt>
                <c:pt idx="11">
                  <c:v>1.514640384121904</c:v>
                </c:pt>
                <c:pt idx="12">
                  <c:v>0.40841243183827203</c:v>
                </c:pt>
                <c:pt idx="13">
                  <c:v>1.9657856990307891</c:v>
                </c:pt>
                <c:pt idx="14">
                  <c:v>2.2957458900292949</c:v>
                </c:pt>
                <c:pt idx="15">
                  <c:v>-1.8395839269729777</c:v>
                </c:pt>
                <c:pt idx="16">
                  <c:v>-0.90904659729640969</c:v>
                </c:pt>
                <c:pt idx="17">
                  <c:v>-0.10762084642082925</c:v>
                </c:pt>
                <c:pt idx="18">
                  <c:v>9.4259726216165518E-2</c:v>
                </c:pt>
                <c:pt idx="19">
                  <c:v>7.9830205455238001E-2</c:v>
                </c:pt>
                <c:pt idx="20">
                  <c:v>0.65747679844861295</c:v>
                </c:pt>
                <c:pt idx="21">
                  <c:v>1.3109120746584324</c:v>
                </c:pt>
                <c:pt idx="22">
                  <c:v>1.2505069279832526</c:v>
                </c:pt>
                <c:pt idx="23">
                  <c:v>1.2827293652871106</c:v>
                </c:pt>
                <c:pt idx="24">
                  <c:v>1.2035297652906536</c:v>
                </c:pt>
                <c:pt idx="25">
                  <c:v>0.24131851335911847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1A3-43EB-B184-E5DB4919BB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167600"/>
        <c:axId val="281211184"/>
      </c:lineChart>
      <c:lineChart>
        <c:grouping val="standard"/>
        <c:varyColors val="0"/>
        <c:ser>
          <c:idx val="2"/>
          <c:order val="2"/>
          <c:tx>
            <c:strRef>
              <c:f>'GRAF-1'!$A$26</c:f>
              <c:strCache>
                <c:ptCount val="1"/>
                <c:pt idx="0">
                  <c:v>Zaměstnanci v průmyslu (pravá osa)</c:v>
                </c:pt>
              </c:strCache>
            </c:strRef>
          </c:tx>
          <c:spPr>
            <a:ln w="19050" cap="rnd">
              <a:solidFill>
                <a:srgbClr val="92D050"/>
              </a:solidFill>
              <a:round/>
            </a:ln>
            <a:effectLst/>
          </c:spPr>
          <c:marker>
            <c:symbol val="none"/>
          </c:marker>
          <c:cat>
            <c:numRef>
              <c:f>'GRAF-1'!$B$23:$AA$23</c:f>
              <c:numCache>
                <c:formatCode>General</c:formatCode>
                <c:ptCount val="26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  <c:pt idx="16">
                  <c:v>2010</c:v>
                </c:pt>
                <c:pt idx="17">
                  <c:v>2011</c:v>
                </c:pt>
                <c:pt idx="18">
                  <c:v>2012</c:v>
                </c:pt>
                <c:pt idx="19">
                  <c:v>2013</c:v>
                </c:pt>
                <c:pt idx="20">
                  <c:v>2014</c:v>
                </c:pt>
                <c:pt idx="21">
                  <c:v>2015</c:v>
                </c:pt>
                <c:pt idx="22">
                  <c:v>2016</c:v>
                </c:pt>
                <c:pt idx="23">
                  <c:v>2017</c:v>
                </c:pt>
                <c:pt idx="24">
                  <c:v>2018</c:v>
                </c:pt>
                <c:pt idx="25">
                  <c:v>2019</c:v>
                </c:pt>
              </c:numCache>
            </c:numRef>
          </c:cat>
          <c:val>
            <c:numRef>
              <c:f>'GRAF-1'!$B$26:$AA$26</c:f>
              <c:numCache>
                <c:formatCode>0.0</c:formatCode>
                <c:ptCount val="26"/>
                <c:pt idx="0">
                  <c:v>106.62964658622676</c:v>
                </c:pt>
                <c:pt idx="1">
                  <c:v>105.67263812379082</c:v>
                </c:pt>
                <c:pt idx="2">
                  <c:v>110.39912274224277</c:v>
                </c:pt>
                <c:pt idx="3">
                  <c:v>111.00419429634772</c:v>
                </c:pt>
                <c:pt idx="4">
                  <c:v>108.88784687864602</c:v>
                </c:pt>
                <c:pt idx="5">
                  <c:v>103.30330374680628</c:v>
                </c:pt>
                <c:pt idx="6">
                  <c:v>100.56519620150345</c:v>
                </c:pt>
                <c:pt idx="7">
                  <c:v>100.73215577971082</c:v>
                </c:pt>
                <c:pt idx="8">
                  <c:v>100.6636292478327</c:v>
                </c:pt>
                <c:pt idx="9">
                  <c:v>95.918166915272266</c:v>
                </c:pt>
                <c:pt idx="10">
                  <c:v>97.235678102523963</c:v>
                </c:pt>
                <c:pt idx="11">
                  <c:v>100</c:v>
                </c:pt>
                <c:pt idx="12">
                  <c:v>99.530283115003471</c:v>
                </c:pt>
                <c:pt idx="13">
                  <c:v>102.28618688248585</c:v>
                </c:pt>
                <c:pt idx="14">
                  <c:v>102.83100234821521</c:v>
                </c:pt>
                <c:pt idx="15">
                  <c:v>95.153963166989115</c:v>
                </c:pt>
                <c:pt idx="16">
                  <c:v>91.061127438673182</c:v>
                </c:pt>
                <c:pt idx="17">
                  <c:v>94.051261981066588</c:v>
                </c:pt>
                <c:pt idx="18">
                  <c:v>94.706768471887884</c:v>
                </c:pt>
                <c:pt idx="19">
                  <c:v>94.456070653217353</c:v>
                </c:pt>
                <c:pt idx="20">
                  <c:v>95.707344449203234</c:v>
                </c:pt>
                <c:pt idx="21">
                  <c:v>98.945075393953715</c:v>
                </c:pt>
                <c:pt idx="22">
                  <c:v>101.29321675946301</c:v>
                </c:pt>
                <c:pt idx="23">
                  <c:v>102.66522426193676</c:v>
                </c:pt>
                <c:pt idx="24">
                  <c:v>103.57408692826866</c:v>
                </c:pt>
                <c:pt idx="25">
                  <c:v>103.00217099141942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1A3-43EB-B184-E5DB4919BB38}"/>
            </c:ext>
          </c:extLst>
        </c:ser>
        <c:ser>
          <c:idx val="3"/>
          <c:order val="3"/>
          <c:tx>
            <c:strRef>
              <c:f>'GRAF-1'!$A$27</c:f>
              <c:strCache>
                <c:ptCount val="1"/>
                <c:pt idx="0">
                  <c:v>Sebezaměstnaní v průmyslu (pravá osa)</c:v>
                </c:pt>
              </c:strCache>
            </c:strRef>
          </c:tx>
          <c:spPr>
            <a:ln w="1905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numRef>
              <c:f>'GRAF-1'!$B$23:$AA$23</c:f>
              <c:numCache>
                <c:formatCode>General</c:formatCode>
                <c:ptCount val="26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  <c:pt idx="16">
                  <c:v>2010</c:v>
                </c:pt>
                <c:pt idx="17">
                  <c:v>2011</c:v>
                </c:pt>
                <c:pt idx="18">
                  <c:v>2012</c:v>
                </c:pt>
                <c:pt idx="19">
                  <c:v>2013</c:v>
                </c:pt>
                <c:pt idx="20">
                  <c:v>2014</c:v>
                </c:pt>
                <c:pt idx="21">
                  <c:v>2015</c:v>
                </c:pt>
                <c:pt idx="22">
                  <c:v>2016</c:v>
                </c:pt>
                <c:pt idx="23">
                  <c:v>2017</c:v>
                </c:pt>
                <c:pt idx="24">
                  <c:v>2018</c:v>
                </c:pt>
                <c:pt idx="25">
                  <c:v>2019</c:v>
                </c:pt>
              </c:numCache>
            </c:numRef>
          </c:cat>
          <c:val>
            <c:numRef>
              <c:f>'GRAF-1'!$B$27:$AA$27</c:f>
              <c:numCache>
                <c:formatCode>0.0</c:formatCode>
                <c:ptCount val="26"/>
                <c:pt idx="0">
                  <c:v>70.936597298727435</c:v>
                </c:pt>
                <c:pt idx="1">
                  <c:v>83.156515930915432</c:v>
                </c:pt>
                <c:pt idx="2">
                  <c:v>85.49172008778703</c:v>
                </c:pt>
                <c:pt idx="3">
                  <c:v>85.94973932806495</c:v>
                </c:pt>
                <c:pt idx="4">
                  <c:v>92.687306447835255</c:v>
                </c:pt>
                <c:pt idx="5">
                  <c:v>95.342603596491998</c:v>
                </c:pt>
                <c:pt idx="6">
                  <c:v>96.07213803034378</c:v>
                </c:pt>
                <c:pt idx="7">
                  <c:v>97.395015570919256</c:v>
                </c:pt>
                <c:pt idx="8">
                  <c:v>101.26389021417603</c:v>
                </c:pt>
                <c:pt idx="9">
                  <c:v>107.16002047207209</c:v>
                </c:pt>
                <c:pt idx="10">
                  <c:v>104.90549015865855</c:v>
                </c:pt>
                <c:pt idx="11">
                  <c:v>100</c:v>
                </c:pt>
                <c:pt idx="12">
                  <c:v>98.490618412720437</c:v>
                </c:pt>
                <c:pt idx="13">
                  <c:v>98.755193920835538</c:v>
                </c:pt>
                <c:pt idx="14">
                  <c:v>104.29479783828799</c:v>
                </c:pt>
                <c:pt idx="15">
                  <c:v>101.95091907459295</c:v>
                </c:pt>
                <c:pt idx="16">
                  <c:v>108.36318843848403</c:v>
                </c:pt>
                <c:pt idx="17">
                  <c:v>113.88978044570131</c:v>
                </c:pt>
                <c:pt idx="18">
                  <c:v>108.98776012977211</c:v>
                </c:pt>
                <c:pt idx="19">
                  <c:v>108.6216917218227</c:v>
                </c:pt>
                <c:pt idx="20">
                  <c:v>111.8833438874383</c:v>
                </c:pt>
                <c:pt idx="21">
                  <c:v>112.50531319667935</c:v>
                </c:pt>
                <c:pt idx="22">
                  <c:v>110.66456162874418</c:v>
                </c:pt>
                <c:pt idx="23">
                  <c:v>110.55439412208641</c:v>
                </c:pt>
                <c:pt idx="24">
                  <c:v>110.12847092705522</c:v>
                </c:pt>
                <c:pt idx="25">
                  <c:v>105.5951214011225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1A3-43EB-B184-E5DB4919BB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8708864"/>
        <c:axId val="202400864"/>
      </c:lineChart>
      <c:catAx>
        <c:axId val="21116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3000000" spcFirstLastPara="1" vertOverflow="ellipsis" wrap="square" anchor="ctr" anchorCtr="1"/>
          <a:lstStyle/>
          <a:p>
            <a:pPr>
              <a:defRPr sz="7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81211184"/>
        <c:crosses val="autoZero"/>
        <c:auto val="1"/>
        <c:lblAlgn val="ctr"/>
        <c:lblOffset val="0"/>
        <c:noMultiLvlLbl val="0"/>
      </c:catAx>
      <c:valAx>
        <c:axId val="281211184"/>
        <c:scaling>
          <c:orientation val="minMax"/>
          <c:max val="6"/>
          <c:min val="-8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1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800" i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Pracovníci celkem (meziročně)</a:t>
                </a:r>
                <a:endParaRPr lang="cs-CZ" sz="800" i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1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11167600"/>
        <c:crosses val="autoZero"/>
        <c:crossBetween val="between"/>
        <c:majorUnit val="1"/>
      </c:valAx>
      <c:valAx>
        <c:axId val="202400864"/>
        <c:scaling>
          <c:orientation val="minMax"/>
          <c:max val="14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1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800" i="1">
                    <a:latin typeface="Arial" panose="020B0604020202020204" pitchFamily="34" charset="0"/>
                    <a:cs typeface="Arial" panose="020B0604020202020204" pitchFamily="34" charset="0"/>
                  </a:rPr>
                  <a:t>Zaměstnanci,</a:t>
                </a:r>
                <a:r>
                  <a:rPr lang="cs-CZ" sz="800" i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 sebezaměstnaní (2005 = 100)</a:t>
                </a:r>
                <a:endParaRPr lang="cs-CZ" sz="800" i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96752985642249578"/>
              <c:y val="0.1522671631857983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1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358708864"/>
        <c:crosses val="max"/>
        <c:crossBetween val="between"/>
        <c:majorUnit val="10"/>
      </c:valAx>
      <c:catAx>
        <c:axId val="3587088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02400864"/>
        <c:crosses val="autoZero"/>
        <c:auto val="1"/>
        <c:lblAlgn val="ctr"/>
        <c:lblOffset val="100"/>
        <c:noMultiLvlLbl val="0"/>
      </c:catAx>
      <c:spPr>
        <a:noFill/>
        <a:ln w="6350">
          <a:solidFill>
            <a:schemeClr val="tx1">
              <a:lumMod val="95000"/>
              <a:lumOff val="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2.1533628848452207E-2"/>
          <c:y val="0.90684553319723926"/>
          <c:w val="0.9368368008586736"/>
          <c:h val="7.7959784941412244E-2"/>
        </c:manualLayout>
      </c:layout>
      <c:overlay val="0"/>
      <c:spPr>
        <a:noFill/>
        <a:ln w="6350">
          <a:solidFill>
            <a:schemeClr val="tx1">
              <a:lumMod val="95000"/>
              <a:lumOff val="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613170416642486"/>
          <c:y val="1.6899627169865726E-2"/>
          <c:w val="0.78699579278473242"/>
          <c:h val="0.719297623008391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'GRAF-9'!$D$2</c:f>
              <c:strCache>
                <c:ptCount val="1"/>
                <c:pt idx="0">
                  <c:v>Průměrná mzda v průmyslu (v korunách)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 w="3175">
              <a:solidFill>
                <a:schemeClr val="bg1">
                  <a:lumMod val="50000"/>
                </a:schemeClr>
              </a:solidFill>
            </a:ln>
            <a:effectLst/>
          </c:spPr>
          <c:invertIfNegative val="0"/>
          <c:cat>
            <c:multiLvlStrRef>
              <c:f>'GRAF-9'!$B$3:$C$38</c:f>
              <c:multiLvlStrCache>
                <c:ptCount val="35"/>
                <c:lvl>
                  <c:pt idx="0">
                    <c:v>2013</c:v>
                  </c:pt>
                  <c:pt idx="1">
                    <c:v>2016</c:v>
                  </c:pt>
                  <c:pt idx="2">
                    <c:v>2019</c:v>
                  </c:pt>
                  <c:pt idx="4">
                    <c:v>2013</c:v>
                  </c:pt>
                  <c:pt idx="5">
                    <c:v>2016</c:v>
                  </c:pt>
                  <c:pt idx="6">
                    <c:v>2019</c:v>
                  </c:pt>
                  <c:pt idx="8">
                    <c:v>2013</c:v>
                  </c:pt>
                  <c:pt idx="9">
                    <c:v>2016</c:v>
                  </c:pt>
                  <c:pt idx="10">
                    <c:v>2019</c:v>
                  </c:pt>
                  <c:pt idx="12">
                    <c:v>2013</c:v>
                  </c:pt>
                  <c:pt idx="13">
                    <c:v>2016</c:v>
                  </c:pt>
                  <c:pt idx="14">
                    <c:v>2019</c:v>
                  </c:pt>
                  <c:pt idx="16">
                    <c:v>2013</c:v>
                  </c:pt>
                  <c:pt idx="17">
                    <c:v>2016</c:v>
                  </c:pt>
                  <c:pt idx="18">
                    <c:v>2019</c:v>
                  </c:pt>
                  <c:pt idx="20">
                    <c:v>2013</c:v>
                  </c:pt>
                  <c:pt idx="21">
                    <c:v>2016</c:v>
                  </c:pt>
                  <c:pt idx="22">
                    <c:v>2019</c:v>
                  </c:pt>
                  <c:pt idx="24">
                    <c:v>2013</c:v>
                  </c:pt>
                  <c:pt idx="25">
                    <c:v>2016</c:v>
                  </c:pt>
                  <c:pt idx="26">
                    <c:v>2019</c:v>
                  </c:pt>
                  <c:pt idx="28">
                    <c:v>2013</c:v>
                  </c:pt>
                  <c:pt idx="29">
                    <c:v>2016</c:v>
                  </c:pt>
                  <c:pt idx="30">
                    <c:v>2019</c:v>
                  </c:pt>
                  <c:pt idx="32">
                    <c:v>2013</c:v>
                  </c:pt>
                  <c:pt idx="33">
                    <c:v>2016</c:v>
                  </c:pt>
                  <c:pt idx="34">
                    <c:v>2019</c:v>
                  </c:pt>
                </c:lvl>
                <c:lvl>
                  <c:pt idx="0">
                    <c:v>Řídící 
pracovníci</c:v>
                  </c:pt>
                  <c:pt idx="4">
                    <c:v>Specia-
listé</c:v>
                  </c:pt>
                  <c:pt idx="8">
                    <c:v>Techničtí 
a odborní 
pracovníci</c:v>
                  </c:pt>
                  <c:pt idx="12">
                    <c:v>Úředníci</c:v>
                  </c:pt>
                  <c:pt idx="16">
                    <c:v>Pracovn.
ve služb.
a prodeji</c:v>
                  </c:pt>
                  <c:pt idx="20">
                    <c:v>Řemesl-
níci a 
opraváři</c:v>
                  </c:pt>
                  <c:pt idx="24">
                    <c:v>Obsluha 
strojů a 
zařízení</c:v>
                  </c:pt>
                  <c:pt idx="28">
                    <c:v>Pomoc.
a nekval.
pracovn.</c:v>
                  </c:pt>
                  <c:pt idx="32">
                    <c:v>Zaměst-
nanci
celkem</c:v>
                  </c:pt>
                </c:lvl>
              </c:multiLvlStrCache>
            </c:multiLvlStrRef>
          </c:cat>
          <c:val>
            <c:numRef>
              <c:f>'GRAF-9'!$D$3:$D$38</c:f>
              <c:numCache>
                <c:formatCode>#,##0</c:formatCode>
                <c:ptCount val="36"/>
                <c:pt idx="0">
                  <c:v>66454</c:v>
                </c:pt>
                <c:pt idx="1">
                  <c:v>69616</c:v>
                </c:pt>
                <c:pt idx="2">
                  <c:v>88406</c:v>
                </c:pt>
                <c:pt idx="4">
                  <c:v>43047</c:v>
                </c:pt>
                <c:pt idx="5">
                  <c:v>45971</c:v>
                </c:pt>
                <c:pt idx="6">
                  <c:v>57198</c:v>
                </c:pt>
                <c:pt idx="8">
                  <c:v>31074</c:v>
                </c:pt>
                <c:pt idx="9">
                  <c:v>34013</c:v>
                </c:pt>
                <c:pt idx="10">
                  <c:v>41230</c:v>
                </c:pt>
                <c:pt idx="12">
                  <c:v>23489</c:v>
                </c:pt>
                <c:pt idx="13">
                  <c:v>25926</c:v>
                </c:pt>
                <c:pt idx="14">
                  <c:v>31045</c:v>
                </c:pt>
                <c:pt idx="16">
                  <c:v>16169</c:v>
                </c:pt>
                <c:pt idx="17">
                  <c:v>19099</c:v>
                </c:pt>
                <c:pt idx="18">
                  <c:v>25298</c:v>
                </c:pt>
                <c:pt idx="20">
                  <c:v>23412</c:v>
                </c:pt>
                <c:pt idx="21">
                  <c:v>26352</c:v>
                </c:pt>
                <c:pt idx="22">
                  <c:v>32711</c:v>
                </c:pt>
                <c:pt idx="24">
                  <c:v>22234</c:v>
                </c:pt>
                <c:pt idx="25">
                  <c:v>24835</c:v>
                </c:pt>
                <c:pt idx="26">
                  <c:v>30868</c:v>
                </c:pt>
                <c:pt idx="28">
                  <c:v>16870</c:v>
                </c:pt>
                <c:pt idx="29">
                  <c:v>19484</c:v>
                </c:pt>
                <c:pt idx="30">
                  <c:v>23892</c:v>
                </c:pt>
                <c:pt idx="32">
                  <c:v>26826</c:v>
                </c:pt>
                <c:pt idx="33">
                  <c:v>29665</c:v>
                </c:pt>
                <c:pt idx="34">
                  <c:v>36538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59-4632-9C15-84D5162668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"/>
        <c:axId val="211167600"/>
        <c:axId val="281211184"/>
      </c:barChart>
      <c:lineChart>
        <c:grouping val="standard"/>
        <c:varyColors val="0"/>
        <c:ser>
          <c:idx val="1"/>
          <c:order val="1"/>
          <c:tx>
            <c:strRef>
              <c:f>'GRAF-9'!$E$2</c:f>
              <c:strCache>
                <c:ptCount val="1"/>
                <c:pt idx="0">
                  <c:v>Poměr mzdy v průmyslu k NH (NH v dané třídě = 100)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multiLvlStrRef>
              <c:f>'GRAF-9'!$B$3:$C$38</c:f>
              <c:multiLvlStrCache>
                <c:ptCount val="35"/>
                <c:lvl>
                  <c:pt idx="0">
                    <c:v>2013</c:v>
                  </c:pt>
                  <c:pt idx="1">
                    <c:v>2016</c:v>
                  </c:pt>
                  <c:pt idx="2">
                    <c:v>2019</c:v>
                  </c:pt>
                  <c:pt idx="4">
                    <c:v>2013</c:v>
                  </c:pt>
                  <c:pt idx="5">
                    <c:v>2016</c:v>
                  </c:pt>
                  <c:pt idx="6">
                    <c:v>2019</c:v>
                  </c:pt>
                  <c:pt idx="8">
                    <c:v>2013</c:v>
                  </c:pt>
                  <c:pt idx="9">
                    <c:v>2016</c:v>
                  </c:pt>
                  <c:pt idx="10">
                    <c:v>2019</c:v>
                  </c:pt>
                  <c:pt idx="12">
                    <c:v>2013</c:v>
                  </c:pt>
                  <c:pt idx="13">
                    <c:v>2016</c:v>
                  </c:pt>
                  <c:pt idx="14">
                    <c:v>2019</c:v>
                  </c:pt>
                  <c:pt idx="16">
                    <c:v>2013</c:v>
                  </c:pt>
                  <c:pt idx="17">
                    <c:v>2016</c:v>
                  </c:pt>
                  <c:pt idx="18">
                    <c:v>2019</c:v>
                  </c:pt>
                  <c:pt idx="20">
                    <c:v>2013</c:v>
                  </c:pt>
                  <c:pt idx="21">
                    <c:v>2016</c:v>
                  </c:pt>
                  <c:pt idx="22">
                    <c:v>2019</c:v>
                  </c:pt>
                  <c:pt idx="24">
                    <c:v>2013</c:v>
                  </c:pt>
                  <c:pt idx="25">
                    <c:v>2016</c:v>
                  </c:pt>
                  <c:pt idx="26">
                    <c:v>2019</c:v>
                  </c:pt>
                  <c:pt idx="28">
                    <c:v>2013</c:v>
                  </c:pt>
                  <c:pt idx="29">
                    <c:v>2016</c:v>
                  </c:pt>
                  <c:pt idx="30">
                    <c:v>2019</c:v>
                  </c:pt>
                  <c:pt idx="32">
                    <c:v>2013</c:v>
                  </c:pt>
                  <c:pt idx="33">
                    <c:v>2016</c:v>
                  </c:pt>
                  <c:pt idx="34">
                    <c:v>2019</c:v>
                  </c:pt>
                </c:lvl>
                <c:lvl>
                  <c:pt idx="0">
                    <c:v>Řídící 
pracovníci</c:v>
                  </c:pt>
                  <c:pt idx="4">
                    <c:v>Specia-
listé</c:v>
                  </c:pt>
                  <c:pt idx="8">
                    <c:v>Techničtí 
a odborní 
pracovníci</c:v>
                  </c:pt>
                  <c:pt idx="12">
                    <c:v>Úředníci</c:v>
                  </c:pt>
                  <c:pt idx="16">
                    <c:v>Pracovn.
ve služb.
a prodeji</c:v>
                  </c:pt>
                  <c:pt idx="20">
                    <c:v>Řemesl-
níci a 
opraváři</c:v>
                  </c:pt>
                  <c:pt idx="24">
                    <c:v>Obsluha 
strojů a 
zařízení</c:v>
                  </c:pt>
                  <c:pt idx="28">
                    <c:v>Pomoc.
a nekval.
pracovn.</c:v>
                  </c:pt>
                  <c:pt idx="32">
                    <c:v>Zaměst-
nanci
celkem</c:v>
                  </c:pt>
                </c:lvl>
              </c:multiLvlStrCache>
            </c:multiLvlStrRef>
          </c:cat>
          <c:val>
            <c:numRef>
              <c:f>'GRAF-9'!$E$3:$E$38</c:f>
              <c:numCache>
                <c:formatCode>#,##0</c:formatCode>
                <c:ptCount val="36"/>
                <c:pt idx="0">
                  <c:v>115.11770921752387</c:v>
                </c:pt>
                <c:pt idx="1">
                  <c:v>113.15810861331903</c:v>
                </c:pt>
                <c:pt idx="2">
                  <c:v>112.14481428861376</c:v>
                </c:pt>
                <c:pt idx="4">
                  <c:v>115.7395208775845</c:v>
                </c:pt>
                <c:pt idx="5">
                  <c:v>112.24484812970017</c:v>
                </c:pt>
                <c:pt idx="6">
                  <c:v>110.28884346920674</c:v>
                </c:pt>
                <c:pt idx="8">
                  <c:v>108.29441695127902</c:v>
                </c:pt>
                <c:pt idx="9">
                  <c:v>106.23418808757847</c:v>
                </c:pt>
                <c:pt idx="10">
                  <c:v>104.02422101677811</c:v>
                </c:pt>
                <c:pt idx="12">
                  <c:v>105.94470253935322</c:v>
                </c:pt>
                <c:pt idx="13">
                  <c:v>106.68696761450147</c:v>
                </c:pt>
                <c:pt idx="14">
                  <c:v>104.23381681439699</c:v>
                </c:pt>
                <c:pt idx="16">
                  <c:v>98.232077764277037</c:v>
                </c:pt>
                <c:pt idx="17">
                  <c:v>100.72249762683261</c:v>
                </c:pt>
                <c:pt idx="18">
                  <c:v>100.10288065843622</c:v>
                </c:pt>
                <c:pt idx="20">
                  <c:v>106.00860312429251</c:v>
                </c:pt>
                <c:pt idx="21">
                  <c:v>106.3567017798765</c:v>
                </c:pt>
                <c:pt idx="22">
                  <c:v>105.12935883014623</c:v>
                </c:pt>
                <c:pt idx="24">
                  <c:v>104.35068287417282</c:v>
                </c:pt>
                <c:pt idx="25">
                  <c:v>103.91213389121339</c:v>
                </c:pt>
                <c:pt idx="26">
                  <c:v>103.5665156852877</c:v>
                </c:pt>
                <c:pt idx="28">
                  <c:v>112.62434074370786</c:v>
                </c:pt>
                <c:pt idx="29">
                  <c:v>114.69272427595949</c:v>
                </c:pt>
                <c:pt idx="30">
                  <c:v>114.45269461077845</c:v>
                </c:pt>
                <c:pt idx="32">
                  <c:v>102.34634313837702</c:v>
                </c:pt>
                <c:pt idx="33">
                  <c:v>102.09595264317181</c:v>
                </c:pt>
                <c:pt idx="34">
                  <c:v>100.55592250110084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359-4632-9C15-84D5162668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1557823"/>
        <c:axId val="1141556159"/>
      </c:lineChart>
      <c:catAx>
        <c:axId val="21116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noFill/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7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81211184"/>
        <c:crossesAt val="100"/>
        <c:auto val="1"/>
        <c:lblAlgn val="ctr"/>
        <c:lblOffset val="0"/>
        <c:noMultiLvlLbl val="0"/>
      </c:catAx>
      <c:valAx>
        <c:axId val="281211184"/>
        <c:scaling>
          <c:orientation val="minMax"/>
          <c:max val="90000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1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800" i="1">
                    <a:latin typeface="Arial" panose="020B0604020202020204" pitchFamily="34" charset="0"/>
                    <a:cs typeface="Arial" panose="020B0604020202020204" pitchFamily="34" charset="0"/>
                  </a:rPr>
                  <a:t>Prům.</a:t>
                </a:r>
                <a:r>
                  <a:rPr lang="cs-CZ" sz="800" i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 mzda (v korunách)</a:t>
                </a:r>
                <a:endParaRPr lang="cs-CZ" sz="800" i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2.0812896982140075E-3"/>
              <c:y val="0.2365329667845703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1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11167600"/>
        <c:crosses val="autoZero"/>
        <c:crossBetween val="between"/>
        <c:majorUnit val="10000"/>
      </c:valAx>
      <c:valAx>
        <c:axId val="1141556159"/>
        <c:scaling>
          <c:orientation val="minMax"/>
          <c:max val="125"/>
          <c:min val="8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1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800" i="1">
                    <a:latin typeface="Arial" panose="020B0604020202020204" pitchFamily="34" charset="0"/>
                    <a:cs typeface="Arial" panose="020B0604020202020204" pitchFamily="34" charset="0"/>
                  </a:rPr>
                  <a:t>Poměr</a:t>
                </a:r>
                <a:r>
                  <a:rPr lang="cs-CZ" sz="800" i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 mzdy v průmyslu ke mzdě v NH (v %)</a:t>
                </a:r>
                <a:endParaRPr lang="cs-CZ" sz="800" i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96866903743827193"/>
              <c:y val="9.3045263075085635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1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141557823"/>
        <c:crosses val="max"/>
        <c:crossBetween val="between"/>
        <c:majorUnit val="5"/>
      </c:valAx>
      <c:catAx>
        <c:axId val="114155782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41556159"/>
        <c:crosses val="autoZero"/>
        <c:auto val="1"/>
        <c:lblAlgn val="ctr"/>
        <c:lblOffset val="100"/>
        <c:noMultiLvlLbl val="0"/>
      </c:catAx>
      <c:spPr>
        <a:noFill/>
        <a:ln w="6350">
          <a:solidFill>
            <a:schemeClr val="tx1">
              <a:lumMod val="95000"/>
              <a:lumOff val="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0.11016594253810302"/>
          <c:y val="0.92268168472657019"/>
          <c:w val="0.57111175942576786"/>
          <c:h val="6.6120269375485347E-2"/>
        </c:manualLayout>
      </c:layout>
      <c:overlay val="0"/>
      <c:spPr>
        <a:noFill/>
        <a:ln w="6350">
          <a:solidFill>
            <a:schemeClr val="tx1">
              <a:lumMod val="95000"/>
              <a:lumOff val="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5165016903830951E-2"/>
          <c:y val="1.9575009990256693E-2"/>
          <c:w val="0.82355776269563863"/>
          <c:h val="0.78381112577845424"/>
        </c:manualLayout>
      </c:layout>
      <c:barChart>
        <c:barDir val="col"/>
        <c:grouping val="clustered"/>
        <c:varyColors val="0"/>
        <c:ser>
          <c:idx val="5"/>
          <c:order val="5"/>
          <c:tx>
            <c:strRef>
              <c:f>'GRAF-12'!$G$23</c:f>
              <c:strCache>
                <c:ptCount val="1"/>
                <c:pt idx="0">
                  <c:v>Soc. požitky a ost. sociál. nákl. v průmyslu (%)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 w="6350">
              <a:solidFill>
                <a:schemeClr val="bg1">
                  <a:lumMod val="75000"/>
                </a:schemeClr>
              </a:solidFill>
            </a:ln>
            <a:effectLst/>
          </c:spPr>
          <c:invertIfNegative val="0"/>
          <c:cat>
            <c:strRef>
              <c:f>'GRAF-12'!$A$24:$A$34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strCache>
            </c:strRef>
          </c:cat>
          <c:val>
            <c:numRef>
              <c:f>'GRAF-12'!$G$24:$G$34</c:f>
              <c:numCache>
                <c:formatCode>0.0</c:formatCode>
                <c:ptCount val="11"/>
                <c:pt idx="0">
                  <c:v>2.8354414083872421</c:v>
                </c:pt>
                <c:pt idx="1">
                  <c:v>4.1737009941849559</c:v>
                </c:pt>
                <c:pt idx="2">
                  <c:v>2.9519291778711061</c:v>
                </c:pt>
                <c:pt idx="3">
                  <c:v>2.9130472931473195</c:v>
                </c:pt>
                <c:pt idx="4">
                  <c:v>3.0143051771117166</c:v>
                </c:pt>
                <c:pt idx="5">
                  <c:v>3.056070045462199</c:v>
                </c:pt>
                <c:pt idx="6">
                  <c:v>2.8127864286736957</c:v>
                </c:pt>
                <c:pt idx="7">
                  <c:v>2.6885715680229332</c:v>
                </c:pt>
                <c:pt idx="8">
                  <c:v>2.6372743667586822</c:v>
                </c:pt>
                <c:pt idx="9">
                  <c:v>2.7004082972933157</c:v>
                </c:pt>
                <c:pt idx="10">
                  <c:v>2.6437683172725803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CA-464D-BBB4-7C2F69C855C0}"/>
            </c:ext>
          </c:extLst>
        </c:ser>
        <c:ser>
          <c:idx val="6"/>
          <c:order val="6"/>
          <c:tx>
            <c:strRef>
              <c:f>'GRAF-12'!$H$23</c:f>
              <c:strCache>
                <c:ptCount val="1"/>
                <c:pt idx="0">
                  <c:v>Personální náklady v průmyslu (v %)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25400">
              <a:noFill/>
            </a:ln>
            <a:effectLst/>
          </c:spPr>
          <c:invertIfNegative val="0"/>
          <c:cat>
            <c:strRef>
              <c:f>'GRAF-12'!$A$24:$A$34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strCache>
            </c:strRef>
          </c:cat>
          <c:val>
            <c:numRef>
              <c:f>'GRAF-12'!$H$24:$H$34</c:f>
              <c:numCache>
                <c:formatCode>0.0</c:formatCode>
                <c:ptCount val="11"/>
                <c:pt idx="0">
                  <c:v>1.4257667921856394</c:v>
                </c:pt>
                <c:pt idx="1">
                  <c:v>1.0942287250672169</c:v>
                </c:pt>
                <c:pt idx="2">
                  <c:v>1.0937547209716891</c:v>
                </c:pt>
                <c:pt idx="3">
                  <c:v>1.1231025708519786</c:v>
                </c:pt>
                <c:pt idx="4">
                  <c:v>1.1126248864668482</c:v>
                </c:pt>
                <c:pt idx="5">
                  <c:v>1.0720098782062075</c:v>
                </c:pt>
                <c:pt idx="6">
                  <c:v>1.1359052776517258</c:v>
                </c:pt>
                <c:pt idx="7">
                  <c:v>1.1894698643265473</c:v>
                </c:pt>
                <c:pt idx="8">
                  <c:v>1.1774949661564145</c:v>
                </c:pt>
                <c:pt idx="9">
                  <c:v>1.2433308695847509</c:v>
                </c:pt>
                <c:pt idx="10">
                  <c:v>1.2273078941958286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CA-464D-BBB4-7C2F69C855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8708864"/>
        <c:axId val="202400864"/>
      </c:barChart>
      <c:lineChart>
        <c:grouping val="standard"/>
        <c:varyColors val="0"/>
        <c:ser>
          <c:idx val="0"/>
          <c:order val="0"/>
          <c:tx>
            <c:strRef>
              <c:f>'GRAF-12'!$B$23</c:f>
              <c:strCache>
                <c:ptCount val="1"/>
                <c:pt idx="0">
                  <c:v>Celkové náklady práce na zam. (NH)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'GRAF-12'!$A$24:$A$34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strCache>
            </c:strRef>
          </c:cat>
          <c:val>
            <c:numRef>
              <c:f>'GRAF-12'!$B$24:$B$34</c:f>
              <c:numCache>
                <c:formatCode>0.0</c:formatCode>
                <c:ptCount val="11"/>
                <c:pt idx="0">
                  <c:v>100</c:v>
                </c:pt>
                <c:pt idx="1">
                  <c:v>100.44351361340395</c:v>
                </c:pt>
                <c:pt idx="2">
                  <c:v>102.48552420845141</c:v>
                </c:pt>
                <c:pt idx="3">
                  <c:v>104.86324996920044</c:v>
                </c:pt>
                <c:pt idx="4">
                  <c:v>107.14241714919307</c:v>
                </c:pt>
                <c:pt idx="5">
                  <c:v>107.22249599605766</c:v>
                </c:pt>
                <c:pt idx="6">
                  <c:v>110.13493811178883</c:v>
                </c:pt>
                <c:pt idx="7">
                  <c:v>113.90084206912496</c:v>
                </c:pt>
                <c:pt idx="8">
                  <c:v>118.70181104034128</c:v>
                </c:pt>
                <c:pt idx="9">
                  <c:v>126.58385045549959</c:v>
                </c:pt>
                <c:pt idx="10">
                  <c:v>136.86258626230716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6CA-464D-BBB4-7C2F69C855C0}"/>
            </c:ext>
          </c:extLst>
        </c:ser>
        <c:ser>
          <c:idx val="1"/>
          <c:order val="1"/>
          <c:tx>
            <c:strRef>
              <c:f>'GRAF-12'!$C$23</c:f>
              <c:strCache>
                <c:ptCount val="1"/>
                <c:pt idx="0">
                  <c:v>Celk. nákl. práce na zam. (těžba a dobývání)</c:v>
                </c:pt>
              </c:strCache>
            </c:strRef>
          </c:tx>
          <c:spPr>
            <a:ln w="19050" cap="rnd">
              <a:solidFill>
                <a:srgbClr val="996633"/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'GRAF-12'!$A$24:$A$34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strCache>
            </c:strRef>
          </c:cat>
          <c:val>
            <c:numRef>
              <c:f>'GRAF-12'!$C$24:$C$34</c:f>
              <c:numCache>
                <c:formatCode>0.0</c:formatCode>
                <c:ptCount val="11"/>
                <c:pt idx="0">
                  <c:v>100</c:v>
                </c:pt>
                <c:pt idx="1">
                  <c:v>95.783738278418269</c:v>
                </c:pt>
                <c:pt idx="2">
                  <c:v>102.31742394125763</c:v>
                </c:pt>
                <c:pt idx="3">
                  <c:v>106.66697846268971</c:v>
                </c:pt>
                <c:pt idx="4">
                  <c:v>109.83560554685126</c:v>
                </c:pt>
                <c:pt idx="5">
                  <c:v>107.76839791408462</c:v>
                </c:pt>
                <c:pt idx="6">
                  <c:v>106.66742473470148</c:v>
                </c:pt>
                <c:pt idx="7">
                  <c:v>107.85848000110467</c:v>
                </c:pt>
                <c:pt idx="8">
                  <c:v>106.87440409482124</c:v>
                </c:pt>
                <c:pt idx="9">
                  <c:v>115.3396228745364</c:v>
                </c:pt>
                <c:pt idx="10">
                  <c:v>121.62973505762061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6CA-464D-BBB4-7C2F69C855C0}"/>
            </c:ext>
          </c:extLst>
        </c:ser>
        <c:ser>
          <c:idx val="2"/>
          <c:order val="2"/>
          <c:tx>
            <c:strRef>
              <c:f>'GRAF-12'!$D$23</c:f>
              <c:strCache>
                <c:ptCount val="1"/>
                <c:pt idx="0">
                  <c:v>Celkové náklady práce na zam. (zprac.prům.)</c:v>
                </c:pt>
              </c:strCache>
            </c:strRef>
          </c:tx>
          <c:spPr>
            <a:ln w="19050" cap="rnd">
              <a:solidFill>
                <a:srgbClr val="FF0000"/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'GRAF-12'!$A$24:$A$34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strCache>
            </c:strRef>
          </c:cat>
          <c:val>
            <c:numRef>
              <c:f>'GRAF-12'!$D$24:$D$34</c:f>
              <c:numCache>
                <c:formatCode>0.0</c:formatCode>
                <c:ptCount val="11"/>
                <c:pt idx="0">
                  <c:v>100</c:v>
                </c:pt>
                <c:pt idx="1">
                  <c:v>102.63227513227513</c:v>
                </c:pt>
                <c:pt idx="2">
                  <c:v>106.17063492063492</c:v>
                </c:pt>
                <c:pt idx="3">
                  <c:v>109.92063492063492</c:v>
                </c:pt>
                <c:pt idx="4">
                  <c:v>113.28042328042326</c:v>
                </c:pt>
                <c:pt idx="5">
                  <c:v>114.8611111111111</c:v>
                </c:pt>
                <c:pt idx="6">
                  <c:v>118.6733649461369</c:v>
                </c:pt>
                <c:pt idx="7">
                  <c:v>122.26812897190609</c:v>
                </c:pt>
                <c:pt idx="8">
                  <c:v>127.76559625887664</c:v>
                </c:pt>
                <c:pt idx="9">
                  <c:v>136.45252049353604</c:v>
                </c:pt>
                <c:pt idx="10">
                  <c:v>147.43401084744048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6CA-464D-BBB4-7C2F69C855C0}"/>
            </c:ext>
          </c:extLst>
        </c:ser>
        <c:ser>
          <c:idx val="3"/>
          <c:order val="3"/>
          <c:tx>
            <c:strRef>
              <c:f>'GRAF-12'!$E$23</c:f>
              <c:strCache>
                <c:ptCount val="1"/>
                <c:pt idx="0">
                  <c:v>Celkové náklady práce na zam. (energetika)</c:v>
                </c:pt>
              </c:strCache>
            </c:strRef>
          </c:tx>
          <c:spPr>
            <a:ln w="19050" cap="rnd">
              <a:solidFill>
                <a:srgbClr val="00B050"/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'GRAF-12'!$A$24:$A$34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strCache>
            </c:strRef>
          </c:cat>
          <c:val>
            <c:numRef>
              <c:f>'GRAF-12'!$E$24:$E$34</c:f>
              <c:numCache>
                <c:formatCode>0.0</c:formatCode>
                <c:ptCount val="11"/>
                <c:pt idx="0">
                  <c:v>100</c:v>
                </c:pt>
                <c:pt idx="1">
                  <c:v>108.82633398227979</c:v>
                </c:pt>
                <c:pt idx="2">
                  <c:v>112.21145059398468</c:v>
                </c:pt>
                <c:pt idx="3">
                  <c:v>114.01525686360205</c:v>
                </c:pt>
                <c:pt idx="4">
                  <c:v>118.59231594421709</c:v>
                </c:pt>
                <c:pt idx="5">
                  <c:v>119.45448766339544</c:v>
                </c:pt>
                <c:pt idx="6">
                  <c:v>119.08443088970361</c:v>
                </c:pt>
                <c:pt idx="7">
                  <c:v>116.41258658657259</c:v>
                </c:pt>
                <c:pt idx="8">
                  <c:v>119.20209157724824</c:v>
                </c:pt>
                <c:pt idx="9">
                  <c:v>125.23939629253047</c:v>
                </c:pt>
                <c:pt idx="10">
                  <c:v>130.95869260241884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C6CA-464D-BBB4-7C2F69C855C0}"/>
            </c:ext>
          </c:extLst>
        </c:ser>
        <c:ser>
          <c:idx val="4"/>
          <c:order val="4"/>
          <c:tx>
            <c:strRef>
              <c:f>'GRAF-12'!$F$23</c:f>
              <c:strCache>
                <c:ptCount val="1"/>
                <c:pt idx="0">
                  <c:v>Celk. nákl. práce na zam. (vod.a odpad.hosp.)</c:v>
                </c:pt>
              </c:strCache>
            </c:strRef>
          </c:tx>
          <c:spPr>
            <a:ln w="19050" cap="rnd">
              <a:solidFill>
                <a:srgbClr val="0070C0"/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'GRAF-12'!$A$24:$A$34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strCache>
            </c:strRef>
          </c:cat>
          <c:val>
            <c:numRef>
              <c:f>'GRAF-12'!$F$24:$F$34</c:f>
              <c:numCache>
                <c:formatCode>0.0</c:formatCode>
                <c:ptCount val="11"/>
                <c:pt idx="0">
                  <c:v>100</c:v>
                </c:pt>
                <c:pt idx="1">
                  <c:v>105.57114363949833</c:v>
                </c:pt>
                <c:pt idx="2">
                  <c:v>109.60751833947467</c:v>
                </c:pt>
                <c:pt idx="3">
                  <c:v>111.33497853351815</c:v>
                </c:pt>
                <c:pt idx="4">
                  <c:v>113.3092187552821</c:v>
                </c:pt>
                <c:pt idx="5">
                  <c:v>113.09962475913593</c:v>
                </c:pt>
                <c:pt idx="6">
                  <c:v>115.30002474871606</c:v>
                </c:pt>
                <c:pt idx="7">
                  <c:v>117.52483673429973</c:v>
                </c:pt>
                <c:pt idx="8">
                  <c:v>120.3889425373912</c:v>
                </c:pt>
                <c:pt idx="9">
                  <c:v>127.94949399441873</c:v>
                </c:pt>
                <c:pt idx="10">
                  <c:v>133.59633032982015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C6CA-464D-BBB4-7C2F69C855C0}"/>
            </c:ext>
          </c:extLst>
        </c:ser>
        <c:ser>
          <c:idx val="7"/>
          <c:order val="7"/>
          <c:tx>
            <c:strRef>
              <c:f>'GRAF-12'!$I$23</c:f>
              <c:strCache>
                <c:ptCount val="1"/>
                <c:pt idx="0">
                  <c:v>Implicitní deflátor HDP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diamond"/>
            <c:size val="7"/>
            <c:spPr>
              <a:solidFill>
                <a:srgbClr val="FFFF00"/>
              </a:solidFill>
              <a:ln w="9525">
                <a:solidFill>
                  <a:schemeClr val="bg1">
                    <a:lumMod val="50000"/>
                  </a:schemeClr>
                </a:solidFill>
              </a:ln>
              <a:effectLst/>
            </c:spPr>
          </c:marker>
          <c:cat>
            <c:strRef>
              <c:f>'GRAF-12'!$A$24:$A$34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strCache>
            </c:strRef>
          </c:cat>
          <c:val>
            <c:numRef>
              <c:f>'GRAF-12'!$I$24:$I$34</c:f>
              <c:numCache>
                <c:formatCode>0.0</c:formatCode>
                <c:ptCount val="11"/>
                <c:pt idx="0">
                  <c:v>100</c:v>
                </c:pt>
                <c:pt idx="1">
                  <c:v>102.586601918635</c:v>
                </c:pt>
                <c:pt idx="2">
                  <c:v>101.12701541917282</c:v>
                </c:pt>
                <c:pt idx="3">
                  <c:v>101.11114468221358</c:v>
                </c:pt>
                <c:pt idx="4">
                  <c:v>102.57599517522009</c:v>
                </c:pt>
                <c:pt idx="5">
                  <c:v>103.97629068165945</c:v>
                </c:pt>
                <c:pt idx="6">
                  <c:v>106.65546054363892</c:v>
                </c:pt>
                <c:pt idx="7">
                  <c:v>107.71456995904197</c:v>
                </c:pt>
                <c:pt idx="8">
                  <c:v>108.94464126224217</c:v>
                </c:pt>
                <c:pt idx="9">
                  <c:v>110.36041613883386</c:v>
                </c:pt>
                <c:pt idx="10">
                  <c:v>113.19257975954693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C6CA-464D-BBB4-7C2F69C855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167600"/>
        <c:axId val="281211184"/>
      </c:lineChart>
      <c:catAx>
        <c:axId val="21116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7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81211184"/>
        <c:crosses val="autoZero"/>
        <c:auto val="1"/>
        <c:lblAlgn val="ctr"/>
        <c:lblOffset val="0"/>
        <c:noMultiLvlLbl val="0"/>
      </c:catAx>
      <c:valAx>
        <c:axId val="281211184"/>
        <c:scaling>
          <c:orientation val="minMax"/>
          <c:max val="150"/>
          <c:min val="9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1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800" i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Úplné prac. náklady a deflátor HDP (2008=100)</a:t>
                </a:r>
                <a:endParaRPr lang="cs-CZ" sz="800" i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1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11167600"/>
        <c:crosses val="autoZero"/>
        <c:crossBetween val="between"/>
        <c:majorUnit val="5"/>
      </c:valAx>
      <c:valAx>
        <c:axId val="202400864"/>
        <c:scaling>
          <c:orientation val="minMax"/>
          <c:max val="6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1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800" i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Podíl vybr. druhů pracovních nákladů v průmyslu (%)</a:t>
                </a:r>
                <a:endParaRPr lang="cs-CZ" sz="800" i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96752977979729404"/>
              <c:y val="9.9085776671078513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1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0.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358708864"/>
        <c:crosses val="max"/>
        <c:crossBetween val="between"/>
        <c:majorUnit val="0.5"/>
      </c:valAx>
      <c:catAx>
        <c:axId val="3587088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02400864"/>
        <c:crosses val="autoZero"/>
        <c:auto val="1"/>
        <c:lblAlgn val="ctr"/>
        <c:lblOffset val="100"/>
        <c:noMultiLvlLbl val="0"/>
      </c:catAx>
      <c:spPr>
        <a:noFill/>
        <a:ln w="6350">
          <a:solidFill>
            <a:schemeClr val="tx1">
              <a:lumMod val="95000"/>
              <a:lumOff val="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0"/>
          <c:y val="0.84226815869466642"/>
          <c:w val="0.99121649275741452"/>
          <c:h val="0.15013447559009865"/>
        </c:manualLayout>
      </c:layout>
      <c:overlay val="0"/>
      <c:spPr>
        <a:noFill/>
        <a:ln w="6350">
          <a:solidFill>
            <a:schemeClr val="tx1">
              <a:lumMod val="95000"/>
              <a:lumOff val="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7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78519601217514E-2"/>
          <c:y val="1.6076749112545415E-2"/>
          <c:w val="0.81475469740277862"/>
          <c:h val="0.75911476017733881"/>
        </c:manualLayout>
      </c:layout>
      <c:areaChart>
        <c:grouping val="standard"/>
        <c:varyColors val="0"/>
        <c:ser>
          <c:idx val="0"/>
          <c:order val="0"/>
          <c:tx>
            <c:strRef>
              <c:f>'GRAF-13'!$A$4</c:f>
              <c:strCache>
                <c:ptCount val="1"/>
                <c:pt idx="0">
                  <c:v>Produktivita na pracovníka (NH)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19050">
              <a:solidFill>
                <a:schemeClr val="tx1">
                  <a:lumMod val="65000"/>
                  <a:lumOff val="35000"/>
                </a:schemeClr>
              </a:solidFill>
            </a:ln>
            <a:effectLst/>
          </c:spPr>
          <c:cat>
            <c:strRef>
              <c:f>'GRAF-13'!$B$3:$Z$3</c:f>
              <c:strCache>
                <c:ptCount val="25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  <c:pt idx="21">
                  <c:v>2016</c:v>
                </c:pt>
                <c:pt idx="22">
                  <c:v>2017</c:v>
                </c:pt>
                <c:pt idx="23">
                  <c:v>2018</c:v>
                </c:pt>
                <c:pt idx="24">
                  <c:v>2019</c:v>
                </c:pt>
              </c:strCache>
            </c:strRef>
          </c:cat>
          <c:val>
            <c:numRef>
              <c:f>'GRAF-13'!$B$4:$Z$4</c:f>
              <c:numCache>
                <c:formatCode>#\ ##0.0</c:formatCode>
                <c:ptCount val="25"/>
                <c:pt idx="0" formatCode="#,##0">
                  <c:v>62.318465591047335</c:v>
                </c:pt>
                <c:pt idx="1">
                  <c:v>64.432644740196523</c:v>
                </c:pt>
                <c:pt idx="2">
                  <c:v>64.088038533915835</c:v>
                </c:pt>
                <c:pt idx="3">
                  <c:v>65.00099081291043</c:v>
                </c:pt>
                <c:pt idx="4">
                  <c:v>67.381349763041271</c:v>
                </c:pt>
                <c:pt idx="5">
                  <c:v>70.846399190773795</c:v>
                </c:pt>
                <c:pt idx="6">
                  <c:v>73.216590520453352</c:v>
                </c:pt>
                <c:pt idx="7">
                  <c:v>74.234322036747002</c:v>
                </c:pt>
                <c:pt idx="8">
                  <c:v>77.054011980237931</c:v>
                </c:pt>
                <c:pt idx="9">
                  <c:v>80.947882938343113</c:v>
                </c:pt>
                <c:pt idx="10">
                  <c:v>84.7878124841843</c:v>
                </c:pt>
                <c:pt idx="11">
                  <c:v>89.75158476052539</c:v>
                </c:pt>
                <c:pt idx="12">
                  <c:v>92.564051630653353</c:v>
                </c:pt>
                <c:pt idx="13">
                  <c:v>93.82786470317042</c:v>
                </c:pt>
                <c:pt idx="14">
                  <c:v>90.508700207385161</c:v>
                </c:pt>
                <c:pt idx="15">
                  <c:v>94.200630928791838</c:v>
                </c:pt>
                <c:pt idx="16">
                  <c:v>96.117292710749808</c:v>
                </c:pt>
                <c:pt idx="17">
                  <c:v>94.912489655450727</c:v>
                </c:pt>
                <c:pt idx="18">
                  <c:v>94.592757813507802</c:v>
                </c:pt>
                <c:pt idx="19">
                  <c:v>96.762425591575393</c:v>
                </c:pt>
                <c:pt idx="20">
                  <c:v>100</c:v>
                </c:pt>
                <c:pt idx="21">
                  <c:v>100.89411665697874</c:v>
                </c:pt>
                <c:pt idx="22">
                  <c:v>104.52307280698054</c:v>
                </c:pt>
                <c:pt idx="23">
                  <c:v>106.62125286285449</c:v>
                </c:pt>
                <c:pt idx="24">
                  <c:v>108.69548574192768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FC-4EC0-8067-9E685671BB1F}"/>
            </c:ext>
          </c:extLst>
        </c:ser>
        <c:ser>
          <c:idx val="1"/>
          <c:order val="1"/>
          <c:tx>
            <c:strRef>
              <c:f>'GRAF-13'!$A$5</c:f>
              <c:strCache>
                <c:ptCount val="1"/>
                <c:pt idx="0">
                  <c:v>Hodinová produktivita (NH)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 w="19050">
              <a:solidFill>
                <a:schemeClr val="bg2">
                  <a:lumMod val="75000"/>
                </a:schemeClr>
              </a:solidFill>
              <a:prstDash val="sysDash"/>
            </a:ln>
            <a:effectLst/>
          </c:spPr>
          <c:cat>
            <c:strRef>
              <c:f>'GRAF-13'!$B$3:$Z$3</c:f>
              <c:strCache>
                <c:ptCount val="25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  <c:pt idx="21">
                  <c:v>2016</c:v>
                </c:pt>
                <c:pt idx="22">
                  <c:v>2017</c:v>
                </c:pt>
                <c:pt idx="23">
                  <c:v>2018</c:v>
                </c:pt>
                <c:pt idx="24">
                  <c:v>2019</c:v>
                </c:pt>
              </c:strCache>
            </c:strRef>
          </c:cat>
          <c:val>
            <c:numRef>
              <c:f>'GRAF-13'!$B$5:$Z$5</c:f>
              <c:numCache>
                <c:formatCode>#\ ##0.0</c:formatCode>
                <c:ptCount val="25"/>
                <c:pt idx="0" formatCode="#,##0">
                  <c:v>59.589868207497496</c:v>
                </c:pt>
                <c:pt idx="1">
                  <c:v>61.688803686279471</c:v>
                </c:pt>
                <c:pt idx="2">
                  <c:v>61.07382419499158</c:v>
                </c:pt>
                <c:pt idx="3">
                  <c:v>61.179607060910278</c:v>
                </c:pt>
                <c:pt idx="4">
                  <c:v>62.422854121060226</c:v>
                </c:pt>
                <c:pt idx="5">
                  <c:v>65.299330361087613</c:v>
                </c:pt>
                <c:pt idx="6">
                  <c:v>70.331488554570115</c:v>
                </c:pt>
                <c:pt idx="7">
                  <c:v>71.746161138073845</c:v>
                </c:pt>
                <c:pt idx="8">
                  <c:v>75.016485291034556</c:v>
                </c:pt>
                <c:pt idx="9">
                  <c:v>78.172677985185445</c:v>
                </c:pt>
                <c:pt idx="10">
                  <c:v>82.368187755427883</c:v>
                </c:pt>
                <c:pt idx="11">
                  <c:v>87.857830227430028</c:v>
                </c:pt>
                <c:pt idx="12">
                  <c:v>91.336319269060908</c:v>
                </c:pt>
                <c:pt idx="13">
                  <c:v>91.828277272532503</c:v>
                </c:pt>
                <c:pt idx="14">
                  <c:v>89.118314067353381</c:v>
                </c:pt>
                <c:pt idx="15">
                  <c:v>91.706999166180765</c:v>
                </c:pt>
                <c:pt idx="16">
                  <c:v>93.242651365894957</c:v>
                </c:pt>
                <c:pt idx="17">
                  <c:v>93.578166337402777</c:v>
                </c:pt>
                <c:pt idx="18">
                  <c:v>93.905052172727707</c:v>
                </c:pt>
                <c:pt idx="19">
                  <c:v>95.544008692819943</c:v>
                </c:pt>
                <c:pt idx="20">
                  <c:v>100</c:v>
                </c:pt>
                <c:pt idx="21">
                  <c:v>99.610425593926792</c:v>
                </c:pt>
                <c:pt idx="22">
                  <c:v>103.05365901253147</c:v>
                </c:pt>
                <c:pt idx="23">
                  <c:v>104.65145754151138</c:v>
                </c:pt>
                <c:pt idx="24">
                  <c:v>106.71815677269085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6FC-4EC0-8067-9E685671BB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1167600"/>
        <c:axId val="281211184"/>
      </c:areaChart>
      <c:lineChart>
        <c:grouping val="standard"/>
        <c:varyColors val="0"/>
        <c:ser>
          <c:idx val="2"/>
          <c:order val="2"/>
          <c:tx>
            <c:strRef>
              <c:f>'GRAF-13'!$A$6</c:f>
              <c:strCache>
                <c:ptCount val="1"/>
                <c:pt idx="0">
                  <c:v>Produktivita na pracovníka (průmysl)</c:v>
                </c:pt>
              </c:strCache>
            </c:strRef>
          </c:tx>
          <c:spPr>
            <a:ln w="2222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'GRAF-13'!$B$3:$Z$3</c:f>
              <c:strCache>
                <c:ptCount val="25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  <c:pt idx="21">
                  <c:v>2016</c:v>
                </c:pt>
                <c:pt idx="22">
                  <c:v>2017</c:v>
                </c:pt>
                <c:pt idx="23">
                  <c:v>2018</c:v>
                </c:pt>
                <c:pt idx="24">
                  <c:v>2019</c:v>
                </c:pt>
              </c:strCache>
            </c:strRef>
          </c:cat>
          <c:val>
            <c:numRef>
              <c:f>'GRAF-13'!$B$6:$Z$6</c:f>
              <c:numCache>
                <c:formatCode>#\ ##0.0</c:formatCode>
                <c:ptCount val="25"/>
                <c:pt idx="0" formatCode="#,##0">
                  <c:v>45.168797794764245</c:v>
                </c:pt>
                <c:pt idx="1">
                  <c:v>47.272235525891141</c:v>
                </c:pt>
                <c:pt idx="2">
                  <c:v>46.851208342348322</c:v>
                </c:pt>
                <c:pt idx="3">
                  <c:v>47.036636469798935</c:v>
                </c:pt>
                <c:pt idx="4">
                  <c:v>51.490417995105474</c:v>
                </c:pt>
                <c:pt idx="5">
                  <c:v>57.254151071346207</c:v>
                </c:pt>
                <c:pt idx="6">
                  <c:v>59.423710562665796</c:v>
                </c:pt>
                <c:pt idx="7">
                  <c:v>61.54621480101099</c:v>
                </c:pt>
                <c:pt idx="8">
                  <c:v>63.839283411213557</c:v>
                </c:pt>
                <c:pt idx="9">
                  <c:v>68.573665804250311</c:v>
                </c:pt>
                <c:pt idx="10">
                  <c:v>74.557014354861565</c:v>
                </c:pt>
                <c:pt idx="11">
                  <c:v>87.285104305005063</c:v>
                </c:pt>
                <c:pt idx="12">
                  <c:v>89.361963691158692</c:v>
                </c:pt>
                <c:pt idx="13">
                  <c:v>95.606036669279902</c:v>
                </c:pt>
                <c:pt idx="14">
                  <c:v>90.42127518902771</c:v>
                </c:pt>
                <c:pt idx="15">
                  <c:v>100.56699201467364</c:v>
                </c:pt>
                <c:pt idx="16">
                  <c:v>103.74387227833677</c:v>
                </c:pt>
                <c:pt idx="17">
                  <c:v>99.40884612231126</c:v>
                </c:pt>
                <c:pt idx="18">
                  <c:v>96.419400538143208</c:v>
                </c:pt>
                <c:pt idx="19">
                  <c:v>97.880447905822635</c:v>
                </c:pt>
                <c:pt idx="20">
                  <c:v>100</c:v>
                </c:pt>
                <c:pt idx="21">
                  <c:v>100.83834427681273</c:v>
                </c:pt>
                <c:pt idx="22">
                  <c:v>107.04172779337391</c:v>
                </c:pt>
                <c:pt idx="23">
                  <c:v>107.80800267405715</c:v>
                </c:pt>
                <c:pt idx="24">
                  <c:v>111.27977776708831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6FC-4EC0-8067-9E685671BB1F}"/>
            </c:ext>
          </c:extLst>
        </c:ser>
        <c:ser>
          <c:idx val="4"/>
          <c:order val="4"/>
          <c:tx>
            <c:strRef>
              <c:f>'GRAF-13'!$A$8</c:f>
              <c:strCache>
                <c:ptCount val="1"/>
                <c:pt idx="0">
                  <c:v>Hodinová produktivita (průmysl)</c:v>
                </c:pt>
              </c:strCache>
            </c:strRef>
          </c:tx>
          <c:spPr>
            <a:ln w="22225" cap="rnd">
              <a:solidFill>
                <a:srgbClr val="C00000"/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'GRAF-13'!$B$3:$Z$3</c:f>
              <c:strCache>
                <c:ptCount val="25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  <c:pt idx="21">
                  <c:v>2016</c:v>
                </c:pt>
                <c:pt idx="22">
                  <c:v>2017</c:v>
                </c:pt>
                <c:pt idx="23">
                  <c:v>2018</c:v>
                </c:pt>
                <c:pt idx="24">
                  <c:v>2019</c:v>
                </c:pt>
              </c:strCache>
            </c:strRef>
          </c:cat>
          <c:val>
            <c:numRef>
              <c:f>'GRAF-13'!$B$8:$Z$8</c:f>
              <c:numCache>
                <c:formatCode>#\ ##0.0</c:formatCode>
                <c:ptCount val="25"/>
                <c:pt idx="0" formatCode="#,##0">
                  <c:v>43.203682899100485</c:v>
                </c:pt>
                <c:pt idx="1">
                  <c:v>45.339457942163826</c:v>
                </c:pt>
                <c:pt idx="2">
                  <c:v>44.775072517276662</c:v>
                </c:pt>
                <c:pt idx="3">
                  <c:v>44.245605098300402</c:v>
                </c:pt>
                <c:pt idx="4">
                  <c:v>48.096826271506046</c:v>
                </c:pt>
                <c:pt idx="5">
                  <c:v>53.392621780912386</c:v>
                </c:pt>
                <c:pt idx="6">
                  <c:v>57.348217403722714</c:v>
                </c:pt>
                <c:pt idx="7">
                  <c:v>60.008031587751709</c:v>
                </c:pt>
                <c:pt idx="8">
                  <c:v>62.831252094629519</c:v>
                </c:pt>
                <c:pt idx="9">
                  <c:v>66.858985072542083</c:v>
                </c:pt>
                <c:pt idx="10">
                  <c:v>72.673444578451225</c:v>
                </c:pt>
                <c:pt idx="11">
                  <c:v>85.924411630266192</c:v>
                </c:pt>
                <c:pt idx="12">
                  <c:v>88.694892138449759</c:v>
                </c:pt>
                <c:pt idx="13">
                  <c:v>94.550220959717038</c:v>
                </c:pt>
                <c:pt idx="14">
                  <c:v>91.094870594996777</c:v>
                </c:pt>
                <c:pt idx="15">
                  <c:v>97.847191459617306</c:v>
                </c:pt>
                <c:pt idx="16">
                  <c:v>101.92410563956811</c:v>
                </c:pt>
                <c:pt idx="17">
                  <c:v>98.712912278441777</c:v>
                </c:pt>
                <c:pt idx="18">
                  <c:v>96.032478723431552</c:v>
                </c:pt>
                <c:pt idx="19">
                  <c:v>97.225328403859507</c:v>
                </c:pt>
                <c:pt idx="20">
                  <c:v>100</c:v>
                </c:pt>
                <c:pt idx="21">
                  <c:v>100.40622877511936</c:v>
                </c:pt>
                <c:pt idx="22">
                  <c:v>107.87201186399686</c:v>
                </c:pt>
                <c:pt idx="23">
                  <c:v>107.48226730199005</c:v>
                </c:pt>
                <c:pt idx="24">
                  <c:v>110.620180812033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6FC-4EC0-8067-9E685671BB1F}"/>
            </c:ext>
          </c:extLst>
        </c:ser>
        <c:ser>
          <c:idx val="5"/>
          <c:order val="5"/>
          <c:tx>
            <c:strRef>
              <c:f>'GRAF-13'!$A$9</c:f>
              <c:strCache>
                <c:ptCount val="1"/>
                <c:pt idx="0">
                  <c:v>Produk. na prac. (zpracovatel. prům.)</c:v>
                </c:pt>
              </c:strCache>
            </c:strRef>
          </c:tx>
          <c:spPr>
            <a:ln w="22225" cap="rnd">
              <a:solidFill>
                <a:schemeClr val="accent2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'GRAF-13'!$B$3:$Z$3</c:f>
              <c:strCache>
                <c:ptCount val="25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  <c:pt idx="21">
                  <c:v>2016</c:v>
                </c:pt>
                <c:pt idx="22">
                  <c:v>2017</c:v>
                </c:pt>
                <c:pt idx="23">
                  <c:v>2018</c:v>
                </c:pt>
                <c:pt idx="24">
                  <c:v>2019</c:v>
                </c:pt>
              </c:strCache>
            </c:strRef>
          </c:cat>
          <c:val>
            <c:numRef>
              <c:f>'GRAF-13'!$B$9:$Z$9</c:f>
              <c:numCache>
                <c:formatCode>#\ ##0.0</c:formatCode>
                <c:ptCount val="25"/>
                <c:pt idx="0" formatCode="#,##0">
                  <c:v>35.793876597069548</c:v>
                </c:pt>
                <c:pt idx="1">
                  <c:v>37.475411084254809</c:v>
                </c:pt>
                <c:pt idx="2">
                  <c:v>38.162257162858417</c:v>
                </c:pt>
                <c:pt idx="3">
                  <c:v>38.973870185007392</c:v>
                </c:pt>
                <c:pt idx="4">
                  <c:v>43.344245930645329</c:v>
                </c:pt>
                <c:pt idx="5">
                  <c:v>48.155390368028904</c:v>
                </c:pt>
                <c:pt idx="6">
                  <c:v>50.107255506272793</c:v>
                </c:pt>
                <c:pt idx="7">
                  <c:v>52.206680296936916</c:v>
                </c:pt>
                <c:pt idx="8">
                  <c:v>53.974641757625342</c:v>
                </c:pt>
                <c:pt idx="9">
                  <c:v>58.041290776423715</c:v>
                </c:pt>
                <c:pt idx="10">
                  <c:v>64.461185264230295</c:v>
                </c:pt>
                <c:pt idx="11">
                  <c:v>77.297350748404327</c:v>
                </c:pt>
                <c:pt idx="12">
                  <c:v>79.779086550183493</c:v>
                </c:pt>
                <c:pt idx="13">
                  <c:v>85.62326985640621</c:v>
                </c:pt>
                <c:pt idx="14">
                  <c:v>81.336698966230074</c:v>
                </c:pt>
                <c:pt idx="15">
                  <c:v>93.991767157366098</c:v>
                </c:pt>
                <c:pt idx="16">
                  <c:v>99.949517461755036</c:v>
                </c:pt>
                <c:pt idx="17">
                  <c:v>95.387338138319535</c:v>
                </c:pt>
                <c:pt idx="18">
                  <c:v>94.024356143126752</c:v>
                </c:pt>
                <c:pt idx="19">
                  <c:v>96.101673035765032</c:v>
                </c:pt>
                <c:pt idx="20">
                  <c:v>100</c:v>
                </c:pt>
                <c:pt idx="21">
                  <c:v>101.99250292528379</c:v>
                </c:pt>
                <c:pt idx="22">
                  <c:v>109.17211713196554</c:v>
                </c:pt>
                <c:pt idx="23">
                  <c:v>110.47085482031891</c:v>
                </c:pt>
                <c:pt idx="24">
                  <c:v>115.20289785445459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6FC-4EC0-8067-9E685671BB1F}"/>
            </c:ext>
          </c:extLst>
        </c:ser>
        <c:ser>
          <c:idx val="6"/>
          <c:order val="6"/>
          <c:tx>
            <c:strRef>
              <c:f>'GRAF-13'!$A$10</c:f>
              <c:strCache>
                <c:ptCount val="1"/>
                <c:pt idx="0">
                  <c:v>Hod. produktivita (zpracovat. prům.)</c:v>
                </c:pt>
              </c:strCache>
            </c:strRef>
          </c:tx>
          <c:spPr>
            <a:ln w="22225" cap="rnd">
              <a:solidFill>
                <a:schemeClr val="accent2">
                  <a:lumMod val="60000"/>
                  <a:lumOff val="40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'GRAF-13'!$B$3:$Z$3</c:f>
              <c:strCache>
                <c:ptCount val="25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  <c:pt idx="21">
                  <c:v>2016</c:v>
                </c:pt>
                <c:pt idx="22">
                  <c:v>2017</c:v>
                </c:pt>
                <c:pt idx="23">
                  <c:v>2018</c:v>
                </c:pt>
                <c:pt idx="24">
                  <c:v>2019</c:v>
                </c:pt>
              </c:strCache>
            </c:strRef>
          </c:cat>
          <c:val>
            <c:numRef>
              <c:f>'GRAF-13'!$B$10:$Z$10</c:f>
              <c:numCache>
                <c:formatCode>#\ ##0.0</c:formatCode>
                <c:ptCount val="25"/>
                <c:pt idx="0" formatCode="#,##0">
                  <c:v>34.026304021471347</c:v>
                </c:pt>
                <c:pt idx="1">
                  <c:v>35.698493281206886</c:v>
                </c:pt>
                <c:pt idx="2">
                  <c:v>36.322302192234176</c:v>
                </c:pt>
                <c:pt idx="3">
                  <c:v>36.479620531531417</c:v>
                </c:pt>
                <c:pt idx="4">
                  <c:v>40.314217335465614</c:v>
                </c:pt>
                <c:pt idx="5">
                  <c:v>44.654301480031656</c:v>
                </c:pt>
                <c:pt idx="6">
                  <c:v>48.052548817482318</c:v>
                </c:pt>
                <c:pt idx="7">
                  <c:v>50.679381310369777</c:v>
                </c:pt>
                <c:pt idx="8">
                  <c:v>52.89429509767961</c:v>
                </c:pt>
                <c:pt idx="9">
                  <c:v>56.393835001763705</c:v>
                </c:pt>
                <c:pt idx="10">
                  <c:v>62.573000083564899</c:v>
                </c:pt>
                <c:pt idx="11">
                  <c:v>75.911952731709675</c:v>
                </c:pt>
                <c:pt idx="12">
                  <c:v>78.989508879989216</c:v>
                </c:pt>
                <c:pt idx="13">
                  <c:v>84.620445793883164</c:v>
                </c:pt>
                <c:pt idx="14">
                  <c:v>82.006442255338982</c:v>
                </c:pt>
                <c:pt idx="15">
                  <c:v>91.380506915009249</c:v>
                </c:pt>
                <c:pt idx="16">
                  <c:v>98.168814829612984</c:v>
                </c:pt>
                <c:pt idx="17">
                  <c:v>94.688695199020941</c:v>
                </c:pt>
                <c:pt idx="18">
                  <c:v>93.669503327019484</c:v>
                </c:pt>
                <c:pt idx="19">
                  <c:v>95.481797788101019</c:v>
                </c:pt>
                <c:pt idx="20">
                  <c:v>100</c:v>
                </c:pt>
                <c:pt idx="21">
                  <c:v>101.57876869127035</c:v>
                </c:pt>
                <c:pt idx="22">
                  <c:v>110.0277919817694</c:v>
                </c:pt>
                <c:pt idx="23">
                  <c:v>110.12869881162206</c:v>
                </c:pt>
                <c:pt idx="24">
                  <c:v>114.59756840444012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A6FC-4EC0-8067-9E685671BB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167600"/>
        <c:axId val="281211184"/>
      </c:lineChart>
      <c:lineChart>
        <c:grouping val="standard"/>
        <c:varyColors val="0"/>
        <c:ser>
          <c:idx val="3"/>
          <c:order val="3"/>
          <c:tx>
            <c:strRef>
              <c:f>'GRAF-13'!$A$7</c:f>
              <c:strCache>
                <c:ptCount val="1"/>
                <c:pt idx="0">
                  <c:v>Hod. produktivita (průmysl, pravá osa)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diamond"/>
            <c:size val="6"/>
            <c:spPr>
              <a:solidFill>
                <a:srgbClr val="92D050"/>
              </a:solidFill>
              <a:ln w="9525">
                <a:noFill/>
              </a:ln>
              <a:effectLst/>
            </c:spPr>
          </c:marker>
          <c:cat>
            <c:strRef>
              <c:f>'GRAF-13'!$B$3:$Z$3</c:f>
              <c:strCache>
                <c:ptCount val="25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  <c:pt idx="21">
                  <c:v>2016</c:v>
                </c:pt>
                <c:pt idx="22">
                  <c:v>2017</c:v>
                </c:pt>
                <c:pt idx="23">
                  <c:v>2018</c:v>
                </c:pt>
                <c:pt idx="24">
                  <c:v>2019</c:v>
                </c:pt>
              </c:strCache>
            </c:strRef>
          </c:cat>
          <c:val>
            <c:numRef>
              <c:f>'GRAF-13'!$B$7:$Z$7</c:f>
              <c:numCache>
                <c:formatCode>#\ ##0.0</c:formatCode>
                <c:ptCount val="25"/>
                <c:pt idx="1">
                  <c:v>4.9435022658862522</c:v>
                </c:pt>
                <c:pt idx="2">
                  <c:v>-1.2447996745067229</c:v>
                </c:pt>
                <c:pt idx="3">
                  <c:v>-1.182504883206974</c:v>
                </c:pt>
                <c:pt idx="4">
                  <c:v>8.7041891836475003</c:v>
                </c:pt>
                <c:pt idx="5">
                  <c:v>11.010696380488042</c:v>
                </c:pt>
                <c:pt idx="6">
                  <c:v>7.4085060648294103</c:v>
                </c:pt>
                <c:pt idx="7">
                  <c:v>4.6380067322830882</c:v>
                </c:pt>
                <c:pt idx="8">
                  <c:v>4.704737736230058</c:v>
                </c:pt>
                <c:pt idx="9">
                  <c:v>6.410397443371707</c:v>
                </c:pt>
                <c:pt idx="10">
                  <c:v>8.6966015107774268</c:v>
                </c:pt>
                <c:pt idx="11">
                  <c:v>18.233575040619556</c:v>
                </c:pt>
                <c:pt idx="12">
                  <c:v>3.22432293177053</c:v>
                </c:pt>
                <c:pt idx="13">
                  <c:v>6.6016527897990898</c:v>
                </c:pt>
                <c:pt idx="14">
                  <c:v>-3.6545132625257537</c:v>
                </c:pt>
                <c:pt idx="15">
                  <c:v>7.4124051338093437</c:v>
                </c:pt>
                <c:pt idx="16">
                  <c:v>4.1666133888302852</c:v>
                </c:pt>
                <c:pt idx="17">
                  <c:v>-3.1505730081969006</c:v>
                </c:pt>
                <c:pt idx="18">
                  <c:v>-2.7153829151038309</c:v>
                </c:pt>
                <c:pt idx="19">
                  <c:v>1.2421315124680774</c:v>
                </c:pt>
                <c:pt idx="20">
                  <c:v>2.8538567487423876</c:v>
                </c:pt>
                <c:pt idx="21">
                  <c:v>0.4062287751193594</c:v>
                </c:pt>
                <c:pt idx="22">
                  <c:v>7.4355776329361873</c:v>
                </c:pt>
                <c:pt idx="23">
                  <c:v>-0.36130276544596995</c:v>
                </c:pt>
                <c:pt idx="24">
                  <c:v>2.919470893953573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A6FC-4EC0-8067-9E685671BB1F}"/>
            </c:ext>
          </c:extLst>
        </c:ser>
        <c:ser>
          <c:idx val="7"/>
          <c:order val="7"/>
          <c:tx>
            <c:strRef>
              <c:f>'GRAF-13'!$A$11</c:f>
              <c:strCache>
                <c:ptCount val="1"/>
                <c:pt idx="0">
                  <c:v>Hodinová produktivita (NH, pravá osa)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00B050"/>
                </a:solidFill>
              </a:ln>
              <a:effectLst/>
            </c:spPr>
          </c:marker>
          <c:cat>
            <c:strRef>
              <c:f>'GRAF-13'!$B$3:$Z$3</c:f>
              <c:strCache>
                <c:ptCount val="25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  <c:pt idx="21">
                  <c:v>2016</c:v>
                </c:pt>
                <c:pt idx="22">
                  <c:v>2017</c:v>
                </c:pt>
                <c:pt idx="23">
                  <c:v>2018</c:v>
                </c:pt>
                <c:pt idx="24">
                  <c:v>2019</c:v>
                </c:pt>
              </c:strCache>
            </c:strRef>
          </c:cat>
          <c:val>
            <c:numRef>
              <c:f>'GRAF-13'!$B$11:$Z$11</c:f>
              <c:numCache>
                <c:formatCode>#\ ##0.0</c:formatCode>
                <c:ptCount val="25"/>
                <c:pt idx="1">
                  <c:v>3.5223026026392148</c:v>
                </c:pt>
                <c:pt idx="2">
                  <c:v>-0.99690617184829478</c:v>
                </c:pt>
                <c:pt idx="3">
                  <c:v>0.17320491603894084</c:v>
                </c:pt>
                <c:pt idx="4">
                  <c:v>2.0321265857627537</c:v>
                </c:pt>
                <c:pt idx="5">
                  <c:v>4.6080498569464226</c:v>
                </c:pt>
                <c:pt idx="6">
                  <c:v>7.7062937179539688</c:v>
                </c:pt>
                <c:pt idx="7">
                  <c:v>2.011435578256112</c:v>
                </c:pt>
                <c:pt idx="8">
                  <c:v>4.5581869483818593</c:v>
                </c:pt>
                <c:pt idx="9">
                  <c:v>4.2073321376042969</c:v>
                </c:pt>
                <c:pt idx="10">
                  <c:v>5.3669771566960094</c:v>
                </c:pt>
                <c:pt idx="11">
                  <c:v>6.6647605363156686</c:v>
                </c:pt>
                <c:pt idx="12">
                  <c:v>3.9592248438487587</c:v>
                </c:pt>
                <c:pt idx="13">
                  <c:v>0.53862254074677196</c:v>
                </c:pt>
                <c:pt idx="14">
                  <c:v>-2.951120597783131</c:v>
                </c:pt>
                <c:pt idx="15">
                  <c:v>2.9047734193791968</c:v>
                </c:pt>
                <c:pt idx="16">
                  <c:v>1.6745201714990969</c:v>
                </c:pt>
                <c:pt idx="17">
                  <c:v>0.35982993468431346</c:v>
                </c:pt>
                <c:pt idx="18">
                  <c:v>0.34931848754797556</c:v>
                </c:pt>
                <c:pt idx="19">
                  <c:v>1.7453336984229111</c:v>
                </c:pt>
                <c:pt idx="20">
                  <c:v>4.6638102882058803</c:v>
                </c:pt>
                <c:pt idx="21">
                  <c:v>-0.38957440607320848</c:v>
                </c:pt>
                <c:pt idx="22">
                  <c:v>3.4566998364623345</c:v>
                </c:pt>
                <c:pt idx="23">
                  <c:v>1.5504529817671084</c:v>
                </c:pt>
                <c:pt idx="24">
                  <c:v>1.9748403698627044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A6FC-4EC0-8067-9E685671BB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8438815"/>
        <c:axId val="738432991"/>
      </c:lineChart>
      <c:catAx>
        <c:axId val="21116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94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81211184"/>
        <c:crosses val="autoZero"/>
        <c:auto val="1"/>
        <c:lblAlgn val="ctr"/>
        <c:lblOffset val="0"/>
        <c:noMultiLvlLbl val="0"/>
      </c:catAx>
      <c:valAx>
        <c:axId val="281211184"/>
        <c:scaling>
          <c:orientation val="minMax"/>
          <c:max val="120"/>
          <c:min val="3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1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800" i="1">
                    <a:latin typeface="Arial" panose="020B0604020202020204" pitchFamily="34" charset="0"/>
                    <a:cs typeface="Arial" panose="020B0604020202020204" pitchFamily="34" charset="0"/>
                  </a:rPr>
                  <a:t>Produktivita</a:t>
                </a:r>
                <a:r>
                  <a:rPr lang="cs-CZ" sz="800" i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 (úroveň roku 2015 = 100)</a:t>
                </a:r>
                <a:endParaRPr lang="cs-CZ" sz="800" i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1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11167600"/>
        <c:crosses val="autoZero"/>
        <c:crossBetween val="midCat"/>
        <c:majorUnit val="10"/>
        <c:minorUnit val="1"/>
      </c:valAx>
      <c:valAx>
        <c:axId val="738432991"/>
        <c:scaling>
          <c:orientation val="minMax"/>
          <c:max val="35"/>
          <c:min val="-1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1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800" i="1">
                    <a:latin typeface="Arial" panose="020B0604020202020204" pitchFamily="34" charset="0"/>
                    <a:cs typeface="Arial" panose="020B0604020202020204" pitchFamily="34" charset="0"/>
                  </a:rPr>
                  <a:t>Produktivita</a:t>
                </a:r>
                <a:r>
                  <a:rPr lang="cs-CZ" sz="800" i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 (meziroční změna v %)</a:t>
                </a:r>
                <a:endParaRPr lang="cs-CZ" sz="800" i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1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,##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38438815"/>
        <c:crosses val="max"/>
        <c:crossBetween val="between"/>
      </c:valAx>
      <c:catAx>
        <c:axId val="738438815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38432991"/>
        <c:crosses val="autoZero"/>
        <c:auto val="1"/>
        <c:lblAlgn val="ctr"/>
        <c:lblOffset val="100"/>
        <c:noMultiLvlLbl val="0"/>
      </c:catAx>
      <c:spPr>
        <a:noFill/>
        <a:ln w="6350">
          <a:solidFill>
            <a:schemeClr val="tx1">
              <a:lumMod val="95000"/>
              <a:lumOff val="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4.8716844526170755E-2"/>
          <c:y val="0.8640369983606252"/>
          <c:w val="0.91140532583127709"/>
          <c:h val="0.1288058825883073"/>
        </c:manualLayout>
      </c:layout>
      <c:overlay val="0"/>
      <c:spPr>
        <a:noFill/>
        <a:ln w="6350">
          <a:solidFill>
            <a:schemeClr val="tx1">
              <a:lumMod val="95000"/>
              <a:lumOff val="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2614237686674525E-2"/>
          <c:y val="2.0864272307841863E-2"/>
          <c:w val="0.89277335047707873"/>
          <c:h val="0.7438225747609214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'GRAF-14'!$E$4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'GRAF-14'!$B$5:$B$31</c:f>
              <c:strCache>
                <c:ptCount val="27"/>
                <c:pt idx="0">
                  <c:v>Energetika</c:v>
                </c:pt>
                <c:pt idx="1">
                  <c:v>PC, elektr.,optic. př.</c:v>
                </c:pt>
                <c:pt idx="2">
                  <c:v>Farmaceutický pr.</c:v>
                </c:pt>
                <c:pt idx="3">
                  <c:v>(Petro-)chemic. pr.</c:v>
                </c:pt>
                <c:pt idx="4">
                  <c:v>Výroba nápojů</c:v>
                </c:pt>
                <c:pt idx="5">
                  <c:v>Výroba motor. voz.</c:v>
                </c:pt>
                <c:pt idx="6">
                  <c:v>Těžební pr.</c:v>
                </c:pt>
                <c:pt idx="7">
                  <c:v>Úprava, rozvod vody</c:v>
                </c:pt>
                <c:pt idx="8">
                  <c:v>Papírenský pr.</c:v>
                </c:pt>
                <c:pt idx="9">
                  <c:v>Stavební materiály</c:v>
                </c:pt>
                <c:pt idx="10">
                  <c:v>Gumáren., plastikář.</c:v>
                </c:pt>
                <c:pt idx="11">
                  <c:v>Ostatní dopravní pr.</c:v>
                </c:pt>
                <c:pt idx="12">
                  <c:v>Opravy, instal.strojů</c:v>
                </c:pt>
                <c:pt idx="13">
                  <c:v>Výroba elektric. zař.</c:v>
                </c:pt>
                <c:pt idx="14">
                  <c:v>Hutnictví, slévárenství</c:v>
                </c:pt>
                <c:pt idx="15">
                  <c:v>Strojírenský pr.</c:v>
                </c:pt>
                <c:pt idx="16">
                  <c:v>Kovodělný pr.</c:v>
                </c:pt>
                <c:pt idx="17">
                  <c:v>Odpadové hosp.</c:v>
                </c:pt>
                <c:pt idx="18">
                  <c:v>Ostatní zprac. pr.</c:v>
                </c:pt>
                <c:pt idx="19">
                  <c:v>Textilní pr.</c:v>
                </c:pt>
                <c:pt idx="20">
                  <c:v>Potravinář. pr.</c:v>
                </c:pt>
                <c:pt idx="21">
                  <c:v>Tiskařský pr.</c:v>
                </c:pt>
                <c:pt idx="22">
                  <c:v>Dřevozprac. pr.</c:v>
                </c:pt>
                <c:pt idx="23">
                  <c:v>Nábytkářský pr.</c:v>
                </c:pt>
                <c:pt idx="24">
                  <c:v>Kožedělný pr.</c:v>
                </c:pt>
                <c:pt idx="25">
                  <c:v>Oděvní pr.</c:v>
                </c:pt>
                <c:pt idx="26">
                  <c:v>Průmysl celkem</c:v>
                </c:pt>
              </c:strCache>
            </c:strRef>
          </c:cat>
          <c:val>
            <c:numRef>
              <c:f>'GRAF-14'!$E$5:$E$31</c:f>
              <c:numCache>
                <c:formatCode>0.0</c:formatCode>
                <c:ptCount val="27"/>
                <c:pt idx="0">
                  <c:v>381.62876952462062</c:v>
                </c:pt>
                <c:pt idx="1">
                  <c:v>168.72524265363336</c:v>
                </c:pt>
                <c:pt idx="2">
                  <c:v>163.8748752688104</c:v>
                </c:pt>
                <c:pt idx="3">
                  <c:v>163.60669915228786</c:v>
                </c:pt>
                <c:pt idx="4">
                  <c:v>161.7537234486916</c:v>
                </c:pt>
                <c:pt idx="5">
                  <c:v>149.82390445603781</c:v>
                </c:pt>
                <c:pt idx="6">
                  <c:v>129.11950166157447</c:v>
                </c:pt>
                <c:pt idx="7">
                  <c:v>125.34303368899442</c:v>
                </c:pt>
                <c:pt idx="8">
                  <c:v>121.90856169675128</c:v>
                </c:pt>
                <c:pt idx="9">
                  <c:v>107.18371727405224</c:v>
                </c:pt>
                <c:pt idx="10">
                  <c:v>102.37483399920684</c:v>
                </c:pt>
                <c:pt idx="11">
                  <c:v>100.09980670453157</c:v>
                </c:pt>
                <c:pt idx="12">
                  <c:v>94.483909453673931</c:v>
                </c:pt>
                <c:pt idx="13">
                  <c:v>90.181236998343223</c:v>
                </c:pt>
                <c:pt idx="14">
                  <c:v>87.403747992806842</c:v>
                </c:pt>
                <c:pt idx="15">
                  <c:v>84.394366279276781</c:v>
                </c:pt>
                <c:pt idx="16">
                  <c:v>76.69808288134108</c:v>
                </c:pt>
                <c:pt idx="17">
                  <c:v>75.367111803307424</c:v>
                </c:pt>
                <c:pt idx="18">
                  <c:v>70.281132819466947</c:v>
                </c:pt>
                <c:pt idx="19">
                  <c:v>66.147329968986853</c:v>
                </c:pt>
                <c:pt idx="20">
                  <c:v>65.722654428973911</c:v>
                </c:pt>
                <c:pt idx="21">
                  <c:v>65.195954667017773</c:v>
                </c:pt>
                <c:pt idx="22">
                  <c:v>59.983136869707586</c:v>
                </c:pt>
                <c:pt idx="23">
                  <c:v>52.351197440235687</c:v>
                </c:pt>
                <c:pt idx="24">
                  <c:v>51.081023755378098</c:v>
                </c:pt>
                <c:pt idx="25">
                  <c:v>38.262786792666894</c:v>
                </c:pt>
                <c:pt idx="26">
                  <c:v>105.60827657782892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73-43BB-99CC-502D089068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"/>
        <c:overlap val="54"/>
        <c:axId val="211167600"/>
        <c:axId val="281211184"/>
      </c:barChart>
      <c:lineChart>
        <c:grouping val="standard"/>
        <c:varyColors val="0"/>
        <c:ser>
          <c:idx val="0"/>
          <c:order val="0"/>
          <c:tx>
            <c:strRef>
              <c:f>'GRAF-14'!$C$4</c:f>
              <c:strCache>
                <c:ptCount val="1"/>
                <c:pt idx="0">
                  <c:v>2005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0070C0"/>
              </a:solidFill>
              <a:ln w="9525">
                <a:solidFill>
                  <a:srgbClr val="0070C0"/>
                </a:solidFill>
              </a:ln>
              <a:effectLst/>
            </c:spPr>
          </c:marker>
          <c:cat>
            <c:strRef>
              <c:f>'GRAF-14'!$B$5:$B$31</c:f>
              <c:strCache>
                <c:ptCount val="27"/>
                <c:pt idx="0">
                  <c:v>Energetika</c:v>
                </c:pt>
                <c:pt idx="1">
                  <c:v>PC, elektr.,optic. př.</c:v>
                </c:pt>
                <c:pt idx="2">
                  <c:v>Farmaceutický pr.</c:v>
                </c:pt>
                <c:pt idx="3">
                  <c:v>(Petro-)chemic. pr.</c:v>
                </c:pt>
                <c:pt idx="4">
                  <c:v>Výroba nápojů</c:v>
                </c:pt>
                <c:pt idx="5">
                  <c:v>Výroba motor. voz.</c:v>
                </c:pt>
                <c:pt idx="6">
                  <c:v>Těžební pr.</c:v>
                </c:pt>
                <c:pt idx="7">
                  <c:v>Úprava, rozvod vody</c:v>
                </c:pt>
                <c:pt idx="8">
                  <c:v>Papírenský pr.</c:v>
                </c:pt>
                <c:pt idx="9">
                  <c:v>Stavební materiály</c:v>
                </c:pt>
                <c:pt idx="10">
                  <c:v>Gumáren., plastikář.</c:v>
                </c:pt>
                <c:pt idx="11">
                  <c:v>Ostatní dopravní pr.</c:v>
                </c:pt>
                <c:pt idx="12">
                  <c:v>Opravy, instal.strojů</c:v>
                </c:pt>
                <c:pt idx="13">
                  <c:v>Výroba elektric. zař.</c:v>
                </c:pt>
                <c:pt idx="14">
                  <c:v>Hutnictví, slévárenství</c:v>
                </c:pt>
                <c:pt idx="15">
                  <c:v>Strojírenský pr.</c:v>
                </c:pt>
                <c:pt idx="16">
                  <c:v>Kovodělný pr.</c:v>
                </c:pt>
                <c:pt idx="17">
                  <c:v>Odpadové hosp.</c:v>
                </c:pt>
                <c:pt idx="18">
                  <c:v>Ostatní zprac. pr.</c:v>
                </c:pt>
                <c:pt idx="19">
                  <c:v>Textilní pr.</c:v>
                </c:pt>
                <c:pt idx="20">
                  <c:v>Potravinář. pr.</c:v>
                </c:pt>
                <c:pt idx="21">
                  <c:v>Tiskařský pr.</c:v>
                </c:pt>
                <c:pt idx="22">
                  <c:v>Dřevozprac. pr.</c:v>
                </c:pt>
                <c:pt idx="23">
                  <c:v>Nábytkářský pr.</c:v>
                </c:pt>
                <c:pt idx="24">
                  <c:v>Kožedělný pr.</c:v>
                </c:pt>
                <c:pt idx="25">
                  <c:v>Oděvní pr.</c:v>
                </c:pt>
                <c:pt idx="26">
                  <c:v>Průmysl celkem</c:v>
                </c:pt>
              </c:strCache>
            </c:strRef>
          </c:cat>
          <c:val>
            <c:numRef>
              <c:f>'GRAF-14'!$C$5:$C$31</c:f>
              <c:numCache>
                <c:formatCode>0.0</c:formatCode>
                <c:ptCount val="27"/>
                <c:pt idx="0">
                  <c:v>473.53542221208801</c:v>
                </c:pt>
                <c:pt idx="1">
                  <c:v>126.73838581822766</c:v>
                </c:pt>
                <c:pt idx="2">
                  <c:v>204.05227922016263</c:v>
                </c:pt>
                <c:pt idx="3">
                  <c:v>168.87364036429119</c:v>
                </c:pt>
                <c:pt idx="4">
                  <c:v>168.3387681002672</c:v>
                </c:pt>
                <c:pt idx="5">
                  <c:v>152.99990534443711</c:v>
                </c:pt>
                <c:pt idx="6">
                  <c:v>151.3777347535426</c:v>
                </c:pt>
                <c:pt idx="7">
                  <c:v>121.95301422880618</c:v>
                </c:pt>
                <c:pt idx="8">
                  <c:v>131.72335953230134</c:v>
                </c:pt>
                <c:pt idx="9">
                  <c:v>109.1967279139859</c:v>
                </c:pt>
                <c:pt idx="10">
                  <c:v>108.50351547393289</c:v>
                </c:pt>
                <c:pt idx="11">
                  <c:v>106.07014604789349</c:v>
                </c:pt>
                <c:pt idx="12">
                  <c:v>95.406339610978392</c:v>
                </c:pt>
                <c:pt idx="13">
                  <c:v>80.622511155371342</c:v>
                </c:pt>
                <c:pt idx="14">
                  <c:v>152.72092349137472</c:v>
                </c:pt>
                <c:pt idx="15">
                  <c:v>83.075168477742679</c:v>
                </c:pt>
                <c:pt idx="16">
                  <c:v>69.645016502408893</c:v>
                </c:pt>
                <c:pt idx="17">
                  <c:v>94.225468667161522</c:v>
                </c:pt>
                <c:pt idx="18">
                  <c:v>60.195946308672831</c:v>
                </c:pt>
                <c:pt idx="19">
                  <c:v>59.846689863522585</c:v>
                </c:pt>
                <c:pt idx="20">
                  <c:v>71.404963831102251</c:v>
                </c:pt>
                <c:pt idx="21">
                  <c:v>68.5300824010273</c:v>
                </c:pt>
                <c:pt idx="22">
                  <c:v>46.507745638215525</c:v>
                </c:pt>
                <c:pt idx="23">
                  <c:v>60.950001081624869</c:v>
                </c:pt>
                <c:pt idx="24">
                  <c:v>37.986215115287067</c:v>
                </c:pt>
                <c:pt idx="25">
                  <c:v>33.084625750870337</c:v>
                </c:pt>
                <c:pt idx="26">
                  <c:v>104.63687264760789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173-43BB-99CC-502D08906891}"/>
            </c:ext>
          </c:extLst>
        </c:ser>
        <c:ser>
          <c:idx val="1"/>
          <c:order val="1"/>
          <c:tx>
            <c:strRef>
              <c:f>'GRAF-14'!$D$4</c:f>
              <c:strCache>
                <c:ptCount val="1"/>
                <c:pt idx="0">
                  <c:v>2013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00B0F0"/>
                </a:solidFill>
              </a:ln>
              <a:effectLst/>
            </c:spPr>
          </c:marker>
          <c:cat>
            <c:strRef>
              <c:f>'GRAF-14'!$B$5:$B$31</c:f>
              <c:strCache>
                <c:ptCount val="27"/>
                <c:pt idx="0">
                  <c:v>Energetika</c:v>
                </c:pt>
                <c:pt idx="1">
                  <c:v>PC, elektr.,optic. př.</c:v>
                </c:pt>
                <c:pt idx="2">
                  <c:v>Farmaceutický pr.</c:v>
                </c:pt>
                <c:pt idx="3">
                  <c:v>(Petro-)chemic. pr.</c:v>
                </c:pt>
                <c:pt idx="4">
                  <c:v>Výroba nápojů</c:v>
                </c:pt>
                <c:pt idx="5">
                  <c:v>Výroba motor. voz.</c:v>
                </c:pt>
                <c:pt idx="6">
                  <c:v>Těžební pr.</c:v>
                </c:pt>
                <c:pt idx="7">
                  <c:v>Úprava, rozvod vody</c:v>
                </c:pt>
                <c:pt idx="8">
                  <c:v>Papírenský pr.</c:v>
                </c:pt>
                <c:pt idx="9">
                  <c:v>Stavební materiály</c:v>
                </c:pt>
                <c:pt idx="10">
                  <c:v>Gumáren., plastikář.</c:v>
                </c:pt>
                <c:pt idx="11">
                  <c:v>Ostatní dopravní pr.</c:v>
                </c:pt>
                <c:pt idx="12">
                  <c:v>Opravy, instal.strojů</c:v>
                </c:pt>
                <c:pt idx="13">
                  <c:v>Výroba elektric. zař.</c:v>
                </c:pt>
                <c:pt idx="14">
                  <c:v>Hutnictví, slévárenství</c:v>
                </c:pt>
                <c:pt idx="15">
                  <c:v>Strojírenský pr.</c:v>
                </c:pt>
                <c:pt idx="16">
                  <c:v>Kovodělný pr.</c:v>
                </c:pt>
                <c:pt idx="17">
                  <c:v>Odpadové hosp.</c:v>
                </c:pt>
                <c:pt idx="18">
                  <c:v>Ostatní zprac. pr.</c:v>
                </c:pt>
                <c:pt idx="19">
                  <c:v>Textilní pr.</c:v>
                </c:pt>
                <c:pt idx="20">
                  <c:v>Potravinář. pr.</c:v>
                </c:pt>
                <c:pt idx="21">
                  <c:v>Tiskařský pr.</c:v>
                </c:pt>
                <c:pt idx="22">
                  <c:v>Dřevozprac. pr.</c:v>
                </c:pt>
                <c:pt idx="23">
                  <c:v>Nábytkářský pr.</c:v>
                </c:pt>
                <c:pt idx="24">
                  <c:v>Kožedělný pr.</c:v>
                </c:pt>
                <c:pt idx="25">
                  <c:v>Oděvní pr.</c:v>
                </c:pt>
                <c:pt idx="26">
                  <c:v>Průmysl celkem</c:v>
                </c:pt>
              </c:strCache>
            </c:strRef>
          </c:cat>
          <c:val>
            <c:numRef>
              <c:f>'GRAF-14'!$D$5:$D$31</c:f>
              <c:numCache>
                <c:formatCode>0.0</c:formatCode>
                <c:ptCount val="27"/>
                <c:pt idx="0">
                  <c:v>619.64670343749708</c:v>
                </c:pt>
                <c:pt idx="1">
                  <c:v>166.22226306718261</c:v>
                </c:pt>
                <c:pt idx="2">
                  <c:v>182.41277726826235</c:v>
                </c:pt>
                <c:pt idx="3">
                  <c:v>144.27805768926308</c:v>
                </c:pt>
                <c:pt idx="4">
                  <c:v>176.08711687908664</c:v>
                </c:pt>
                <c:pt idx="5">
                  <c:v>147.29790139889062</c:v>
                </c:pt>
                <c:pt idx="6">
                  <c:v>160.30843840189397</c:v>
                </c:pt>
                <c:pt idx="7">
                  <c:v>132.99114729385835</c:v>
                </c:pt>
                <c:pt idx="8">
                  <c:v>96.487331756581668</c:v>
                </c:pt>
                <c:pt idx="9">
                  <c:v>100.33956582870324</c:v>
                </c:pt>
                <c:pt idx="10">
                  <c:v>110.58167180485012</c:v>
                </c:pt>
                <c:pt idx="11">
                  <c:v>121.73505570017649</c:v>
                </c:pt>
                <c:pt idx="12">
                  <c:v>99.806957458073654</c:v>
                </c:pt>
                <c:pt idx="13">
                  <c:v>99.286747656514009</c:v>
                </c:pt>
                <c:pt idx="14">
                  <c:v>99.449990126735827</c:v>
                </c:pt>
                <c:pt idx="15">
                  <c:v>100.29814628986655</c:v>
                </c:pt>
                <c:pt idx="16">
                  <c:v>73.63932342824711</c:v>
                </c:pt>
                <c:pt idx="17">
                  <c:v>82.691244164908781</c:v>
                </c:pt>
                <c:pt idx="18">
                  <c:v>67.954399233120313</c:v>
                </c:pt>
                <c:pt idx="19">
                  <c:v>72.131450699153845</c:v>
                </c:pt>
                <c:pt idx="20">
                  <c:v>66.635505865333016</c:v>
                </c:pt>
                <c:pt idx="21">
                  <c:v>65.130232442545477</c:v>
                </c:pt>
                <c:pt idx="22">
                  <c:v>45.355095467385162</c:v>
                </c:pt>
                <c:pt idx="23">
                  <c:v>45.990364921470203</c:v>
                </c:pt>
                <c:pt idx="24">
                  <c:v>48.076408063117242</c:v>
                </c:pt>
                <c:pt idx="25">
                  <c:v>35.008100474384591</c:v>
                </c:pt>
                <c:pt idx="26">
                  <c:v>111.36968974783869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173-43BB-99CC-502D089068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167600"/>
        <c:axId val="281211184"/>
      </c:lineChart>
      <c:catAx>
        <c:axId val="21116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3000000" spcFirstLastPara="1" vertOverflow="ellipsis" wrap="square" anchor="ctr" anchorCtr="1"/>
          <a:lstStyle/>
          <a:p>
            <a:pPr>
              <a:defRPr sz="7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81211184"/>
        <c:crossesAt val="0"/>
        <c:auto val="1"/>
        <c:lblAlgn val="ctr"/>
        <c:lblOffset val="0"/>
        <c:noMultiLvlLbl val="0"/>
      </c:catAx>
      <c:valAx>
        <c:axId val="281211184"/>
        <c:scaling>
          <c:orientation val="minMax"/>
          <c:max val="230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1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800" i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Produktivita práce (NH = 100)</a:t>
                </a:r>
                <a:endParaRPr lang="cs-CZ" sz="800" i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2.445972464213012E-3"/>
              <c:y val="0.1914746663421139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1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0" sourceLinked="0"/>
        <c:majorTickMark val="none"/>
        <c:minorTickMark val="none"/>
        <c:tickLblPos val="low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11167600"/>
        <c:crossesAt val="1"/>
        <c:crossBetween val="between"/>
        <c:majorUnit val="10"/>
      </c:valAx>
      <c:spPr>
        <a:noFill/>
        <a:ln w="6350">
          <a:solidFill>
            <a:schemeClr val="tx1">
              <a:lumMod val="95000"/>
              <a:lumOff val="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0.6693137028075149"/>
          <c:y val="0.94142186368383385"/>
          <c:w val="0.24541444623659822"/>
          <c:h val="5.3676033498304361E-2"/>
        </c:manualLayout>
      </c:layout>
      <c:overlay val="0"/>
      <c:spPr>
        <a:noFill/>
        <a:ln w="6350">
          <a:solidFill>
            <a:schemeClr val="tx1">
              <a:lumMod val="95000"/>
              <a:lumOff val="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720528067116867E-2"/>
          <c:y val="1.6076749112545415E-2"/>
          <c:w val="0.93474964167894681"/>
          <c:h val="0.780599733891452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'GRAF-11'!$B$59</c:f>
              <c:strCache>
                <c:ptCount val="1"/>
                <c:pt idx="0">
                  <c:v>Muži (2018)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Pt>
            <c:idx val="16"/>
            <c:invertIfNegative val="0"/>
            <c:bubble3D val="0"/>
            <c:spPr>
              <a:solidFill>
                <a:srgbClr val="69A4D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A78-418D-B4A3-BD00851EF9E9}"/>
              </c:ext>
            </c:extLst>
          </c:dPt>
          <c:cat>
            <c:strRef>
              <c:f>'GRAF-11'!$A$60:$A$91</c:f>
              <c:strCache>
                <c:ptCount val="32"/>
                <c:pt idx="0">
                  <c:v>Dánsko</c:v>
                </c:pt>
                <c:pt idx="1">
                  <c:v>Německo</c:v>
                </c:pt>
                <c:pt idx="2">
                  <c:v>Belgie</c:v>
                </c:pt>
                <c:pt idx="3">
                  <c:v>Irsko</c:v>
                </c:pt>
                <c:pt idx="4">
                  <c:v>Švédsko</c:v>
                </c:pt>
                <c:pt idx="5">
                  <c:v>Nizozemsko</c:v>
                </c:pt>
                <c:pt idx="6">
                  <c:v>Finsko</c:v>
                </c:pt>
                <c:pt idx="7">
                  <c:v>Lucembursko</c:v>
                </c:pt>
                <c:pt idx="8">
                  <c:v>Rakousko</c:v>
                </c:pt>
                <c:pt idx="9">
                  <c:v>Francie</c:v>
                </c:pt>
                <c:pt idx="10">
                  <c:v>Itálie</c:v>
                </c:pt>
                <c:pt idx="11">
                  <c:v>Malta</c:v>
                </c:pt>
                <c:pt idx="12">
                  <c:v>Španělsko</c:v>
                </c:pt>
                <c:pt idx="13">
                  <c:v>Slovinsko</c:v>
                </c:pt>
                <c:pt idx="14">
                  <c:v>Kypr</c:v>
                </c:pt>
                <c:pt idx="15">
                  <c:v>Polsko</c:v>
                </c:pt>
                <c:pt idx="16">
                  <c:v>Česko</c:v>
                </c:pt>
                <c:pt idx="17">
                  <c:v>Estonsko</c:v>
                </c:pt>
                <c:pt idx="18">
                  <c:v>Slovensko</c:v>
                </c:pt>
                <c:pt idx="19">
                  <c:v>Maďarsko</c:v>
                </c:pt>
                <c:pt idx="20">
                  <c:v>Chorvatsko</c:v>
                </c:pt>
                <c:pt idx="21">
                  <c:v>Rumunsko</c:v>
                </c:pt>
                <c:pt idx="22">
                  <c:v>Litva</c:v>
                </c:pt>
                <c:pt idx="23">
                  <c:v>Lotyšsko</c:v>
                </c:pt>
                <c:pt idx="24">
                  <c:v>Portugalsko</c:v>
                </c:pt>
                <c:pt idx="25">
                  <c:v>Bulharsko</c:v>
                </c:pt>
                <c:pt idx="26">
                  <c:v>Norsko</c:v>
                </c:pt>
                <c:pt idx="27">
                  <c:v>Švýcarsko</c:v>
                </c:pt>
                <c:pt idx="28">
                  <c:v>Island</c:v>
                </c:pt>
                <c:pt idx="29">
                  <c:v>Velká Británie</c:v>
                </c:pt>
                <c:pt idx="30">
                  <c:v>Srbsko</c:v>
                </c:pt>
                <c:pt idx="31">
                  <c:v>Albánie</c:v>
                </c:pt>
              </c:strCache>
            </c:strRef>
          </c:cat>
          <c:val>
            <c:numRef>
              <c:f>'GRAF-11'!$B$60:$B$91</c:f>
              <c:numCache>
                <c:formatCode>#,##0.00</c:formatCode>
                <c:ptCount val="32"/>
                <c:pt idx="0" formatCode="#\ ##0.0">
                  <c:v>24.7</c:v>
                </c:pt>
                <c:pt idx="1">
                  <c:v>23.02</c:v>
                </c:pt>
                <c:pt idx="2">
                  <c:v>19.489999999999998</c:v>
                </c:pt>
                <c:pt idx="3">
                  <c:v>18.600000000000001</c:v>
                </c:pt>
                <c:pt idx="4">
                  <c:v>17.98</c:v>
                </c:pt>
                <c:pt idx="5">
                  <c:v>18.510000000000002</c:v>
                </c:pt>
                <c:pt idx="6">
                  <c:v>17.690000000000001</c:v>
                </c:pt>
                <c:pt idx="7">
                  <c:v>17.61</c:v>
                </c:pt>
                <c:pt idx="8">
                  <c:v>18.04</c:v>
                </c:pt>
                <c:pt idx="9">
                  <c:v>17.5</c:v>
                </c:pt>
                <c:pt idx="10">
                  <c:v>15.01</c:v>
                </c:pt>
                <c:pt idx="11">
                  <c:v>14.39</c:v>
                </c:pt>
                <c:pt idx="12">
                  <c:v>14.02</c:v>
                </c:pt>
                <c:pt idx="13">
                  <c:v>11.38</c:v>
                </c:pt>
                <c:pt idx="14">
                  <c:v>11.01</c:v>
                </c:pt>
                <c:pt idx="15">
                  <c:v>10.46</c:v>
                </c:pt>
                <c:pt idx="16">
                  <c:v>10.62</c:v>
                </c:pt>
                <c:pt idx="17">
                  <c:v>10.01</c:v>
                </c:pt>
                <c:pt idx="18">
                  <c:v>9.49</c:v>
                </c:pt>
                <c:pt idx="19">
                  <c:v>9.1999999999999993</c:v>
                </c:pt>
                <c:pt idx="20">
                  <c:v>8.94</c:v>
                </c:pt>
                <c:pt idx="21">
                  <c:v>9.1300000000000008</c:v>
                </c:pt>
                <c:pt idx="22">
                  <c:v>8.91</c:v>
                </c:pt>
                <c:pt idx="23">
                  <c:v>8.31</c:v>
                </c:pt>
                <c:pt idx="24">
                  <c:v>8.14</c:v>
                </c:pt>
                <c:pt idx="25">
                  <c:v>6.58</c:v>
                </c:pt>
                <c:pt idx="26">
                  <c:v>23.59</c:v>
                </c:pt>
                <c:pt idx="27">
                  <c:v>23.82</c:v>
                </c:pt>
                <c:pt idx="28">
                  <c:v>17.89</c:v>
                </c:pt>
                <c:pt idx="29">
                  <c:v>17.09</c:v>
                </c:pt>
                <c:pt idx="30">
                  <c:v>6.63</c:v>
                </c:pt>
                <c:pt idx="31">
                  <c:v>4.37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A78-418D-B4A3-BD00851EF9E9}"/>
            </c:ext>
          </c:extLst>
        </c:ser>
        <c:ser>
          <c:idx val="1"/>
          <c:order val="1"/>
          <c:tx>
            <c:strRef>
              <c:f>'GRAF-11'!$C$59</c:f>
              <c:strCache>
                <c:ptCount val="1"/>
                <c:pt idx="0">
                  <c:v>Ženy (2018)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Pt>
            <c:idx val="16"/>
            <c:invertIfNegative val="0"/>
            <c:bubble3D val="0"/>
            <c:spPr>
              <a:solidFill>
                <a:srgbClr val="F19B6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3A78-418D-B4A3-BD00851EF9E9}"/>
              </c:ext>
            </c:extLst>
          </c:dPt>
          <c:cat>
            <c:strRef>
              <c:f>'GRAF-11'!$A$60:$A$91</c:f>
              <c:strCache>
                <c:ptCount val="32"/>
                <c:pt idx="0">
                  <c:v>Dánsko</c:v>
                </c:pt>
                <c:pt idx="1">
                  <c:v>Německo</c:v>
                </c:pt>
                <c:pt idx="2">
                  <c:v>Belgie</c:v>
                </c:pt>
                <c:pt idx="3">
                  <c:v>Irsko</c:v>
                </c:pt>
                <c:pt idx="4">
                  <c:v>Švédsko</c:v>
                </c:pt>
                <c:pt idx="5">
                  <c:v>Nizozemsko</c:v>
                </c:pt>
                <c:pt idx="6">
                  <c:v>Finsko</c:v>
                </c:pt>
                <c:pt idx="7">
                  <c:v>Lucembursko</c:v>
                </c:pt>
                <c:pt idx="8">
                  <c:v>Rakousko</c:v>
                </c:pt>
                <c:pt idx="9">
                  <c:v>Francie</c:v>
                </c:pt>
                <c:pt idx="10">
                  <c:v>Itálie</c:v>
                </c:pt>
                <c:pt idx="11">
                  <c:v>Malta</c:v>
                </c:pt>
                <c:pt idx="12">
                  <c:v>Španělsko</c:v>
                </c:pt>
                <c:pt idx="13">
                  <c:v>Slovinsko</c:v>
                </c:pt>
                <c:pt idx="14">
                  <c:v>Kypr</c:v>
                </c:pt>
                <c:pt idx="15">
                  <c:v>Polsko</c:v>
                </c:pt>
                <c:pt idx="16">
                  <c:v>Česko</c:v>
                </c:pt>
                <c:pt idx="17">
                  <c:v>Estonsko</c:v>
                </c:pt>
                <c:pt idx="18">
                  <c:v>Slovensko</c:v>
                </c:pt>
                <c:pt idx="19">
                  <c:v>Maďarsko</c:v>
                </c:pt>
                <c:pt idx="20">
                  <c:v>Chorvatsko</c:v>
                </c:pt>
                <c:pt idx="21">
                  <c:v>Rumunsko</c:v>
                </c:pt>
                <c:pt idx="22">
                  <c:v>Litva</c:v>
                </c:pt>
                <c:pt idx="23">
                  <c:v>Lotyšsko</c:v>
                </c:pt>
                <c:pt idx="24">
                  <c:v>Portugalsko</c:v>
                </c:pt>
                <c:pt idx="25">
                  <c:v>Bulharsko</c:v>
                </c:pt>
                <c:pt idx="26">
                  <c:v>Norsko</c:v>
                </c:pt>
                <c:pt idx="27">
                  <c:v>Švýcarsko</c:v>
                </c:pt>
                <c:pt idx="28">
                  <c:v>Island</c:v>
                </c:pt>
                <c:pt idx="29">
                  <c:v>Velká Británie</c:v>
                </c:pt>
                <c:pt idx="30">
                  <c:v>Srbsko</c:v>
                </c:pt>
                <c:pt idx="31">
                  <c:v>Albánie</c:v>
                </c:pt>
              </c:strCache>
            </c:strRef>
          </c:cat>
          <c:val>
            <c:numRef>
              <c:f>'GRAF-11'!$C$60:$C$91</c:f>
              <c:numCache>
                <c:formatCode>#,##0.00</c:formatCode>
                <c:ptCount val="32"/>
                <c:pt idx="0">
                  <c:v>22.06</c:v>
                </c:pt>
                <c:pt idx="1">
                  <c:v>17.829999999999998</c:v>
                </c:pt>
                <c:pt idx="2">
                  <c:v>17.39</c:v>
                </c:pt>
                <c:pt idx="3">
                  <c:v>16.739999999999998</c:v>
                </c:pt>
                <c:pt idx="4">
                  <c:v>17.22</c:v>
                </c:pt>
                <c:pt idx="5">
                  <c:v>14.94</c:v>
                </c:pt>
                <c:pt idx="6">
                  <c:v>16.190000000000001</c:v>
                </c:pt>
                <c:pt idx="7">
                  <c:v>15.84</c:v>
                </c:pt>
                <c:pt idx="8">
                  <c:v>14.21</c:v>
                </c:pt>
                <c:pt idx="9">
                  <c:v>15.16</c:v>
                </c:pt>
                <c:pt idx="10">
                  <c:v>12.81</c:v>
                </c:pt>
                <c:pt idx="11">
                  <c:v>11.09</c:v>
                </c:pt>
                <c:pt idx="12">
                  <c:v>11.72</c:v>
                </c:pt>
                <c:pt idx="13">
                  <c:v>9.7200000000000006</c:v>
                </c:pt>
                <c:pt idx="14">
                  <c:v>8.0299999999999994</c:v>
                </c:pt>
                <c:pt idx="15">
                  <c:v>8.4600000000000009</c:v>
                </c:pt>
                <c:pt idx="16">
                  <c:v>8.19</c:v>
                </c:pt>
                <c:pt idx="17">
                  <c:v>7.22</c:v>
                </c:pt>
                <c:pt idx="18">
                  <c:v>7.21</c:v>
                </c:pt>
                <c:pt idx="19">
                  <c:v>7.17</c:v>
                </c:pt>
                <c:pt idx="20">
                  <c:v>7.23</c:v>
                </c:pt>
                <c:pt idx="21">
                  <c:v>7.09</c:v>
                </c:pt>
                <c:pt idx="22">
                  <c:v>6.81</c:v>
                </c:pt>
                <c:pt idx="23">
                  <c:v>6.72</c:v>
                </c:pt>
                <c:pt idx="24">
                  <c:v>6.28</c:v>
                </c:pt>
                <c:pt idx="25">
                  <c:v>4.9400000000000004</c:v>
                </c:pt>
                <c:pt idx="26">
                  <c:v>21.37</c:v>
                </c:pt>
                <c:pt idx="27" formatCode="General">
                  <c:v>19.399999999999999</c:v>
                </c:pt>
                <c:pt idx="28">
                  <c:v>15.11</c:v>
                </c:pt>
                <c:pt idx="29">
                  <c:v>14.54</c:v>
                </c:pt>
                <c:pt idx="30" formatCode="#\ ##0.0">
                  <c:v>5.2</c:v>
                </c:pt>
                <c:pt idx="31">
                  <c:v>2.84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A78-418D-B4A3-BD00851EF9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0"/>
        <c:overlap val="24"/>
        <c:axId val="211167600"/>
        <c:axId val="281211184"/>
      </c:barChart>
      <c:lineChart>
        <c:grouping val="standard"/>
        <c:varyColors val="0"/>
        <c:ser>
          <c:idx val="2"/>
          <c:order val="2"/>
          <c:tx>
            <c:strRef>
              <c:f>'GRAF-11'!$D$59</c:f>
              <c:strCache>
                <c:ptCount val="1"/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cat>
            <c:strRef>
              <c:f>'GRAF-11'!$A$60:$A$91</c:f>
              <c:strCache>
                <c:ptCount val="32"/>
                <c:pt idx="0">
                  <c:v>Dánsko</c:v>
                </c:pt>
                <c:pt idx="1">
                  <c:v>Německo</c:v>
                </c:pt>
                <c:pt idx="2">
                  <c:v>Belgie</c:v>
                </c:pt>
                <c:pt idx="3">
                  <c:v>Irsko</c:v>
                </c:pt>
                <c:pt idx="4">
                  <c:v>Švédsko</c:v>
                </c:pt>
                <c:pt idx="5">
                  <c:v>Nizozemsko</c:v>
                </c:pt>
                <c:pt idx="6">
                  <c:v>Finsko</c:v>
                </c:pt>
                <c:pt idx="7">
                  <c:v>Lucembursko</c:v>
                </c:pt>
                <c:pt idx="8">
                  <c:v>Rakousko</c:v>
                </c:pt>
                <c:pt idx="9">
                  <c:v>Francie</c:v>
                </c:pt>
                <c:pt idx="10">
                  <c:v>Itálie</c:v>
                </c:pt>
                <c:pt idx="11">
                  <c:v>Malta</c:v>
                </c:pt>
                <c:pt idx="12">
                  <c:v>Španělsko</c:v>
                </c:pt>
                <c:pt idx="13">
                  <c:v>Slovinsko</c:v>
                </c:pt>
                <c:pt idx="14">
                  <c:v>Kypr</c:v>
                </c:pt>
                <c:pt idx="15">
                  <c:v>Polsko</c:v>
                </c:pt>
                <c:pt idx="16">
                  <c:v>Česko</c:v>
                </c:pt>
                <c:pt idx="17">
                  <c:v>Estonsko</c:v>
                </c:pt>
                <c:pt idx="18">
                  <c:v>Slovensko</c:v>
                </c:pt>
                <c:pt idx="19">
                  <c:v>Maďarsko</c:v>
                </c:pt>
                <c:pt idx="20">
                  <c:v>Chorvatsko</c:v>
                </c:pt>
                <c:pt idx="21">
                  <c:v>Rumunsko</c:v>
                </c:pt>
                <c:pt idx="22">
                  <c:v>Litva</c:v>
                </c:pt>
                <c:pt idx="23">
                  <c:v>Lotyšsko</c:v>
                </c:pt>
                <c:pt idx="24">
                  <c:v>Portugalsko</c:v>
                </c:pt>
                <c:pt idx="25">
                  <c:v>Bulharsko</c:v>
                </c:pt>
                <c:pt idx="26">
                  <c:v>Norsko</c:v>
                </c:pt>
                <c:pt idx="27">
                  <c:v>Švýcarsko</c:v>
                </c:pt>
                <c:pt idx="28">
                  <c:v>Island</c:v>
                </c:pt>
                <c:pt idx="29">
                  <c:v>Velká Británie</c:v>
                </c:pt>
                <c:pt idx="30">
                  <c:v>Srbsko</c:v>
                </c:pt>
                <c:pt idx="31">
                  <c:v>Albánie</c:v>
                </c:pt>
              </c:strCache>
            </c:strRef>
          </c:cat>
          <c:val>
            <c:numRef>
              <c:f>'GRAF-11'!$D$60:$D$91</c:f>
              <c:numCache>
                <c:formatCode>General</c:formatCode>
                <c:ptCount val="3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3A78-418D-B4A3-BD00851EF9E9}"/>
            </c:ext>
          </c:extLst>
        </c:ser>
        <c:ser>
          <c:idx val="3"/>
          <c:order val="3"/>
          <c:tx>
            <c:strRef>
              <c:f>'GRAF-11'!$E$59</c:f>
              <c:strCache>
                <c:ptCount val="1"/>
                <c:pt idx="0">
                  <c:v>Obě pohlaví (2014)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dash"/>
            <c:size val="7"/>
            <c:spPr>
              <a:solidFill>
                <a:srgbClr val="C00000"/>
              </a:solidFill>
              <a:ln w="9525">
                <a:noFill/>
              </a:ln>
              <a:effectLst/>
            </c:spPr>
          </c:marker>
          <c:cat>
            <c:strRef>
              <c:f>'GRAF-11'!$A$60:$A$91</c:f>
              <c:strCache>
                <c:ptCount val="32"/>
                <c:pt idx="0">
                  <c:v>Dánsko</c:v>
                </c:pt>
                <c:pt idx="1">
                  <c:v>Německo</c:v>
                </c:pt>
                <c:pt idx="2">
                  <c:v>Belgie</c:v>
                </c:pt>
                <c:pt idx="3">
                  <c:v>Irsko</c:v>
                </c:pt>
                <c:pt idx="4">
                  <c:v>Švédsko</c:v>
                </c:pt>
                <c:pt idx="5">
                  <c:v>Nizozemsko</c:v>
                </c:pt>
                <c:pt idx="6">
                  <c:v>Finsko</c:v>
                </c:pt>
                <c:pt idx="7">
                  <c:v>Lucembursko</c:v>
                </c:pt>
                <c:pt idx="8">
                  <c:v>Rakousko</c:v>
                </c:pt>
                <c:pt idx="9">
                  <c:v>Francie</c:v>
                </c:pt>
                <c:pt idx="10">
                  <c:v>Itálie</c:v>
                </c:pt>
                <c:pt idx="11">
                  <c:v>Malta</c:v>
                </c:pt>
                <c:pt idx="12">
                  <c:v>Španělsko</c:v>
                </c:pt>
                <c:pt idx="13">
                  <c:v>Slovinsko</c:v>
                </c:pt>
                <c:pt idx="14">
                  <c:v>Kypr</c:v>
                </c:pt>
                <c:pt idx="15">
                  <c:v>Polsko</c:v>
                </c:pt>
                <c:pt idx="16">
                  <c:v>Česko</c:v>
                </c:pt>
                <c:pt idx="17">
                  <c:v>Estonsko</c:v>
                </c:pt>
                <c:pt idx="18">
                  <c:v>Slovensko</c:v>
                </c:pt>
                <c:pt idx="19">
                  <c:v>Maďarsko</c:v>
                </c:pt>
                <c:pt idx="20">
                  <c:v>Chorvatsko</c:v>
                </c:pt>
                <c:pt idx="21">
                  <c:v>Rumunsko</c:v>
                </c:pt>
                <c:pt idx="22">
                  <c:v>Litva</c:v>
                </c:pt>
                <c:pt idx="23">
                  <c:v>Lotyšsko</c:v>
                </c:pt>
                <c:pt idx="24">
                  <c:v>Portugalsko</c:v>
                </c:pt>
                <c:pt idx="25">
                  <c:v>Bulharsko</c:v>
                </c:pt>
                <c:pt idx="26">
                  <c:v>Norsko</c:v>
                </c:pt>
                <c:pt idx="27">
                  <c:v>Švýcarsko</c:v>
                </c:pt>
                <c:pt idx="28">
                  <c:v>Island</c:v>
                </c:pt>
                <c:pt idx="29">
                  <c:v>Velká Británie</c:v>
                </c:pt>
                <c:pt idx="30">
                  <c:v>Srbsko</c:v>
                </c:pt>
                <c:pt idx="31">
                  <c:v>Albánie</c:v>
                </c:pt>
              </c:strCache>
            </c:strRef>
          </c:cat>
          <c:val>
            <c:numRef>
              <c:f>'GRAF-11'!$E$60:$E$91</c:f>
              <c:numCache>
                <c:formatCode>#,##0.00</c:formatCode>
                <c:ptCount val="32"/>
                <c:pt idx="0">
                  <c:v>22.39</c:v>
                </c:pt>
                <c:pt idx="1">
                  <c:v>20.68</c:v>
                </c:pt>
                <c:pt idx="2">
                  <c:v>18.78</c:v>
                </c:pt>
                <c:pt idx="3">
                  <c:v>19.27</c:v>
                </c:pt>
                <c:pt idx="4" formatCode="#,##0">
                  <c:v>18</c:v>
                </c:pt>
                <c:pt idx="5">
                  <c:v>17.38</c:v>
                </c:pt>
                <c:pt idx="6">
                  <c:v>17.579999999999998</c:v>
                </c:pt>
                <c:pt idx="7">
                  <c:v>17.39</c:v>
                </c:pt>
                <c:pt idx="8">
                  <c:v>16.59</c:v>
                </c:pt>
                <c:pt idx="9">
                  <c:v>16.809999999999999</c:v>
                </c:pt>
                <c:pt idx="10">
                  <c:v>14.03</c:v>
                </c:pt>
                <c:pt idx="11">
                  <c:v>11.14</c:v>
                </c:pt>
                <c:pt idx="12">
                  <c:v>13.59</c:v>
                </c:pt>
                <c:pt idx="13">
                  <c:v>10.57</c:v>
                </c:pt>
                <c:pt idx="14">
                  <c:v>10.06</c:v>
                </c:pt>
                <c:pt idx="15">
                  <c:v>9.35</c:v>
                </c:pt>
                <c:pt idx="16">
                  <c:v>8.4499999999999993</c:v>
                </c:pt>
                <c:pt idx="17">
                  <c:v>7.71</c:v>
                </c:pt>
                <c:pt idx="18">
                  <c:v>7.98</c:v>
                </c:pt>
                <c:pt idx="19" formatCode="#,##0">
                  <c:v>8</c:v>
                </c:pt>
                <c:pt idx="20">
                  <c:v>7.62</c:v>
                </c:pt>
                <c:pt idx="21">
                  <c:v>5.01</c:v>
                </c:pt>
                <c:pt idx="22">
                  <c:v>6.33</c:v>
                </c:pt>
                <c:pt idx="23">
                  <c:v>6.01</c:v>
                </c:pt>
                <c:pt idx="24" formatCode="#\ ##0.0">
                  <c:v>7.1</c:v>
                </c:pt>
                <c:pt idx="25">
                  <c:v>4.55</c:v>
                </c:pt>
                <c:pt idx="26">
                  <c:v>24.61</c:v>
                </c:pt>
                <c:pt idx="27" formatCode="#\ ##0.0">
                  <c:v>22.5</c:v>
                </c:pt>
                <c:pt idx="28">
                  <c:v>13.86</c:v>
                </c:pt>
                <c:pt idx="29">
                  <c:v>16.170000000000002</c:v>
                </c:pt>
                <c:pt idx="30">
                  <c:v>5.96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3A78-418D-B4A3-BD00851EF9E9}"/>
            </c:ext>
          </c:extLst>
        </c:ser>
        <c:ser>
          <c:idx val="4"/>
          <c:order val="4"/>
          <c:tx>
            <c:strRef>
              <c:f>'GRAF-11'!$F$59</c:f>
              <c:strCache>
                <c:ptCount val="1"/>
                <c:pt idx="0">
                  <c:v>Obě pohlaví (2010)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6"/>
            <c:spPr>
              <a:solidFill>
                <a:schemeClr val="bg1"/>
              </a:solidFill>
              <a:ln w="9525">
                <a:solidFill>
                  <a:schemeClr val="bg1">
                    <a:lumMod val="75000"/>
                  </a:schemeClr>
                </a:solidFill>
              </a:ln>
              <a:effectLst/>
            </c:spPr>
          </c:marker>
          <c:cat>
            <c:strRef>
              <c:f>'GRAF-11'!$A$60:$A$91</c:f>
              <c:strCache>
                <c:ptCount val="32"/>
                <c:pt idx="0">
                  <c:v>Dánsko</c:v>
                </c:pt>
                <c:pt idx="1">
                  <c:v>Německo</c:v>
                </c:pt>
                <c:pt idx="2">
                  <c:v>Belgie</c:v>
                </c:pt>
                <c:pt idx="3">
                  <c:v>Irsko</c:v>
                </c:pt>
                <c:pt idx="4">
                  <c:v>Švédsko</c:v>
                </c:pt>
                <c:pt idx="5">
                  <c:v>Nizozemsko</c:v>
                </c:pt>
                <c:pt idx="6">
                  <c:v>Finsko</c:v>
                </c:pt>
                <c:pt idx="7">
                  <c:v>Lucembursko</c:v>
                </c:pt>
                <c:pt idx="8">
                  <c:v>Rakousko</c:v>
                </c:pt>
                <c:pt idx="9">
                  <c:v>Francie</c:v>
                </c:pt>
                <c:pt idx="10">
                  <c:v>Itálie</c:v>
                </c:pt>
                <c:pt idx="11">
                  <c:v>Malta</c:v>
                </c:pt>
                <c:pt idx="12">
                  <c:v>Španělsko</c:v>
                </c:pt>
                <c:pt idx="13">
                  <c:v>Slovinsko</c:v>
                </c:pt>
                <c:pt idx="14">
                  <c:v>Kypr</c:v>
                </c:pt>
                <c:pt idx="15">
                  <c:v>Polsko</c:v>
                </c:pt>
                <c:pt idx="16">
                  <c:v>Česko</c:v>
                </c:pt>
                <c:pt idx="17">
                  <c:v>Estonsko</c:v>
                </c:pt>
                <c:pt idx="18">
                  <c:v>Slovensko</c:v>
                </c:pt>
                <c:pt idx="19">
                  <c:v>Maďarsko</c:v>
                </c:pt>
                <c:pt idx="20">
                  <c:v>Chorvatsko</c:v>
                </c:pt>
                <c:pt idx="21">
                  <c:v>Rumunsko</c:v>
                </c:pt>
                <c:pt idx="22">
                  <c:v>Litva</c:v>
                </c:pt>
                <c:pt idx="23">
                  <c:v>Lotyšsko</c:v>
                </c:pt>
                <c:pt idx="24">
                  <c:v>Portugalsko</c:v>
                </c:pt>
                <c:pt idx="25">
                  <c:v>Bulharsko</c:v>
                </c:pt>
                <c:pt idx="26">
                  <c:v>Norsko</c:v>
                </c:pt>
                <c:pt idx="27">
                  <c:v>Švýcarsko</c:v>
                </c:pt>
                <c:pt idx="28">
                  <c:v>Island</c:v>
                </c:pt>
                <c:pt idx="29">
                  <c:v>Velká Británie</c:v>
                </c:pt>
                <c:pt idx="30">
                  <c:v>Srbsko</c:v>
                </c:pt>
                <c:pt idx="31">
                  <c:v>Albánie</c:v>
                </c:pt>
              </c:strCache>
            </c:strRef>
          </c:cat>
          <c:val>
            <c:numRef>
              <c:f>'GRAF-11'!$F$60:$F$91</c:f>
              <c:numCache>
                <c:formatCode>#,##0.00</c:formatCode>
                <c:ptCount val="32"/>
                <c:pt idx="0">
                  <c:v>21.62</c:v>
                </c:pt>
                <c:pt idx="1">
                  <c:v>18.14</c:v>
                </c:pt>
                <c:pt idx="2">
                  <c:v>17.059999999999999</c:v>
                </c:pt>
                <c:pt idx="3">
                  <c:v>19.22</c:v>
                </c:pt>
                <c:pt idx="4">
                  <c:v>15.53</c:v>
                </c:pt>
                <c:pt idx="5">
                  <c:v>16.75</c:v>
                </c:pt>
                <c:pt idx="6">
                  <c:v>16.440000000000001</c:v>
                </c:pt>
                <c:pt idx="7">
                  <c:v>17.34</c:v>
                </c:pt>
                <c:pt idx="8">
                  <c:v>14.77</c:v>
                </c:pt>
                <c:pt idx="9">
                  <c:v>14.97</c:v>
                </c:pt>
                <c:pt idx="10">
                  <c:v>12.54</c:v>
                </c:pt>
                <c:pt idx="11">
                  <c:v>10.93</c:v>
                </c:pt>
                <c:pt idx="12">
                  <c:v>12.86</c:v>
                </c:pt>
                <c:pt idx="13">
                  <c:v>9.84</c:v>
                </c:pt>
                <c:pt idx="14">
                  <c:v>10.63</c:v>
                </c:pt>
                <c:pt idx="15">
                  <c:v>7.69</c:v>
                </c:pt>
                <c:pt idx="16">
                  <c:v>7.15</c:v>
                </c:pt>
                <c:pt idx="17">
                  <c:v>6.94</c:v>
                </c:pt>
                <c:pt idx="18">
                  <c:v>6.93</c:v>
                </c:pt>
                <c:pt idx="19">
                  <c:v>7.19</c:v>
                </c:pt>
                <c:pt idx="20" formatCode="#\ ##0.0">
                  <c:v>7.7</c:v>
                </c:pt>
                <c:pt idx="21">
                  <c:v>4.91</c:v>
                </c:pt>
                <c:pt idx="22">
                  <c:v>5.65</c:v>
                </c:pt>
                <c:pt idx="23">
                  <c:v>5.35</c:v>
                </c:pt>
                <c:pt idx="24">
                  <c:v>7.09</c:v>
                </c:pt>
                <c:pt idx="25">
                  <c:v>4.21</c:v>
                </c:pt>
                <c:pt idx="26" formatCode="#\ ##0.0">
                  <c:v>21.8</c:v>
                </c:pt>
                <c:pt idx="27">
                  <c:v>18.59</c:v>
                </c:pt>
                <c:pt idx="28">
                  <c:v>11.39</c:v>
                </c:pt>
                <c:pt idx="29">
                  <c:v>17.170000000000002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3A78-418D-B4A3-BD00851EF9E9}"/>
            </c:ext>
          </c:extLst>
        </c:ser>
        <c:ser>
          <c:idx val="5"/>
          <c:order val="5"/>
          <c:tx>
            <c:strRef>
              <c:f>'GRAF-11'!$G$59</c:f>
              <c:strCache>
                <c:ptCount val="1"/>
                <c:pt idx="0">
                  <c:v>Obě pohlaví (2006)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dash"/>
            <c:size val="7"/>
            <c:spPr>
              <a:solidFill>
                <a:schemeClr val="tx1">
                  <a:lumMod val="95000"/>
                  <a:lumOff val="5000"/>
                </a:schemeClr>
              </a:solidFill>
              <a:ln w="9525">
                <a:noFill/>
              </a:ln>
              <a:effectLst/>
            </c:spPr>
          </c:marker>
          <c:cat>
            <c:strRef>
              <c:f>'GRAF-11'!$A$60:$A$91</c:f>
              <c:strCache>
                <c:ptCount val="32"/>
                <c:pt idx="0">
                  <c:v>Dánsko</c:v>
                </c:pt>
                <c:pt idx="1">
                  <c:v>Německo</c:v>
                </c:pt>
                <c:pt idx="2">
                  <c:v>Belgie</c:v>
                </c:pt>
                <c:pt idx="3">
                  <c:v>Irsko</c:v>
                </c:pt>
                <c:pt idx="4">
                  <c:v>Švédsko</c:v>
                </c:pt>
                <c:pt idx="5">
                  <c:v>Nizozemsko</c:v>
                </c:pt>
                <c:pt idx="6">
                  <c:v>Finsko</c:v>
                </c:pt>
                <c:pt idx="7">
                  <c:v>Lucembursko</c:v>
                </c:pt>
                <c:pt idx="8">
                  <c:v>Rakousko</c:v>
                </c:pt>
                <c:pt idx="9">
                  <c:v>Francie</c:v>
                </c:pt>
                <c:pt idx="10">
                  <c:v>Itálie</c:v>
                </c:pt>
                <c:pt idx="11">
                  <c:v>Malta</c:v>
                </c:pt>
                <c:pt idx="12">
                  <c:v>Španělsko</c:v>
                </c:pt>
                <c:pt idx="13">
                  <c:v>Slovinsko</c:v>
                </c:pt>
                <c:pt idx="14">
                  <c:v>Kypr</c:v>
                </c:pt>
                <c:pt idx="15">
                  <c:v>Polsko</c:v>
                </c:pt>
                <c:pt idx="16">
                  <c:v>Česko</c:v>
                </c:pt>
                <c:pt idx="17">
                  <c:v>Estonsko</c:v>
                </c:pt>
                <c:pt idx="18">
                  <c:v>Slovensko</c:v>
                </c:pt>
                <c:pt idx="19">
                  <c:v>Maďarsko</c:v>
                </c:pt>
                <c:pt idx="20">
                  <c:v>Chorvatsko</c:v>
                </c:pt>
                <c:pt idx="21">
                  <c:v>Rumunsko</c:v>
                </c:pt>
                <c:pt idx="22">
                  <c:v>Litva</c:v>
                </c:pt>
                <c:pt idx="23">
                  <c:v>Lotyšsko</c:v>
                </c:pt>
                <c:pt idx="24">
                  <c:v>Portugalsko</c:v>
                </c:pt>
                <c:pt idx="25">
                  <c:v>Bulharsko</c:v>
                </c:pt>
                <c:pt idx="26">
                  <c:v>Norsko</c:v>
                </c:pt>
                <c:pt idx="27">
                  <c:v>Švýcarsko</c:v>
                </c:pt>
                <c:pt idx="28">
                  <c:v>Island</c:v>
                </c:pt>
                <c:pt idx="29">
                  <c:v>Velká Británie</c:v>
                </c:pt>
                <c:pt idx="30">
                  <c:v>Srbsko</c:v>
                </c:pt>
                <c:pt idx="31">
                  <c:v>Albánie</c:v>
                </c:pt>
              </c:strCache>
            </c:strRef>
          </c:cat>
          <c:val>
            <c:numRef>
              <c:f>'GRAF-11'!$G$60:$G$91</c:f>
              <c:numCache>
                <c:formatCode>#,##0.00</c:formatCode>
                <c:ptCount val="32"/>
                <c:pt idx="0">
                  <c:v>17.73</c:v>
                </c:pt>
                <c:pt idx="1">
                  <c:v>17.29</c:v>
                </c:pt>
                <c:pt idx="2">
                  <c:v>15.21</c:v>
                </c:pt>
                <c:pt idx="3">
                  <c:v>15.72</c:v>
                </c:pt>
                <c:pt idx="4">
                  <c:v>14.31</c:v>
                </c:pt>
                <c:pt idx="5">
                  <c:v>16.41</c:v>
                </c:pt>
                <c:pt idx="6">
                  <c:v>13.69</c:v>
                </c:pt>
                <c:pt idx="7">
                  <c:v>16.28</c:v>
                </c:pt>
                <c:pt idx="8">
                  <c:v>14.16</c:v>
                </c:pt>
                <c:pt idx="9">
                  <c:v>14.88</c:v>
                </c:pt>
                <c:pt idx="10">
                  <c:v>11.08</c:v>
                </c:pt>
                <c:pt idx="12">
                  <c:v>11.53</c:v>
                </c:pt>
                <c:pt idx="13">
                  <c:v>8.0500000000000007</c:v>
                </c:pt>
                <c:pt idx="14">
                  <c:v>5.78</c:v>
                </c:pt>
                <c:pt idx="15">
                  <c:v>6.08</c:v>
                </c:pt>
                <c:pt idx="16">
                  <c:v>6.66</c:v>
                </c:pt>
                <c:pt idx="17">
                  <c:v>5.12</c:v>
                </c:pt>
                <c:pt idx="18">
                  <c:v>5.53</c:v>
                </c:pt>
                <c:pt idx="19">
                  <c:v>5.67</c:v>
                </c:pt>
                <c:pt idx="21">
                  <c:v>2.92</c:v>
                </c:pt>
                <c:pt idx="22">
                  <c:v>4.55</c:v>
                </c:pt>
                <c:pt idx="23">
                  <c:v>4.0999999999999996</c:v>
                </c:pt>
                <c:pt idx="24">
                  <c:v>6.05</c:v>
                </c:pt>
                <c:pt idx="25">
                  <c:v>2.4500000000000002</c:v>
                </c:pt>
                <c:pt idx="26">
                  <c:v>18.309999999999999</c:v>
                </c:pt>
                <c:pt idx="29">
                  <c:v>18.100000000000001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3A78-418D-B4A3-BD00851EF9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167600"/>
        <c:axId val="281211184"/>
      </c:lineChart>
      <c:catAx>
        <c:axId val="21116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940000" spcFirstLastPara="1" vertOverflow="ellipsis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81211184"/>
        <c:crosses val="autoZero"/>
        <c:auto val="1"/>
        <c:lblAlgn val="ctr"/>
        <c:lblOffset val="0"/>
        <c:noMultiLvlLbl val="0"/>
      </c:catAx>
      <c:valAx>
        <c:axId val="281211184"/>
        <c:scaling>
          <c:orientation val="minMax"/>
          <c:max val="26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11167600"/>
        <c:crosses val="autoZero"/>
        <c:crossBetween val="between"/>
        <c:majorUnit val="2"/>
        <c:minorUnit val="1"/>
      </c:valAx>
      <c:spPr>
        <a:noFill/>
        <a:ln w="6350">
          <a:solidFill>
            <a:schemeClr val="tx1">
              <a:lumMod val="95000"/>
              <a:lumOff val="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1.9473652749927999E-2"/>
          <c:y val="0.93560818887129982"/>
          <c:w val="0.96134374507534381"/>
          <c:h val="5.4299991490354513E-2"/>
        </c:manualLayout>
      </c:layout>
      <c:overlay val="0"/>
      <c:spPr>
        <a:noFill/>
        <a:ln w="6350">
          <a:solidFill>
            <a:schemeClr val="tx1">
              <a:lumMod val="95000"/>
              <a:lumOff val="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5109301663547582E-2"/>
          <c:y val="1.7245776101239653E-2"/>
          <c:w val="0.94132724109261579"/>
          <c:h val="0.7026049428758417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'GRAF-16'!$B$51</c:f>
              <c:strCache>
                <c:ptCount val="1"/>
                <c:pt idx="0">
                  <c:v>Mzdy a platy (rok 2019)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 w="25400">
              <a:noFill/>
            </a:ln>
            <a:effectLst/>
          </c:spPr>
          <c:invertIfNegative val="0"/>
          <c:dPt>
            <c:idx val="8"/>
            <c:invertIfNegative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2540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BD7-471C-B986-EAEFF2AEECAF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EBD7-471C-B986-EAEFF2AEECAF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6-EBD7-471C-B986-EAEFF2AEECAF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EBD7-471C-B986-EAEFF2AEECAF}"/>
              </c:ext>
            </c:extLst>
          </c:dPt>
          <c:dPt>
            <c:idx val="19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EBD7-471C-B986-EAEFF2AEECAF}"/>
              </c:ext>
            </c:extLst>
          </c:dPt>
          <c:cat>
            <c:strRef>
              <c:f>'GRAF-16'!$A$52:$A$88</c:f>
              <c:strCache>
                <c:ptCount val="37"/>
                <c:pt idx="0">
                  <c:v>Dánsko</c:v>
                </c:pt>
                <c:pt idx="1">
                  <c:v>Belgie</c:v>
                </c:pt>
                <c:pt idx="2">
                  <c:v>Německo</c:v>
                </c:pt>
                <c:pt idx="3">
                  <c:v>Švédsko</c:v>
                </c:pt>
                <c:pt idx="4">
                  <c:v>Nizozemsko</c:v>
                </c:pt>
                <c:pt idx="5">
                  <c:v>Francie</c:v>
                </c:pt>
                <c:pt idx="6">
                  <c:v>Rakousko</c:v>
                </c:pt>
                <c:pt idx="7">
                  <c:v>Finsko</c:v>
                </c:pt>
                <c:pt idx="8">
                  <c:v>Lucembursko</c:v>
                </c:pt>
                <c:pt idx="9">
                  <c:v>EU15</c:v>
                </c:pt>
                <c:pt idx="10">
                  <c:v>eurozóna (19)</c:v>
                </c:pt>
                <c:pt idx="11">
                  <c:v>Irsko</c:v>
                </c:pt>
                <c:pt idx="12">
                  <c:v>Itálie</c:v>
                </c:pt>
                <c:pt idx="13">
                  <c:v>EU27</c:v>
                </c:pt>
                <c:pt idx="14">
                  <c:v>Španělsko</c:v>
                </c:pt>
                <c:pt idx="15">
                  <c:v>Slovinsko</c:v>
                </c:pt>
                <c:pt idx="16">
                  <c:v>Řecko</c:v>
                </c:pt>
                <c:pt idx="17">
                  <c:v>Malta</c:v>
                </c:pt>
                <c:pt idx="18">
                  <c:v>Kypr</c:v>
                </c:pt>
                <c:pt idx="19">
                  <c:v>Česko</c:v>
                </c:pt>
                <c:pt idx="20">
                  <c:v>Slovensko</c:v>
                </c:pt>
                <c:pt idx="21">
                  <c:v>Estonsko</c:v>
                </c:pt>
                <c:pt idx="22">
                  <c:v>Portugalsko</c:v>
                </c:pt>
                <c:pt idx="23">
                  <c:v>Maďarsko</c:v>
                </c:pt>
                <c:pt idx="24">
                  <c:v>Chorvatsko</c:v>
                </c:pt>
                <c:pt idx="25">
                  <c:v>Polsko</c:v>
                </c:pt>
                <c:pt idx="26">
                  <c:v>Lotyšsko</c:v>
                </c:pt>
                <c:pt idx="27">
                  <c:v>Litva</c:v>
                </c:pt>
                <c:pt idx="28">
                  <c:v>Rumunsko</c:v>
                </c:pt>
                <c:pt idx="29">
                  <c:v>Bulharsko</c:v>
                </c:pt>
                <c:pt idx="30">
                  <c:v>Velká Británie</c:v>
                </c:pt>
                <c:pt idx="31">
                  <c:v>Černá Hora</c:v>
                </c:pt>
                <c:pt idx="32">
                  <c:v>Srbsko</c:v>
                </c:pt>
                <c:pt idx="33">
                  <c:v>Bosna a H.</c:v>
                </c:pt>
                <c:pt idx="34">
                  <c:v>Turecko</c:v>
                </c:pt>
                <c:pt idx="35">
                  <c:v>S. Makedonie</c:v>
                </c:pt>
                <c:pt idx="36">
                  <c:v>Albánie</c:v>
                </c:pt>
              </c:strCache>
            </c:strRef>
          </c:cat>
          <c:val>
            <c:numRef>
              <c:f>'GRAF-16'!$B$52:$B$88</c:f>
              <c:numCache>
                <c:formatCode>#\ ##0.0</c:formatCode>
                <c:ptCount val="37"/>
                <c:pt idx="0">
                  <c:v>41.3</c:v>
                </c:pt>
                <c:pt idx="1">
                  <c:v>32.200000000000003</c:v>
                </c:pt>
                <c:pt idx="2">
                  <c:v>32.299999999999997</c:v>
                </c:pt>
                <c:pt idx="3">
                  <c:v>27.1</c:v>
                </c:pt>
                <c:pt idx="4">
                  <c:v>30.3</c:v>
                </c:pt>
                <c:pt idx="5">
                  <c:v>26.7</c:v>
                </c:pt>
                <c:pt idx="6">
                  <c:v>28.8</c:v>
                </c:pt>
                <c:pt idx="7">
                  <c:v>29.7</c:v>
                </c:pt>
                <c:pt idx="8">
                  <c:v>31.3</c:v>
                </c:pt>
                <c:pt idx="9">
                  <c:v>26.5</c:v>
                </c:pt>
                <c:pt idx="10">
                  <c:v>25.5</c:v>
                </c:pt>
                <c:pt idx="11">
                  <c:v>27.8</c:v>
                </c:pt>
                <c:pt idx="12">
                  <c:v>20.399999999999999</c:v>
                </c:pt>
                <c:pt idx="13">
                  <c:v>21.2</c:v>
                </c:pt>
                <c:pt idx="14">
                  <c:v>17.600000000000001</c:v>
                </c:pt>
                <c:pt idx="15">
                  <c:v>16</c:v>
                </c:pt>
                <c:pt idx="16">
                  <c:v>12.9</c:v>
                </c:pt>
                <c:pt idx="17">
                  <c:v>13.2</c:v>
                </c:pt>
                <c:pt idx="18">
                  <c:v>11.7</c:v>
                </c:pt>
                <c:pt idx="19">
                  <c:v>9.9</c:v>
                </c:pt>
                <c:pt idx="20">
                  <c:v>9.5</c:v>
                </c:pt>
                <c:pt idx="21">
                  <c:v>9.5</c:v>
                </c:pt>
                <c:pt idx="22">
                  <c:v>9.6999999999999993</c:v>
                </c:pt>
                <c:pt idx="23">
                  <c:v>8.6</c:v>
                </c:pt>
                <c:pt idx="24">
                  <c:v>8.8000000000000007</c:v>
                </c:pt>
                <c:pt idx="25">
                  <c:v>8.4</c:v>
                </c:pt>
                <c:pt idx="26">
                  <c:v>7.6</c:v>
                </c:pt>
                <c:pt idx="27">
                  <c:v>8.9</c:v>
                </c:pt>
                <c:pt idx="28">
                  <c:v>5.5</c:v>
                </c:pt>
                <c:pt idx="29">
                  <c:v>4.5999999999999996</c:v>
                </c:pt>
                <c:pt idx="30">
                  <c:v>23</c:v>
                </c:pt>
                <c:pt idx="32">
                  <c:v>5.7</c:v>
                </c:pt>
                <c:pt idx="34">
                  <c:v>4.9000000000000004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BD7-471C-B986-EAEFF2AEECAF}"/>
            </c:ext>
          </c:extLst>
        </c:ser>
        <c:ser>
          <c:idx val="1"/>
          <c:order val="1"/>
          <c:tx>
            <c:strRef>
              <c:f>'GRAF-16'!$C$51</c:f>
              <c:strCache>
                <c:ptCount val="1"/>
                <c:pt idx="0">
                  <c:v>Ostatní pracovní náklady (rok 2019)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 w="25400">
              <a:noFill/>
            </a:ln>
            <a:effectLst/>
          </c:spPr>
          <c:invertIfNegative val="0"/>
          <c:dPt>
            <c:idx val="8"/>
            <c:invertIfNegative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 w="2540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A-EBD7-471C-B986-EAEFF2AEECAF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C-EBD7-471C-B986-EAEFF2AEECAF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EBD7-471C-B986-EAEFF2AEECAF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E-EBD7-471C-B986-EAEFF2AEECAF}"/>
              </c:ext>
            </c:extLst>
          </c:dPt>
          <c:dPt>
            <c:idx val="19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0-EBD7-471C-B986-EAEFF2AEECAF}"/>
              </c:ext>
            </c:extLst>
          </c:dPt>
          <c:cat>
            <c:strRef>
              <c:f>'GRAF-16'!$A$52:$A$88</c:f>
              <c:strCache>
                <c:ptCount val="37"/>
                <c:pt idx="0">
                  <c:v>Dánsko</c:v>
                </c:pt>
                <c:pt idx="1">
                  <c:v>Belgie</c:v>
                </c:pt>
                <c:pt idx="2">
                  <c:v>Německo</c:v>
                </c:pt>
                <c:pt idx="3">
                  <c:v>Švédsko</c:v>
                </c:pt>
                <c:pt idx="4">
                  <c:v>Nizozemsko</c:v>
                </c:pt>
                <c:pt idx="5">
                  <c:v>Francie</c:v>
                </c:pt>
                <c:pt idx="6">
                  <c:v>Rakousko</c:v>
                </c:pt>
                <c:pt idx="7">
                  <c:v>Finsko</c:v>
                </c:pt>
                <c:pt idx="8">
                  <c:v>Lucembursko</c:v>
                </c:pt>
                <c:pt idx="9">
                  <c:v>EU15</c:v>
                </c:pt>
                <c:pt idx="10">
                  <c:v>eurozóna (19)</c:v>
                </c:pt>
                <c:pt idx="11">
                  <c:v>Irsko</c:v>
                </c:pt>
                <c:pt idx="12">
                  <c:v>Itálie</c:v>
                </c:pt>
                <c:pt idx="13">
                  <c:v>EU27</c:v>
                </c:pt>
                <c:pt idx="14">
                  <c:v>Španělsko</c:v>
                </c:pt>
                <c:pt idx="15">
                  <c:v>Slovinsko</c:v>
                </c:pt>
                <c:pt idx="16">
                  <c:v>Řecko</c:v>
                </c:pt>
                <c:pt idx="17">
                  <c:v>Malta</c:v>
                </c:pt>
                <c:pt idx="18">
                  <c:v>Kypr</c:v>
                </c:pt>
                <c:pt idx="19">
                  <c:v>Česko</c:v>
                </c:pt>
                <c:pt idx="20">
                  <c:v>Slovensko</c:v>
                </c:pt>
                <c:pt idx="21">
                  <c:v>Estonsko</c:v>
                </c:pt>
                <c:pt idx="22">
                  <c:v>Portugalsko</c:v>
                </c:pt>
                <c:pt idx="23">
                  <c:v>Maďarsko</c:v>
                </c:pt>
                <c:pt idx="24">
                  <c:v>Chorvatsko</c:v>
                </c:pt>
                <c:pt idx="25">
                  <c:v>Polsko</c:v>
                </c:pt>
                <c:pt idx="26">
                  <c:v>Lotyšsko</c:v>
                </c:pt>
                <c:pt idx="27">
                  <c:v>Litva</c:v>
                </c:pt>
                <c:pt idx="28">
                  <c:v>Rumunsko</c:v>
                </c:pt>
                <c:pt idx="29">
                  <c:v>Bulharsko</c:v>
                </c:pt>
                <c:pt idx="30">
                  <c:v>Velká Británie</c:v>
                </c:pt>
                <c:pt idx="31">
                  <c:v>Černá Hora</c:v>
                </c:pt>
                <c:pt idx="32">
                  <c:v>Srbsko</c:v>
                </c:pt>
                <c:pt idx="33">
                  <c:v>Bosna a H.</c:v>
                </c:pt>
                <c:pt idx="34">
                  <c:v>Turecko</c:v>
                </c:pt>
                <c:pt idx="35">
                  <c:v>S. Makedonie</c:v>
                </c:pt>
                <c:pt idx="36">
                  <c:v>Albánie</c:v>
                </c:pt>
              </c:strCache>
            </c:strRef>
          </c:cat>
          <c:val>
            <c:numRef>
              <c:f>'GRAF-16'!$C$52:$C$88</c:f>
              <c:numCache>
                <c:formatCode>#\ ##0.0</c:formatCode>
                <c:ptCount val="37"/>
                <c:pt idx="0">
                  <c:v>6.1</c:v>
                </c:pt>
                <c:pt idx="1">
                  <c:v>11.8</c:v>
                </c:pt>
                <c:pt idx="2">
                  <c:v>9</c:v>
                </c:pt>
                <c:pt idx="3">
                  <c:v>13.4</c:v>
                </c:pt>
                <c:pt idx="4">
                  <c:v>8.9</c:v>
                </c:pt>
                <c:pt idx="5">
                  <c:v>12.4</c:v>
                </c:pt>
                <c:pt idx="6">
                  <c:v>10.199999999999999</c:v>
                </c:pt>
                <c:pt idx="7">
                  <c:v>7.4</c:v>
                </c:pt>
                <c:pt idx="8">
                  <c:v>4.3</c:v>
                </c:pt>
                <c:pt idx="9">
                  <c:v>8.5</c:v>
                </c:pt>
                <c:pt idx="10">
                  <c:v>8.5</c:v>
                </c:pt>
                <c:pt idx="11">
                  <c:v>6</c:v>
                </c:pt>
                <c:pt idx="12">
                  <c:v>8.4</c:v>
                </c:pt>
                <c:pt idx="13">
                  <c:v>6.9</c:v>
                </c:pt>
                <c:pt idx="14">
                  <c:v>6.3</c:v>
                </c:pt>
                <c:pt idx="15">
                  <c:v>3.2</c:v>
                </c:pt>
                <c:pt idx="16">
                  <c:v>4.0999999999999996</c:v>
                </c:pt>
                <c:pt idx="17">
                  <c:v>1.1000000000000001</c:v>
                </c:pt>
                <c:pt idx="18">
                  <c:v>2.4</c:v>
                </c:pt>
                <c:pt idx="19">
                  <c:v>3.7</c:v>
                </c:pt>
                <c:pt idx="20">
                  <c:v>3.6</c:v>
                </c:pt>
                <c:pt idx="21">
                  <c:v>3.4</c:v>
                </c:pt>
                <c:pt idx="22">
                  <c:v>2.5</c:v>
                </c:pt>
                <c:pt idx="23">
                  <c:v>2</c:v>
                </c:pt>
                <c:pt idx="24">
                  <c:v>1.7</c:v>
                </c:pt>
                <c:pt idx="25">
                  <c:v>2.1</c:v>
                </c:pt>
                <c:pt idx="26">
                  <c:v>2.2000000000000002</c:v>
                </c:pt>
                <c:pt idx="27">
                  <c:v>0.3</c:v>
                </c:pt>
                <c:pt idx="28">
                  <c:v>1.4</c:v>
                </c:pt>
                <c:pt idx="29">
                  <c:v>1</c:v>
                </c:pt>
                <c:pt idx="30">
                  <c:v>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EBD7-471C-B986-EAEFF2AEEC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8"/>
        <c:overlap val="100"/>
        <c:axId val="211167600"/>
        <c:axId val="281211184"/>
      </c:barChart>
      <c:lineChart>
        <c:grouping val="standard"/>
        <c:varyColors val="0"/>
        <c:ser>
          <c:idx val="2"/>
          <c:order val="2"/>
          <c:tx>
            <c:strRef>
              <c:f>'GRAF-16'!$D$51</c:f>
              <c:strCache>
                <c:ptCount val="1"/>
                <c:pt idx="0">
                  <c:v>Celkové prac. náklady (rok 2008)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triangle"/>
            <c:size val="5"/>
            <c:spPr>
              <a:solidFill>
                <a:schemeClr val="bg1">
                  <a:lumMod val="65000"/>
                </a:schemeClr>
              </a:solidFill>
              <a:ln w="9525">
                <a:noFill/>
              </a:ln>
              <a:effectLst/>
            </c:spPr>
          </c:marker>
          <c:cat>
            <c:strRef>
              <c:f>'GRAF-16'!$A$52:$A$88</c:f>
              <c:strCache>
                <c:ptCount val="37"/>
                <c:pt idx="0">
                  <c:v>Dánsko</c:v>
                </c:pt>
                <c:pt idx="1">
                  <c:v>Belgie</c:v>
                </c:pt>
                <c:pt idx="2">
                  <c:v>Německo</c:v>
                </c:pt>
                <c:pt idx="3">
                  <c:v>Švédsko</c:v>
                </c:pt>
                <c:pt idx="4">
                  <c:v>Nizozemsko</c:v>
                </c:pt>
                <c:pt idx="5">
                  <c:v>Francie</c:v>
                </c:pt>
                <c:pt idx="6">
                  <c:v>Rakousko</c:v>
                </c:pt>
                <c:pt idx="7">
                  <c:v>Finsko</c:v>
                </c:pt>
                <c:pt idx="8">
                  <c:v>Lucembursko</c:v>
                </c:pt>
                <c:pt idx="9">
                  <c:v>EU15</c:v>
                </c:pt>
                <c:pt idx="10">
                  <c:v>eurozóna (19)</c:v>
                </c:pt>
                <c:pt idx="11">
                  <c:v>Irsko</c:v>
                </c:pt>
                <c:pt idx="12">
                  <c:v>Itálie</c:v>
                </c:pt>
                <c:pt idx="13">
                  <c:v>EU27</c:v>
                </c:pt>
                <c:pt idx="14">
                  <c:v>Španělsko</c:v>
                </c:pt>
                <c:pt idx="15">
                  <c:v>Slovinsko</c:v>
                </c:pt>
                <c:pt idx="16">
                  <c:v>Řecko</c:v>
                </c:pt>
                <c:pt idx="17">
                  <c:v>Malta</c:v>
                </c:pt>
                <c:pt idx="18">
                  <c:v>Kypr</c:v>
                </c:pt>
                <c:pt idx="19">
                  <c:v>Česko</c:v>
                </c:pt>
                <c:pt idx="20">
                  <c:v>Slovensko</c:v>
                </c:pt>
                <c:pt idx="21">
                  <c:v>Estonsko</c:v>
                </c:pt>
                <c:pt idx="22">
                  <c:v>Portugalsko</c:v>
                </c:pt>
                <c:pt idx="23">
                  <c:v>Maďarsko</c:v>
                </c:pt>
                <c:pt idx="24">
                  <c:v>Chorvatsko</c:v>
                </c:pt>
                <c:pt idx="25">
                  <c:v>Polsko</c:v>
                </c:pt>
                <c:pt idx="26">
                  <c:v>Lotyšsko</c:v>
                </c:pt>
                <c:pt idx="27">
                  <c:v>Litva</c:v>
                </c:pt>
                <c:pt idx="28">
                  <c:v>Rumunsko</c:v>
                </c:pt>
                <c:pt idx="29">
                  <c:v>Bulharsko</c:v>
                </c:pt>
                <c:pt idx="30">
                  <c:v>Velká Británie</c:v>
                </c:pt>
                <c:pt idx="31">
                  <c:v>Černá Hora</c:v>
                </c:pt>
                <c:pt idx="32">
                  <c:v>Srbsko</c:v>
                </c:pt>
                <c:pt idx="33">
                  <c:v>Bosna a H.</c:v>
                </c:pt>
                <c:pt idx="34">
                  <c:v>Turecko</c:v>
                </c:pt>
                <c:pt idx="35">
                  <c:v>S. Makedonie</c:v>
                </c:pt>
                <c:pt idx="36">
                  <c:v>Albánie</c:v>
                </c:pt>
              </c:strCache>
            </c:strRef>
          </c:cat>
          <c:val>
            <c:numRef>
              <c:f>'GRAF-16'!$D$52:$D$88</c:f>
              <c:numCache>
                <c:formatCode>#\ ##0.0</c:formatCode>
                <c:ptCount val="37"/>
                <c:pt idx="0">
                  <c:v>34.799999999999997</c:v>
                </c:pt>
                <c:pt idx="1">
                  <c:v>37.4</c:v>
                </c:pt>
                <c:pt idx="2">
                  <c:v>32.5</c:v>
                </c:pt>
                <c:pt idx="3">
                  <c:v>34.700000000000003</c:v>
                </c:pt>
                <c:pt idx="4">
                  <c:v>30.8</c:v>
                </c:pt>
                <c:pt idx="5">
                  <c:v>33.1</c:v>
                </c:pt>
                <c:pt idx="6">
                  <c:v>29.6</c:v>
                </c:pt>
                <c:pt idx="7">
                  <c:v>30</c:v>
                </c:pt>
                <c:pt idx="8">
                  <c:v>29.9</c:v>
                </c:pt>
                <c:pt idx="9">
                  <c:v>28.8</c:v>
                </c:pt>
                <c:pt idx="10">
                  <c:v>26.9</c:v>
                </c:pt>
                <c:pt idx="11">
                  <c:v>29</c:v>
                </c:pt>
                <c:pt idx="12">
                  <c:v>24.2</c:v>
                </c:pt>
                <c:pt idx="13">
                  <c:v>21.8</c:v>
                </c:pt>
                <c:pt idx="14">
                  <c:v>20.8</c:v>
                </c:pt>
                <c:pt idx="15">
                  <c:v>12.8</c:v>
                </c:pt>
                <c:pt idx="16">
                  <c:v>17.399999999999999</c:v>
                </c:pt>
                <c:pt idx="17">
                  <c:v>12.4</c:v>
                </c:pt>
                <c:pt idx="18">
                  <c:v>14.2</c:v>
                </c:pt>
                <c:pt idx="19">
                  <c:v>9</c:v>
                </c:pt>
                <c:pt idx="20">
                  <c:v>7.2</c:v>
                </c:pt>
                <c:pt idx="21">
                  <c:v>7.4</c:v>
                </c:pt>
                <c:pt idx="22">
                  <c:v>10.199999999999999</c:v>
                </c:pt>
                <c:pt idx="23">
                  <c:v>7.7</c:v>
                </c:pt>
                <c:pt idx="24">
                  <c:v>8.6999999999999993</c:v>
                </c:pt>
                <c:pt idx="25">
                  <c:v>7.5</c:v>
                </c:pt>
                <c:pt idx="26">
                  <c:v>5.5</c:v>
                </c:pt>
                <c:pt idx="27">
                  <c:v>5.7</c:v>
                </c:pt>
                <c:pt idx="28">
                  <c:v>3.9</c:v>
                </c:pt>
                <c:pt idx="29">
                  <c:v>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2-EBD7-471C-B986-EAEFF2AEECAF}"/>
            </c:ext>
          </c:extLst>
        </c:ser>
        <c:ser>
          <c:idx val="3"/>
          <c:order val="3"/>
          <c:tx>
            <c:strRef>
              <c:f>'GRAF-16'!$E$51</c:f>
              <c:strCache>
                <c:ptCount val="1"/>
                <c:pt idx="0">
                  <c:v>Celkové prac. náklady (rok 2012)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bg1">
                    <a:lumMod val="50000"/>
                  </a:schemeClr>
                </a:solidFill>
              </a:ln>
              <a:effectLst/>
            </c:spPr>
          </c:marker>
          <c:cat>
            <c:strRef>
              <c:f>'GRAF-16'!$A$52:$A$88</c:f>
              <c:strCache>
                <c:ptCount val="37"/>
                <c:pt idx="0">
                  <c:v>Dánsko</c:v>
                </c:pt>
                <c:pt idx="1">
                  <c:v>Belgie</c:v>
                </c:pt>
                <c:pt idx="2">
                  <c:v>Německo</c:v>
                </c:pt>
                <c:pt idx="3">
                  <c:v>Švédsko</c:v>
                </c:pt>
                <c:pt idx="4">
                  <c:v>Nizozemsko</c:v>
                </c:pt>
                <c:pt idx="5">
                  <c:v>Francie</c:v>
                </c:pt>
                <c:pt idx="6">
                  <c:v>Rakousko</c:v>
                </c:pt>
                <c:pt idx="7">
                  <c:v>Finsko</c:v>
                </c:pt>
                <c:pt idx="8">
                  <c:v>Lucembursko</c:v>
                </c:pt>
                <c:pt idx="9">
                  <c:v>EU15</c:v>
                </c:pt>
                <c:pt idx="10">
                  <c:v>eurozóna (19)</c:v>
                </c:pt>
                <c:pt idx="11">
                  <c:v>Irsko</c:v>
                </c:pt>
                <c:pt idx="12">
                  <c:v>Itálie</c:v>
                </c:pt>
                <c:pt idx="13">
                  <c:v>EU27</c:v>
                </c:pt>
                <c:pt idx="14">
                  <c:v>Španělsko</c:v>
                </c:pt>
                <c:pt idx="15">
                  <c:v>Slovinsko</c:v>
                </c:pt>
                <c:pt idx="16">
                  <c:v>Řecko</c:v>
                </c:pt>
                <c:pt idx="17">
                  <c:v>Malta</c:v>
                </c:pt>
                <c:pt idx="18">
                  <c:v>Kypr</c:v>
                </c:pt>
                <c:pt idx="19">
                  <c:v>Česko</c:v>
                </c:pt>
                <c:pt idx="20">
                  <c:v>Slovensko</c:v>
                </c:pt>
                <c:pt idx="21">
                  <c:v>Estonsko</c:v>
                </c:pt>
                <c:pt idx="22">
                  <c:v>Portugalsko</c:v>
                </c:pt>
                <c:pt idx="23">
                  <c:v>Maďarsko</c:v>
                </c:pt>
                <c:pt idx="24">
                  <c:v>Chorvatsko</c:v>
                </c:pt>
                <c:pt idx="25">
                  <c:v>Polsko</c:v>
                </c:pt>
                <c:pt idx="26">
                  <c:v>Lotyšsko</c:v>
                </c:pt>
                <c:pt idx="27">
                  <c:v>Litva</c:v>
                </c:pt>
                <c:pt idx="28">
                  <c:v>Rumunsko</c:v>
                </c:pt>
                <c:pt idx="29">
                  <c:v>Bulharsko</c:v>
                </c:pt>
                <c:pt idx="30">
                  <c:v>Velká Británie</c:v>
                </c:pt>
                <c:pt idx="31">
                  <c:v>Černá Hora</c:v>
                </c:pt>
                <c:pt idx="32">
                  <c:v>Srbsko</c:v>
                </c:pt>
                <c:pt idx="33">
                  <c:v>Bosna a H.</c:v>
                </c:pt>
                <c:pt idx="34">
                  <c:v>Turecko</c:v>
                </c:pt>
                <c:pt idx="35">
                  <c:v>S. Makedonie</c:v>
                </c:pt>
                <c:pt idx="36">
                  <c:v>Albánie</c:v>
                </c:pt>
              </c:strCache>
            </c:strRef>
          </c:cat>
          <c:val>
            <c:numRef>
              <c:f>'GRAF-16'!$E$52:$E$88</c:f>
              <c:numCache>
                <c:formatCode>#\ ##0.0</c:formatCode>
                <c:ptCount val="37"/>
                <c:pt idx="0">
                  <c:v>40.700000000000003</c:v>
                </c:pt>
                <c:pt idx="1">
                  <c:v>42.9</c:v>
                </c:pt>
                <c:pt idx="2">
                  <c:v>35.200000000000003</c:v>
                </c:pt>
                <c:pt idx="3">
                  <c:v>41.7</c:v>
                </c:pt>
                <c:pt idx="4">
                  <c:v>33.9</c:v>
                </c:pt>
                <c:pt idx="5">
                  <c:v>36.4</c:v>
                </c:pt>
                <c:pt idx="6">
                  <c:v>33</c:v>
                </c:pt>
                <c:pt idx="7">
                  <c:v>35</c:v>
                </c:pt>
                <c:pt idx="8">
                  <c:v>32.1</c:v>
                </c:pt>
                <c:pt idx="9">
                  <c:v>32.299999999999997</c:v>
                </c:pt>
                <c:pt idx="10">
                  <c:v>30.5</c:v>
                </c:pt>
                <c:pt idx="11">
                  <c:v>31.8</c:v>
                </c:pt>
                <c:pt idx="12">
                  <c:v>27.2</c:v>
                </c:pt>
                <c:pt idx="13">
                  <c:v>24.8</c:v>
                </c:pt>
                <c:pt idx="14">
                  <c:v>23</c:v>
                </c:pt>
                <c:pt idx="15">
                  <c:v>15.1</c:v>
                </c:pt>
                <c:pt idx="16">
                  <c:v>16.3</c:v>
                </c:pt>
                <c:pt idx="17">
                  <c:v>11.6</c:v>
                </c:pt>
                <c:pt idx="18">
                  <c:v>15.3</c:v>
                </c:pt>
                <c:pt idx="19">
                  <c:v>9.9</c:v>
                </c:pt>
                <c:pt idx="20">
                  <c:v>9.1999999999999993</c:v>
                </c:pt>
                <c:pt idx="21">
                  <c:v>8.6</c:v>
                </c:pt>
                <c:pt idx="22">
                  <c:v>11</c:v>
                </c:pt>
                <c:pt idx="23">
                  <c:v>7.8</c:v>
                </c:pt>
                <c:pt idx="24">
                  <c:v>8.5</c:v>
                </c:pt>
                <c:pt idx="25">
                  <c:v>7.7</c:v>
                </c:pt>
                <c:pt idx="26">
                  <c:v>5.9</c:v>
                </c:pt>
                <c:pt idx="27">
                  <c:v>5.7</c:v>
                </c:pt>
                <c:pt idx="28">
                  <c:v>4.2</c:v>
                </c:pt>
                <c:pt idx="29">
                  <c:v>3.3</c:v>
                </c:pt>
                <c:pt idx="31">
                  <c:v>7.3</c:v>
                </c:pt>
                <c:pt idx="32">
                  <c:v>5</c:v>
                </c:pt>
                <c:pt idx="33">
                  <c:v>4.9000000000000004</c:v>
                </c:pt>
                <c:pt idx="34">
                  <c:v>5.7</c:v>
                </c:pt>
                <c:pt idx="35">
                  <c:v>2.8</c:v>
                </c:pt>
                <c:pt idx="36">
                  <c:v>1.8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3-EBD7-471C-B986-EAEFF2AEECAF}"/>
            </c:ext>
          </c:extLst>
        </c:ser>
        <c:ser>
          <c:idx val="4"/>
          <c:order val="4"/>
          <c:tx>
            <c:strRef>
              <c:f>'GRAF-16'!$F$51</c:f>
              <c:strCache>
                <c:ptCount val="1"/>
                <c:pt idx="0">
                  <c:v>Celkové prac. náklady (rok 2016)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dash"/>
            <c:size val="7"/>
            <c:spPr>
              <a:solidFill>
                <a:schemeClr val="tx1">
                  <a:lumMod val="95000"/>
                  <a:lumOff val="5000"/>
                </a:schemeClr>
              </a:solidFill>
              <a:ln w="9525">
                <a:noFill/>
              </a:ln>
              <a:effectLst/>
            </c:spPr>
          </c:marker>
          <c:cat>
            <c:strRef>
              <c:f>'GRAF-16'!$A$52:$A$88</c:f>
              <c:strCache>
                <c:ptCount val="37"/>
                <c:pt idx="0">
                  <c:v>Dánsko</c:v>
                </c:pt>
                <c:pt idx="1">
                  <c:v>Belgie</c:v>
                </c:pt>
                <c:pt idx="2">
                  <c:v>Německo</c:v>
                </c:pt>
                <c:pt idx="3">
                  <c:v>Švédsko</c:v>
                </c:pt>
                <c:pt idx="4">
                  <c:v>Nizozemsko</c:v>
                </c:pt>
                <c:pt idx="5">
                  <c:v>Francie</c:v>
                </c:pt>
                <c:pt idx="6">
                  <c:v>Rakousko</c:v>
                </c:pt>
                <c:pt idx="7">
                  <c:v>Finsko</c:v>
                </c:pt>
                <c:pt idx="8">
                  <c:v>Lucembursko</c:v>
                </c:pt>
                <c:pt idx="9">
                  <c:v>EU15</c:v>
                </c:pt>
                <c:pt idx="10">
                  <c:v>eurozóna (19)</c:v>
                </c:pt>
                <c:pt idx="11">
                  <c:v>Irsko</c:v>
                </c:pt>
                <c:pt idx="12">
                  <c:v>Itálie</c:v>
                </c:pt>
                <c:pt idx="13">
                  <c:v>EU27</c:v>
                </c:pt>
                <c:pt idx="14">
                  <c:v>Španělsko</c:v>
                </c:pt>
                <c:pt idx="15">
                  <c:v>Slovinsko</c:v>
                </c:pt>
                <c:pt idx="16">
                  <c:v>Řecko</c:v>
                </c:pt>
                <c:pt idx="17">
                  <c:v>Malta</c:v>
                </c:pt>
                <c:pt idx="18">
                  <c:v>Kypr</c:v>
                </c:pt>
                <c:pt idx="19">
                  <c:v>Česko</c:v>
                </c:pt>
                <c:pt idx="20">
                  <c:v>Slovensko</c:v>
                </c:pt>
                <c:pt idx="21">
                  <c:v>Estonsko</c:v>
                </c:pt>
                <c:pt idx="22">
                  <c:v>Portugalsko</c:v>
                </c:pt>
                <c:pt idx="23">
                  <c:v>Maďarsko</c:v>
                </c:pt>
                <c:pt idx="24">
                  <c:v>Chorvatsko</c:v>
                </c:pt>
                <c:pt idx="25">
                  <c:v>Polsko</c:v>
                </c:pt>
                <c:pt idx="26">
                  <c:v>Lotyšsko</c:v>
                </c:pt>
                <c:pt idx="27">
                  <c:v>Litva</c:v>
                </c:pt>
                <c:pt idx="28">
                  <c:v>Rumunsko</c:v>
                </c:pt>
                <c:pt idx="29">
                  <c:v>Bulharsko</c:v>
                </c:pt>
                <c:pt idx="30">
                  <c:v>Velká Británie</c:v>
                </c:pt>
                <c:pt idx="31">
                  <c:v>Černá Hora</c:v>
                </c:pt>
                <c:pt idx="32">
                  <c:v>Srbsko</c:v>
                </c:pt>
                <c:pt idx="33">
                  <c:v>Bosna a H.</c:v>
                </c:pt>
                <c:pt idx="34">
                  <c:v>Turecko</c:v>
                </c:pt>
                <c:pt idx="35">
                  <c:v>S. Makedonie</c:v>
                </c:pt>
                <c:pt idx="36">
                  <c:v>Albánie</c:v>
                </c:pt>
              </c:strCache>
            </c:strRef>
          </c:cat>
          <c:val>
            <c:numRef>
              <c:f>'GRAF-16'!$F$52:$F$88</c:f>
              <c:numCache>
                <c:formatCode>#\ ##0.0</c:formatCode>
                <c:ptCount val="37"/>
                <c:pt idx="0">
                  <c:v>43.9</c:v>
                </c:pt>
                <c:pt idx="1">
                  <c:v>41.9</c:v>
                </c:pt>
                <c:pt idx="2">
                  <c:v>38.4</c:v>
                </c:pt>
                <c:pt idx="3">
                  <c:v>42.5</c:v>
                </c:pt>
                <c:pt idx="4">
                  <c:v>36.700000000000003</c:v>
                </c:pt>
                <c:pt idx="5">
                  <c:v>36.799999999999997</c:v>
                </c:pt>
                <c:pt idx="6">
                  <c:v>36.1</c:v>
                </c:pt>
                <c:pt idx="7">
                  <c:v>37.1</c:v>
                </c:pt>
                <c:pt idx="8">
                  <c:v>33.9</c:v>
                </c:pt>
                <c:pt idx="9">
                  <c:v>32.9</c:v>
                </c:pt>
                <c:pt idx="10">
                  <c:v>31.9</c:v>
                </c:pt>
                <c:pt idx="11">
                  <c:v>31.8</c:v>
                </c:pt>
                <c:pt idx="12">
                  <c:v>27.5</c:v>
                </c:pt>
                <c:pt idx="13">
                  <c:v>25.9</c:v>
                </c:pt>
                <c:pt idx="14">
                  <c:v>23.2</c:v>
                </c:pt>
                <c:pt idx="15">
                  <c:v>16.8</c:v>
                </c:pt>
                <c:pt idx="16">
                  <c:v>16</c:v>
                </c:pt>
                <c:pt idx="17">
                  <c:v>13.1</c:v>
                </c:pt>
                <c:pt idx="18">
                  <c:v>12.8</c:v>
                </c:pt>
                <c:pt idx="19">
                  <c:v>10.4</c:v>
                </c:pt>
                <c:pt idx="20">
                  <c:v>10.6</c:v>
                </c:pt>
                <c:pt idx="21">
                  <c:v>10.6</c:v>
                </c:pt>
                <c:pt idx="22">
                  <c:v>11.1</c:v>
                </c:pt>
                <c:pt idx="23">
                  <c:v>8.5</c:v>
                </c:pt>
                <c:pt idx="24">
                  <c:v>8.9</c:v>
                </c:pt>
                <c:pt idx="25">
                  <c:v>8.5</c:v>
                </c:pt>
                <c:pt idx="26">
                  <c:v>7.6</c:v>
                </c:pt>
                <c:pt idx="27">
                  <c:v>7.4</c:v>
                </c:pt>
                <c:pt idx="28">
                  <c:v>5.0999999999999996</c:v>
                </c:pt>
                <c:pt idx="29">
                  <c:v>4.2</c:v>
                </c:pt>
                <c:pt idx="30">
                  <c:v>27.5</c:v>
                </c:pt>
                <c:pt idx="31">
                  <c:v>6.1</c:v>
                </c:pt>
                <c:pt idx="32">
                  <c:v>4.9000000000000004</c:v>
                </c:pt>
                <c:pt idx="33">
                  <c:v>5</c:v>
                </c:pt>
                <c:pt idx="34">
                  <c:v>6.3</c:v>
                </c:pt>
                <c:pt idx="35">
                  <c:v>3.2</c:v>
                </c:pt>
                <c:pt idx="36">
                  <c:v>2.1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4-EBD7-471C-B986-EAEFF2AEEC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167600"/>
        <c:axId val="281211184"/>
      </c:lineChart>
      <c:catAx>
        <c:axId val="21116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3600000" spcFirstLastPara="1" vertOverflow="ellipsis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81211184"/>
        <c:crossesAt val="0"/>
        <c:auto val="1"/>
        <c:lblAlgn val="ctr"/>
        <c:lblOffset val="0"/>
        <c:noMultiLvlLbl val="0"/>
      </c:catAx>
      <c:valAx>
        <c:axId val="281211184"/>
        <c:scaling>
          <c:orientation val="minMax"/>
          <c:max val="50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11167600"/>
        <c:crossesAt val="1"/>
        <c:crossBetween val="between"/>
        <c:majorUnit val="5"/>
      </c:valAx>
      <c:spPr>
        <a:noFill/>
        <a:ln w="6350">
          <a:solidFill>
            <a:schemeClr val="tx1">
              <a:lumMod val="95000"/>
              <a:lumOff val="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5.2047755438876679E-2"/>
          <c:y val="0.88251476898563808"/>
          <c:w val="0.93721497860830116"/>
          <c:h val="0.10642753800900578"/>
        </c:manualLayout>
      </c:layout>
      <c:overlay val="0"/>
      <c:spPr>
        <a:noFill/>
        <a:ln w="6350">
          <a:solidFill>
            <a:schemeClr val="tx1">
              <a:lumMod val="95000"/>
              <a:lumOff val="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7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135170480106283E-2"/>
          <c:y val="1.7245647665912554E-2"/>
          <c:w val="0.92201291024554577"/>
          <c:h val="0.78000879299227577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'GRAF-15'!$E$2</c:f>
              <c:strCache>
                <c:ptCount val="1"/>
                <c:pt idx="0">
                  <c:v>rok 2019</c:v>
                </c:pt>
              </c:strCache>
            </c:strRef>
          </c:tx>
          <c:spPr>
            <a:solidFill>
              <a:srgbClr val="CFE5C1"/>
            </a:solidFill>
            <a:ln>
              <a:noFill/>
            </a:ln>
            <a:effectLst/>
          </c:spPr>
          <c:invertIfNegative val="0"/>
          <c:dPt>
            <c:idx val="8"/>
            <c:invertIfNegative val="0"/>
            <c:bubble3D val="0"/>
            <c:spPr>
              <a:solidFill>
                <a:srgbClr val="B3D69E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D3C4-4BB5-98E0-255A03008D2B}"/>
              </c:ext>
            </c:extLst>
          </c:dPt>
          <c:dPt>
            <c:idx val="10"/>
            <c:invertIfNegative val="0"/>
            <c:bubble3D val="0"/>
            <c:spPr>
              <a:solidFill>
                <a:srgbClr val="B3D69E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D3C4-4BB5-98E0-255A03008D2B}"/>
              </c:ext>
            </c:extLst>
          </c:dPt>
          <c:dPt>
            <c:idx val="18"/>
            <c:invertIfNegative val="0"/>
            <c:bubble3D val="0"/>
            <c:spPr>
              <a:solidFill>
                <a:srgbClr val="B3D69E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D3C4-4BB5-98E0-255A03008D2B}"/>
              </c:ext>
            </c:extLst>
          </c:dPt>
          <c:cat>
            <c:strRef>
              <c:f>'GRAF-15'!$B$3:$B$35</c:f>
              <c:strCache>
                <c:ptCount val="33"/>
                <c:pt idx="0">
                  <c:v>Irsko</c:v>
                </c:pt>
                <c:pt idx="1">
                  <c:v>Dánsko</c:v>
                </c:pt>
                <c:pt idx="2">
                  <c:v>Belgie</c:v>
                </c:pt>
                <c:pt idx="3">
                  <c:v>Nizozemsko</c:v>
                </c:pt>
                <c:pt idx="4">
                  <c:v>Švédsko</c:v>
                </c:pt>
                <c:pt idx="5">
                  <c:v>Rakousko</c:v>
                </c:pt>
                <c:pt idx="6">
                  <c:v>Francie</c:v>
                </c:pt>
                <c:pt idx="7">
                  <c:v>Finsko</c:v>
                </c:pt>
                <c:pt idx="8">
                  <c:v>EU15</c:v>
                </c:pt>
                <c:pt idx="9">
                  <c:v>Španělsko</c:v>
                </c:pt>
                <c:pt idx="10">
                  <c:v>eurozóna (19)</c:v>
                </c:pt>
                <c:pt idx="11">
                  <c:v>Německo</c:v>
                </c:pt>
                <c:pt idx="12">
                  <c:v>Lucembursko</c:v>
                </c:pt>
                <c:pt idx="13">
                  <c:v>Itálie</c:v>
                </c:pt>
                <c:pt idx="14">
                  <c:v>Řecko</c:v>
                </c:pt>
                <c:pt idx="15">
                  <c:v>Slovinsko</c:v>
                </c:pt>
                <c:pt idx="16">
                  <c:v>Litva</c:v>
                </c:pt>
                <c:pt idx="17">
                  <c:v>Malta</c:v>
                </c:pt>
                <c:pt idx="18">
                  <c:v>Česko</c:v>
                </c:pt>
                <c:pt idx="19">
                  <c:v>Rumunsko</c:v>
                </c:pt>
                <c:pt idx="20">
                  <c:v>Polsko</c:v>
                </c:pt>
                <c:pt idx="21">
                  <c:v>Slovensko</c:v>
                </c:pt>
                <c:pt idx="22">
                  <c:v>Maďarsko</c:v>
                </c:pt>
                <c:pt idx="23">
                  <c:v>Portugalsko</c:v>
                </c:pt>
                <c:pt idx="24">
                  <c:v>Estonsko</c:v>
                </c:pt>
                <c:pt idx="25">
                  <c:v>Kypr</c:v>
                </c:pt>
                <c:pt idx="26">
                  <c:v>Lotyšsko</c:v>
                </c:pt>
                <c:pt idx="27">
                  <c:v>Chorvatsko</c:v>
                </c:pt>
                <c:pt idx="28">
                  <c:v>Bulharsko</c:v>
                </c:pt>
                <c:pt idx="29">
                  <c:v>Norsko</c:v>
                </c:pt>
                <c:pt idx="30">
                  <c:v>Švýcarsko</c:v>
                </c:pt>
                <c:pt idx="31">
                  <c:v>Velká Británie</c:v>
                </c:pt>
                <c:pt idx="32">
                  <c:v>Island</c:v>
                </c:pt>
              </c:strCache>
            </c:strRef>
          </c:cat>
          <c:val>
            <c:numRef>
              <c:f>'GRAF-15'!$E$3:$E$35</c:f>
              <c:numCache>
                <c:formatCode>#,##0</c:formatCode>
                <c:ptCount val="33"/>
                <c:pt idx="0">
                  <c:v>537.40159378120893</c:v>
                </c:pt>
                <c:pt idx="1">
                  <c:v>156.71611295379543</c:v>
                </c:pt>
                <c:pt idx="2">
                  <c:v>144.45595631358907</c:v>
                </c:pt>
                <c:pt idx="3">
                  <c:v>144.22857084844748</c:v>
                </c:pt>
                <c:pt idx="4">
                  <c:v>133.33373766428625</c:v>
                </c:pt>
                <c:pt idx="5">
                  <c:v>129.31034109298113</c:v>
                </c:pt>
                <c:pt idx="6">
                  <c:v>125.93146705717902</c:v>
                </c:pt>
                <c:pt idx="7">
                  <c:v>122.71694832497779</c:v>
                </c:pt>
                <c:pt idx="8">
                  <c:v>118.83912267783255</c:v>
                </c:pt>
                <c:pt idx="9">
                  <c:v>116.97749396508583</c:v>
                </c:pt>
                <c:pt idx="10">
                  <c:v>114.90822356952812</c:v>
                </c:pt>
                <c:pt idx="11">
                  <c:v>112.44005693138001</c:v>
                </c:pt>
                <c:pt idx="12">
                  <c:v>107.19583526326062</c:v>
                </c:pt>
                <c:pt idx="13">
                  <c:v>100.58620916303505</c:v>
                </c:pt>
                <c:pt idx="14">
                  <c:v>84.742204147459987</c:v>
                </c:pt>
                <c:pt idx="15">
                  <c:v>76.987841351365333</c:v>
                </c:pt>
                <c:pt idx="16">
                  <c:v>73.631289960931539</c:v>
                </c:pt>
                <c:pt idx="17">
                  <c:v>73.263636535604945</c:v>
                </c:pt>
                <c:pt idx="18">
                  <c:v>71.684502589880253</c:v>
                </c:pt>
                <c:pt idx="19">
                  <c:v>67.499593555396558</c:v>
                </c:pt>
                <c:pt idx="20">
                  <c:v>65.954070598641039</c:v>
                </c:pt>
                <c:pt idx="21">
                  <c:v>63.816511586471634</c:v>
                </c:pt>
                <c:pt idx="22">
                  <c:v>63.731461527413138</c:v>
                </c:pt>
                <c:pt idx="23">
                  <c:v>62.569968473211937</c:v>
                </c:pt>
                <c:pt idx="24">
                  <c:v>59.029637896362971</c:v>
                </c:pt>
                <c:pt idx="25">
                  <c:v>58.211798450257454</c:v>
                </c:pt>
                <c:pt idx="26">
                  <c:v>51.667683748112694</c:v>
                </c:pt>
                <c:pt idx="27">
                  <c:v>50.36781088871134</c:v>
                </c:pt>
                <c:pt idx="28">
                  <c:v>40.940011928156196</c:v>
                </c:pt>
                <c:pt idx="29">
                  <c:v>243.42600832766027</c:v>
                </c:pt>
                <c:pt idx="30">
                  <c:v>161.47694176502017</c:v>
                </c:pt>
                <c:pt idx="31">
                  <c:v>121.50337475491339</c:v>
                </c:pt>
                <c:pt idx="32">
                  <c:v>105.21882202536742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3C4-4BB5-98E0-255A03008D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"/>
        <c:overlap val="54"/>
        <c:axId val="211167600"/>
        <c:axId val="281211184"/>
      </c:barChart>
      <c:lineChart>
        <c:grouping val="standard"/>
        <c:varyColors val="0"/>
        <c:ser>
          <c:idx val="0"/>
          <c:order val="0"/>
          <c:tx>
            <c:strRef>
              <c:f>'GRAF-15'!$C$2</c:f>
              <c:strCache>
                <c:ptCount val="1"/>
                <c:pt idx="0">
                  <c:v>rok 2005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00B050"/>
              </a:solidFill>
              <a:ln w="9525">
                <a:solidFill>
                  <a:srgbClr val="00B050"/>
                </a:solidFill>
              </a:ln>
              <a:effectLst/>
            </c:spPr>
          </c:marker>
          <c:cat>
            <c:strRef>
              <c:f>'GRAF-15'!$B$3:$B$35</c:f>
              <c:strCache>
                <c:ptCount val="33"/>
                <c:pt idx="0">
                  <c:v>Irsko</c:v>
                </c:pt>
                <c:pt idx="1">
                  <c:v>Dánsko</c:v>
                </c:pt>
                <c:pt idx="2">
                  <c:v>Belgie</c:v>
                </c:pt>
                <c:pt idx="3">
                  <c:v>Nizozemsko</c:v>
                </c:pt>
                <c:pt idx="4">
                  <c:v>Švédsko</c:v>
                </c:pt>
                <c:pt idx="5">
                  <c:v>Rakousko</c:v>
                </c:pt>
                <c:pt idx="6">
                  <c:v>Francie</c:v>
                </c:pt>
                <c:pt idx="7">
                  <c:v>Finsko</c:v>
                </c:pt>
                <c:pt idx="8">
                  <c:v>EU15</c:v>
                </c:pt>
                <c:pt idx="9">
                  <c:v>Španělsko</c:v>
                </c:pt>
                <c:pt idx="10">
                  <c:v>eurozóna (19)</c:v>
                </c:pt>
                <c:pt idx="11">
                  <c:v>Německo</c:v>
                </c:pt>
                <c:pt idx="12">
                  <c:v>Lucembursko</c:v>
                </c:pt>
                <c:pt idx="13">
                  <c:v>Itálie</c:v>
                </c:pt>
                <c:pt idx="14">
                  <c:v>Řecko</c:v>
                </c:pt>
                <c:pt idx="15">
                  <c:v>Slovinsko</c:v>
                </c:pt>
                <c:pt idx="16">
                  <c:v>Litva</c:v>
                </c:pt>
                <c:pt idx="17">
                  <c:v>Malta</c:v>
                </c:pt>
                <c:pt idx="18">
                  <c:v>Česko</c:v>
                </c:pt>
                <c:pt idx="19">
                  <c:v>Rumunsko</c:v>
                </c:pt>
                <c:pt idx="20">
                  <c:v>Polsko</c:v>
                </c:pt>
                <c:pt idx="21">
                  <c:v>Slovensko</c:v>
                </c:pt>
                <c:pt idx="22">
                  <c:v>Maďarsko</c:v>
                </c:pt>
                <c:pt idx="23">
                  <c:v>Portugalsko</c:v>
                </c:pt>
                <c:pt idx="24">
                  <c:v>Estonsko</c:v>
                </c:pt>
                <c:pt idx="25">
                  <c:v>Kypr</c:v>
                </c:pt>
                <c:pt idx="26">
                  <c:v>Lotyšsko</c:v>
                </c:pt>
                <c:pt idx="27">
                  <c:v>Chorvatsko</c:v>
                </c:pt>
                <c:pt idx="28">
                  <c:v>Bulharsko</c:v>
                </c:pt>
                <c:pt idx="29">
                  <c:v>Norsko</c:v>
                </c:pt>
                <c:pt idx="30">
                  <c:v>Švýcarsko</c:v>
                </c:pt>
                <c:pt idx="31">
                  <c:v>Velká Británie</c:v>
                </c:pt>
                <c:pt idx="32">
                  <c:v>Island</c:v>
                </c:pt>
              </c:strCache>
            </c:strRef>
          </c:cat>
          <c:val>
            <c:numRef>
              <c:f>'GRAF-15'!$C$3:$C$35</c:f>
              <c:numCache>
                <c:formatCode>#,##0</c:formatCode>
                <c:ptCount val="33"/>
                <c:pt idx="0">
                  <c:v>196.70474328968018</c:v>
                </c:pt>
                <c:pt idx="1">
                  <c:v>139.2308771429031</c:v>
                </c:pt>
                <c:pt idx="2">
                  <c:v>157.97084460998408</c:v>
                </c:pt>
                <c:pt idx="3">
                  <c:v>176.13710635043304</c:v>
                </c:pt>
                <c:pt idx="4">
                  <c:v>143.28531650503717</c:v>
                </c:pt>
                <c:pt idx="5">
                  <c:v>142.87897355774447</c:v>
                </c:pt>
                <c:pt idx="6">
                  <c:v>132.92434731999469</c:v>
                </c:pt>
                <c:pt idx="7">
                  <c:v>145.0419050338877</c:v>
                </c:pt>
                <c:pt idx="8">
                  <c:v>123.94089668085076</c:v>
                </c:pt>
                <c:pt idx="9">
                  <c:v>106.84992156462299</c:v>
                </c:pt>
                <c:pt idx="10">
                  <c:v>117.29716087739146</c:v>
                </c:pt>
                <c:pt idx="11">
                  <c:v>123.39497940557204</c:v>
                </c:pt>
                <c:pt idx="12">
                  <c:v>129.38119772424824</c:v>
                </c:pt>
                <c:pt idx="13">
                  <c:v>104.38831456021127</c:v>
                </c:pt>
                <c:pt idx="14">
                  <c:v>101.38308534189252</c:v>
                </c:pt>
                <c:pt idx="15">
                  <c:v>73.130208855956383</c:v>
                </c:pt>
                <c:pt idx="16">
                  <c:v>61.510912388058571</c:v>
                </c:pt>
                <c:pt idx="17">
                  <c:v>68.304563881469946</c:v>
                </c:pt>
                <c:pt idx="18">
                  <c:v>67.883975487352899</c:v>
                </c:pt>
                <c:pt idx="19">
                  <c:v>38.067551256039813</c:v>
                </c:pt>
                <c:pt idx="20">
                  <c:v>56.699456545694652</c:v>
                </c:pt>
                <c:pt idx="21">
                  <c:v>67.901020913922622</c:v>
                </c:pt>
                <c:pt idx="22">
                  <c:v>60.083965878564115</c:v>
                </c:pt>
                <c:pt idx="23">
                  <c:v>63.061233370243343</c:v>
                </c:pt>
                <c:pt idx="24">
                  <c:v>43.3043426266605</c:v>
                </c:pt>
                <c:pt idx="25">
                  <c:v>69.128245161420054</c:v>
                </c:pt>
                <c:pt idx="26">
                  <c:v>38.91929726121019</c:v>
                </c:pt>
                <c:pt idx="27">
                  <c:v>53.106556002068842</c:v>
                </c:pt>
                <c:pt idx="28">
                  <c:v>30.843456557772864</c:v>
                </c:pt>
                <c:pt idx="29">
                  <c:v>404.58381063437059</c:v>
                </c:pt>
                <c:pt idx="30">
                  <c:v>153.65622463006241</c:v>
                </c:pt>
                <c:pt idx="31">
                  <c:v>143.24561270782013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D3C4-4BB5-98E0-255A03008D2B}"/>
            </c:ext>
          </c:extLst>
        </c:ser>
        <c:ser>
          <c:idx val="1"/>
          <c:order val="1"/>
          <c:tx>
            <c:strRef>
              <c:f>'GRAF-15'!$D$2</c:f>
              <c:strCache>
                <c:ptCount val="1"/>
                <c:pt idx="0">
                  <c:v>rok 2013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27F92C"/>
                </a:solidFill>
              </a:ln>
              <a:effectLst/>
            </c:spPr>
          </c:marker>
          <c:cat>
            <c:strRef>
              <c:f>'GRAF-15'!$B$3:$B$35</c:f>
              <c:strCache>
                <c:ptCount val="33"/>
                <c:pt idx="0">
                  <c:v>Irsko</c:v>
                </c:pt>
                <c:pt idx="1">
                  <c:v>Dánsko</c:v>
                </c:pt>
                <c:pt idx="2">
                  <c:v>Belgie</c:v>
                </c:pt>
                <c:pt idx="3">
                  <c:v>Nizozemsko</c:v>
                </c:pt>
                <c:pt idx="4">
                  <c:v>Švédsko</c:v>
                </c:pt>
                <c:pt idx="5">
                  <c:v>Rakousko</c:v>
                </c:pt>
                <c:pt idx="6">
                  <c:v>Francie</c:v>
                </c:pt>
                <c:pt idx="7">
                  <c:v>Finsko</c:v>
                </c:pt>
                <c:pt idx="8">
                  <c:v>EU15</c:v>
                </c:pt>
                <c:pt idx="9">
                  <c:v>Španělsko</c:v>
                </c:pt>
                <c:pt idx="10">
                  <c:v>eurozóna (19)</c:v>
                </c:pt>
                <c:pt idx="11">
                  <c:v>Německo</c:v>
                </c:pt>
                <c:pt idx="12">
                  <c:v>Lucembursko</c:v>
                </c:pt>
                <c:pt idx="13">
                  <c:v>Itálie</c:v>
                </c:pt>
                <c:pt idx="14">
                  <c:v>Řecko</c:v>
                </c:pt>
                <c:pt idx="15">
                  <c:v>Slovinsko</c:v>
                </c:pt>
                <c:pt idx="16">
                  <c:v>Litva</c:v>
                </c:pt>
                <c:pt idx="17">
                  <c:v>Malta</c:v>
                </c:pt>
                <c:pt idx="18">
                  <c:v>Česko</c:v>
                </c:pt>
                <c:pt idx="19">
                  <c:v>Rumunsko</c:v>
                </c:pt>
                <c:pt idx="20">
                  <c:v>Polsko</c:v>
                </c:pt>
                <c:pt idx="21">
                  <c:v>Slovensko</c:v>
                </c:pt>
                <c:pt idx="22">
                  <c:v>Maďarsko</c:v>
                </c:pt>
                <c:pt idx="23">
                  <c:v>Portugalsko</c:v>
                </c:pt>
                <c:pt idx="24">
                  <c:v>Estonsko</c:v>
                </c:pt>
                <c:pt idx="25">
                  <c:v>Kypr</c:v>
                </c:pt>
                <c:pt idx="26">
                  <c:v>Lotyšsko</c:v>
                </c:pt>
                <c:pt idx="27">
                  <c:v>Chorvatsko</c:v>
                </c:pt>
                <c:pt idx="28">
                  <c:v>Bulharsko</c:v>
                </c:pt>
                <c:pt idx="29">
                  <c:v>Norsko</c:v>
                </c:pt>
                <c:pt idx="30">
                  <c:v>Švýcarsko</c:v>
                </c:pt>
                <c:pt idx="31">
                  <c:v>Velká Británie</c:v>
                </c:pt>
                <c:pt idx="32">
                  <c:v>Island</c:v>
                </c:pt>
              </c:strCache>
            </c:strRef>
          </c:cat>
          <c:val>
            <c:numRef>
              <c:f>'GRAF-15'!$D$3:$D$35</c:f>
              <c:numCache>
                <c:formatCode>#,##0</c:formatCode>
                <c:ptCount val="33"/>
                <c:pt idx="0">
                  <c:v>257.08459953506099</c:v>
                </c:pt>
                <c:pt idx="1">
                  <c:v>157.66060638533244</c:v>
                </c:pt>
                <c:pt idx="2">
                  <c:v>143.48486842965914</c:v>
                </c:pt>
                <c:pt idx="3">
                  <c:v>173.05821928701991</c:v>
                </c:pt>
                <c:pt idx="4">
                  <c:v>131.91514051502077</c:v>
                </c:pt>
                <c:pt idx="5">
                  <c:v>133.20110789534323</c:v>
                </c:pt>
                <c:pt idx="6">
                  <c:v>125.49983419392075</c:v>
                </c:pt>
                <c:pt idx="7">
                  <c:v>115.4146548283401</c:v>
                </c:pt>
                <c:pt idx="8">
                  <c:v>120.64508690310593</c:v>
                </c:pt>
                <c:pt idx="9">
                  <c:v>124.78102812711404</c:v>
                </c:pt>
                <c:pt idx="10">
                  <c:v>114.73589033993044</c:v>
                </c:pt>
                <c:pt idx="11">
                  <c:v>116.4006264635205</c:v>
                </c:pt>
                <c:pt idx="12">
                  <c:v>102.64052886978649</c:v>
                </c:pt>
                <c:pt idx="13">
                  <c:v>97.033177184371027</c:v>
                </c:pt>
                <c:pt idx="14">
                  <c:v>97.326041692586713</c:v>
                </c:pt>
                <c:pt idx="15">
                  <c:v>76.209873621792354</c:v>
                </c:pt>
                <c:pt idx="16">
                  <c:v>82.239753545541916</c:v>
                </c:pt>
                <c:pt idx="17">
                  <c:v>65.70348733533497</c:v>
                </c:pt>
                <c:pt idx="18">
                  <c:v>69.767592251214865</c:v>
                </c:pt>
                <c:pt idx="19">
                  <c:v>63.977639744335157</c:v>
                </c:pt>
                <c:pt idx="20">
                  <c:v>65.122930966732113</c:v>
                </c:pt>
                <c:pt idx="21">
                  <c:v>72.548651896471313</c:v>
                </c:pt>
                <c:pt idx="22">
                  <c:v>68.437055275540843</c:v>
                </c:pt>
                <c:pt idx="23">
                  <c:v>66.931226810307834</c:v>
                </c:pt>
                <c:pt idx="24">
                  <c:v>60.990856262344785</c:v>
                </c:pt>
                <c:pt idx="25">
                  <c:v>53.71206351001139</c:v>
                </c:pt>
                <c:pt idx="26">
                  <c:v>50.396679303460836</c:v>
                </c:pt>
                <c:pt idx="27">
                  <c:v>58.701721089641303</c:v>
                </c:pt>
                <c:pt idx="28">
                  <c:v>38.011588837561895</c:v>
                </c:pt>
                <c:pt idx="29">
                  <c:v>352.40569364495775</c:v>
                </c:pt>
                <c:pt idx="30">
                  <c:v>159.89329653797122</c:v>
                </c:pt>
                <c:pt idx="31">
                  <c:v>138.2729004176457</c:v>
                </c:pt>
                <c:pt idx="32">
                  <c:v>113.26821111538305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D3C4-4BB5-98E0-255A03008D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167600"/>
        <c:axId val="281211184"/>
      </c:lineChart>
      <c:catAx>
        <c:axId val="21116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3300000" spcFirstLastPara="1" vertOverflow="ellipsis" wrap="square" anchor="ctr" anchorCtr="1"/>
          <a:lstStyle/>
          <a:p>
            <a:pPr>
              <a:defRPr sz="7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81211184"/>
        <c:crossesAt val="0"/>
        <c:auto val="1"/>
        <c:lblAlgn val="ctr"/>
        <c:lblOffset val="0"/>
        <c:noMultiLvlLbl val="0"/>
      </c:catAx>
      <c:valAx>
        <c:axId val="281211184"/>
        <c:scaling>
          <c:orientation val="minMax"/>
          <c:max val="250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low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11167600"/>
        <c:crossesAt val="1"/>
        <c:crossBetween val="between"/>
        <c:majorUnit val="25"/>
      </c:valAx>
      <c:spPr>
        <a:noFill/>
        <a:ln w="6350">
          <a:solidFill>
            <a:schemeClr val="tx1">
              <a:lumMod val="95000"/>
              <a:lumOff val="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0.4065673040869891"/>
          <c:y val="0.93780311390458149"/>
          <c:w val="0.37315773028371452"/>
          <c:h val="4.6483472679181438E-2"/>
        </c:manualLayout>
      </c:layout>
      <c:overlay val="0"/>
      <c:spPr>
        <a:noFill/>
        <a:ln w="6350">
          <a:solidFill>
            <a:schemeClr val="tx1">
              <a:lumMod val="95000"/>
              <a:lumOff val="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869551739103478"/>
          <c:y val="2.0864272307841863E-2"/>
          <c:w val="0.80767292867919072"/>
          <c:h val="0.659225092555454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'GRAF-2'!$B$29</c:f>
              <c:strCache>
                <c:ptCount val="1"/>
                <c:pt idx="0">
                  <c:v>Celková zaměstnanost (rok 2019)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'GRAF-2'!$A$30:$A$53</c:f>
              <c:strCache>
                <c:ptCount val="24"/>
                <c:pt idx="0">
                  <c:v>Výroba motor. voz.</c:v>
                </c:pt>
                <c:pt idx="1">
                  <c:v>Kovodělný pr.</c:v>
                </c:pt>
                <c:pt idx="2">
                  <c:v>Strojírenský pr.</c:v>
                </c:pt>
                <c:pt idx="3">
                  <c:v>Výroba elektric. zař.</c:v>
                </c:pt>
                <c:pt idx="4">
                  <c:v>Potravinářství</c:v>
                </c:pt>
                <c:pt idx="5">
                  <c:v>Gumáren., plastikář.</c:v>
                </c:pt>
                <c:pt idx="6">
                  <c:v>Vodní, odpad.hospod.</c:v>
                </c:pt>
                <c:pt idx="7">
                  <c:v>Staveb. materiály</c:v>
                </c:pt>
                <c:pt idx="8">
                  <c:v>Dřevozprac. pr.</c:v>
                </c:pt>
                <c:pt idx="9">
                  <c:v>Opravy, instal.strojů</c:v>
                </c:pt>
                <c:pt idx="10">
                  <c:v>PC, elektr.,optic. př.</c:v>
                </c:pt>
                <c:pt idx="11">
                  <c:v>Hutnictví, slévár.</c:v>
                </c:pt>
                <c:pt idx="12">
                  <c:v>Ostatní zprac. pr.</c:v>
                </c:pt>
                <c:pt idx="13">
                  <c:v>Energetika</c:v>
                </c:pt>
                <c:pt idx="14">
                  <c:v>(Petro-)chemic. pr.</c:v>
                </c:pt>
                <c:pt idx="15">
                  <c:v>Nábytkářský pr.</c:v>
                </c:pt>
                <c:pt idx="16">
                  <c:v>Oděvní, kožeděl. pr.</c:v>
                </c:pt>
                <c:pt idx="17">
                  <c:v>Ost. dopravní pr.</c:v>
                </c:pt>
                <c:pt idx="18">
                  <c:v>Těžební pr.</c:v>
                </c:pt>
                <c:pt idx="19">
                  <c:v>Výroba textilií</c:v>
                </c:pt>
                <c:pt idx="20">
                  <c:v>Tiskařský pr.</c:v>
                </c:pt>
                <c:pt idx="21">
                  <c:v>Papírenský pr.</c:v>
                </c:pt>
                <c:pt idx="22">
                  <c:v>Výroba nápojů</c:v>
                </c:pt>
                <c:pt idx="23">
                  <c:v>Farmacie</c:v>
                </c:pt>
              </c:strCache>
            </c:strRef>
          </c:cat>
          <c:val>
            <c:numRef>
              <c:f>'GRAF-2'!$B$30:$B$53</c:f>
              <c:numCache>
                <c:formatCode>0.000</c:formatCode>
                <c:ptCount val="24"/>
                <c:pt idx="0">
                  <c:v>201.01600000000002</c:v>
                </c:pt>
                <c:pt idx="1">
                  <c:v>200.84099999999998</c:v>
                </c:pt>
                <c:pt idx="2">
                  <c:v>136.202</c:v>
                </c:pt>
                <c:pt idx="3">
                  <c:v>117.065</c:v>
                </c:pt>
                <c:pt idx="4">
                  <c:v>107.077</c:v>
                </c:pt>
                <c:pt idx="5">
                  <c:v>98.576999999999998</c:v>
                </c:pt>
                <c:pt idx="6">
                  <c:v>60.580999999999996</c:v>
                </c:pt>
                <c:pt idx="7">
                  <c:v>58.844000000000001</c:v>
                </c:pt>
                <c:pt idx="8">
                  <c:v>53.402999999999999</c:v>
                </c:pt>
                <c:pt idx="9">
                  <c:v>53.174999999999997</c:v>
                </c:pt>
                <c:pt idx="10">
                  <c:v>45.875999999999998</c:v>
                </c:pt>
                <c:pt idx="11">
                  <c:v>45.655999999999999</c:v>
                </c:pt>
                <c:pt idx="12">
                  <c:v>43.728999999999999</c:v>
                </c:pt>
                <c:pt idx="13">
                  <c:v>40.524999999999999</c:v>
                </c:pt>
                <c:pt idx="14">
                  <c:v>32.985999999999997</c:v>
                </c:pt>
                <c:pt idx="15">
                  <c:v>32.019999999999996</c:v>
                </c:pt>
                <c:pt idx="16">
                  <c:v>31.878999999999998</c:v>
                </c:pt>
                <c:pt idx="17">
                  <c:v>26.667999999999999</c:v>
                </c:pt>
                <c:pt idx="18">
                  <c:v>25.358000000000001</c:v>
                </c:pt>
                <c:pt idx="19">
                  <c:v>24.672000000000001</c:v>
                </c:pt>
                <c:pt idx="20">
                  <c:v>24.02</c:v>
                </c:pt>
                <c:pt idx="21">
                  <c:v>22.166</c:v>
                </c:pt>
                <c:pt idx="22">
                  <c:v>19.620999999999999</c:v>
                </c:pt>
                <c:pt idx="23">
                  <c:v>13.294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C1-47C1-A9CE-E7C5A6A95E4B}"/>
            </c:ext>
          </c:extLst>
        </c:ser>
        <c:ser>
          <c:idx val="1"/>
          <c:order val="1"/>
          <c:tx>
            <c:strRef>
              <c:f>'GRAF-2'!$C$29</c:f>
              <c:strCache>
                <c:ptCount val="1"/>
                <c:pt idx="0">
                  <c:v>z toho:  Sebezaměstnaní (rok 2019)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strRef>
              <c:f>'GRAF-2'!$A$30:$A$53</c:f>
              <c:strCache>
                <c:ptCount val="24"/>
                <c:pt idx="0">
                  <c:v>Výroba motor. voz.</c:v>
                </c:pt>
                <c:pt idx="1">
                  <c:v>Kovodělný pr.</c:v>
                </c:pt>
                <c:pt idx="2">
                  <c:v>Strojírenský pr.</c:v>
                </c:pt>
                <c:pt idx="3">
                  <c:v>Výroba elektric. zař.</c:v>
                </c:pt>
                <c:pt idx="4">
                  <c:v>Potravinářství</c:v>
                </c:pt>
                <c:pt idx="5">
                  <c:v>Gumáren., plastikář.</c:v>
                </c:pt>
                <c:pt idx="6">
                  <c:v>Vodní, odpad.hospod.</c:v>
                </c:pt>
                <c:pt idx="7">
                  <c:v>Staveb. materiály</c:v>
                </c:pt>
                <c:pt idx="8">
                  <c:v>Dřevozprac. pr.</c:v>
                </c:pt>
                <c:pt idx="9">
                  <c:v>Opravy, instal.strojů</c:v>
                </c:pt>
                <c:pt idx="10">
                  <c:v>PC, elektr.,optic. př.</c:v>
                </c:pt>
                <c:pt idx="11">
                  <c:v>Hutnictví, slévár.</c:v>
                </c:pt>
                <c:pt idx="12">
                  <c:v>Ostatní zprac. pr.</c:v>
                </c:pt>
                <c:pt idx="13">
                  <c:v>Energetika</c:v>
                </c:pt>
                <c:pt idx="14">
                  <c:v>(Petro-)chemic. pr.</c:v>
                </c:pt>
                <c:pt idx="15">
                  <c:v>Nábytkářský pr.</c:v>
                </c:pt>
                <c:pt idx="16">
                  <c:v>Oděvní, kožeděl. pr.</c:v>
                </c:pt>
                <c:pt idx="17">
                  <c:v>Ost. dopravní pr.</c:v>
                </c:pt>
                <c:pt idx="18">
                  <c:v>Těžební pr.</c:v>
                </c:pt>
                <c:pt idx="19">
                  <c:v>Výroba textilií</c:v>
                </c:pt>
                <c:pt idx="20">
                  <c:v>Tiskařský pr.</c:v>
                </c:pt>
                <c:pt idx="21">
                  <c:v>Papírenský pr.</c:v>
                </c:pt>
                <c:pt idx="22">
                  <c:v>Výroba nápojů</c:v>
                </c:pt>
                <c:pt idx="23">
                  <c:v>Farmacie</c:v>
                </c:pt>
              </c:strCache>
            </c:strRef>
          </c:cat>
          <c:val>
            <c:numRef>
              <c:f>'GRAF-2'!$C$30:$C$53</c:f>
              <c:numCache>
                <c:formatCode>0.000</c:formatCode>
                <c:ptCount val="24"/>
                <c:pt idx="0">
                  <c:v>0.28699999999999998</c:v>
                </c:pt>
                <c:pt idx="1">
                  <c:v>28.248000000000001</c:v>
                </c:pt>
                <c:pt idx="2">
                  <c:v>1.538</c:v>
                </c:pt>
                <c:pt idx="3">
                  <c:v>5.9189999999999996</c:v>
                </c:pt>
                <c:pt idx="4">
                  <c:v>6.3209999999999997</c:v>
                </c:pt>
                <c:pt idx="5">
                  <c:v>1.232</c:v>
                </c:pt>
                <c:pt idx="6">
                  <c:v>2.3239999999999998</c:v>
                </c:pt>
                <c:pt idx="7">
                  <c:v>3.411</c:v>
                </c:pt>
                <c:pt idx="8">
                  <c:v>19.274000000000001</c:v>
                </c:pt>
                <c:pt idx="9">
                  <c:v>8.9090000000000007</c:v>
                </c:pt>
                <c:pt idx="10">
                  <c:v>1.1870000000000001</c:v>
                </c:pt>
                <c:pt idx="11">
                  <c:v>0.39700000000000002</c:v>
                </c:pt>
                <c:pt idx="12">
                  <c:v>6.1139999999999999</c:v>
                </c:pt>
                <c:pt idx="13">
                  <c:v>6.0220000000000002</c:v>
                </c:pt>
                <c:pt idx="14">
                  <c:v>0.67200000000000004</c:v>
                </c:pt>
                <c:pt idx="15">
                  <c:v>7.6310000000000002</c:v>
                </c:pt>
                <c:pt idx="16">
                  <c:v>9.2189999999999994</c:v>
                </c:pt>
                <c:pt idx="17">
                  <c:v>0.25800000000000001</c:v>
                </c:pt>
                <c:pt idx="18">
                  <c:v>0.19</c:v>
                </c:pt>
                <c:pt idx="19">
                  <c:v>1.0549999999999999</c:v>
                </c:pt>
                <c:pt idx="20">
                  <c:v>4.9210000000000003</c:v>
                </c:pt>
                <c:pt idx="21">
                  <c:v>0.36299999999999999</c:v>
                </c:pt>
                <c:pt idx="22">
                  <c:v>3.496</c:v>
                </c:pt>
                <c:pt idx="23">
                  <c:v>2.6480000000000001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2C1-47C1-A9CE-E7C5A6A95E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"/>
        <c:overlap val="54"/>
        <c:axId val="211167600"/>
        <c:axId val="281211184"/>
      </c:barChart>
      <c:lineChart>
        <c:grouping val="standard"/>
        <c:varyColors val="0"/>
        <c:ser>
          <c:idx val="2"/>
          <c:order val="2"/>
          <c:tx>
            <c:strRef>
              <c:f>'GRAF-2'!$D$29</c:f>
              <c:strCache>
                <c:ptCount val="1"/>
                <c:pt idx="0">
                  <c:v>Zaměstnaní celkem (2019/2005)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00B0F0"/>
              </a:solidFill>
              <a:ln w="9525">
                <a:noFill/>
              </a:ln>
              <a:effectLst/>
            </c:spPr>
          </c:marker>
          <c:cat>
            <c:strRef>
              <c:f>'GRAF-2'!$A$30:$A$53</c:f>
              <c:strCache>
                <c:ptCount val="24"/>
                <c:pt idx="0">
                  <c:v>Výroba motor. voz.</c:v>
                </c:pt>
                <c:pt idx="1">
                  <c:v>Kovodělný pr.</c:v>
                </c:pt>
                <c:pt idx="2">
                  <c:v>Strojírenský pr.</c:v>
                </c:pt>
                <c:pt idx="3">
                  <c:v>Výroba elektric. zař.</c:v>
                </c:pt>
                <c:pt idx="4">
                  <c:v>Potravinářství</c:v>
                </c:pt>
                <c:pt idx="5">
                  <c:v>Gumáren., plastikář.</c:v>
                </c:pt>
                <c:pt idx="6">
                  <c:v>Vodní, odpad.hospod.</c:v>
                </c:pt>
                <c:pt idx="7">
                  <c:v>Staveb. materiály</c:v>
                </c:pt>
                <c:pt idx="8">
                  <c:v>Dřevozprac. pr.</c:v>
                </c:pt>
                <c:pt idx="9">
                  <c:v>Opravy, instal.strojů</c:v>
                </c:pt>
                <c:pt idx="10">
                  <c:v>PC, elektr.,optic. př.</c:v>
                </c:pt>
                <c:pt idx="11">
                  <c:v>Hutnictví, slévár.</c:v>
                </c:pt>
                <c:pt idx="12">
                  <c:v>Ostatní zprac. pr.</c:v>
                </c:pt>
                <c:pt idx="13">
                  <c:v>Energetika</c:v>
                </c:pt>
                <c:pt idx="14">
                  <c:v>(Petro-)chemic. pr.</c:v>
                </c:pt>
                <c:pt idx="15">
                  <c:v>Nábytkářský pr.</c:v>
                </c:pt>
                <c:pt idx="16">
                  <c:v>Oděvní, kožeděl. pr.</c:v>
                </c:pt>
                <c:pt idx="17">
                  <c:v>Ost. dopravní pr.</c:v>
                </c:pt>
                <c:pt idx="18">
                  <c:v>Těžební pr.</c:v>
                </c:pt>
                <c:pt idx="19">
                  <c:v>Výroba textilií</c:v>
                </c:pt>
                <c:pt idx="20">
                  <c:v>Tiskařský pr.</c:v>
                </c:pt>
                <c:pt idx="21">
                  <c:v>Papírenský pr.</c:v>
                </c:pt>
                <c:pt idx="22">
                  <c:v>Výroba nápojů</c:v>
                </c:pt>
                <c:pt idx="23">
                  <c:v>Farmacie</c:v>
                </c:pt>
              </c:strCache>
            </c:strRef>
          </c:cat>
          <c:val>
            <c:numRef>
              <c:f>'GRAF-2'!$D$30:$D$53</c:f>
              <c:numCache>
                <c:formatCode>0</c:formatCode>
                <c:ptCount val="24"/>
                <c:pt idx="0">
                  <c:v>50.398036751062421</c:v>
                </c:pt>
                <c:pt idx="1">
                  <c:v>13.504761366526324</c:v>
                </c:pt>
                <c:pt idx="2">
                  <c:v>9.5047435278983841</c:v>
                </c:pt>
                <c:pt idx="3">
                  <c:v>31.105038581715974</c:v>
                </c:pt>
                <c:pt idx="4">
                  <c:v>-9.7706282863691598</c:v>
                </c:pt>
                <c:pt idx="5">
                  <c:v>32.160238104814397</c:v>
                </c:pt>
                <c:pt idx="6">
                  <c:v>14.441967659060012</c:v>
                </c:pt>
                <c:pt idx="7">
                  <c:v>-22.403175398573183</c:v>
                </c:pt>
                <c:pt idx="8">
                  <c:v>-27.843534657478713</c:v>
                </c:pt>
                <c:pt idx="9">
                  <c:v>10.998622302008101</c:v>
                </c:pt>
                <c:pt idx="10">
                  <c:v>0.2819857039805953</c:v>
                </c:pt>
                <c:pt idx="11">
                  <c:v>-23.223354521911673</c:v>
                </c:pt>
                <c:pt idx="12">
                  <c:v>2.8409491780531937</c:v>
                </c:pt>
                <c:pt idx="13">
                  <c:v>12.908168951298336</c:v>
                </c:pt>
                <c:pt idx="14">
                  <c:v>-10.633686434938099</c:v>
                </c:pt>
                <c:pt idx="15">
                  <c:v>-14.405624315004403</c:v>
                </c:pt>
                <c:pt idx="16">
                  <c:v>-43.251566505269153</c:v>
                </c:pt>
                <c:pt idx="17">
                  <c:v>68.656716417910445</c:v>
                </c:pt>
                <c:pt idx="18">
                  <c:v>-42.376039630959419</c:v>
                </c:pt>
                <c:pt idx="19">
                  <c:v>-43.273630239348861</c:v>
                </c:pt>
                <c:pt idx="20">
                  <c:v>-10.490031675051242</c:v>
                </c:pt>
                <c:pt idx="21">
                  <c:v>7.7850717238025879</c:v>
                </c:pt>
                <c:pt idx="22">
                  <c:v>-17.018397124127731</c:v>
                </c:pt>
                <c:pt idx="23">
                  <c:v>16.511831726555656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2C1-47C1-A9CE-E7C5A6A95E4B}"/>
            </c:ext>
          </c:extLst>
        </c:ser>
        <c:ser>
          <c:idx val="3"/>
          <c:order val="3"/>
          <c:tx>
            <c:strRef>
              <c:f>'GRAF-2'!$E$29</c:f>
              <c:strCache>
                <c:ptCount val="1"/>
                <c:pt idx="0">
                  <c:v>Zaměstnaní celkem (2019/2013)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7030A0"/>
                </a:solidFill>
              </a:ln>
              <a:effectLst/>
            </c:spPr>
          </c:marker>
          <c:cat>
            <c:strRef>
              <c:f>'GRAF-2'!$A$30:$A$53</c:f>
              <c:strCache>
                <c:ptCount val="24"/>
                <c:pt idx="0">
                  <c:v>Výroba motor. voz.</c:v>
                </c:pt>
                <c:pt idx="1">
                  <c:v>Kovodělný pr.</c:v>
                </c:pt>
                <c:pt idx="2">
                  <c:v>Strojírenský pr.</c:v>
                </c:pt>
                <c:pt idx="3">
                  <c:v>Výroba elektric. zař.</c:v>
                </c:pt>
                <c:pt idx="4">
                  <c:v>Potravinářství</c:v>
                </c:pt>
                <c:pt idx="5">
                  <c:v>Gumáren., plastikář.</c:v>
                </c:pt>
                <c:pt idx="6">
                  <c:v>Vodní, odpad.hospod.</c:v>
                </c:pt>
                <c:pt idx="7">
                  <c:v>Staveb. materiály</c:v>
                </c:pt>
                <c:pt idx="8">
                  <c:v>Dřevozprac. pr.</c:v>
                </c:pt>
                <c:pt idx="9">
                  <c:v>Opravy, instal.strojů</c:v>
                </c:pt>
                <c:pt idx="10">
                  <c:v>PC, elektr.,optic. př.</c:v>
                </c:pt>
                <c:pt idx="11">
                  <c:v>Hutnictví, slévár.</c:v>
                </c:pt>
                <c:pt idx="12">
                  <c:v>Ostatní zprac. pr.</c:v>
                </c:pt>
                <c:pt idx="13">
                  <c:v>Energetika</c:v>
                </c:pt>
                <c:pt idx="14">
                  <c:v>(Petro-)chemic. pr.</c:v>
                </c:pt>
                <c:pt idx="15">
                  <c:v>Nábytkářský pr.</c:v>
                </c:pt>
                <c:pt idx="16">
                  <c:v>Oděvní, kožeděl. pr.</c:v>
                </c:pt>
                <c:pt idx="17">
                  <c:v>Ost. dopravní pr.</c:v>
                </c:pt>
                <c:pt idx="18">
                  <c:v>Těžební pr.</c:v>
                </c:pt>
                <c:pt idx="19">
                  <c:v>Výroba textilií</c:v>
                </c:pt>
                <c:pt idx="20">
                  <c:v>Tiskařský pr.</c:v>
                </c:pt>
                <c:pt idx="21">
                  <c:v>Papírenský pr.</c:v>
                </c:pt>
                <c:pt idx="22">
                  <c:v>Výroba nápojů</c:v>
                </c:pt>
                <c:pt idx="23">
                  <c:v>Farmacie</c:v>
                </c:pt>
              </c:strCache>
            </c:strRef>
          </c:cat>
          <c:val>
            <c:numRef>
              <c:f>'GRAF-2'!$E$30:$E$53</c:f>
              <c:numCache>
                <c:formatCode>0</c:formatCode>
                <c:ptCount val="24"/>
                <c:pt idx="0">
                  <c:v>30.990890015509109</c:v>
                </c:pt>
                <c:pt idx="1">
                  <c:v>9.045449856391258</c:v>
                </c:pt>
                <c:pt idx="2">
                  <c:v>5.4733842365294976</c:v>
                </c:pt>
                <c:pt idx="3">
                  <c:v>15.439610287156839</c:v>
                </c:pt>
                <c:pt idx="4">
                  <c:v>0.78594152971518838</c:v>
                </c:pt>
                <c:pt idx="5">
                  <c:v>17.405285661541399</c:v>
                </c:pt>
                <c:pt idx="6">
                  <c:v>9.064559104165923</c:v>
                </c:pt>
                <c:pt idx="7">
                  <c:v>3.2441442231774715</c:v>
                </c:pt>
                <c:pt idx="8">
                  <c:v>-8.6253507631236772</c:v>
                </c:pt>
                <c:pt idx="9">
                  <c:v>0.14312887248347295</c:v>
                </c:pt>
                <c:pt idx="10">
                  <c:v>1.4888392363338738</c:v>
                </c:pt>
                <c:pt idx="11">
                  <c:v>-0.27957365018347957</c:v>
                </c:pt>
                <c:pt idx="12">
                  <c:v>8.4629312696877292</c:v>
                </c:pt>
                <c:pt idx="13">
                  <c:v>15.885044323706026</c:v>
                </c:pt>
                <c:pt idx="14">
                  <c:v>5.1413635928983581</c:v>
                </c:pt>
                <c:pt idx="15">
                  <c:v>-10.46862767028297</c:v>
                </c:pt>
                <c:pt idx="16">
                  <c:v>-3.385258819250808</c:v>
                </c:pt>
                <c:pt idx="17">
                  <c:v>18.97920942268226</c:v>
                </c:pt>
                <c:pt idx="18">
                  <c:v>-16.965192049510463</c:v>
                </c:pt>
                <c:pt idx="19">
                  <c:v>-5.2716452294106375</c:v>
                </c:pt>
                <c:pt idx="20">
                  <c:v>-3.6695408060958528</c:v>
                </c:pt>
                <c:pt idx="21">
                  <c:v>12.318216366860895</c:v>
                </c:pt>
                <c:pt idx="22">
                  <c:v>8.0749104929771534</c:v>
                </c:pt>
                <c:pt idx="23">
                  <c:v>6.830601092896174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2C1-47C1-A9CE-E7C5A6A95E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8708864"/>
        <c:axId val="202400864"/>
      </c:lineChart>
      <c:catAx>
        <c:axId val="21116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30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81211184"/>
        <c:crossesAt val="0"/>
        <c:auto val="1"/>
        <c:lblAlgn val="ctr"/>
        <c:lblOffset val="0"/>
        <c:noMultiLvlLbl val="0"/>
      </c:catAx>
      <c:valAx>
        <c:axId val="281211184"/>
        <c:scaling>
          <c:orientation val="minMax"/>
          <c:max val="240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1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800" i="1">
                    <a:latin typeface="Arial" panose="020B0604020202020204" pitchFamily="34" charset="0"/>
                    <a:cs typeface="Arial" panose="020B0604020202020204" pitchFamily="34" charset="0"/>
                  </a:rPr>
                  <a:t>Sebezaměstnaní,</a:t>
                </a:r>
                <a:r>
                  <a:rPr lang="cs-CZ" sz="800" i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 zaměstnanci (v  tis.)</a:t>
                </a:r>
                <a:endParaRPr lang="cs-CZ" sz="800" i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1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0" sourceLinked="0"/>
        <c:majorTickMark val="none"/>
        <c:minorTickMark val="none"/>
        <c:tickLblPos val="low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11167600"/>
        <c:crossesAt val="1"/>
        <c:crossBetween val="between"/>
        <c:majorUnit val="20"/>
      </c:valAx>
      <c:valAx>
        <c:axId val="202400864"/>
        <c:scaling>
          <c:orientation val="minMax"/>
          <c:max val="70"/>
          <c:min val="-5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1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800" i="1">
                    <a:latin typeface="Arial" panose="020B0604020202020204" pitchFamily="34" charset="0"/>
                    <a:cs typeface="Arial" panose="020B0604020202020204" pitchFamily="34" charset="0"/>
                  </a:rPr>
                  <a:t>Zaměstnaní</a:t>
                </a:r>
                <a:r>
                  <a:rPr lang="cs-CZ" sz="800" i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 celkem (změna v %)</a:t>
                </a:r>
                <a:endParaRPr lang="cs-CZ" sz="800" i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96752985642249578"/>
              <c:y val="0.1522671631857983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1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358708864"/>
        <c:crosses val="max"/>
        <c:crossBetween val="between"/>
        <c:majorUnit val="10"/>
      </c:valAx>
      <c:catAx>
        <c:axId val="3587088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02400864"/>
        <c:crossesAt val="0"/>
        <c:auto val="1"/>
        <c:lblAlgn val="ctr"/>
        <c:lblOffset val="100"/>
        <c:noMultiLvlLbl val="0"/>
      </c:catAx>
      <c:spPr>
        <a:noFill/>
        <a:ln w="6350">
          <a:solidFill>
            <a:schemeClr val="tx1">
              <a:lumMod val="95000"/>
              <a:lumOff val="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3.5297815795634159E-2"/>
          <c:y val="0.91322069875035694"/>
          <c:w val="0.92757595594060915"/>
          <c:h val="7.9179547954151691E-2"/>
        </c:manualLayout>
      </c:layout>
      <c:overlay val="0"/>
      <c:spPr>
        <a:noFill/>
        <a:ln w="6350">
          <a:solidFill>
            <a:schemeClr val="tx1">
              <a:lumMod val="95000"/>
              <a:lumOff val="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773233062252516E-2"/>
          <c:y val="2.0864272307841863E-2"/>
          <c:w val="0.93753640266127947"/>
          <c:h val="0.766876264805655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'GRAF-5'!$D$21</c:f>
              <c:strCache>
                <c:ptCount val="1"/>
                <c:pt idx="0">
                  <c:v>Průměr za období 2017 až 2019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B97-464D-8DDE-ADA2F8B535BE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BB97-464D-8DDE-ADA2F8B535BE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BB97-464D-8DDE-ADA2F8B535BE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BB97-464D-8DDE-ADA2F8B535BE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BB97-464D-8DDE-ADA2F8B535BE}"/>
              </c:ext>
            </c:extLst>
          </c:dPt>
          <c:dPt>
            <c:idx val="16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BB97-464D-8DDE-ADA2F8B535BE}"/>
              </c:ext>
            </c:extLst>
          </c:dPt>
          <c:dPt>
            <c:idx val="19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BB97-464D-8DDE-ADA2F8B535BE}"/>
              </c:ext>
            </c:extLst>
          </c:dPt>
          <c:dPt>
            <c:idx val="22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BB97-464D-8DDE-ADA2F8B535BE}"/>
              </c:ext>
            </c:extLst>
          </c:dPt>
          <c:dPt>
            <c:idx val="25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BB97-464D-8DDE-ADA2F8B535BE}"/>
              </c:ext>
            </c:extLst>
          </c:dPt>
          <c:dPt>
            <c:idx val="28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BB97-464D-8DDE-ADA2F8B535BE}"/>
              </c:ext>
            </c:extLst>
          </c:dPt>
          <c:dPt>
            <c:idx val="31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BB97-464D-8DDE-ADA2F8B535BE}"/>
              </c:ext>
            </c:extLst>
          </c:dPt>
          <c:dPt>
            <c:idx val="34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7-BB97-464D-8DDE-ADA2F8B535BE}"/>
              </c:ext>
            </c:extLst>
          </c:dPt>
          <c:dPt>
            <c:idx val="37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9-BB97-464D-8DDE-ADA2F8B535BE}"/>
              </c:ext>
            </c:extLst>
          </c:dPt>
          <c:dPt>
            <c:idx val="40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B-BB97-464D-8DDE-ADA2F8B535BE}"/>
              </c:ext>
            </c:extLst>
          </c:dPt>
          <c:dPt>
            <c:idx val="43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D-BB97-464D-8DDE-ADA2F8B535BE}"/>
              </c:ext>
            </c:extLst>
          </c:dPt>
          <c:cat>
            <c:multiLvlStrRef>
              <c:f>'GRAF-5'!$B$22:$C$66</c:f>
              <c:multiLvlStrCache>
                <c:ptCount val="45"/>
                <c:lvl>
                  <c:pt idx="0">
                    <c:v>Muži</c:v>
                  </c:pt>
                  <c:pt idx="1">
                    <c:v>Ženy</c:v>
                  </c:pt>
                  <c:pt idx="3">
                    <c:v>Muži</c:v>
                  </c:pt>
                  <c:pt idx="4">
                    <c:v>Ženy</c:v>
                  </c:pt>
                  <c:pt idx="6">
                    <c:v>Muži</c:v>
                  </c:pt>
                  <c:pt idx="7">
                    <c:v>Ženy</c:v>
                  </c:pt>
                  <c:pt idx="9">
                    <c:v>Muži</c:v>
                  </c:pt>
                  <c:pt idx="10">
                    <c:v>Ženy</c:v>
                  </c:pt>
                  <c:pt idx="12">
                    <c:v>Muži</c:v>
                  </c:pt>
                  <c:pt idx="13">
                    <c:v>Ženy</c:v>
                  </c:pt>
                  <c:pt idx="15">
                    <c:v>Muži</c:v>
                  </c:pt>
                  <c:pt idx="16">
                    <c:v>Ženy</c:v>
                  </c:pt>
                  <c:pt idx="18">
                    <c:v>Muži</c:v>
                  </c:pt>
                  <c:pt idx="19">
                    <c:v>Ženy</c:v>
                  </c:pt>
                  <c:pt idx="21">
                    <c:v>Muži</c:v>
                  </c:pt>
                  <c:pt idx="22">
                    <c:v>Ženy</c:v>
                  </c:pt>
                  <c:pt idx="24">
                    <c:v>Muži</c:v>
                  </c:pt>
                  <c:pt idx="25">
                    <c:v>Ženy</c:v>
                  </c:pt>
                  <c:pt idx="27">
                    <c:v>Muži</c:v>
                  </c:pt>
                  <c:pt idx="28">
                    <c:v>Ženy</c:v>
                  </c:pt>
                  <c:pt idx="30">
                    <c:v>Muži</c:v>
                  </c:pt>
                  <c:pt idx="31">
                    <c:v>Ženy</c:v>
                  </c:pt>
                  <c:pt idx="33">
                    <c:v>Muži</c:v>
                  </c:pt>
                  <c:pt idx="34">
                    <c:v>Ženy</c:v>
                  </c:pt>
                  <c:pt idx="36">
                    <c:v>Muži</c:v>
                  </c:pt>
                  <c:pt idx="37">
                    <c:v>Ženy</c:v>
                  </c:pt>
                  <c:pt idx="39">
                    <c:v>Muži</c:v>
                  </c:pt>
                  <c:pt idx="40">
                    <c:v>Ženy</c:v>
                  </c:pt>
                  <c:pt idx="42">
                    <c:v>Muži</c:v>
                  </c:pt>
                  <c:pt idx="43">
                    <c:v>Ženy</c:v>
                  </c:pt>
                  <c:pt idx="44">
                    <c:v>.</c:v>
                  </c:pt>
                </c:lvl>
                <c:lvl>
                  <c:pt idx="0">
                    <c:v>ČR 
celkem</c:v>
                  </c:pt>
                  <c:pt idx="3">
                    <c:v>Praha</c:v>
                  </c:pt>
                  <c:pt idx="6">
                    <c:v>Středo-
český</c:v>
                  </c:pt>
                  <c:pt idx="9">
                    <c:v>Jiho-
český</c:v>
                  </c:pt>
                  <c:pt idx="12">
                    <c:v>Plzeň-
ský</c:v>
                  </c:pt>
                  <c:pt idx="15">
                    <c:v>Karlo-
varský</c:v>
                  </c:pt>
                  <c:pt idx="18">
                    <c:v>Ústec-
ký</c:v>
                  </c:pt>
                  <c:pt idx="21">
                    <c:v>Libe-
recký</c:v>
                  </c:pt>
                  <c:pt idx="24">
                    <c:v>Králo-
véhrad.</c:v>
                  </c:pt>
                  <c:pt idx="27">
                    <c:v>Pardu-
bický</c:v>
                  </c:pt>
                  <c:pt idx="30">
                    <c:v>Vyso-
čina</c:v>
                  </c:pt>
                  <c:pt idx="33">
                    <c:v>Jiho-
morav.</c:v>
                  </c:pt>
                  <c:pt idx="36">
                    <c:v>Olo-
mouc.</c:v>
                  </c:pt>
                  <c:pt idx="39">
                    <c:v>Zlínský</c:v>
                  </c:pt>
                  <c:pt idx="42">
                    <c:v>Morav-
skosl.</c:v>
                  </c:pt>
                </c:lvl>
              </c:multiLvlStrCache>
            </c:multiLvlStrRef>
          </c:cat>
          <c:val>
            <c:numRef>
              <c:f>'GRAF-5'!$D$22:$D$66</c:f>
              <c:numCache>
                <c:formatCode>#\ ##0.0</c:formatCode>
                <c:ptCount val="45"/>
                <c:pt idx="0">
                  <c:v>36.490478955046463</c:v>
                </c:pt>
                <c:pt idx="1">
                  <c:v>22.536258374017518</c:v>
                </c:pt>
                <c:pt idx="3">
                  <c:v>13.416139063392009</c:v>
                </c:pt>
                <c:pt idx="4">
                  <c:v>7.7914024145864182</c:v>
                </c:pt>
                <c:pt idx="6">
                  <c:v>32.331399500616904</c:v>
                </c:pt>
                <c:pt idx="7">
                  <c:v>19.58625627666456</c:v>
                </c:pt>
                <c:pt idx="9">
                  <c:v>36.693378418351244</c:v>
                </c:pt>
                <c:pt idx="10">
                  <c:v>25.044056880824712</c:v>
                </c:pt>
                <c:pt idx="12">
                  <c:v>41.541127353741359</c:v>
                </c:pt>
                <c:pt idx="13">
                  <c:v>27.706069307767493</c:v>
                </c:pt>
                <c:pt idx="15">
                  <c:v>38.325081670428581</c:v>
                </c:pt>
                <c:pt idx="16">
                  <c:v>25.381675635909058</c:v>
                </c:pt>
                <c:pt idx="18">
                  <c:v>41.186357973258211</c:v>
                </c:pt>
                <c:pt idx="19">
                  <c:v>22.317645052116116</c:v>
                </c:pt>
                <c:pt idx="21">
                  <c:v>46.388044841401154</c:v>
                </c:pt>
                <c:pt idx="22">
                  <c:v>34.729805133527925</c:v>
                </c:pt>
                <c:pt idx="24">
                  <c:v>39.787863376754181</c:v>
                </c:pt>
                <c:pt idx="25">
                  <c:v>26.412429104751649</c:v>
                </c:pt>
                <c:pt idx="27">
                  <c:v>45.333663466547357</c:v>
                </c:pt>
                <c:pt idx="28">
                  <c:v>27.75012926807295</c:v>
                </c:pt>
                <c:pt idx="30">
                  <c:v>45.691142205747894</c:v>
                </c:pt>
                <c:pt idx="31">
                  <c:v>30.550679293566677</c:v>
                </c:pt>
                <c:pt idx="33">
                  <c:v>34.150505170698082</c:v>
                </c:pt>
                <c:pt idx="34">
                  <c:v>20.806168231725632</c:v>
                </c:pt>
                <c:pt idx="36">
                  <c:v>38.970648462051962</c:v>
                </c:pt>
                <c:pt idx="37">
                  <c:v>27.884766513804696</c:v>
                </c:pt>
                <c:pt idx="39">
                  <c:v>47.281104531276952</c:v>
                </c:pt>
                <c:pt idx="40">
                  <c:v>31.214279833170398</c:v>
                </c:pt>
                <c:pt idx="42">
                  <c:v>45.326011212458646</c:v>
                </c:pt>
                <c:pt idx="43">
                  <c:v>22.556963136027051</c:v>
                </c:pt>
                <c:pt idx="44">
                  <c:v>-100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E-BB97-464D-8DDE-ADA2F8B535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54"/>
        <c:axId val="211167600"/>
        <c:axId val="281211184"/>
      </c:barChart>
      <c:lineChart>
        <c:grouping val="standard"/>
        <c:varyColors val="0"/>
        <c:ser>
          <c:idx val="1"/>
          <c:order val="1"/>
          <c:tx>
            <c:strRef>
              <c:f>'GRAF-5'!$E$21</c:f>
              <c:strCache>
                <c:ptCount val="1"/>
                <c:pt idx="0">
                  <c:v>Průměr za období 2005 až 2007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dash"/>
            <c:size val="7"/>
            <c:spPr>
              <a:solidFill>
                <a:srgbClr val="0070C0"/>
              </a:solidFill>
              <a:ln w="9525">
                <a:noFill/>
              </a:ln>
              <a:effectLst/>
            </c:spPr>
          </c:marker>
          <c:dPt>
            <c:idx val="1"/>
            <c:marker>
              <c:symbol val="dash"/>
              <c:size val="7"/>
              <c:spPr>
                <a:solidFill>
                  <a:schemeClr val="accent2">
                    <a:lumMod val="75000"/>
                  </a:schemeClr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F-BB97-464D-8DDE-ADA2F8B535BE}"/>
              </c:ext>
            </c:extLst>
          </c:dPt>
          <c:dPt>
            <c:idx val="4"/>
            <c:marker>
              <c:symbol val="dash"/>
              <c:size val="7"/>
              <c:spPr>
                <a:solidFill>
                  <a:schemeClr val="accent2">
                    <a:lumMod val="75000"/>
                  </a:schemeClr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0-BB97-464D-8DDE-ADA2F8B535BE}"/>
              </c:ext>
            </c:extLst>
          </c:dPt>
          <c:dPt>
            <c:idx val="7"/>
            <c:marker>
              <c:symbol val="dash"/>
              <c:size val="7"/>
              <c:spPr>
                <a:solidFill>
                  <a:schemeClr val="accent2">
                    <a:lumMod val="75000"/>
                  </a:schemeClr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1-BB97-464D-8DDE-ADA2F8B535BE}"/>
              </c:ext>
            </c:extLst>
          </c:dPt>
          <c:dPt>
            <c:idx val="10"/>
            <c:marker>
              <c:symbol val="dash"/>
              <c:size val="7"/>
              <c:spPr>
                <a:solidFill>
                  <a:schemeClr val="accent2">
                    <a:lumMod val="75000"/>
                  </a:schemeClr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2-BB97-464D-8DDE-ADA2F8B535BE}"/>
              </c:ext>
            </c:extLst>
          </c:dPt>
          <c:dPt>
            <c:idx val="13"/>
            <c:marker>
              <c:symbol val="dash"/>
              <c:size val="7"/>
              <c:spPr>
                <a:solidFill>
                  <a:srgbClr val="C00000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3-BB97-464D-8DDE-ADA2F8B535BE}"/>
              </c:ext>
            </c:extLst>
          </c:dPt>
          <c:dPt>
            <c:idx val="16"/>
            <c:marker>
              <c:symbol val="dash"/>
              <c:size val="7"/>
              <c:spPr>
                <a:solidFill>
                  <a:schemeClr val="accent2">
                    <a:lumMod val="75000"/>
                  </a:schemeClr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4-BB97-464D-8DDE-ADA2F8B535BE}"/>
              </c:ext>
            </c:extLst>
          </c:dPt>
          <c:dPt>
            <c:idx val="19"/>
            <c:marker>
              <c:symbol val="dash"/>
              <c:size val="7"/>
              <c:spPr>
                <a:solidFill>
                  <a:schemeClr val="accent2">
                    <a:lumMod val="75000"/>
                  </a:schemeClr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5-BB97-464D-8DDE-ADA2F8B535BE}"/>
              </c:ext>
            </c:extLst>
          </c:dPt>
          <c:dPt>
            <c:idx val="22"/>
            <c:marker>
              <c:symbol val="dash"/>
              <c:size val="7"/>
              <c:spPr>
                <a:solidFill>
                  <a:schemeClr val="accent2">
                    <a:lumMod val="75000"/>
                  </a:schemeClr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6-BB97-464D-8DDE-ADA2F8B535BE}"/>
              </c:ext>
            </c:extLst>
          </c:dPt>
          <c:dPt>
            <c:idx val="25"/>
            <c:marker>
              <c:symbol val="dash"/>
              <c:size val="7"/>
              <c:spPr>
                <a:solidFill>
                  <a:schemeClr val="accent2">
                    <a:lumMod val="75000"/>
                  </a:schemeClr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7-BB97-464D-8DDE-ADA2F8B535BE}"/>
              </c:ext>
            </c:extLst>
          </c:dPt>
          <c:dPt>
            <c:idx val="28"/>
            <c:marker>
              <c:symbol val="dash"/>
              <c:size val="7"/>
              <c:spPr>
                <a:solidFill>
                  <a:schemeClr val="accent2">
                    <a:lumMod val="75000"/>
                  </a:schemeClr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8-BB97-464D-8DDE-ADA2F8B535BE}"/>
              </c:ext>
            </c:extLst>
          </c:dPt>
          <c:dPt>
            <c:idx val="31"/>
            <c:marker>
              <c:symbol val="dash"/>
              <c:size val="7"/>
              <c:spPr>
                <a:solidFill>
                  <a:schemeClr val="accent2">
                    <a:lumMod val="75000"/>
                  </a:schemeClr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9-BB97-464D-8DDE-ADA2F8B535BE}"/>
              </c:ext>
            </c:extLst>
          </c:dPt>
          <c:dPt>
            <c:idx val="34"/>
            <c:marker>
              <c:symbol val="dash"/>
              <c:size val="7"/>
              <c:spPr>
                <a:solidFill>
                  <a:schemeClr val="accent2">
                    <a:lumMod val="75000"/>
                  </a:schemeClr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A-BB97-464D-8DDE-ADA2F8B535BE}"/>
              </c:ext>
            </c:extLst>
          </c:dPt>
          <c:dPt>
            <c:idx val="37"/>
            <c:marker>
              <c:symbol val="dash"/>
              <c:size val="7"/>
              <c:spPr>
                <a:solidFill>
                  <a:schemeClr val="accent2">
                    <a:lumMod val="75000"/>
                  </a:schemeClr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B-BB97-464D-8DDE-ADA2F8B535BE}"/>
              </c:ext>
            </c:extLst>
          </c:dPt>
          <c:dPt>
            <c:idx val="40"/>
            <c:marker>
              <c:symbol val="dash"/>
              <c:size val="7"/>
              <c:spPr>
                <a:solidFill>
                  <a:schemeClr val="accent2">
                    <a:lumMod val="75000"/>
                  </a:schemeClr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C-BB97-464D-8DDE-ADA2F8B535BE}"/>
              </c:ext>
            </c:extLst>
          </c:dPt>
          <c:dPt>
            <c:idx val="43"/>
            <c:marker>
              <c:symbol val="dash"/>
              <c:size val="7"/>
              <c:spPr>
                <a:solidFill>
                  <a:schemeClr val="accent2">
                    <a:lumMod val="75000"/>
                  </a:schemeClr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D-BB97-464D-8DDE-ADA2F8B535BE}"/>
              </c:ext>
            </c:extLst>
          </c:dPt>
          <c:cat>
            <c:multiLvlStrRef>
              <c:f>'GRAF-5'!$B$22:$C$66</c:f>
              <c:multiLvlStrCache>
                <c:ptCount val="45"/>
                <c:lvl>
                  <c:pt idx="0">
                    <c:v>Muži</c:v>
                  </c:pt>
                  <c:pt idx="1">
                    <c:v>Ženy</c:v>
                  </c:pt>
                  <c:pt idx="3">
                    <c:v>Muži</c:v>
                  </c:pt>
                  <c:pt idx="4">
                    <c:v>Ženy</c:v>
                  </c:pt>
                  <c:pt idx="6">
                    <c:v>Muži</c:v>
                  </c:pt>
                  <c:pt idx="7">
                    <c:v>Ženy</c:v>
                  </c:pt>
                  <c:pt idx="9">
                    <c:v>Muži</c:v>
                  </c:pt>
                  <c:pt idx="10">
                    <c:v>Ženy</c:v>
                  </c:pt>
                  <c:pt idx="12">
                    <c:v>Muži</c:v>
                  </c:pt>
                  <c:pt idx="13">
                    <c:v>Ženy</c:v>
                  </c:pt>
                  <c:pt idx="15">
                    <c:v>Muži</c:v>
                  </c:pt>
                  <c:pt idx="16">
                    <c:v>Ženy</c:v>
                  </c:pt>
                  <c:pt idx="18">
                    <c:v>Muži</c:v>
                  </c:pt>
                  <c:pt idx="19">
                    <c:v>Ženy</c:v>
                  </c:pt>
                  <c:pt idx="21">
                    <c:v>Muži</c:v>
                  </c:pt>
                  <c:pt idx="22">
                    <c:v>Ženy</c:v>
                  </c:pt>
                  <c:pt idx="24">
                    <c:v>Muži</c:v>
                  </c:pt>
                  <c:pt idx="25">
                    <c:v>Ženy</c:v>
                  </c:pt>
                  <c:pt idx="27">
                    <c:v>Muži</c:v>
                  </c:pt>
                  <c:pt idx="28">
                    <c:v>Ženy</c:v>
                  </c:pt>
                  <c:pt idx="30">
                    <c:v>Muži</c:v>
                  </c:pt>
                  <c:pt idx="31">
                    <c:v>Ženy</c:v>
                  </c:pt>
                  <c:pt idx="33">
                    <c:v>Muži</c:v>
                  </c:pt>
                  <c:pt idx="34">
                    <c:v>Ženy</c:v>
                  </c:pt>
                  <c:pt idx="36">
                    <c:v>Muži</c:v>
                  </c:pt>
                  <c:pt idx="37">
                    <c:v>Ženy</c:v>
                  </c:pt>
                  <c:pt idx="39">
                    <c:v>Muži</c:v>
                  </c:pt>
                  <c:pt idx="40">
                    <c:v>Ženy</c:v>
                  </c:pt>
                  <c:pt idx="42">
                    <c:v>Muži</c:v>
                  </c:pt>
                  <c:pt idx="43">
                    <c:v>Ženy</c:v>
                  </c:pt>
                  <c:pt idx="44">
                    <c:v>.</c:v>
                  </c:pt>
                </c:lvl>
                <c:lvl>
                  <c:pt idx="0">
                    <c:v>ČR 
celkem</c:v>
                  </c:pt>
                  <c:pt idx="3">
                    <c:v>Praha</c:v>
                  </c:pt>
                  <c:pt idx="6">
                    <c:v>Středo-
český</c:v>
                  </c:pt>
                  <c:pt idx="9">
                    <c:v>Jiho-
český</c:v>
                  </c:pt>
                  <c:pt idx="12">
                    <c:v>Plzeň-
ský</c:v>
                  </c:pt>
                  <c:pt idx="15">
                    <c:v>Karlo-
varský</c:v>
                  </c:pt>
                  <c:pt idx="18">
                    <c:v>Ústec-
ký</c:v>
                  </c:pt>
                  <c:pt idx="21">
                    <c:v>Libe-
recký</c:v>
                  </c:pt>
                  <c:pt idx="24">
                    <c:v>Králo-
véhrad.</c:v>
                  </c:pt>
                  <c:pt idx="27">
                    <c:v>Pardu-
bický</c:v>
                  </c:pt>
                  <c:pt idx="30">
                    <c:v>Vyso-
čina</c:v>
                  </c:pt>
                  <c:pt idx="33">
                    <c:v>Jiho-
morav.</c:v>
                  </c:pt>
                  <c:pt idx="36">
                    <c:v>Olo-
mouc.</c:v>
                  </c:pt>
                  <c:pt idx="39">
                    <c:v>Zlínský</c:v>
                  </c:pt>
                  <c:pt idx="42">
                    <c:v>Morav-
skosl.</c:v>
                  </c:pt>
                </c:lvl>
              </c:multiLvlStrCache>
            </c:multiLvlStrRef>
          </c:cat>
          <c:val>
            <c:numRef>
              <c:f>'GRAF-5'!$E$22:$E$66</c:f>
              <c:numCache>
                <c:formatCode>#\ ##0.0</c:formatCode>
                <c:ptCount val="45"/>
                <c:pt idx="0">
                  <c:v>34.567479762332056</c:v>
                </c:pt>
                <c:pt idx="1">
                  <c:v>24.553158682644479</c:v>
                </c:pt>
                <c:pt idx="3">
                  <c:v>11.7915763972152</c:v>
                </c:pt>
                <c:pt idx="4">
                  <c:v>7.3549456967717468</c:v>
                </c:pt>
                <c:pt idx="6">
                  <c:v>32.469075631451823</c:v>
                </c:pt>
                <c:pt idx="7">
                  <c:v>23.163821890887064</c:v>
                </c:pt>
                <c:pt idx="9">
                  <c:v>33.859192137821616</c:v>
                </c:pt>
                <c:pt idx="10">
                  <c:v>27.216773680878486</c:v>
                </c:pt>
                <c:pt idx="12">
                  <c:v>38.514581251623227</c:v>
                </c:pt>
                <c:pt idx="13">
                  <c:v>30.676123103191955</c:v>
                </c:pt>
                <c:pt idx="15">
                  <c:v>36.863580438752791</c:v>
                </c:pt>
                <c:pt idx="16">
                  <c:v>30.312926710425117</c:v>
                </c:pt>
                <c:pt idx="18">
                  <c:v>37.37164191145181</c:v>
                </c:pt>
                <c:pt idx="19">
                  <c:v>25.763862577413846</c:v>
                </c:pt>
                <c:pt idx="21">
                  <c:v>46.032021978877196</c:v>
                </c:pt>
                <c:pt idx="22">
                  <c:v>40.941919356566245</c:v>
                </c:pt>
                <c:pt idx="24">
                  <c:v>38.888114474787244</c:v>
                </c:pt>
                <c:pt idx="25">
                  <c:v>28.585270457047795</c:v>
                </c:pt>
                <c:pt idx="27">
                  <c:v>38.98775565079697</c:v>
                </c:pt>
                <c:pt idx="28">
                  <c:v>30.140670480612101</c:v>
                </c:pt>
                <c:pt idx="30">
                  <c:v>39.545144548081275</c:v>
                </c:pt>
                <c:pt idx="31">
                  <c:v>33.979556640570252</c:v>
                </c:pt>
                <c:pt idx="33">
                  <c:v>32.332772748279062</c:v>
                </c:pt>
                <c:pt idx="34">
                  <c:v>23.747398270693861</c:v>
                </c:pt>
                <c:pt idx="36">
                  <c:v>37.333989624237631</c:v>
                </c:pt>
                <c:pt idx="37">
                  <c:v>27.621132562568331</c:v>
                </c:pt>
                <c:pt idx="39">
                  <c:v>42.788820535105657</c:v>
                </c:pt>
                <c:pt idx="40">
                  <c:v>29.660446680375589</c:v>
                </c:pt>
                <c:pt idx="42">
                  <c:v>43.718716816737292</c:v>
                </c:pt>
                <c:pt idx="43">
                  <c:v>22.402522642409238</c:v>
                </c:pt>
                <c:pt idx="44">
                  <c:v>-1000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E-BB97-464D-8DDE-ADA2F8B535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167600"/>
        <c:axId val="281211184"/>
      </c:lineChart>
      <c:catAx>
        <c:axId val="21116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81211184"/>
        <c:crossesAt val="0"/>
        <c:auto val="1"/>
        <c:lblAlgn val="ctr"/>
        <c:lblOffset val="20"/>
        <c:noMultiLvlLbl val="0"/>
      </c:catAx>
      <c:valAx>
        <c:axId val="281211184"/>
        <c:scaling>
          <c:orientation val="minMax"/>
          <c:max val="50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low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11167600"/>
        <c:crossesAt val="1"/>
        <c:crossBetween val="between"/>
        <c:majorUnit val="5"/>
      </c:valAx>
      <c:spPr>
        <a:noFill/>
        <a:ln w="6350">
          <a:solidFill>
            <a:schemeClr val="tx1">
              <a:lumMod val="95000"/>
              <a:lumOff val="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6.6901857519716695E-2"/>
          <c:y val="0.943488043909256"/>
          <c:w val="0.91704130681062912"/>
          <c:h val="4.8912025086236918E-2"/>
        </c:manualLayout>
      </c:layout>
      <c:overlay val="0"/>
      <c:spPr>
        <a:noFill/>
        <a:ln w="6350">
          <a:solidFill>
            <a:schemeClr val="tx1">
              <a:lumMod val="95000"/>
              <a:lumOff val="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8743444426532574E-2"/>
          <c:y val="2.0864272307841863E-2"/>
          <c:w val="0.91710321639202175"/>
          <c:h val="0.666027392262759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'GRAF-3'!$C$2</c:f>
              <c:strCache>
                <c:ptCount val="1"/>
                <c:pt idx="0">
                  <c:v>Zákonodárci a řídící pracovníci (třída 1)</c:v>
                </c:pt>
              </c:strCache>
            </c:strRef>
          </c:tx>
          <c:spPr>
            <a:solidFill>
              <a:srgbClr val="BCA6E8"/>
            </a:solidFill>
            <a:ln>
              <a:noFill/>
            </a:ln>
            <a:effectLst/>
          </c:spPr>
          <c:invertIfNegative val="0"/>
          <c:cat>
            <c:multiLvlStrRef>
              <c:f>'GRAF-3'!$A$3:$B$14</c:f>
              <c:multiLvlStrCache>
                <c:ptCount val="12"/>
                <c:lvl>
                  <c:pt idx="0">
                    <c:v>NH 
celkem</c:v>
                  </c:pt>
                  <c:pt idx="1">
                    <c:v>Průmysl 
celkem</c:v>
                  </c:pt>
                  <c:pt idx="2">
                    <c:v>Těžba a 
dobývání</c:v>
                  </c:pt>
                  <c:pt idx="3">
                    <c:v>Zpraco-
vatel.
prům.</c:v>
                  </c:pt>
                  <c:pt idx="4">
                    <c:v>Energe-
tika</c:v>
                  </c:pt>
                  <c:pt idx="5">
                    <c:v>Vodní 
a odpad.
hospo-
dářství</c:v>
                  </c:pt>
                  <c:pt idx="6">
                    <c:v>NH 
celkem</c:v>
                  </c:pt>
                  <c:pt idx="7">
                    <c:v>Průmysl 
celkem</c:v>
                  </c:pt>
                  <c:pt idx="8">
                    <c:v>Těžba a 
dobývání</c:v>
                  </c:pt>
                  <c:pt idx="9">
                    <c:v>Zpraco-
vatel.
prům.</c:v>
                  </c:pt>
                  <c:pt idx="10">
                    <c:v>Energe-
tika</c:v>
                  </c:pt>
                  <c:pt idx="11">
                    <c:v>Vodní 
a odpad.
hospo-
dářství</c:v>
                  </c:pt>
                </c:lvl>
                <c:lvl>
                  <c:pt idx="0">
                    <c:v>Muži</c:v>
                  </c:pt>
                  <c:pt idx="6">
                    <c:v>Ženy</c:v>
                  </c:pt>
                </c:lvl>
              </c:multiLvlStrCache>
            </c:multiLvlStrRef>
          </c:cat>
          <c:val>
            <c:numRef>
              <c:f>'GRAF-3'!$C$3:$C$14</c:f>
              <c:numCache>
                <c:formatCode>0.0</c:formatCode>
                <c:ptCount val="12"/>
                <c:pt idx="0">
                  <c:v>5.8946748255367725</c:v>
                </c:pt>
                <c:pt idx="1">
                  <c:v>4.4992397798355626</c:v>
                </c:pt>
                <c:pt idx="2">
                  <c:v>2.1756552338790964</c:v>
                </c:pt>
                <c:pt idx="3">
                  <c:v>4.4663332360003629</c:v>
                </c:pt>
                <c:pt idx="4">
                  <c:v>6.5911933824519693</c:v>
                </c:pt>
                <c:pt idx="5">
                  <c:v>4.7760190643314768</c:v>
                </c:pt>
                <c:pt idx="6">
                  <c:v>2.7068849658239351</c:v>
                </c:pt>
                <c:pt idx="7">
                  <c:v>2.0639269142143117</c:v>
                </c:pt>
                <c:pt idx="8">
                  <c:v>0</c:v>
                </c:pt>
                <c:pt idx="9">
                  <c:v>2.167723490278251</c:v>
                </c:pt>
                <c:pt idx="10">
                  <c:v>0.41760659558168584</c:v>
                </c:pt>
                <c:pt idx="11">
                  <c:v>0.6011797759329931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A1-4370-9F45-D7493B0814B9}"/>
            </c:ext>
          </c:extLst>
        </c:ser>
        <c:ser>
          <c:idx val="1"/>
          <c:order val="1"/>
          <c:tx>
            <c:strRef>
              <c:f>'GRAF-3'!$D$2</c:f>
              <c:strCache>
                <c:ptCount val="1"/>
                <c:pt idx="0">
                  <c:v>Specialisté (2)</c:v>
                </c:pt>
              </c:strCache>
            </c:strRef>
          </c:tx>
          <c:spPr>
            <a:solidFill>
              <a:srgbClr val="0071BC"/>
            </a:solidFill>
            <a:ln>
              <a:noFill/>
            </a:ln>
            <a:effectLst/>
          </c:spPr>
          <c:invertIfNegative val="0"/>
          <c:cat>
            <c:multiLvlStrRef>
              <c:f>'GRAF-3'!$A$3:$B$14</c:f>
              <c:multiLvlStrCache>
                <c:ptCount val="12"/>
                <c:lvl>
                  <c:pt idx="0">
                    <c:v>NH 
celkem</c:v>
                  </c:pt>
                  <c:pt idx="1">
                    <c:v>Průmysl 
celkem</c:v>
                  </c:pt>
                  <c:pt idx="2">
                    <c:v>Těžba a 
dobývání</c:v>
                  </c:pt>
                  <c:pt idx="3">
                    <c:v>Zpraco-
vatel.
prům.</c:v>
                  </c:pt>
                  <c:pt idx="4">
                    <c:v>Energe-
tika</c:v>
                  </c:pt>
                  <c:pt idx="5">
                    <c:v>Vodní 
a odpad.
hospo-
dářství</c:v>
                  </c:pt>
                  <c:pt idx="6">
                    <c:v>NH 
celkem</c:v>
                  </c:pt>
                  <c:pt idx="7">
                    <c:v>Průmysl 
celkem</c:v>
                  </c:pt>
                  <c:pt idx="8">
                    <c:v>Těžba a 
dobývání</c:v>
                  </c:pt>
                  <c:pt idx="9">
                    <c:v>Zpraco-
vatel.
prům.</c:v>
                  </c:pt>
                  <c:pt idx="10">
                    <c:v>Energe-
tika</c:v>
                  </c:pt>
                  <c:pt idx="11">
                    <c:v>Vodní 
a odpad.
hospo-
dářství</c:v>
                  </c:pt>
                </c:lvl>
                <c:lvl>
                  <c:pt idx="0">
                    <c:v>Muži</c:v>
                  </c:pt>
                  <c:pt idx="6">
                    <c:v>Ženy</c:v>
                  </c:pt>
                </c:lvl>
              </c:multiLvlStrCache>
            </c:multiLvlStrRef>
          </c:cat>
          <c:val>
            <c:numRef>
              <c:f>'GRAF-3'!$D$3:$D$14</c:f>
              <c:numCache>
                <c:formatCode>0.0</c:formatCode>
                <c:ptCount val="12"/>
                <c:pt idx="0">
                  <c:v>13.761824876133854</c:v>
                </c:pt>
                <c:pt idx="1">
                  <c:v>6.6364053555727889</c:v>
                </c:pt>
                <c:pt idx="2">
                  <c:v>3.4266684489327695</c:v>
                </c:pt>
                <c:pt idx="3">
                  <c:v>6.6493580964693253</c:v>
                </c:pt>
                <c:pt idx="4">
                  <c:v>13.197385181478138</c:v>
                </c:pt>
                <c:pt idx="5">
                  <c:v>2.7616737451299831</c:v>
                </c:pt>
                <c:pt idx="6">
                  <c:v>19.071116056695303</c:v>
                </c:pt>
                <c:pt idx="7">
                  <c:v>5.2487991404835181</c:v>
                </c:pt>
                <c:pt idx="8">
                  <c:v>2.8844704330423014</c:v>
                </c:pt>
                <c:pt idx="9">
                  <c:v>4.7194478583423374</c:v>
                </c:pt>
                <c:pt idx="10">
                  <c:v>15.677367325502392</c:v>
                </c:pt>
                <c:pt idx="11">
                  <c:v>13.932218666572826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0A1-4370-9F45-D7493B0814B9}"/>
            </c:ext>
          </c:extLst>
        </c:ser>
        <c:ser>
          <c:idx val="2"/>
          <c:order val="2"/>
          <c:tx>
            <c:strRef>
              <c:f>'GRAF-3'!$E$2</c:f>
              <c:strCache>
                <c:ptCount val="1"/>
                <c:pt idx="0">
                  <c:v>Techničtí a odborní pracovníci (3)</c:v>
                </c:pt>
              </c:strCache>
            </c:strRef>
          </c:tx>
          <c:spPr>
            <a:solidFill>
              <a:srgbClr val="48AEE7"/>
            </a:solidFill>
            <a:ln>
              <a:noFill/>
            </a:ln>
            <a:effectLst/>
          </c:spPr>
          <c:invertIfNegative val="0"/>
          <c:cat>
            <c:multiLvlStrRef>
              <c:f>'GRAF-3'!$A$3:$B$14</c:f>
              <c:multiLvlStrCache>
                <c:ptCount val="12"/>
                <c:lvl>
                  <c:pt idx="0">
                    <c:v>NH 
celkem</c:v>
                  </c:pt>
                  <c:pt idx="1">
                    <c:v>Průmysl 
celkem</c:v>
                  </c:pt>
                  <c:pt idx="2">
                    <c:v>Těžba a 
dobývání</c:v>
                  </c:pt>
                  <c:pt idx="3">
                    <c:v>Zpraco-
vatel.
prům.</c:v>
                  </c:pt>
                  <c:pt idx="4">
                    <c:v>Energe-
tika</c:v>
                  </c:pt>
                  <c:pt idx="5">
                    <c:v>Vodní 
a odpad.
hospo-
dářství</c:v>
                  </c:pt>
                  <c:pt idx="6">
                    <c:v>NH 
celkem</c:v>
                  </c:pt>
                  <c:pt idx="7">
                    <c:v>Průmysl 
celkem</c:v>
                  </c:pt>
                  <c:pt idx="8">
                    <c:v>Těžba a 
dobývání</c:v>
                  </c:pt>
                  <c:pt idx="9">
                    <c:v>Zpraco-
vatel.
prům.</c:v>
                  </c:pt>
                  <c:pt idx="10">
                    <c:v>Energe-
tika</c:v>
                  </c:pt>
                  <c:pt idx="11">
                    <c:v>Vodní 
a odpad.
hospo-
dářství</c:v>
                  </c:pt>
                </c:lvl>
                <c:lvl>
                  <c:pt idx="0">
                    <c:v>Muži</c:v>
                  </c:pt>
                  <c:pt idx="6">
                    <c:v>Ženy</c:v>
                  </c:pt>
                </c:lvl>
              </c:multiLvlStrCache>
            </c:multiLvlStrRef>
          </c:cat>
          <c:val>
            <c:numRef>
              <c:f>'GRAF-3'!$E$3:$E$14</c:f>
              <c:numCache>
                <c:formatCode>0.0</c:formatCode>
                <c:ptCount val="12"/>
                <c:pt idx="0">
                  <c:v>17.564810731516918</c:v>
                </c:pt>
                <c:pt idx="1">
                  <c:v>18.31255702895054</c:v>
                </c:pt>
                <c:pt idx="2">
                  <c:v>10.079948130716277</c:v>
                </c:pt>
                <c:pt idx="3">
                  <c:v>17.846993998435838</c:v>
                </c:pt>
                <c:pt idx="4">
                  <c:v>38.604303413961119</c:v>
                </c:pt>
                <c:pt idx="5">
                  <c:v>15.872771033598143</c:v>
                </c:pt>
                <c:pt idx="6">
                  <c:v>16.610336495185258</c:v>
                </c:pt>
                <c:pt idx="7">
                  <c:v>13.045099886597345</c:v>
                </c:pt>
                <c:pt idx="8">
                  <c:v>20.153236049520153</c:v>
                </c:pt>
                <c:pt idx="9">
                  <c:v>12.147639524805594</c:v>
                </c:pt>
                <c:pt idx="10">
                  <c:v>24.972389783330645</c:v>
                </c:pt>
                <c:pt idx="11">
                  <c:v>29.591178800173129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0A1-4370-9F45-D7493B0814B9}"/>
            </c:ext>
          </c:extLst>
        </c:ser>
        <c:ser>
          <c:idx val="3"/>
          <c:order val="3"/>
          <c:tx>
            <c:strRef>
              <c:f>'GRAF-3'!$F$2</c:f>
              <c:strCache>
                <c:ptCount val="1"/>
                <c:pt idx="0">
                  <c:v>Úředníci (4)</c:v>
                </c:pt>
              </c:strCache>
            </c:strRef>
          </c:tx>
          <c:spPr>
            <a:solidFill>
              <a:srgbClr val="BFE3F7"/>
            </a:solidFill>
            <a:ln>
              <a:noFill/>
            </a:ln>
            <a:effectLst/>
          </c:spPr>
          <c:invertIfNegative val="0"/>
          <c:cat>
            <c:multiLvlStrRef>
              <c:f>'GRAF-3'!$A$3:$B$14</c:f>
              <c:multiLvlStrCache>
                <c:ptCount val="12"/>
                <c:lvl>
                  <c:pt idx="0">
                    <c:v>NH 
celkem</c:v>
                  </c:pt>
                  <c:pt idx="1">
                    <c:v>Průmysl 
celkem</c:v>
                  </c:pt>
                  <c:pt idx="2">
                    <c:v>Těžba a 
dobývání</c:v>
                  </c:pt>
                  <c:pt idx="3">
                    <c:v>Zpraco-
vatel.
prům.</c:v>
                  </c:pt>
                  <c:pt idx="4">
                    <c:v>Energe-
tika</c:v>
                  </c:pt>
                  <c:pt idx="5">
                    <c:v>Vodní 
a odpad.
hospo-
dářství</c:v>
                  </c:pt>
                  <c:pt idx="6">
                    <c:v>NH 
celkem</c:v>
                  </c:pt>
                  <c:pt idx="7">
                    <c:v>Průmysl 
celkem</c:v>
                  </c:pt>
                  <c:pt idx="8">
                    <c:v>Těžba a 
dobývání</c:v>
                  </c:pt>
                  <c:pt idx="9">
                    <c:v>Zpraco-
vatel.
prům.</c:v>
                  </c:pt>
                  <c:pt idx="10">
                    <c:v>Energe-
tika</c:v>
                  </c:pt>
                  <c:pt idx="11">
                    <c:v>Vodní 
a odpad.
hospo-
dářství</c:v>
                  </c:pt>
                </c:lvl>
                <c:lvl>
                  <c:pt idx="0">
                    <c:v>Muži</c:v>
                  </c:pt>
                  <c:pt idx="6">
                    <c:v>Ženy</c:v>
                  </c:pt>
                </c:lvl>
              </c:multiLvlStrCache>
            </c:multiLvlStrRef>
          </c:cat>
          <c:val>
            <c:numRef>
              <c:f>'GRAF-3'!$F$3:$F$14</c:f>
              <c:numCache>
                <c:formatCode>0.0</c:formatCode>
                <c:ptCount val="12"/>
                <c:pt idx="0">
                  <c:v>3.5659713291932036</c:v>
                </c:pt>
                <c:pt idx="1">
                  <c:v>2.5011984476647897</c:v>
                </c:pt>
                <c:pt idx="2">
                  <c:v>0.75692410111707797</c:v>
                </c:pt>
                <c:pt idx="3">
                  <c:v>2.4172679185443706</c:v>
                </c:pt>
                <c:pt idx="4">
                  <c:v>3.5824821330734462</c:v>
                </c:pt>
                <c:pt idx="5">
                  <c:v>4.345646588977802</c:v>
                </c:pt>
                <c:pt idx="6">
                  <c:v>16.828063653814567</c:v>
                </c:pt>
                <c:pt idx="7">
                  <c:v>15.749780416385677</c:v>
                </c:pt>
                <c:pt idx="8">
                  <c:v>33.230966362135092</c:v>
                </c:pt>
                <c:pt idx="9">
                  <c:v>14.55934004509454</c:v>
                </c:pt>
                <c:pt idx="10">
                  <c:v>39.964007823867917</c:v>
                </c:pt>
                <c:pt idx="11">
                  <c:v>29.977718008050267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0A1-4370-9F45-D7493B0814B9}"/>
            </c:ext>
          </c:extLst>
        </c:ser>
        <c:ser>
          <c:idx val="4"/>
          <c:order val="4"/>
          <c:tx>
            <c:strRef>
              <c:f>'GRAF-3'!$G$2</c:f>
              <c:strCache>
                <c:ptCount val="1"/>
                <c:pt idx="0">
                  <c:v>Pracovníci ve službách a prodeji (5)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multiLvlStrRef>
              <c:f>'GRAF-3'!$A$3:$B$14</c:f>
              <c:multiLvlStrCache>
                <c:ptCount val="12"/>
                <c:lvl>
                  <c:pt idx="0">
                    <c:v>NH 
celkem</c:v>
                  </c:pt>
                  <c:pt idx="1">
                    <c:v>Průmysl 
celkem</c:v>
                  </c:pt>
                  <c:pt idx="2">
                    <c:v>Těžba a 
dobývání</c:v>
                  </c:pt>
                  <c:pt idx="3">
                    <c:v>Zpraco-
vatel.
prům.</c:v>
                  </c:pt>
                  <c:pt idx="4">
                    <c:v>Energe-
tika</c:v>
                  </c:pt>
                  <c:pt idx="5">
                    <c:v>Vodní 
a odpad.
hospo-
dářství</c:v>
                  </c:pt>
                  <c:pt idx="6">
                    <c:v>NH 
celkem</c:v>
                  </c:pt>
                  <c:pt idx="7">
                    <c:v>Průmysl 
celkem</c:v>
                  </c:pt>
                  <c:pt idx="8">
                    <c:v>Těžba a 
dobývání</c:v>
                  </c:pt>
                  <c:pt idx="9">
                    <c:v>Zpraco-
vatel.
prům.</c:v>
                  </c:pt>
                  <c:pt idx="10">
                    <c:v>Energe-
tika</c:v>
                  </c:pt>
                  <c:pt idx="11">
                    <c:v>Vodní 
a odpad.
hospo-
dářství</c:v>
                  </c:pt>
                </c:lvl>
                <c:lvl>
                  <c:pt idx="0">
                    <c:v>Muži</c:v>
                  </c:pt>
                  <c:pt idx="6">
                    <c:v>Ženy</c:v>
                  </c:pt>
                </c:lvl>
              </c:multiLvlStrCache>
            </c:multiLvlStrRef>
          </c:cat>
          <c:val>
            <c:numRef>
              <c:f>'GRAF-3'!$G$3:$G$14</c:f>
              <c:numCache>
                <c:formatCode>0.0</c:formatCode>
                <c:ptCount val="12"/>
                <c:pt idx="0">
                  <c:v>9.4195778051708992</c:v>
                </c:pt>
                <c:pt idx="1">
                  <c:v>1.3087482296080748</c:v>
                </c:pt>
                <c:pt idx="2">
                  <c:v>1.5138482022341559</c:v>
                </c:pt>
                <c:pt idx="3">
                  <c:v>1.2266408744274271</c:v>
                </c:pt>
                <c:pt idx="4">
                  <c:v>1.9762698306781208</c:v>
                </c:pt>
                <c:pt idx="5">
                  <c:v>2.3453104701532421</c:v>
                </c:pt>
                <c:pt idx="6">
                  <c:v>22.889360795702288</c:v>
                </c:pt>
                <c:pt idx="7">
                  <c:v>2.27554718611285</c:v>
                </c:pt>
                <c:pt idx="8">
                  <c:v>9.230305385735365</c:v>
                </c:pt>
                <c:pt idx="9">
                  <c:v>2.0545356586409889</c:v>
                </c:pt>
                <c:pt idx="10">
                  <c:v>4.176065955816858</c:v>
                </c:pt>
                <c:pt idx="11">
                  <c:v>6.0117977593299319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0A1-4370-9F45-D7493B0814B9}"/>
            </c:ext>
          </c:extLst>
        </c:ser>
        <c:ser>
          <c:idx val="5"/>
          <c:order val="5"/>
          <c:tx>
            <c:strRef>
              <c:f>'GRAF-3'!$H$2</c:f>
              <c:strCache>
                <c:ptCount val="1"/>
                <c:pt idx="0">
                  <c:v>Kvalifik. prac. v zeměděl., lesn., rybářství (6)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multiLvlStrRef>
              <c:f>'GRAF-3'!$A$3:$B$14</c:f>
              <c:multiLvlStrCache>
                <c:ptCount val="12"/>
                <c:lvl>
                  <c:pt idx="0">
                    <c:v>NH 
celkem</c:v>
                  </c:pt>
                  <c:pt idx="1">
                    <c:v>Průmysl 
celkem</c:v>
                  </c:pt>
                  <c:pt idx="2">
                    <c:v>Těžba a 
dobývání</c:v>
                  </c:pt>
                  <c:pt idx="3">
                    <c:v>Zpraco-
vatel.
prům.</c:v>
                  </c:pt>
                  <c:pt idx="4">
                    <c:v>Energe-
tika</c:v>
                  </c:pt>
                  <c:pt idx="5">
                    <c:v>Vodní 
a odpad.
hospo-
dářství</c:v>
                  </c:pt>
                  <c:pt idx="6">
                    <c:v>NH 
celkem</c:v>
                  </c:pt>
                  <c:pt idx="7">
                    <c:v>Průmysl 
celkem</c:v>
                  </c:pt>
                  <c:pt idx="8">
                    <c:v>Těžba a 
dobývání</c:v>
                  </c:pt>
                  <c:pt idx="9">
                    <c:v>Zpraco-
vatel.
prům.</c:v>
                  </c:pt>
                  <c:pt idx="10">
                    <c:v>Energe-
tika</c:v>
                  </c:pt>
                  <c:pt idx="11">
                    <c:v>Vodní 
a odpad.
hospo-
dářství</c:v>
                  </c:pt>
                </c:lvl>
                <c:lvl>
                  <c:pt idx="0">
                    <c:v>Muži</c:v>
                  </c:pt>
                  <c:pt idx="6">
                    <c:v>Ženy</c:v>
                  </c:pt>
                </c:lvl>
              </c:multiLvlStrCache>
            </c:multiLvlStrRef>
          </c:cat>
          <c:val>
            <c:numRef>
              <c:f>'GRAF-3'!$H$3:$H$14</c:f>
              <c:numCache>
                <c:formatCode>0.0</c:formatCode>
                <c:ptCount val="12"/>
                <c:pt idx="0">
                  <c:v>1.4449835548226404</c:v>
                </c:pt>
                <c:pt idx="1">
                  <c:v>8.3860988757531882E-2</c:v>
                </c:pt>
                <c:pt idx="2">
                  <c:v>0.37846205055853899</c:v>
                </c:pt>
                <c:pt idx="3">
                  <c:v>3.1180468012670895E-2</c:v>
                </c:pt>
                <c:pt idx="4">
                  <c:v>0</c:v>
                </c:pt>
                <c:pt idx="5">
                  <c:v>1.080344124044879</c:v>
                </c:pt>
                <c:pt idx="6">
                  <c:v>1.0060146123794209</c:v>
                </c:pt>
                <c:pt idx="7">
                  <c:v>7.6143096232240498E-2</c:v>
                </c:pt>
                <c:pt idx="8">
                  <c:v>0</c:v>
                </c:pt>
                <c:pt idx="9">
                  <c:v>6.0820728362062787E-2</c:v>
                </c:pt>
                <c:pt idx="10">
                  <c:v>0</c:v>
                </c:pt>
                <c:pt idx="11">
                  <c:v>0.6011797759329931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0A1-4370-9F45-D7493B0814B9}"/>
            </c:ext>
          </c:extLst>
        </c:ser>
        <c:ser>
          <c:idx val="6"/>
          <c:order val="6"/>
          <c:tx>
            <c:strRef>
              <c:f>'GRAF-3'!$I$2</c:f>
              <c:strCache>
                <c:ptCount val="1"/>
                <c:pt idx="0">
                  <c:v>Řemeslníci a opraváři (7)</c:v>
                </c:pt>
              </c:strCache>
            </c:strRef>
          </c:tx>
          <c:spPr>
            <a:solidFill>
              <a:srgbClr val="FDDEB3"/>
            </a:solidFill>
            <a:ln>
              <a:noFill/>
            </a:ln>
            <a:effectLst/>
          </c:spPr>
          <c:invertIfNegative val="0"/>
          <c:cat>
            <c:multiLvlStrRef>
              <c:f>'GRAF-3'!$A$3:$B$14</c:f>
              <c:multiLvlStrCache>
                <c:ptCount val="12"/>
                <c:lvl>
                  <c:pt idx="0">
                    <c:v>NH 
celkem</c:v>
                  </c:pt>
                  <c:pt idx="1">
                    <c:v>Průmysl 
celkem</c:v>
                  </c:pt>
                  <c:pt idx="2">
                    <c:v>Těžba a 
dobývání</c:v>
                  </c:pt>
                  <c:pt idx="3">
                    <c:v>Zpraco-
vatel.
prům.</c:v>
                  </c:pt>
                  <c:pt idx="4">
                    <c:v>Energe-
tika</c:v>
                  </c:pt>
                  <c:pt idx="5">
                    <c:v>Vodní 
a odpad.
hospo-
dářství</c:v>
                  </c:pt>
                  <c:pt idx="6">
                    <c:v>NH 
celkem</c:v>
                  </c:pt>
                  <c:pt idx="7">
                    <c:v>Průmysl 
celkem</c:v>
                  </c:pt>
                  <c:pt idx="8">
                    <c:v>Těžba a 
dobývání</c:v>
                  </c:pt>
                  <c:pt idx="9">
                    <c:v>Zpraco-
vatel.
prům.</c:v>
                  </c:pt>
                  <c:pt idx="10">
                    <c:v>Energe-
tika</c:v>
                  </c:pt>
                  <c:pt idx="11">
                    <c:v>Vodní 
a odpad.
hospo-
dářství</c:v>
                  </c:pt>
                </c:lvl>
                <c:lvl>
                  <c:pt idx="0">
                    <c:v>Muži</c:v>
                  </c:pt>
                  <c:pt idx="6">
                    <c:v>Ženy</c:v>
                  </c:pt>
                </c:lvl>
              </c:multiLvlStrCache>
            </c:multiLvlStrRef>
          </c:cat>
          <c:val>
            <c:numRef>
              <c:f>'GRAF-3'!$I$3:$I$14</c:f>
              <c:numCache>
                <c:formatCode>0.0</c:formatCode>
                <c:ptCount val="12"/>
                <c:pt idx="0">
                  <c:v>25.371501371183157</c:v>
                </c:pt>
                <c:pt idx="1">
                  <c:v>36.861667150278315</c:v>
                </c:pt>
                <c:pt idx="2">
                  <c:v>35.565519601396886</c:v>
                </c:pt>
                <c:pt idx="3">
                  <c:v>38.413513559772028</c:v>
                </c:pt>
                <c:pt idx="4">
                  <c:v>26.288318968857123</c:v>
                </c:pt>
                <c:pt idx="5">
                  <c:v>14.104043193393991</c:v>
                </c:pt>
                <c:pt idx="6">
                  <c:v>4.2823880929779765</c:v>
                </c:pt>
                <c:pt idx="7">
                  <c:v>16.788824762655381</c:v>
                </c:pt>
                <c:pt idx="8">
                  <c:v>2.8844704330423014</c:v>
                </c:pt>
                <c:pt idx="9">
                  <c:v>17.789287753942141</c:v>
                </c:pt>
                <c:pt idx="10">
                  <c:v>0.41760659558168584</c:v>
                </c:pt>
                <c:pt idx="11">
                  <c:v>1.8035393277989795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0A1-4370-9F45-D7493B0814B9}"/>
            </c:ext>
          </c:extLst>
        </c:ser>
        <c:ser>
          <c:idx val="7"/>
          <c:order val="7"/>
          <c:tx>
            <c:strRef>
              <c:f>'GRAF-3'!$J$2</c:f>
              <c:strCache>
                <c:ptCount val="1"/>
                <c:pt idx="0">
                  <c:v>Obsluha strojů a zařízení, montéři (8)</c:v>
                </c:pt>
              </c:strCache>
            </c:strRef>
          </c:tx>
          <c:spPr>
            <a:solidFill>
              <a:srgbClr val="F7C39F"/>
            </a:solidFill>
            <a:ln>
              <a:noFill/>
            </a:ln>
            <a:effectLst/>
          </c:spPr>
          <c:invertIfNegative val="0"/>
          <c:cat>
            <c:multiLvlStrRef>
              <c:f>'GRAF-3'!$A$3:$B$14</c:f>
              <c:multiLvlStrCache>
                <c:ptCount val="12"/>
                <c:lvl>
                  <c:pt idx="0">
                    <c:v>NH 
celkem</c:v>
                  </c:pt>
                  <c:pt idx="1">
                    <c:v>Průmysl 
celkem</c:v>
                  </c:pt>
                  <c:pt idx="2">
                    <c:v>Těžba a 
dobývání</c:v>
                  </c:pt>
                  <c:pt idx="3">
                    <c:v>Zpraco-
vatel.
prům.</c:v>
                  </c:pt>
                  <c:pt idx="4">
                    <c:v>Energe-
tika</c:v>
                  </c:pt>
                  <c:pt idx="5">
                    <c:v>Vodní 
a odpad.
hospo-
dářství</c:v>
                  </c:pt>
                  <c:pt idx="6">
                    <c:v>NH 
celkem</c:v>
                  </c:pt>
                  <c:pt idx="7">
                    <c:v>Průmysl 
celkem</c:v>
                  </c:pt>
                  <c:pt idx="8">
                    <c:v>Těžba a 
dobývání</c:v>
                  </c:pt>
                  <c:pt idx="9">
                    <c:v>Zpraco-
vatel.
prům.</c:v>
                  </c:pt>
                  <c:pt idx="10">
                    <c:v>Energe-
tika</c:v>
                  </c:pt>
                  <c:pt idx="11">
                    <c:v>Vodní 
a odpad.
hospo-
dářství</c:v>
                  </c:pt>
                </c:lvl>
                <c:lvl>
                  <c:pt idx="0">
                    <c:v>Muži</c:v>
                  </c:pt>
                  <c:pt idx="6">
                    <c:v>Ženy</c:v>
                  </c:pt>
                </c:lvl>
              </c:multiLvlStrCache>
            </c:multiLvlStrRef>
          </c:cat>
          <c:val>
            <c:numRef>
              <c:f>'GRAF-3'!$J$3:$J$14</c:f>
              <c:numCache>
                <c:formatCode>0.0</c:formatCode>
                <c:ptCount val="12"/>
                <c:pt idx="0">
                  <c:v>18.265666758994019</c:v>
                </c:pt>
                <c:pt idx="1">
                  <c:v>23.97752138697145</c:v>
                </c:pt>
                <c:pt idx="2">
                  <c:v>42.70658407089428</c:v>
                </c:pt>
                <c:pt idx="3">
                  <c:v>23.500728898187482</c:v>
                </c:pt>
                <c:pt idx="4">
                  <c:v>9.6085011223007299</c:v>
                </c:pt>
                <c:pt idx="5">
                  <c:v>35.106312651768846</c:v>
                </c:pt>
                <c:pt idx="6">
                  <c:v>8.0527534281120694</c:v>
                </c:pt>
                <c:pt idx="7">
                  <c:v>30.941662198870933</c:v>
                </c:pt>
                <c:pt idx="8">
                  <c:v>15.214045553792543</c:v>
                </c:pt>
                <c:pt idx="9">
                  <c:v>32.48440014105266</c:v>
                </c:pt>
                <c:pt idx="10">
                  <c:v>6.5245234180091742</c:v>
                </c:pt>
                <c:pt idx="11">
                  <c:v>6.0474917564613442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0A1-4370-9F45-D7493B0814B9}"/>
            </c:ext>
          </c:extLst>
        </c:ser>
        <c:ser>
          <c:idx val="8"/>
          <c:order val="8"/>
          <c:tx>
            <c:strRef>
              <c:f>'GRAF-3'!$K$2</c:f>
              <c:strCache>
                <c:ptCount val="1"/>
                <c:pt idx="0">
                  <c:v>Pomocní a nekvalifikovaní pracovníci (9)</c:v>
                </c:pt>
              </c:strCache>
            </c:strRef>
          </c:tx>
          <c:spPr>
            <a:solidFill>
              <a:srgbClr val="F1995D"/>
            </a:solidFill>
            <a:ln>
              <a:noFill/>
            </a:ln>
            <a:effectLst/>
          </c:spPr>
          <c:invertIfNegative val="0"/>
          <c:cat>
            <c:multiLvlStrRef>
              <c:f>'GRAF-3'!$A$3:$B$14</c:f>
              <c:multiLvlStrCache>
                <c:ptCount val="12"/>
                <c:lvl>
                  <c:pt idx="0">
                    <c:v>NH 
celkem</c:v>
                  </c:pt>
                  <c:pt idx="1">
                    <c:v>Průmysl 
celkem</c:v>
                  </c:pt>
                  <c:pt idx="2">
                    <c:v>Těžba a 
dobývání</c:v>
                  </c:pt>
                  <c:pt idx="3">
                    <c:v>Zpraco-
vatel.
prům.</c:v>
                  </c:pt>
                  <c:pt idx="4">
                    <c:v>Energe-
tika</c:v>
                  </c:pt>
                  <c:pt idx="5">
                    <c:v>Vodní 
a odpad.
hospo-
dářství</c:v>
                  </c:pt>
                  <c:pt idx="6">
                    <c:v>NH 
celkem</c:v>
                  </c:pt>
                  <c:pt idx="7">
                    <c:v>Průmysl 
celkem</c:v>
                  </c:pt>
                  <c:pt idx="8">
                    <c:v>Těžba a 
dobývání</c:v>
                  </c:pt>
                  <c:pt idx="9">
                    <c:v>Zpraco-
vatel.
prům.</c:v>
                  </c:pt>
                  <c:pt idx="10">
                    <c:v>Energe-
tika</c:v>
                  </c:pt>
                  <c:pt idx="11">
                    <c:v>Vodní 
a odpad.
hospo-
dářství</c:v>
                  </c:pt>
                </c:lvl>
                <c:lvl>
                  <c:pt idx="0">
                    <c:v>Muži</c:v>
                  </c:pt>
                  <c:pt idx="6">
                    <c:v>Ženy</c:v>
                  </c:pt>
                </c:lvl>
              </c:multiLvlStrCache>
            </c:multiLvlStrRef>
          </c:cat>
          <c:val>
            <c:numRef>
              <c:f>'GRAF-3'!$K$3:$K$14</c:f>
              <c:numCache>
                <c:formatCode>0.0</c:formatCode>
                <c:ptCount val="12"/>
                <c:pt idx="0">
                  <c:v>4.1826372728625429</c:v>
                </c:pt>
                <c:pt idx="1">
                  <c:v>5.8247933369446461</c:v>
                </c:pt>
                <c:pt idx="2">
                  <c:v>3.4759122278722194</c:v>
                </c:pt>
                <c:pt idx="3">
                  <c:v>5.4446245097359665</c:v>
                </c:pt>
                <c:pt idx="4">
                  <c:v>0.26069127981125689</c:v>
                </c:pt>
                <c:pt idx="5">
                  <c:v>19.680773457769359</c:v>
                </c:pt>
                <c:pt idx="6">
                  <c:v>8.499917273144165</c:v>
                </c:pt>
                <c:pt idx="7">
                  <c:v>13.814155223708505</c:v>
                </c:pt>
                <c:pt idx="8">
                  <c:v>16.591022511236545</c:v>
                </c:pt>
                <c:pt idx="9">
                  <c:v>14.021580144037168</c:v>
                </c:pt>
                <c:pt idx="10">
                  <c:v>7.7789480669010507</c:v>
                </c:pt>
                <c:pt idx="11">
                  <c:v>11.428648774643742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0A1-4370-9F45-D7493B0814B9}"/>
            </c:ext>
          </c:extLst>
        </c:ser>
        <c:ser>
          <c:idx val="9"/>
          <c:order val="9"/>
          <c:tx>
            <c:strRef>
              <c:f>'GRAF-3'!$L$2</c:f>
              <c:strCache>
                <c:ptCount val="1"/>
                <c:pt idx="0">
                  <c:v>Ostatní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'GRAF-3'!$A$3:$B$14</c:f>
              <c:multiLvlStrCache>
                <c:ptCount val="12"/>
                <c:lvl>
                  <c:pt idx="0">
                    <c:v>NH 
celkem</c:v>
                  </c:pt>
                  <c:pt idx="1">
                    <c:v>Průmysl 
celkem</c:v>
                  </c:pt>
                  <c:pt idx="2">
                    <c:v>Těžba a 
dobývání</c:v>
                  </c:pt>
                  <c:pt idx="3">
                    <c:v>Zpraco-
vatel.
prům.</c:v>
                  </c:pt>
                  <c:pt idx="4">
                    <c:v>Energe-
tika</c:v>
                  </c:pt>
                  <c:pt idx="5">
                    <c:v>Vodní 
a odpad.
hospo-
dářství</c:v>
                  </c:pt>
                  <c:pt idx="6">
                    <c:v>NH 
celkem</c:v>
                  </c:pt>
                  <c:pt idx="7">
                    <c:v>Průmysl 
celkem</c:v>
                  </c:pt>
                  <c:pt idx="8">
                    <c:v>Těžba a 
dobývání</c:v>
                  </c:pt>
                  <c:pt idx="9">
                    <c:v>Zpraco-
vatel.
prům.</c:v>
                  </c:pt>
                  <c:pt idx="10">
                    <c:v>Energe-
tika</c:v>
                  </c:pt>
                  <c:pt idx="11">
                    <c:v>Vodní 
a odpad.
hospo-
dářství</c:v>
                  </c:pt>
                </c:lvl>
                <c:lvl>
                  <c:pt idx="0">
                    <c:v>Muži</c:v>
                  </c:pt>
                  <c:pt idx="6">
                    <c:v>Ženy</c:v>
                  </c:pt>
                </c:lvl>
              </c:multiLvlStrCache>
            </c:multiLvlStrRef>
          </c:cat>
          <c:val>
            <c:numRef>
              <c:f>'GRAF-3'!$L$3:$L$14</c:f>
              <c:numCache>
                <c:formatCode>0.0</c:formatCode>
                <c:ptCount val="12"/>
                <c:pt idx="0">
                  <c:v>0.52666454324150569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5.3164626165013211E-2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10A1-4370-9F45-D7493B0814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5"/>
        <c:overlap val="100"/>
        <c:axId val="211167600"/>
        <c:axId val="281211184"/>
      </c:barChart>
      <c:catAx>
        <c:axId val="21116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81211184"/>
        <c:crosses val="autoZero"/>
        <c:auto val="1"/>
        <c:lblAlgn val="ctr"/>
        <c:lblOffset val="0"/>
        <c:noMultiLvlLbl val="0"/>
      </c:catAx>
      <c:valAx>
        <c:axId val="281211184"/>
        <c:scaling>
          <c:orientation val="minMax"/>
          <c:max val="100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1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800" i="1">
                    <a:latin typeface="Arial" panose="020B0604020202020204" pitchFamily="34" charset="0"/>
                    <a:cs typeface="Arial" panose="020B0604020202020204" pitchFamily="34" charset="0"/>
                  </a:rPr>
                  <a:t>Podíl</a:t>
                </a:r>
                <a:r>
                  <a:rPr lang="cs-CZ" sz="800" i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 v %</a:t>
                </a:r>
                <a:endParaRPr lang="cs-CZ" sz="800" i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"/>
              <c:y val="0.2818024965278471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1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11167600"/>
        <c:crosses val="autoZero"/>
        <c:crossBetween val="between"/>
        <c:majorUnit val="10"/>
      </c:valAx>
      <c:spPr>
        <a:noFill/>
        <a:ln w="6350">
          <a:solidFill>
            <a:schemeClr val="tx1">
              <a:lumMod val="95000"/>
              <a:lumOff val="5000"/>
            </a:schemeClr>
          </a:solidFill>
        </a:ln>
        <a:effectLst/>
      </c:spPr>
    </c:plotArea>
    <c:legend>
      <c:legendPos val="b"/>
      <c:legendEntry>
        <c:idx val="5"/>
        <c:txPr>
          <a:bodyPr rot="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</c:legendEntry>
      <c:layout>
        <c:manualLayout>
          <c:xMode val="edge"/>
          <c:yMode val="edge"/>
          <c:x val="6.701922508882531E-2"/>
          <c:y val="0.8523780326082927"/>
          <c:w val="0.92068954604147146"/>
          <c:h val="0.14107378645760549"/>
        </c:manualLayout>
      </c:layout>
      <c:overlay val="0"/>
      <c:spPr>
        <a:noFill/>
        <a:ln w="6350">
          <a:solidFill>
            <a:schemeClr val="tx1">
              <a:lumMod val="95000"/>
              <a:lumOff val="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061242210878148E-2"/>
          <c:y val="2.0864272307841863E-2"/>
          <c:w val="0.91300787059416"/>
          <c:h val="0.6688190962038058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'GRAF-4'!$AC$10</c:f>
              <c:strCache>
                <c:ptCount val="1"/>
                <c:pt idx="0">
                  <c:v>základní a
nedokončené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'GRAF-4'!$AA$11:$AB$22</c:f>
              <c:multiLvlStrCache>
                <c:ptCount val="12"/>
                <c:lvl>
                  <c:pt idx="0">
                    <c:v>NH 
celkem</c:v>
                  </c:pt>
                  <c:pt idx="1">
                    <c:v>Průmysl 
celkem</c:v>
                  </c:pt>
                  <c:pt idx="2">
                    <c:v>Těžba a 
dobývání</c:v>
                  </c:pt>
                  <c:pt idx="3">
                    <c:v>Zpraco-
vatel.
prům.</c:v>
                  </c:pt>
                  <c:pt idx="4">
                    <c:v>Energe-
tika</c:v>
                  </c:pt>
                  <c:pt idx="5">
                    <c:v>Vodní 
a odpad.
hospo-
dářství</c:v>
                  </c:pt>
                  <c:pt idx="6">
                    <c:v>NH 
celkem</c:v>
                  </c:pt>
                  <c:pt idx="7">
                    <c:v>Průmysl 
celkem</c:v>
                  </c:pt>
                  <c:pt idx="8">
                    <c:v>Těžba a 
dobývání</c:v>
                  </c:pt>
                  <c:pt idx="9">
                    <c:v>Zpraco-
vatel.
prům.</c:v>
                  </c:pt>
                  <c:pt idx="10">
                    <c:v>Energe-
tika</c:v>
                  </c:pt>
                  <c:pt idx="11">
                    <c:v>Vodní 
a odpad.
hospo-
dářství</c:v>
                  </c:pt>
                </c:lvl>
                <c:lvl>
                  <c:pt idx="0">
                    <c:v>Odvětví dle vzdělání</c:v>
                  </c:pt>
                  <c:pt idx="6">
                    <c:v>Odvětví dle věku</c:v>
                  </c:pt>
                </c:lvl>
              </c:multiLvlStrCache>
            </c:multiLvlStrRef>
          </c:cat>
          <c:val>
            <c:numRef>
              <c:f>'GRAF-4'!$AC$11:$AC$22</c:f>
              <c:numCache>
                <c:formatCode>0.0</c:formatCode>
                <c:ptCount val="12"/>
                <c:pt idx="0">
                  <c:v>6.2788114412663161</c:v>
                </c:pt>
                <c:pt idx="1">
                  <c:v>8.1093149950879706</c:v>
                </c:pt>
                <c:pt idx="2">
                  <c:v>7.5471698113207557</c:v>
                </c:pt>
                <c:pt idx="3">
                  <c:v>8.1646688936922764</c:v>
                </c:pt>
                <c:pt idx="4">
                  <c:v>1.8292682926829271</c:v>
                </c:pt>
                <c:pt idx="5">
                  <c:v>11.410788381742739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A5-4284-9FC5-C4BC417EF2E9}"/>
            </c:ext>
          </c:extLst>
        </c:ser>
        <c:ser>
          <c:idx val="1"/>
          <c:order val="1"/>
          <c:tx>
            <c:strRef>
              <c:f>'GRAF-4'!$AD$10</c:f>
              <c:strCache>
                <c:ptCount val="1"/>
                <c:pt idx="0">
                  <c:v>střední
bez maturity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'GRAF-4'!$AA$11:$AB$22</c:f>
              <c:multiLvlStrCache>
                <c:ptCount val="12"/>
                <c:lvl>
                  <c:pt idx="0">
                    <c:v>NH 
celkem</c:v>
                  </c:pt>
                  <c:pt idx="1">
                    <c:v>Průmysl 
celkem</c:v>
                  </c:pt>
                  <c:pt idx="2">
                    <c:v>Těžba a 
dobývání</c:v>
                  </c:pt>
                  <c:pt idx="3">
                    <c:v>Zpraco-
vatel.
prům.</c:v>
                  </c:pt>
                  <c:pt idx="4">
                    <c:v>Energe-
tika</c:v>
                  </c:pt>
                  <c:pt idx="5">
                    <c:v>Vodní 
a odpad.
hospo-
dářství</c:v>
                  </c:pt>
                  <c:pt idx="6">
                    <c:v>NH 
celkem</c:v>
                  </c:pt>
                  <c:pt idx="7">
                    <c:v>Průmysl 
celkem</c:v>
                  </c:pt>
                  <c:pt idx="8">
                    <c:v>Těžba a 
dobývání</c:v>
                  </c:pt>
                  <c:pt idx="9">
                    <c:v>Zpraco-
vatel.
prům.</c:v>
                  </c:pt>
                  <c:pt idx="10">
                    <c:v>Energe-
tika</c:v>
                  </c:pt>
                  <c:pt idx="11">
                    <c:v>Vodní 
a odpad.
hospo-
dářství</c:v>
                  </c:pt>
                </c:lvl>
                <c:lvl>
                  <c:pt idx="0">
                    <c:v>Odvětví dle vzdělání</c:v>
                  </c:pt>
                  <c:pt idx="6">
                    <c:v>Odvětví dle věku</c:v>
                  </c:pt>
                </c:lvl>
              </c:multiLvlStrCache>
            </c:multiLvlStrRef>
          </c:cat>
          <c:val>
            <c:numRef>
              <c:f>'GRAF-4'!$AD$11:$AD$22</c:f>
              <c:numCache>
                <c:formatCode>0.0</c:formatCode>
                <c:ptCount val="12"/>
                <c:pt idx="0">
                  <c:v>32.579838933629553</c:v>
                </c:pt>
                <c:pt idx="1">
                  <c:v>45.413950165222836</c:v>
                </c:pt>
                <c:pt idx="2">
                  <c:v>57.075471698113212</c:v>
                </c:pt>
                <c:pt idx="3">
                  <c:v>45.667125171939482</c:v>
                </c:pt>
                <c:pt idx="4">
                  <c:v>25.609756097560975</c:v>
                </c:pt>
                <c:pt idx="5">
                  <c:v>48.340248962655608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A5-4284-9FC5-C4BC417EF2E9}"/>
            </c:ext>
          </c:extLst>
        </c:ser>
        <c:ser>
          <c:idx val="2"/>
          <c:order val="2"/>
          <c:tx>
            <c:strRef>
              <c:f>'GRAF-4'!$AE$10</c:f>
              <c:strCache>
                <c:ptCount val="1"/>
                <c:pt idx="0">
                  <c:v>střední
s maturitou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'GRAF-4'!$AA$11:$AB$22</c:f>
              <c:multiLvlStrCache>
                <c:ptCount val="12"/>
                <c:lvl>
                  <c:pt idx="0">
                    <c:v>NH 
celkem</c:v>
                  </c:pt>
                  <c:pt idx="1">
                    <c:v>Průmysl 
celkem</c:v>
                  </c:pt>
                  <c:pt idx="2">
                    <c:v>Těžba a 
dobývání</c:v>
                  </c:pt>
                  <c:pt idx="3">
                    <c:v>Zpraco-
vatel.
prům.</c:v>
                  </c:pt>
                  <c:pt idx="4">
                    <c:v>Energe-
tika</c:v>
                  </c:pt>
                  <c:pt idx="5">
                    <c:v>Vodní 
a odpad.
hospo-
dářství</c:v>
                  </c:pt>
                  <c:pt idx="6">
                    <c:v>NH 
celkem</c:v>
                  </c:pt>
                  <c:pt idx="7">
                    <c:v>Průmysl 
celkem</c:v>
                  </c:pt>
                  <c:pt idx="8">
                    <c:v>Těžba a 
dobývání</c:v>
                  </c:pt>
                  <c:pt idx="9">
                    <c:v>Zpraco-
vatel.
prům.</c:v>
                  </c:pt>
                  <c:pt idx="10">
                    <c:v>Energe-
tika</c:v>
                  </c:pt>
                  <c:pt idx="11">
                    <c:v>Vodní 
a odpad.
hospo-
dářství</c:v>
                  </c:pt>
                </c:lvl>
                <c:lvl>
                  <c:pt idx="0">
                    <c:v>Odvětví dle vzdělání</c:v>
                  </c:pt>
                  <c:pt idx="6">
                    <c:v>Odvětví dle věku</c:v>
                  </c:pt>
                </c:lvl>
              </c:multiLvlStrCache>
            </c:multiLvlStrRef>
          </c:cat>
          <c:val>
            <c:numRef>
              <c:f>'GRAF-4'!$AE$11:$AE$22</c:f>
              <c:numCache>
                <c:formatCode>0.0</c:formatCode>
                <c:ptCount val="12"/>
                <c:pt idx="0">
                  <c:v>36.575951124687592</c:v>
                </c:pt>
                <c:pt idx="1">
                  <c:v>33.205322854335989</c:v>
                </c:pt>
                <c:pt idx="2">
                  <c:v>26.415094339622641</c:v>
                </c:pt>
                <c:pt idx="3">
                  <c:v>33.149931224209077</c:v>
                </c:pt>
                <c:pt idx="4">
                  <c:v>46.646341463414643</c:v>
                </c:pt>
                <c:pt idx="5">
                  <c:v>28.215767634854771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A5-4284-9FC5-C4BC417EF2E9}"/>
            </c:ext>
          </c:extLst>
        </c:ser>
        <c:ser>
          <c:idx val="3"/>
          <c:order val="3"/>
          <c:tx>
            <c:strRef>
              <c:f>'GRAF-4'!$AF$10</c:f>
              <c:strCache>
                <c:ptCount val="1"/>
                <c:pt idx="0">
                  <c:v>vyšší odborné
a bakalářské</c:v>
                </c:pt>
              </c:strCache>
            </c:strRef>
          </c:tx>
          <c:spPr>
            <a:solidFill>
              <a:srgbClr val="C55E5B"/>
            </a:solidFill>
            <a:ln>
              <a:noFill/>
            </a:ln>
            <a:effectLst/>
          </c:spPr>
          <c:invertIfNegative val="0"/>
          <c:cat>
            <c:multiLvlStrRef>
              <c:f>'GRAF-4'!$AA$11:$AB$22</c:f>
              <c:multiLvlStrCache>
                <c:ptCount val="12"/>
                <c:lvl>
                  <c:pt idx="0">
                    <c:v>NH 
celkem</c:v>
                  </c:pt>
                  <c:pt idx="1">
                    <c:v>Průmysl 
celkem</c:v>
                  </c:pt>
                  <c:pt idx="2">
                    <c:v>Těžba a 
dobývání</c:v>
                  </c:pt>
                  <c:pt idx="3">
                    <c:v>Zpraco-
vatel.
prům.</c:v>
                  </c:pt>
                  <c:pt idx="4">
                    <c:v>Energe-
tika</c:v>
                  </c:pt>
                  <c:pt idx="5">
                    <c:v>Vodní 
a odpad.
hospo-
dářství</c:v>
                  </c:pt>
                  <c:pt idx="6">
                    <c:v>NH 
celkem</c:v>
                  </c:pt>
                  <c:pt idx="7">
                    <c:v>Průmysl 
celkem</c:v>
                  </c:pt>
                  <c:pt idx="8">
                    <c:v>Těžba a 
dobývání</c:v>
                  </c:pt>
                  <c:pt idx="9">
                    <c:v>Zpraco-
vatel.
prům.</c:v>
                  </c:pt>
                  <c:pt idx="10">
                    <c:v>Energe-
tika</c:v>
                  </c:pt>
                  <c:pt idx="11">
                    <c:v>Vodní 
a odpad.
hospo-
dářství</c:v>
                  </c:pt>
                </c:lvl>
                <c:lvl>
                  <c:pt idx="0">
                    <c:v>Odvětví dle vzdělání</c:v>
                  </c:pt>
                  <c:pt idx="6">
                    <c:v>Odvětví dle věku</c:v>
                  </c:pt>
                </c:lvl>
              </c:multiLvlStrCache>
            </c:multiLvlStrRef>
          </c:cat>
          <c:val>
            <c:numRef>
              <c:f>'GRAF-4'!$AF$11:$AF$22</c:f>
              <c:numCache>
                <c:formatCode>0.0</c:formatCode>
                <c:ptCount val="12"/>
                <c:pt idx="0">
                  <c:v>6.0955290197167455</c:v>
                </c:pt>
                <c:pt idx="1">
                  <c:v>3.1615611324461912</c:v>
                </c:pt>
                <c:pt idx="2">
                  <c:v>1.4150943396226416</c:v>
                </c:pt>
                <c:pt idx="3">
                  <c:v>3.2226370603261936</c:v>
                </c:pt>
                <c:pt idx="4">
                  <c:v>4.2682926829268295</c:v>
                </c:pt>
                <c:pt idx="5">
                  <c:v>2.0746887966804981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1A5-4284-9FC5-C4BC417EF2E9}"/>
            </c:ext>
          </c:extLst>
        </c:ser>
        <c:ser>
          <c:idx val="4"/>
          <c:order val="4"/>
          <c:tx>
            <c:strRef>
              <c:f>'GRAF-4'!$AG$10</c:f>
              <c:strCache>
                <c:ptCount val="1"/>
                <c:pt idx="0">
                  <c:v>vysoko-
školské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'GRAF-4'!$AA$11:$AB$22</c:f>
              <c:multiLvlStrCache>
                <c:ptCount val="12"/>
                <c:lvl>
                  <c:pt idx="0">
                    <c:v>NH 
celkem</c:v>
                  </c:pt>
                  <c:pt idx="1">
                    <c:v>Průmysl 
celkem</c:v>
                  </c:pt>
                  <c:pt idx="2">
                    <c:v>Těžba a 
dobývání</c:v>
                  </c:pt>
                  <c:pt idx="3">
                    <c:v>Zpraco-
vatel.
prům.</c:v>
                  </c:pt>
                  <c:pt idx="4">
                    <c:v>Energe-
tika</c:v>
                  </c:pt>
                  <c:pt idx="5">
                    <c:v>Vodní 
a odpad.
hospo-
dářství</c:v>
                  </c:pt>
                  <c:pt idx="6">
                    <c:v>NH 
celkem</c:v>
                  </c:pt>
                  <c:pt idx="7">
                    <c:v>Průmysl 
celkem</c:v>
                  </c:pt>
                  <c:pt idx="8">
                    <c:v>Těžba a 
dobývání</c:v>
                  </c:pt>
                  <c:pt idx="9">
                    <c:v>Zpraco-
vatel.
prům.</c:v>
                  </c:pt>
                  <c:pt idx="10">
                    <c:v>Energe-
tika</c:v>
                  </c:pt>
                  <c:pt idx="11">
                    <c:v>Vodní 
a odpad.
hospo-
dářství</c:v>
                  </c:pt>
                </c:lvl>
                <c:lvl>
                  <c:pt idx="0">
                    <c:v>Odvětví dle vzdělání</c:v>
                  </c:pt>
                  <c:pt idx="6">
                    <c:v>Odvětví dle věku</c:v>
                  </c:pt>
                </c:lvl>
              </c:multiLvlStrCache>
            </c:multiLvlStrRef>
          </c:cat>
          <c:val>
            <c:numRef>
              <c:f>'GRAF-4'!$AG$11:$AG$22</c:f>
              <c:numCache>
                <c:formatCode>0.0</c:formatCode>
                <c:ptCount val="12"/>
                <c:pt idx="0">
                  <c:v>18.469869480699806</c:v>
                </c:pt>
                <c:pt idx="1">
                  <c:v>10.10985085290703</c:v>
                </c:pt>
                <c:pt idx="2">
                  <c:v>7.5471698113207557</c:v>
                </c:pt>
                <c:pt idx="3">
                  <c:v>9.7956376498329742</c:v>
                </c:pt>
                <c:pt idx="4">
                  <c:v>21.646341463414632</c:v>
                </c:pt>
                <c:pt idx="5">
                  <c:v>9.9585062240663902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1A5-4284-9FC5-C4BC417EF2E9}"/>
            </c:ext>
          </c:extLst>
        </c:ser>
        <c:ser>
          <c:idx val="5"/>
          <c:order val="5"/>
          <c:tx>
            <c:strRef>
              <c:f>'GRAF-4'!$AH$10</c:f>
              <c:strCache>
                <c:ptCount val="1"/>
              </c:strCache>
            </c:strRef>
          </c:tx>
          <c:spPr>
            <a:noFill/>
            <a:ln>
              <a:noFill/>
            </a:ln>
            <a:effectLst/>
          </c:spPr>
          <c:invertIfNegative val="0"/>
          <c:cat>
            <c:multiLvlStrRef>
              <c:f>'GRAF-4'!$AA$11:$AB$22</c:f>
              <c:multiLvlStrCache>
                <c:ptCount val="12"/>
                <c:lvl>
                  <c:pt idx="0">
                    <c:v>NH 
celkem</c:v>
                  </c:pt>
                  <c:pt idx="1">
                    <c:v>Průmysl 
celkem</c:v>
                  </c:pt>
                  <c:pt idx="2">
                    <c:v>Těžba a 
dobývání</c:v>
                  </c:pt>
                  <c:pt idx="3">
                    <c:v>Zpraco-
vatel.
prům.</c:v>
                  </c:pt>
                  <c:pt idx="4">
                    <c:v>Energe-
tika</c:v>
                  </c:pt>
                  <c:pt idx="5">
                    <c:v>Vodní 
a odpad.
hospo-
dářství</c:v>
                  </c:pt>
                  <c:pt idx="6">
                    <c:v>NH 
celkem</c:v>
                  </c:pt>
                  <c:pt idx="7">
                    <c:v>Průmysl 
celkem</c:v>
                  </c:pt>
                  <c:pt idx="8">
                    <c:v>Těžba a 
dobývání</c:v>
                  </c:pt>
                  <c:pt idx="9">
                    <c:v>Zpraco-
vatel.
prům.</c:v>
                  </c:pt>
                  <c:pt idx="10">
                    <c:v>Energe-
tika</c:v>
                  </c:pt>
                  <c:pt idx="11">
                    <c:v>Vodní 
a odpad.
hospo-
dářství</c:v>
                  </c:pt>
                </c:lvl>
                <c:lvl>
                  <c:pt idx="0">
                    <c:v>Odvětví dle vzdělání</c:v>
                  </c:pt>
                  <c:pt idx="6">
                    <c:v>Odvětví dle věku</c:v>
                  </c:pt>
                </c:lvl>
              </c:multiLvlStrCache>
            </c:multiLvlStrRef>
          </c:cat>
          <c:val>
            <c:numRef>
              <c:f>'GRAF-4'!$AH$11:$AH$22</c:f>
              <c:numCache>
                <c:formatCode>General</c:formatCode>
                <c:ptCount val="12"/>
              </c:numCache>
            </c:numRef>
          </c:val>
          <c:extLst>
            <c:ext xmlns:c16="http://schemas.microsoft.com/office/drawing/2014/chart" uri="{C3380CC4-5D6E-409C-BE32-E72D297353CC}">
              <c16:uniqueId val="{00000005-71A5-4284-9FC5-C4BC417EF2E9}"/>
            </c:ext>
          </c:extLst>
        </c:ser>
        <c:ser>
          <c:idx val="6"/>
          <c:order val="6"/>
          <c:tx>
            <c:strRef>
              <c:f>'GRAF-4'!$AI$10</c:f>
              <c:strCache>
                <c:ptCount val="1"/>
                <c:pt idx="0">
                  <c:v>do 29 let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  <a:ln w="6350">
              <a:noFill/>
            </a:ln>
            <a:effectLst/>
          </c:spPr>
          <c:invertIfNegative val="0"/>
          <c:cat>
            <c:multiLvlStrRef>
              <c:f>'GRAF-4'!$AA$11:$AB$22</c:f>
              <c:multiLvlStrCache>
                <c:ptCount val="12"/>
                <c:lvl>
                  <c:pt idx="0">
                    <c:v>NH 
celkem</c:v>
                  </c:pt>
                  <c:pt idx="1">
                    <c:v>Průmysl 
celkem</c:v>
                  </c:pt>
                  <c:pt idx="2">
                    <c:v>Těžba a 
dobývání</c:v>
                  </c:pt>
                  <c:pt idx="3">
                    <c:v>Zpraco-
vatel.
prům.</c:v>
                  </c:pt>
                  <c:pt idx="4">
                    <c:v>Energe-
tika</c:v>
                  </c:pt>
                  <c:pt idx="5">
                    <c:v>Vodní 
a odpad.
hospo-
dářství</c:v>
                  </c:pt>
                  <c:pt idx="6">
                    <c:v>NH 
celkem</c:v>
                  </c:pt>
                  <c:pt idx="7">
                    <c:v>Průmysl 
celkem</c:v>
                  </c:pt>
                  <c:pt idx="8">
                    <c:v>Těžba a 
dobývání</c:v>
                  </c:pt>
                  <c:pt idx="9">
                    <c:v>Zpraco-
vatel.
prům.</c:v>
                  </c:pt>
                  <c:pt idx="10">
                    <c:v>Energe-
tika</c:v>
                  </c:pt>
                  <c:pt idx="11">
                    <c:v>Vodní 
a odpad.
hospo-
dářství</c:v>
                  </c:pt>
                </c:lvl>
                <c:lvl>
                  <c:pt idx="0">
                    <c:v>Odvětví dle vzdělání</c:v>
                  </c:pt>
                  <c:pt idx="6">
                    <c:v>Odvětví dle věku</c:v>
                  </c:pt>
                </c:lvl>
              </c:multiLvlStrCache>
            </c:multiLvlStrRef>
          </c:cat>
          <c:val>
            <c:numRef>
              <c:f>'GRAF-4'!$AI$11:$AI$22</c:f>
              <c:numCache>
                <c:formatCode>General</c:formatCode>
                <c:ptCount val="12"/>
                <c:pt idx="6" formatCode="0.0">
                  <c:v>14.920797138477262</c:v>
                </c:pt>
                <c:pt idx="7" formatCode="0.0">
                  <c:v>15.564642422133289</c:v>
                </c:pt>
                <c:pt idx="8" formatCode="0.0">
                  <c:v>6.1032863849765269</c:v>
                </c:pt>
                <c:pt idx="9" formatCode="0.0">
                  <c:v>16.204588910133847</c:v>
                </c:pt>
                <c:pt idx="10" formatCode="0.0">
                  <c:v>9.7264437689969618</c:v>
                </c:pt>
                <c:pt idx="11" formatCode="0.0">
                  <c:v>9.9391480730223112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1A5-4284-9FC5-C4BC417EF2E9}"/>
            </c:ext>
          </c:extLst>
        </c:ser>
        <c:ser>
          <c:idx val="7"/>
          <c:order val="7"/>
          <c:tx>
            <c:strRef>
              <c:f>'GRAF-4'!$AJ$10</c:f>
              <c:strCache>
                <c:ptCount val="1"/>
                <c:pt idx="0">
                  <c:v>30–39 let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 w="6350">
              <a:noFill/>
            </a:ln>
            <a:effectLst/>
          </c:spPr>
          <c:invertIfNegative val="0"/>
          <c:cat>
            <c:multiLvlStrRef>
              <c:f>'GRAF-4'!$AA$11:$AB$22</c:f>
              <c:multiLvlStrCache>
                <c:ptCount val="12"/>
                <c:lvl>
                  <c:pt idx="0">
                    <c:v>NH 
celkem</c:v>
                  </c:pt>
                  <c:pt idx="1">
                    <c:v>Průmysl 
celkem</c:v>
                  </c:pt>
                  <c:pt idx="2">
                    <c:v>Těžba a 
dobývání</c:v>
                  </c:pt>
                  <c:pt idx="3">
                    <c:v>Zpraco-
vatel.
prům.</c:v>
                  </c:pt>
                  <c:pt idx="4">
                    <c:v>Energe-
tika</c:v>
                  </c:pt>
                  <c:pt idx="5">
                    <c:v>Vodní 
a odpad.
hospo-
dářství</c:v>
                  </c:pt>
                  <c:pt idx="6">
                    <c:v>NH 
celkem</c:v>
                  </c:pt>
                  <c:pt idx="7">
                    <c:v>Průmysl 
celkem</c:v>
                  </c:pt>
                  <c:pt idx="8">
                    <c:v>Těžba a 
dobývání</c:v>
                  </c:pt>
                  <c:pt idx="9">
                    <c:v>Zpraco-
vatel.
prům.</c:v>
                  </c:pt>
                  <c:pt idx="10">
                    <c:v>Energe-
tika</c:v>
                  </c:pt>
                  <c:pt idx="11">
                    <c:v>Vodní 
a odpad.
hospo-
dářství</c:v>
                  </c:pt>
                </c:lvl>
                <c:lvl>
                  <c:pt idx="0">
                    <c:v>Odvětví dle vzdělání</c:v>
                  </c:pt>
                  <c:pt idx="6">
                    <c:v>Odvětví dle věku</c:v>
                  </c:pt>
                </c:lvl>
              </c:multiLvlStrCache>
            </c:multiLvlStrRef>
          </c:cat>
          <c:val>
            <c:numRef>
              <c:f>'GRAF-4'!$AJ$11:$AJ$22</c:f>
              <c:numCache>
                <c:formatCode>General</c:formatCode>
                <c:ptCount val="12"/>
                <c:pt idx="6" formatCode="0.0">
                  <c:v>22.335475889519401</c:v>
                </c:pt>
                <c:pt idx="7" formatCode="0.0">
                  <c:v>22.724899947798853</c:v>
                </c:pt>
                <c:pt idx="8" formatCode="0.0">
                  <c:v>13.615023474178406</c:v>
                </c:pt>
                <c:pt idx="9" formatCode="0.0">
                  <c:v>23.346080305927348</c:v>
                </c:pt>
                <c:pt idx="10" formatCode="0.0">
                  <c:v>18.237082066869302</c:v>
                </c:pt>
                <c:pt idx="11" formatCode="0.0">
                  <c:v>16.632860040567952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1A5-4284-9FC5-C4BC417EF2E9}"/>
            </c:ext>
          </c:extLst>
        </c:ser>
        <c:ser>
          <c:idx val="8"/>
          <c:order val="8"/>
          <c:tx>
            <c:strRef>
              <c:f>'GRAF-4'!$AK$10</c:f>
              <c:strCache>
                <c:ptCount val="1"/>
                <c:pt idx="0">
                  <c:v>40–49 let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 w="6350">
              <a:noFill/>
            </a:ln>
            <a:effectLst/>
          </c:spPr>
          <c:invertIfNegative val="0"/>
          <c:cat>
            <c:multiLvlStrRef>
              <c:f>'GRAF-4'!$AA$11:$AB$22</c:f>
              <c:multiLvlStrCache>
                <c:ptCount val="12"/>
                <c:lvl>
                  <c:pt idx="0">
                    <c:v>NH 
celkem</c:v>
                  </c:pt>
                  <c:pt idx="1">
                    <c:v>Průmysl 
celkem</c:v>
                  </c:pt>
                  <c:pt idx="2">
                    <c:v>Těžba a 
dobývání</c:v>
                  </c:pt>
                  <c:pt idx="3">
                    <c:v>Zpraco-
vatel.
prům.</c:v>
                  </c:pt>
                  <c:pt idx="4">
                    <c:v>Energe-
tika</c:v>
                  </c:pt>
                  <c:pt idx="5">
                    <c:v>Vodní 
a odpad.
hospo-
dářství</c:v>
                  </c:pt>
                  <c:pt idx="6">
                    <c:v>NH 
celkem</c:v>
                  </c:pt>
                  <c:pt idx="7">
                    <c:v>Průmysl 
celkem</c:v>
                  </c:pt>
                  <c:pt idx="8">
                    <c:v>Těžba a 
dobývání</c:v>
                  </c:pt>
                  <c:pt idx="9">
                    <c:v>Zpraco-
vatel.
prům.</c:v>
                  </c:pt>
                  <c:pt idx="10">
                    <c:v>Energe-
tika</c:v>
                  </c:pt>
                  <c:pt idx="11">
                    <c:v>Vodní 
a odpad.
hospo-
dářství</c:v>
                  </c:pt>
                </c:lvl>
                <c:lvl>
                  <c:pt idx="0">
                    <c:v>Odvětví dle vzdělání</c:v>
                  </c:pt>
                  <c:pt idx="6">
                    <c:v>Odvětví dle věku</c:v>
                  </c:pt>
                </c:lvl>
              </c:multiLvlStrCache>
            </c:multiLvlStrRef>
          </c:cat>
          <c:val>
            <c:numRef>
              <c:f>'GRAF-4'!$AK$11:$AK$22</c:f>
              <c:numCache>
                <c:formatCode>General</c:formatCode>
                <c:ptCount val="12"/>
                <c:pt idx="6" formatCode="0.0">
                  <c:v>31.137885592878462</c:v>
                </c:pt>
                <c:pt idx="7" formatCode="0.0">
                  <c:v>31.790499390986604</c:v>
                </c:pt>
                <c:pt idx="8" formatCode="0.0">
                  <c:v>31.924882629107987</c:v>
                </c:pt>
                <c:pt idx="9" formatCode="0.0">
                  <c:v>31.826003824091782</c:v>
                </c:pt>
                <c:pt idx="10" formatCode="0.0">
                  <c:v>31.003039513677809</c:v>
                </c:pt>
                <c:pt idx="11" formatCode="0.0">
                  <c:v>31.237322515212984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1A5-4284-9FC5-C4BC417EF2E9}"/>
            </c:ext>
          </c:extLst>
        </c:ser>
        <c:ser>
          <c:idx val="9"/>
          <c:order val="9"/>
          <c:tx>
            <c:strRef>
              <c:f>'GRAF-4'!$AL$10</c:f>
              <c:strCache>
                <c:ptCount val="1"/>
                <c:pt idx="0">
                  <c:v>50–59 let</c:v>
                </c:pt>
              </c:strCache>
            </c:strRef>
          </c:tx>
          <c:spPr>
            <a:solidFill>
              <a:srgbClr val="F8A764"/>
            </a:solidFill>
            <a:ln w="6350">
              <a:noFill/>
            </a:ln>
            <a:effectLst/>
          </c:spPr>
          <c:invertIfNegative val="0"/>
          <c:cat>
            <c:multiLvlStrRef>
              <c:f>'GRAF-4'!$AA$11:$AB$22</c:f>
              <c:multiLvlStrCache>
                <c:ptCount val="12"/>
                <c:lvl>
                  <c:pt idx="0">
                    <c:v>NH 
celkem</c:v>
                  </c:pt>
                  <c:pt idx="1">
                    <c:v>Průmysl 
celkem</c:v>
                  </c:pt>
                  <c:pt idx="2">
                    <c:v>Těžba a 
dobývání</c:v>
                  </c:pt>
                  <c:pt idx="3">
                    <c:v>Zpraco-
vatel.
prům.</c:v>
                  </c:pt>
                  <c:pt idx="4">
                    <c:v>Energe-
tika</c:v>
                  </c:pt>
                  <c:pt idx="5">
                    <c:v>Vodní 
a odpad.
hospo-
dářství</c:v>
                  </c:pt>
                  <c:pt idx="6">
                    <c:v>NH 
celkem</c:v>
                  </c:pt>
                  <c:pt idx="7">
                    <c:v>Průmysl 
celkem</c:v>
                  </c:pt>
                  <c:pt idx="8">
                    <c:v>Těžba a 
dobývání</c:v>
                  </c:pt>
                  <c:pt idx="9">
                    <c:v>Zpraco-
vatel.
prům.</c:v>
                  </c:pt>
                  <c:pt idx="10">
                    <c:v>Energe-
tika</c:v>
                  </c:pt>
                  <c:pt idx="11">
                    <c:v>Vodní 
a odpad.
hospo-
dářství</c:v>
                  </c:pt>
                </c:lvl>
                <c:lvl>
                  <c:pt idx="0">
                    <c:v>Odvětví dle vzdělání</c:v>
                  </c:pt>
                  <c:pt idx="6">
                    <c:v>Odvětví dle věku</c:v>
                  </c:pt>
                </c:lvl>
              </c:multiLvlStrCache>
            </c:multiLvlStrRef>
          </c:cat>
          <c:val>
            <c:numRef>
              <c:f>'GRAF-4'!$AL$11:$AL$22</c:f>
              <c:numCache>
                <c:formatCode>General</c:formatCode>
                <c:ptCount val="12"/>
                <c:pt idx="6" formatCode="0.0">
                  <c:v>23.497297151924265</c:v>
                </c:pt>
                <c:pt idx="7" formatCode="0.0">
                  <c:v>23.064207412563082</c:v>
                </c:pt>
                <c:pt idx="8" formatCode="0.0">
                  <c:v>37.089201877934279</c:v>
                </c:pt>
                <c:pt idx="9" formatCode="0.0">
                  <c:v>22.256214149139588</c:v>
                </c:pt>
                <c:pt idx="10" formatCode="0.0">
                  <c:v>30.091185410334347</c:v>
                </c:pt>
                <c:pt idx="11" formatCode="0.0">
                  <c:v>29.411764705882355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71A5-4284-9FC5-C4BC417EF2E9}"/>
            </c:ext>
          </c:extLst>
        </c:ser>
        <c:ser>
          <c:idx val="10"/>
          <c:order val="10"/>
          <c:tx>
            <c:strRef>
              <c:f>'GRAF-4'!$AM$10</c:f>
              <c:strCache>
                <c:ptCount val="1"/>
                <c:pt idx="0">
                  <c:v>60 a více let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 w="6350">
              <a:noFill/>
            </a:ln>
            <a:effectLst/>
          </c:spPr>
          <c:invertIfNegative val="0"/>
          <c:cat>
            <c:multiLvlStrRef>
              <c:f>'GRAF-4'!$AA$11:$AB$22</c:f>
              <c:multiLvlStrCache>
                <c:ptCount val="12"/>
                <c:lvl>
                  <c:pt idx="0">
                    <c:v>NH 
celkem</c:v>
                  </c:pt>
                  <c:pt idx="1">
                    <c:v>Průmysl 
celkem</c:v>
                  </c:pt>
                  <c:pt idx="2">
                    <c:v>Těžba a 
dobývání</c:v>
                  </c:pt>
                  <c:pt idx="3">
                    <c:v>Zpraco-
vatel.
prům.</c:v>
                  </c:pt>
                  <c:pt idx="4">
                    <c:v>Energe-
tika</c:v>
                  </c:pt>
                  <c:pt idx="5">
                    <c:v>Vodní 
a odpad.
hospo-
dářství</c:v>
                  </c:pt>
                  <c:pt idx="6">
                    <c:v>NH 
celkem</c:v>
                  </c:pt>
                  <c:pt idx="7">
                    <c:v>Průmysl 
celkem</c:v>
                  </c:pt>
                  <c:pt idx="8">
                    <c:v>Těžba a 
dobývání</c:v>
                  </c:pt>
                  <c:pt idx="9">
                    <c:v>Zpraco-
vatel.
prům.</c:v>
                  </c:pt>
                  <c:pt idx="10">
                    <c:v>Energe-
tika</c:v>
                  </c:pt>
                  <c:pt idx="11">
                    <c:v>Vodní 
a odpad.
hospo-
dářství</c:v>
                  </c:pt>
                </c:lvl>
                <c:lvl>
                  <c:pt idx="0">
                    <c:v>Odvětví dle vzdělání</c:v>
                  </c:pt>
                  <c:pt idx="6">
                    <c:v>Odvětví dle věku</c:v>
                  </c:pt>
                </c:lvl>
              </c:multiLvlStrCache>
            </c:multiLvlStrRef>
          </c:cat>
          <c:val>
            <c:numRef>
              <c:f>'GRAF-4'!$AM$11:$AM$22</c:f>
              <c:numCache>
                <c:formatCode>General</c:formatCode>
                <c:ptCount val="12"/>
                <c:pt idx="6" formatCode="0.0">
                  <c:v>8.1085442272006016</c:v>
                </c:pt>
                <c:pt idx="7" formatCode="0.0">
                  <c:v>6.8557508265181841</c:v>
                </c:pt>
                <c:pt idx="8" formatCode="0.0">
                  <c:v>11.267605633802818</c:v>
                </c:pt>
                <c:pt idx="9" formatCode="0.0">
                  <c:v>6.3671128107074582</c:v>
                </c:pt>
                <c:pt idx="10" formatCode="0.0">
                  <c:v>10.94224924012158</c:v>
                </c:pt>
                <c:pt idx="11" formatCode="0.0">
                  <c:v>12.778904665314403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1A5-4284-9FC5-C4BC417EF2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5"/>
        <c:overlap val="100"/>
        <c:axId val="211167600"/>
        <c:axId val="281211184"/>
      </c:barChart>
      <c:catAx>
        <c:axId val="21116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81211184"/>
        <c:crosses val="autoZero"/>
        <c:auto val="1"/>
        <c:lblAlgn val="ctr"/>
        <c:lblOffset val="0"/>
        <c:noMultiLvlLbl val="0"/>
      </c:catAx>
      <c:valAx>
        <c:axId val="281211184"/>
        <c:scaling>
          <c:orientation val="minMax"/>
          <c:max val="100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1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800" i="1">
                    <a:latin typeface="Arial" panose="020B0604020202020204" pitchFamily="34" charset="0"/>
                    <a:cs typeface="Arial" panose="020B0604020202020204" pitchFamily="34" charset="0"/>
                  </a:rPr>
                  <a:t>Podíl</a:t>
                </a:r>
                <a:r>
                  <a:rPr lang="cs-CZ" sz="800" i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 v %</a:t>
                </a:r>
                <a:endParaRPr lang="cs-CZ" sz="800" i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1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11167600"/>
        <c:crosses val="autoZero"/>
        <c:crossBetween val="between"/>
        <c:majorUnit val="10"/>
      </c:valAx>
      <c:spPr>
        <a:noFill/>
        <a:ln w="6350">
          <a:solidFill>
            <a:schemeClr val="tx1">
              <a:lumMod val="95000"/>
              <a:lumOff val="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7.0170097945938009E-2"/>
          <c:y val="0.85649452172534846"/>
          <c:w val="0.91416201923255525"/>
          <c:h val="0.13600400141496244"/>
        </c:manualLayout>
      </c:layout>
      <c:overlay val="0"/>
      <c:spPr>
        <a:noFill/>
        <a:ln w="6350">
          <a:solidFill>
            <a:schemeClr val="tx1">
              <a:lumMod val="95000"/>
              <a:lumOff val="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7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665337663399147E-2"/>
          <c:y val="2.0864272307841863E-2"/>
          <c:w val="0.91759014472564593"/>
          <c:h val="0.795002092549281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'GRAF-6'!$B$3</c:f>
              <c:strCache>
                <c:ptCount val="1"/>
                <c:pt idx="0">
                  <c:v>Všechna odvětví NH</c:v>
                </c:pt>
              </c:strCache>
            </c:strRef>
          </c:tx>
          <c:spPr>
            <a:solidFill>
              <a:srgbClr val="D2E7B6"/>
            </a:solidFill>
            <a:ln w="6350">
              <a:solidFill>
                <a:srgbClr val="7DBB2D"/>
              </a:solidFill>
            </a:ln>
            <a:effectLst/>
          </c:spPr>
          <c:invertIfNegative val="0"/>
          <c:cat>
            <c:numRef>
              <c:f>'GRAF-6'!$C$2:$Q$2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'GRAF-6'!$C$3:$Q$3</c:f>
              <c:numCache>
                <c:formatCode>0.0</c:formatCode>
                <c:ptCount val="15"/>
                <c:pt idx="0">
                  <c:v>5.0269094240238132</c:v>
                </c:pt>
                <c:pt idx="1">
                  <c:v>6.5525512429132107</c:v>
                </c:pt>
                <c:pt idx="2">
                  <c:v>7.2188683106517999</c:v>
                </c:pt>
                <c:pt idx="3">
                  <c:v>7.8016891730686666</c:v>
                </c:pt>
                <c:pt idx="4">
                  <c:v>3.3286118980169874</c:v>
                </c:pt>
                <c:pt idx="5">
                  <c:v>2.2275531185743631</c:v>
                </c:pt>
                <c:pt idx="6">
                  <c:v>2.4765336909151898</c:v>
                </c:pt>
                <c:pt idx="7">
                  <c:v>2.5025557145778095</c:v>
                </c:pt>
                <c:pt idx="8">
                  <c:v>-0.12765787688992702</c:v>
                </c:pt>
                <c:pt idx="9">
                  <c:v>2.9279009386858519</c:v>
                </c:pt>
                <c:pt idx="10">
                  <c:v>3.1938838869916282</c:v>
                </c:pt>
                <c:pt idx="11">
                  <c:v>4.4112669700274552</c:v>
                </c:pt>
                <c:pt idx="12">
                  <c:v>6.7497478749459816</c:v>
                </c:pt>
                <c:pt idx="13">
                  <c:v>8.1415750050610711</c:v>
                </c:pt>
                <c:pt idx="14">
                  <c:v>6.4272565598577245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C9-4FC9-8430-1EC5CEEFEBBB}"/>
            </c:ext>
          </c:extLst>
        </c:ser>
        <c:ser>
          <c:idx val="1"/>
          <c:order val="1"/>
          <c:tx>
            <c:strRef>
              <c:f>'GRAF-6'!$B$4</c:f>
              <c:strCache>
                <c:ptCount val="1"/>
                <c:pt idx="0">
                  <c:v>Průmysl celkem (sekce B, C, D, E)</c:v>
                </c:pt>
              </c:strCache>
            </c:strRef>
          </c:tx>
          <c:spPr>
            <a:solidFill>
              <a:srgbClr val="FDDEB3"/>
            </a:solidFill>
            <a:ln w="6350">
              <a:solidFill>
                <a:schemeClr val="accent2">
                  <a:lumMod val="75000"/>
                </a:schemeClr>
              </a:solidFill>
            </a:ln>
            <a:effectLst/>
          </c:spPr>
          <c:invertIfNegative val="0"/>
          <c:cat>
            <c:numRef>
              <c:f>'GRAF-6'!$C$2:$Q$2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'GRAF-6'!$C$4:$Q$4</c:f>
              <c:numCache>
                <c:formatCode>0.0</c:formatCode>
                <c:ptCount val="15"/>
                <c:pt idx="0">
                  <c:v>4.7940779037659382</c:v>
                </c:pt>
                <c:pt idx="1">
                  <c:v>6.3912092840724455</c:v>
                </c:pt>
                <c:pt idx="2">
                  <c:v>7.0295621014912797</c:v>
                </c:pt>
                <c:pt idx="3">
                  <c:v>8.8966569839003427</c:v>
                </c:pt>
                <c:pt idx="4">
                  <c:v>2.2922506555746338</c:v>
                </c:pt>
                <c:pt idx="5">
                  <c:v>4.4817679558011037</c:v>
                </c:pt>
                <c:pt idx="6">
                  <c:v>3.1854139345996089</c:v>
                </c:pt>
                <c:pt idx="7">
                  <c:v>3.0337815677271323</c:v>
                </c:pt>
                <c:pt idx="8">
                  <c:v>0.81171414929173125</c:v>
                </c:pt>
                <c:pt idx="9">
                  <c:v>3.3154404799494728</c:v>
                </c:pt>
                <c:pt idx="10">
                  <c:v>2.6016198044009684</c:v>
                </c:pt>
                <c:pt idx="11">
                  <c:v>4.2558737014558545</c:v>
                </c:pt>
                <c:pt idx="12">
                  <c:v>6.8214285714285836</c:v>
                </c:pt>
                <c:pt idx="13">
                  <c:v>7.7465730524908025</c:v>
                </c:pt>
                <c:pt idx="14">
                  <c:v>5.3867874763397197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C9-4FC9-8430-1EC5CEEFEB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167600"/>
        <c:axId val="281211184"/>
      </c:barChart>
      <c:lineChart>
        <c:grouping val="standard"/>
        <c:varyColors val="0"/>
        <c:ser>
          <c:idx val="2"/>
          <c:order val="2"/>
          <c:tx>
            <c:strRef>
              <c:f>'GRAF-6'!$B$5</c:f>
              <c:strCache>
                <c:ptCount val="1"/>
                <c:pt idx="0">
                  <c:v>Zpracovatelský průmysl (C)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dash"/>
            <c:size val="7"/>
            <c:spPr>
              <a:solidFill>
                <a:schemeClr val="tx1">
                  <a:lumMod val="85000"/>
                  <a:lumOff val="15000"/>
                </a:schemeClr>
              </a:solidFill>
              <a:ln w="9525">
                <a:noFill/>
              </a:ln>
              <a:effectLst/>
            </c:spPr>
          </c:marker>
          <c:cat>
            <c:numRef>
              <c:f>'GRAF-6'!$C$2:$Q$2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'GRAF-6'!$C$5:$Q$5</c:f>
              <c:numCache>
                <c:formatCode>0.0</c:formatCode>
                <c:ptCount val="15"/>
                <c:pt idx="0">
                  <c:v>4.6912686927158802</c:v>
                </c:pt>
                <c:pt idx="1">
                  <c:v>6.496947356295351</c:v>
                </c:pt>
                <c:pt idx="2">
                  <c:v>7.3661438615467887</c:v>
                </c:pt>
                <c:pt idx="3">
                  <c:v>8.6238162401773195</c:v>
                </c:pt>
                <c:pt idx="4">
                  <c:v>1.873492858467813</c:v>
                </c:pt>
                <c:pt idx="5">
                  <c:v>4.6158048069920028</c:v>
                </c:pt>
                <c:pt idx="6">
                  <c:v>3.4766338873901219</c:v>
                </c:pt>
                <c:pt idx="7">
                  <c:v>2.9056810058450111</c:v>
                </c:pt>
                <c:pt idx="8">
                  <c:v>1.323962079110828</c:v>
                </c:pt>
                <c:pt idx="9">
                  <c:v>3.6860783997418878</c:v>
                </c:pt>
                <c:pt idx="10">
                  <c:v>2.9054842473745595</c:v>
                </c:pt>
                <c:pt idx="11">
                  <c:v>4.6074762822693458</c:v>
                </c:pt>
                <c:pt idx="12">
                  <c:v>6.8976730741436683</c:v>
                </c:pt>
                <c:pt idx="13">
                  <c:v>7.8012506337671113</c:v>
                </c:pt>
                <c:pt idx="14">
                  <c:v>5.3083748784999756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CC9-4FC9-8430-1EC5CEEFEBBB}"/>
            </c:ext>
          </c:extLst>
        </c:ser>
        <c:ser>
          <c:idx val="3"/>
          <c:order val="3"/>
          <c:tx>
            <c:strRef>
              <c:f>'GRAF-6'!$B$6</c:f>
              <c:strCache>
                <c:ptCount val="1"/>
                <c:pt idx="0">
                  <c:v>Těžba a dobývání (B)</c:v>
                </c:pt>
              </c:strCache>
            </c:strRef>
          </c:tx>
          <c:spPr>
            <a:ln w="12700" cap="rnd">
              <a:noFill/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tx1">
                  <a:lumMod val="50000"/>
                  <a:lumOff val="50000"/>
                </a:schemeClr>
              </a:solidFill>
              <a:ln w="9525">
                <a:noFill/>
              </a:ln>
              <a:effectLst/>
            </c:spPr>
          </c:marker>
          <c:cat>
            <c:numRef>
              <c:f>'GRAF-6'!$C$2:$Q$2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'GRAF-6'!$C$6:$Q$6</c:f>
              <c:numCache>
                <c:formatCode>0.0</c:formatCode>
                <c:ptCount val="15"/>
                <c:pt idx="0">
                  <c:v>7.3714610358867532</c:v>
                </c:pt>
                <c:pt idx="1">
                  <c:v>6.0320119934741427</c:v>
                </c:pt>
                <c:pt idx="2">
                  <c:v>6.9322576620784275</c:v>
                </c:pt>
                <c:pt idx="3">
                  <c:v>13.832931477016402</c:v>
                </c:pt>
                <c:pt idx="4">
                  <c:v>-3.2762802774076789</c:v>
                </c:pt>
                <c:pt idx="5">
                  <c:v>6.9157954224357212</c:v>
                </c:pt>
                <c:pt idx="6">
                  <c:v>4.1658407664354229</c:v>
                </c:pt>
                <c:pt idx="7">
                  <c:v>3.1651390694871679</c:v>
                </c:pt>
                <c:pt idx="8">
                  <c:v>-3.3416336192320699</c:v>
                </c:pt>
                <c:pt idx="9">
                  <c:v>-0.45480567393931892</c:v>
                </c:pt>
                <c:pt idx="10">
                  <c:v>1.6006901178951409</c:v>
                </c:pt>
                <c:pt idx="11">
                  <c:v>-0.62264150943396146</c:v>
                </c:pt>
                <c:pt idx="12">
                  <c:v>5.9521549269033471</c:v>
                </c:pt>
                <c:pt idx="13">
                  <c:v>7.6008720843413045</c:v>
                </c:pt>
                <c:pt idx="14">
                  <c:v>3.2641279005218138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CC9-4FC9-8430-1EC5CEEFEBBB}"/>
            </c:ext>
          </c:extLst>
        </c:ser>
        <c:ser>
          <c:idx val="4"/>
          <c:order val="4"/>
          <c:tx>
            <c:strRef>
              <c:f>'GRAF-6'!$B$7</c:f>
              <c:strCache>
                <c:ptCount val="1"/>
                <c:pt idx="0">
                  <c:v>Energetika (D)</c:v>
                </c:pt>
              </c:strCache>
            </c:strRef>
          </c:tx>
          <c:spPr>
            <a:ln w="6350" cap="rnd">
              <a:noFill/>
              <a:prstDash val="dashDot"/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663300"/>
                </a:solidFill>
              </a:ln>
              <a:effectLst/>
            </c:spPr>
          </c:marker>
          <c:cat>
            <c:numRef>
              <c:f>'GRAF-6'!$C$2:$Q$2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'GRAF-6'!$C$7:$Q$7</c:f>
              <c:numCache>
                <c:formatCode>0.0</c:formatCode>
                <c:ptCount val="15"/>
                <c:pt idx="0">
                  <c:v>7.5591506572295231</c:v>
                </c:pt>
                <c:pt idx="1">
                  <c:v>9.7202376475896983</c:v>
                </c:pt>
                <c:pt idx="2">
                  <c:v>6.7788478015010867</c:v>
                </c:pt>
                <c:pt idx="3">
                  <c:v>13.682318580094361</c:v>
                </c:pt>
                <c:pt idx="4">
                  <c:v>11.338226990400898</c:v>
                </c:pt>
                <c:pt idx="5">
                  <c:v>2.1883558170199677</c:v>
                </c:pt>
                <c:pt idx="6">
                  <c:v>-0.23821931065286606</c:v>
                </c:pt>
                <c:pt idx="7">
                  <c:v>6.1164589707235706</c:v>
                </c:pt>
                <c:pt idx="8">
                  <c:v>-4.4489241010735583</c:v>
                </c:pt>
                <c:pt idx="9">
                  <c:v>0.82425669708565863</c:v>
                </c:pt>
                <c:pt idx="10">
                  <c:v>-1.5839416058394136</c:v>
                </c:pt>
                <c:pt idx="11">
                  <c:v>2.4302207718361473</c:v>
                </c:pt>
                <c:pt idx="12">
                  <c:v>5.2206024329020977</c:v>
                </c:pt>
                <c:pt idx="13">
                  <c:v>6.3768780823488953</c:v>
                </c:pt>
                <c:pt idx="14">
                  <c:v>6.2814016172506797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CC9-4FC9-8430-1EC5CEEFEBBB}"/>
            </c:ext>
          </c:extLst>
        </c:ser>
        <c:ser>
          <c:idx val="5"/>
          <c:order val="5"/>
          <c:tx>
            <c:strRef>
              <c:f>'GRAF-6'!$B$8</c:f>
              <c:strCache>
                <c:ptCount val="1"/>
                <c:pt idx="0">
                  <c:v>Vodní hospodářství (E)</c:v>
                </c:pt>
              </c:strCache>
            </c:strRef>
          </c:tx>
          <c:spPr>
            <a:ln w="12700" cap="rnd">
              <a:noFill/>
              <a:prstDash val="sysDot"/>
              <a:round/>
            </a:ln>
            <a:effectLst/>
          </c:spPr>
          <c:marker>
            <c:symbol val="diamond"/>
            <c:size val="5"/>
            <c:spPr>
              <a:solidFill>
                <a:srgbClr val="00B0F0"/>
              </a:solidFill>
              <a:ln w="9525">
                <a:solidFill>
                  <a:srgbClr val="00B0F0"/>
                </a:solidFill>
              </a:ln>
              <a:effectLst/>
            </c:spPr>
          </c:marker>
          <c:cat>
            <c:numRef>
              <c:f>'GRAF-6'!$C$2:$Q$2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'GRAF-6'!$C$8:$Q$8</c:f>
              <c:numCache>
                <c:formatCode>0.0</c:formatCode>
                <c:ptCount val="15"/>
                <c:pt idx="0">
                  <c:v>5.5320417287630477</c:v>
                </c:pt>
                <c:pt idx="1">
                  <c:v>5.9086030616279714</c:v>
                </c:pt>
                <c:pt idx="2">
                  <c:v>5.3389514107418989</c:v>
                </c:pt>
                <c:pt idx="3">
                  <c:v>8.6632911392405134</c:v>
                </c:pt>
                <c:pt idx="4">
                  <c:v>2.7398536880853612</c:v>
                </c:pt>
                <c:pt idx="5">
                  <c:v>4.5807066080094501</c:v>
                </c:pt>
                <c:pt idx="6">
                  <c:v>0.46402706101737579</c:v>
                </c:pt>
                <c:pt idx="7">
                  <c:v>2.4087024087024105</c:v>
                </c:pt>
                <c:pt idx="8">
                  <c:v>-0.42994436014163284</c:v>
                </c:pt>
                <c:pt idx="9">
                  <c:v>2.6585386504106339</c:v>
                </c:pt>
                <c:pt idx="10">
                  <c:v>2.1360824742268107</c:v>
                </c:pt>
                <c:pt idx="11">
                  <c:v>2.5274547803617651</c:v>
                </c:pt>
                <c:pt idx="12">
                  <c:v>6.0919902339135206</c:v>
                </c:pt>
                <c:pt idx="13">
                  <c:v>6.662707397646713</c:v>
                </c:pt>
                <c:pt idx="14">
                  <c:v>6.7963530066815139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7CC9-4FC9-8430-1EC5CEEFEB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167600"/>
        <c:axId val="281211184"/>
      </c:lineChart>
      <c:catAx>
        <c:axId val="21116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81211184"/>
        <c:crosses val="autoZero"/>
        <c:auto val="1"/>
        <c:lblAlgn val="ctr"/>
        <c:lblOffset val="0"/>
        <c:noMultiLvlLbl val="0"/>
      </c:catAx>
      <c:valAx>
        <c:axId val="281211184"/>
        <c:scaling>
          <c:orientation val="minMax"/>
          <c:max val="14"/>
          <c:min val="-6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1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800" i="1">
                    <a:latin typeface="Arial" panose="020B0604020202020204" pitchFamily="34" charset="0"/>
                    <a:cs typeface="Arial" panose="020B0604020202020204" pitchFamily="34" charset="0"/>
                  </a:rPr>
                  <a:t>Meziroční</a:t>
                </a:r>
                <a:r>
                  <a:rPr lang="cs-CZ" sz="800" i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 změna (v %)</a:t>
                </a:r>
                <a:endParaRPr lang="cs-CZ" sz="800" i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1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11167600"/>
        <c:crosses val="autoZero"/>
        <c:crossBetween val="between"/>
        <c:majorUnit val="2"/>
      </c:valAx>
      <c:spPr>
        <a:noFill/>
        <a:ln w="6350">
          <a:solidFill>
            <a:schemeClr val="tx1">
              <a:lumMod val="95000"/>
              <a:lumOff val="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6.7897274908540986E-2"/>
          <c:y val="0.87124813609206508"/>
          <c:w val="0.91734546128297334"/>
          <c:h val="0.10811553950182529"/>
        </c:manualLayout>
      </c:layout>
      <c:overlay val="0"/>
      <c:spPr>
        <a:noFill/>
        <a:ln w="6350">
          <a:solidFill>
            <a:schemeClr val="tx1">
              <a:lumMod val="95000"/>
              <a:lumOff val="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030634019204511E-2"/>
          <c:y val="1.6893986268518412E-2"/>
          <c:w val="0.90949691631435725"/>
          <c:h val="0.7685312174139340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'GRAF-7'!$U$4</c:f>
              <c:strCache>
                <c:ptCount val="1"/>
                <c:pt idx="0">
                  <c:v>2005</c:v>
                </c:pt>
              </c:strCache>
            </c:strRef>
          </c:tx>
          <c:spPr>
            <a:solidFill>
              <a:srgbClr val="EA6B14"/>
            </a:solidFill>
            <a:ln>
              <a:noFill/>
            </a:ln>
            <a:effectLst/>
          </c:spPr>
          <c:invertIfNegative val="0"/>
          <c:cat>
            <c:strRef>
              <c:f>'GRAF-7'!$T$5:$T$31</c:f>
              <c:strCache>
                <c:ptCount val="27"/>
                <c:pt idx="0">
                  <c:v>Energetika</c:v>
                </c:pt>
                <c:pt idx="1">
                  <c:v>Výroba motor. voz.</c:v>
                </c:pt>
                <c:pt idx="2">
                  <c:v>Farmacie</c:v>
                </c:pt>
                <c:pt idx="3">
                  <c:v>Chemický pr.</c:v>
                </c:pt>
                <c:pt idx="4">
                  <c:v>Opravy, instal.strojů</c:v>
                </c:pt>
                <c:pt idx="5">
                  <c:v>Ost. dopravní pr.</c:v>
                </c:pt>
                <c:pt idx="6">
                  <c:v>Těžební pr.</c:v>
                </c:pt>
                <c:pt idx="7">
                  <c:v>Výroba nápojů</c:v>
                </c:pt>
                <c:pt idx="8">
                  <c:v>Vodní hospodářství</c:v>
                </c:pt>
                <c:pt idx="9">
                  <c:v>PC, elektr.,optic. př.</c:v>
                </c:pt>
                <c:pt idx="10">
                  <c:v>Strojírenský pr.</c:v>
                </c:pt>
                <c:pt idx="11">
                  <c:v>Staveb. materiály</c:v>
                </c:pt>
                <c:pt idx="12">
                  <c:v>Hutnictví, slévár.</c:v>
                </c:pt>
                <c:pt idx="13">
                  <c:v>Výroba elektric. zař.</c:v>
                </c:pt>
                <c:pt idx="14">
                  <c:v>Papírenský pr.</c:v>
                </c:pt>
                <c:pt idx="15">
                  <c:v>Gumáren., plastikář.</c:v>
                </c:pt>
                <c:pt idx="16">
                  <c:v>Kovodělný pr.</c:v>
                </c:pt>
                <c:pt idx="17">
                  <c:v>Ostatní zprac. pr.</c:v>
                </c:pt>
                <c:pt idx="18">
                  <c:v>Odpad. hospod.</c:v>
                </c:pt>
                <c:pt idx="19">
                  <c:v>Tiskařský pr.</c:v>
                </c:pt>
                <c:pt idx="20">
                  <c:v>Potravinářský pr.</c:v>
                </c:pt>
                <c:pt idx="21">
                  <c:v>Textilní pr.</c:v>
                </c:pt>
                <c:pt idx="22">
                  <c:v>Nábytkářský pr.</c:v>
                </c:pt>
                <c:pt idx="23">
                  <c:v>Dřevozprac. pr.</c:v>
                </c:pt>
                <c:pt idx="24">
                  <c:v>Kožedělný pr.</c:v>
                </c:pt>
                <c:pt idx="25">
                  <c:v>Oděvní pr.</c:v>
                </c:pt>
                <c:pt idx="26">
                  <c:v>Průmysl celkem</c:v>
                </c:pt>
              </c:strCache>
            </c:strRef>
          </c:cat>
          <c:val>
            <c:numRef>
              <c:f>'GRAF-7'!$U$5:$U$31</c:f>
              <c:numCache>
                <c:formatCode>#\ ##0.00__</c:formatCode>
                <c:ptCount val="27"/>
                <c:pt idx="0">
                  <c:v>26.250790649999999</c:v>
                </c:pt>
                <c:pt idx="1">
                  <c:v>20.028007049999999</c:v>
                </c:pt>
                <c:pt idx="2">
                  <c:v>23.415818524999999</c:v>
                </c:pt>
                <c:pt idx="3">
                  <c:v>20.470598750000001</c:v>
                </c:pt>
                <c:pt idx="5">
                  <c:v>19.84510105</c:v>
                </c:pt>
                <c:pt idx="6">
                  <c:v>22.63646125</c:v>
                </c:pt>
                <c:pt idx="7">
                  <c:v>21.986825624999998</c:v>
                </c:pt>
                <c:pt idx="8">
                  <c:v>19.190814683168963</c:v>
                </c:pt>
                <c:pt idx="9">
                  <c:v>18.7569458</c:v>
                </c:pt>
                <c:pt idx="10">
                  <c:v>18.463602574999996</c:v>
                </c:pt>
                <c:pt idx="11">
                  <c:v>18.333730749999997</c:v>
                </c:pt>
                <c:pt idx="12">
                  <c:v>20.005858374999999</c:v>
                </c:pt>
                <c:pt idx="13">
                  <c:v>16.210241175</c:v>
                </c:pt>
                <c:pt idx="14">
                  <c:v>17.786933375</c:v>
                </c:pt>
                <c:pt idx="15">
                  <c:v>17.309475374999998</c:v>
                </c:pt>
                <c:pt idx="16">
                  <c:v>16.737432400000003</c:v>
                </c:pt>
                <c:pt idx="17">
                  <c:v>13.88401275</c:v>
                </c:pt>
                <c:pt idx="18">
                  <c:v>16.109864700948894</c:v>
                </c:pt>
                <c:pt idx="19">
                  <c:v>16.659095499999999</c:v>
                </c:pt>
                <c:pt idx="20">
                  <c:v>14.48610585</c:v>
                </c:pt>
                <c:pt idx="21">
                  <c:v>12.911327925</c:v>
                </c:pt>
                <c:pt idx="22">
                  <c:v>13.423411649999998</c:v>
                </c:pt>
                <c:pt idx="23">
                  <c:v>12.9517855</c:v>
                </c:pt>
                <c:pt idx="24">
                  <c:v>11.376290575000001</c:v>
                </c:pt>
                <c:pt idx="25">
                  <c:v>10.120844325</c:v>
                </c:pt>
                <c:pt idx="26">
                  <c:v>17.627130501813738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CD-4610-A323-447AEADE4403}"/>
            </c:ext>
          </c:extLst>
        </c:ser>
        <c:ser>
          <c:idx val="1"/>
          <c:order val="1"/>
          <c:tx>
            <c:strRef>
              <c:f>'GRAF-7'!$V$4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F4AD7C"/>
            </a:solidFill>
            <a:ln>
              <a:noFill/>
            </a:ln>
            <a:effectLst/>
          </c:spPr>
          <c:invertIfNegative val="0"/>
          <c:cat>
            <c:strRef>
              <c:f>'GRAF-7'!$T$5:$T$31</c:f>
              <c:strCache>
                <c:ptCount val="27"/>
                <c:pt idx="0">
                  <c:v>Energetika</c:v>
                </c:pt>
                <c:pt idx="1">
                  <c:v>Výroba motor. voz.</c:v>
                </c:pt>
                <c:pt idx="2">
                  <c:v>Farmacie</c:v>
                </c:pt>
                <c:pt idx="3">
                  <c:v>Chemický pr.</c:v>
                </c:pt>
                <c:pt idx="4">
                  <c:v>Opravy, instal.strojů</c:v>
                </c:pt>
                <c:pt idx="5">
                  <c:v>Ost. dopravní pr.</c:v>
                </c:pt>
                <c:pt idx="6">
                  <c:v>Těžební pr.</c:v>
                </c:pt>
                <c:pt idx="7">
                  <c:v>Výroba nápojů</c:v>
                </c:pt>
                <c:pt idx="8">
                  <c:v>Vodní hospodářství</c:v>
                </c:pt>
                <c:pt idx="9">
                  <c:v>PC, elektr.,optic. př.</c:v>
                </c:pt>
                <c:pt idx="10">
                  <c:v>Strojírenský pr.</c:v>
                </c:pt>
                <c:pt idx="11">
                  <c:v>Staveb. materiály</c:v>
                </c:pt>
                <c:pt idx="12">
                  <c:v>Hutnictví, slévár.</c:v>
                </c:pt>
                <c:pt idx="13">
                  <c:v>Výroba elektric. zař.</c:v>
                </c:pt>
                <c:pt idx="14">
                  <c:v>Papírenský pr.</c:v>
                </c:pt>
                <c:pt idx="15">
                  <c:v>Gumáren., plastikář.</c:v>
                </c:pt>
                <c:pt idx="16">
                  <c:v>Kovodělný pr.</c:v>
                </c:pt>
                <c:pt idx="17">
                  <c:v>Ostatní zprac. pr.</c:v>
                </c:pt>
                <c:pt idx="18">
                  <c:v>Odpad. hospod.</c:v>
                </c:pt>
                <c:pt idx="19">
                  <c:v>Tiskařský pr.</c:v>
                </c:pt>
                <c:pt idx="20">
                  <c:v>Potravinářský pr.</c:v>
                </c:pt>
                <c:pt idx="21">
                  <c:v>Textilní pr.</c:v>
                </c:pt>
                <c:pt idx="22">
                  <c:v>Nábytkářský pr.</c:v>
                </c:pt>
                <c:pt idx="23">
                  <c:v>Dřevozprac. pr.</c:v>
                </c:pt>
                <c:pt idx="24">
                  <c:v>Kožedělný pr.</c:v>
                </c:pt>
                <c:pt idx="25">
                  <c:v>Oděvní pr.</c:v>
                </c:pt>
                <c:pt idx="26">
                  <c:v>Průmysl celkem</c:v>
                </c:pt>
              </c:strCache>
            </c:strRef>
          </c:cat>
          <c:val>
            <c:numRef>
              <c:f>'GRAF-7'!$V$5:$V$31</c:f>
              <c:numCache>
                <c:formatCode>#\ ##0.00__</c:formatCode>
                <c:ptCount val="27"/>
                <c:pt idx="0">
                  <c:v>15.856484424999998</c:v>
                </c:pt>
                <c:pt idx="1">
                  <c:v>8.3337218000000028</c:v>
                </c:pt>
                <c:pt idx="2">
                  <c:v>6.7241978499999995</c:v>
                </c:pt>
                <c:pt idx="3">
                  <c:v>7.6691419249999981</c:v>
                </c:pt>
                <c:pt idx="5">
                  <c:v>7.3907852250000019</c:v>
                </c:pt>
                <c:pt idx="6">
                  <c:v>9.8502417749999971</c:v>
                </c:pt>
                <c:pt idx="7">
                  <c:v>7.2128960749999997</c:v>
                </c:pt>
                <c:pt idx="8">
                  <c:v>7.7730463668310392</c:v>
                </c:pt>
                <c:pt idx="9">
                  <c:v>6.8479376500000022</c:v>
                </c:pt>
                <c:pt idx="10">
                  <c:v>7.540254400000002</c:v>
                </c:pt>
                <c:pt idx="11">
                  <c:v>7.2269701499999996</c:v>
                </c:pt>
                <c:pt idx="12">
                  <c:v>6.8878505499999996</c:v>
                </c:pt>
                <c:pt idx="13">
                  <c:v>8.7942742749999994</c:v>
                </c:pt>
                <c:pt idx="14">
                  <c:v>6.0543164499999982</c:v>
                </c:pt>
                <c:pt idx="15">
                  <c:v>5.6066756250000012</c:v>
                </c:pt>
                <c:pt idx="16">
                  <c:v>6.1371182749999988</c:v>
                </c:pt>
                <c:pt idx="17">
                  <c:v>6.45950925</c:v>
                </c:pt>
                <c:pt idx="18">
                  <c:v>5.2412504490511083</c:v>
                </c:pt>
                <c:pt idx="19">
                  <c:v>5.3075387250000006</c:v>
                </c:pt>
                <c:pt idx="20">
                  <c:v>4.6651444250000029</c:v>
                </c:pt>
                <c:pt idx="21">
                  <c:v>5.9331292999999992</c:v>
                </c:pt>
                <c:pt idx="22">
                  <c:v>4.2009088749999997</c:v>
                </c:pt>
                <c:pt idx="23">
                  <c:v>3.9321193249999986</c:v>
                </c:pt>
                <c:pt idx="24">
                  <c:v>3.5651809750000005</c:v>
                </c:pt>
                <c:pt idx="25">
                  <c:v>2.321709349999999</c:v>
                </c:pt>
                <c:pt idx="26">
                  <c:v>7.2624385481862639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CD-4610-A323-447AEADE4403}"/>
            </c:ext>
          </c:extLst>
        </c:ser>
        <c:ser>
          <c:idx val="2"/>
          <c:order val="2"/>
          <c:tx>
            <c:strRef>
              <c:f>'GRAF-7'!$W$4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9D3B9"/>
            </a:solidFill>
            <a:ln>
              <a:noFill/>
            </a:ln>
            <a:effectLst/>
          </c:spPr>
          <c:invertIfNegative val="0"/>
          <c:cat>
            <c:strRef>
              <c:f>'GRAF-7'!$T$5:$T$31</c:f>
              <c:strCache>
                <c:ptCount val="27"/>
                <c:pt idx="0">
                  <c:v>Energetika</c:v>
                </c:pt>
                <c:pt idx="1">
                  <c:v>Výroba motor. voz.</c:v>
                </c:pt>
                <c:pt idx="2">
                  <c:v>Farmacie</c:v>
                </c:pt>
                <c:pt idx="3">
                  <c:v>Chemický pr.</c:v>
                </c:pt>
                <c:pt idx="4">
                  <c:v>Opravy, instal.strojů</c:v>
                </c:pt>
                <c:pt idx="5">
                  <c:v>Ost. dopravní pr.</c:v>
                </c:pt>
                <c:pt idx="6">
                  <c:v>Těžební pr.</c:v>
                </c:pt>
                <c:pt idx="7">
                  <c:v>Výroba nápojů</c:v>
                </c:pt>
                <c:pt idx="8">
                  <c:v>Vodní hospodářství</c:v>
                </c:pt>
                <c:pt idx="9">
                  <c:v>PC, elektr.,optic. př.</c:v>
                </c:pt>
                <c:pt idx="10">
                  <c:v>Strojírenský pr.</c:v>
                </c:pt>
                <c:pt idx="11">
                  <c:v>Staveb. materiály</c:v>
                </c:pt>
                <c:pt idx="12">
                  <c:v>Hutnictví, slévár.</c:v>
                </c:pt>
                <c:pt idx="13">
                  <c:v>Výroba elektric. zař.</c:v>
                </c:pt>
                <c:pt idx="14">
                  <c:v>Papírenský pr.</c:v>
                </c:pt>
                <c:pt idx="15">
                  <c:v>Gumáren., plastikář.</c:v>
                </c:pt>
                <c:pt idx="16">
                  <c:v>Kovodělný pr.</c:v>
                </c:pt>
                <c:pt idx="17">
                  <c:v>Ostatní zprac. pr.</c:v>
                </c:pt>
                <c:pt idx="18">
                  <c:v>Odpad. hospod.</c:v>
                </c:pt>
                <c:pt idx="19">
                  <c:v>Tiskařský pr.</c:v>
                </c:pt>
                <c:pt idx="20">
                  <c:v>Potravinářský pr.</c:v>
                </c:pt>
                <c:pt idx="21">
                  <c:v>Textilní pr.</c:v>
                </c:pt>
                <c:pt idx="22">
                  <c:v>Nábytkářský pr.</c:v>
                </c:pt>
                <c:pt idx="23">
                  <c:v>Dřevozprac. pr.</c:v>
                </c:pt>
                <c:pt idx="24">
                  <c:v>Kožedělný pr.</c:v>
                </c:pt>
                <c:pt idx="25">
                  <c:v>Oděvní pr.</c:v>
                </c:pt>
                <c:pt idx="26">
                  <c:v>Průmysl celkem</c:v>
                </c:pt>
              </c:strCache>
            </c:strRef>
          </c:cat>
          <c:val>
            <c:numRef>
              <c:f>'GRAF-7'!$W$5:$W$31</c:f>
              <c:numCache>
                <c:formatCode>#\ ##0.00__</c:formatCode>
                <c:ptCount val="27"/>
                <c:pt idx="0">
                  <c:v>6.8927379174249097</c:v>
                </c:pt>
                <c:pt idx="1">
                  <c:v>11.548213269059357</c:v>
                </c:pt>
                <c:pt idx="2">
                  <c:v>8.11338963538741</c:v>
                </c:pt>
                <c:pt idx="3">
                  <c:v>9.4608301243692452</c:v>
                </c:pt>
                <c:pt idx="4">
                  <c:v>37.360918098589401</c:v>
                </c:pt>
                <c:pt idx="5">
                  <c:v>9.9697116629701164</c:v>
                </c:pt>
                <c:pt idx="6">
                  <c:v>4.6376810373383464</c:v>
                </c:pt>
                <c:pt idx="7">
                  <c:v>7.8674691400103072</c:v>
                </c:pt>
                <c:pt idx="8">
                  <c:v>8.1271875545484313</c:v>
                </c:pt>
                <c:pt idx="9">
                  <c:v>9.237242842204644</c:v>
                </c:pt>
                <c:pt idx="10">
                  <c:v>8.7898338255013826</c:v>
                </c:pt>
                <c:pt idx="11">
                  <c:v>8.9696051251935067</c:v>
                </c:pt>
                <c:pt idx="12">
                  <c:v>7.5912219284627653</c:v>
                </c:pt>
                <c:pt idx="13">
                  <c:v>9.1012253101693261</c:v>
                </c:pt>
                <c:pt idx="14">
                  <c:v>8.4023111796777812</c:v>
                </c:pt>
                <c:pt idx="15">
                  <c:v>9.2400668406930535</c:v>
                </c:pt>
                <c:pt idx="16">
                  <c:v>7.8900486393941378</c:v>
                </c:pt>
                <c:pt idx="17">
                  <c:v>8.5976170281021957</c:v>
                </c:pt>
                <c:pt idx="18">
                  <c:v>6.536442101107486</c:v>
                </c:pt>
                <c:pt idx="19">
                  <c:v>5.3223410769517017</c:v>
                </c:pt>
                <c:pt idx="20">
                  <c:v>7.4738673979141446</c:v>
                </c:pt>
                <c:pt idx="21">
                  <c:v>7.462269388712425</c:v>
                </c:pt>
                <c:pt idx="22">
                  <c:v>7.836081371860228</c:v>
                </c:pt>
                <c:pt idx="23">
                  <c:v>8.1521252271200844</c:v>
                </c:pt>
                <c:pt idx="24">
                  <c:v>6.906658412010577</c:v>
                </c:pt>
                <c:pt idx="25">
                  <c:v>5.9022245203215213</c:v>
                </c:pt>
                <c:pt idx="26">
                  <c:v>8.7736719586167133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DCD-4610-A323-447AEADE44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9"/>
        <c:overlap val="100"/>
        <c:axId val="211167600"/>
        <c:axId val="281211184"/>
      </c:barChart>
      <c:lineChart>
        <c:grouping val="standard"/>
        <c:varyColors val="0"/>
        <c:ser>
          <c:idx val="3"/>
          <c:order val="3"/>
          <c:tx>
            <c:strRef>
              <c:f>'GRAF-7'!$X$4</c:f>
              <c:strCache>
                <c:ptCount val="1"/>
                <c:pt idx="0">
                  <c:v>2019/2012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diamond"/>
            <c:size val="6"/>
            <c:spPr>
              <a:solidFill>
                <a:schemeClr val="bg1"/>
              </a:solidFill>
              <a:ln w="6350">
                <a:solidFill>
                  <a:schemeClr val="tx1">
                    <a:lumMod val="85000"/>
                    <a:lumOff val="15000"/>
                  </a:schemeClr>
                </a:solidFill>
              </a:ln>
              <a:effectLst/>
            </c:spPr>
          </c:marker>
          <c:cat>
            <c:strRef>
              <c:f>'GRAF-7'!$T$5:$T$31</c:f>
              <c:strCache>
                <c:ptCount val="27"/>
                <c:pt idx="0">
                  <c:v>Energetika</c:v>
                </c:pt>
                <c:pt idx="1">
                  <c:v>Výroba motor. voz.</c:v>
                </c:pt>
                <c:pt idx="2">
                  <c:v>Farmacie</c:v>
                </c:pt>
                <c:pt idx="3">
                  <c:v>Chemický pr.</c:v>
                </c:pt>
                <c:pt idx="4">
                  <c:v>Opravy, instal.strojů</c:v>
                </c:pt>
                <c:pt idx="5">
                  <c:v>Ost. dopravní pr.</c:v>
                </c:pt>
                <c:pt idx="6">
                  <c:v>Těžební pr.</c:v>
                </c:pt>
                <c:pt idx="7">
                  <c:v>Výroba nápojů</c:v>
                </c:pt>
                <c:pt idx="8">
                  <c:v>Vodní hospodářství</c:v>
                </c:pt>
                <c:pt idx="9">
                  <c:v>PC, elektr.,optic. př.</c:v>
                </c:pt>
                <c:pt idx="10">
                  <c:v>Strojírenský pr.</c:v>
                </c:pt>
                <c:pt idx="11">
                  <c:v>Staveb. materiály</c:v>
                </c:pt>
                <c:pt idx="12">
                  <c:v>Hutnictví, slévár.</c:v>
                </c:pt>
                <c:pt idx="13">
                  <c:v>Výroba elektric. zař.</c:v>
                </c:pt>
                <c:pt idx="14">
                  <c:v>Papírenský pr.</c:v>
                </c:pt>
                <c:pt idx="15">
                  <c:v>Gumáren., plastikář.</c:v>
                </c:pt>
                <c:pt idx="16">
                  <c:v>Kovodělný pr.</c:v>
                </c:pt>
                <c:pt idx="17">
                  <c:v>Ostatní zprac. pr.</c:v>
                </c:pt>
                <c:pt idx="18">
                  <c:v>Odpad. hospod.</c:v>
                </c:pt>
                <c:pt idx="19">
                  <c:v>Tiskařský pr.</c:v>
                </c:pt>
                <c:pt idx="20">
                  <c:v>Potravinářský pr.</c:v>
                </c:pt>
                <c:pt idx="21">
                  <c:v>Textilní pr.</c:v>
                </c:pt>
                <c:pt idx="22">
                  <c:v>Nábytkářský pr.</c:v>
                </c:pt>
                <c:pt idx="23">
                  <c:v>Dřevozprac. pr.</c:v>
                </c:pt>
                <c:pt idx="24">
                  <c:v>Kožedělný pr.</c:v>
                </c:pt>
                <c:pt idx="25">
                  <c:v>Oděvní pr.</c:v>
                </c:pt>
                <c:pt idx="26">
                  <c:v>Průmysl celkem</c:v>
                </c:pt>
              </c:strCache>
            </c:strRef>
          </c:cat>
          <c:val>
            <c:numRef>
              <c:f>'GRAF-7'!$X$5:$X$31</c:f>
              <c:numCache>
                <c:formatCode>0</c:formatCode>
                <c:ptCount val="27"/>
                <c:pt idx="0">
                  <c:v>16.369470370969879</c:v>
                </c:pt>
                <c:pt idx="1">
                  <c:v>40.717592817193008</c:v>
                </c:pt>
                <c:pt idx="2">
                  <c:v>26.918995445925376</c:v>
                </c:pt>
                <c:pt idx="3">
                  <c:v>33.620885969196109</c:v>
                </c:pt>
                <c:pt idx="5">
                  <c:v>36.605056880860076</c:v>
                </c:pt>
                <c:pt idx="6">
                  <c:v>14.275628504897654</c:v>
                </c:pt>
                <c:pt idx="7">
                  <c:v>26.943644260863991</c:v>
                </c:pt>
                <c:pt idx="8">
                  <c:v>30.141037811602388</c:v>
                </c:pt>
                <c:pt idx="9">
                  <c:v>36.076097984365731</c:v>
                </c:pt>
                <c:pt idx="10">
                  <c:v>33.802038805058373</c:v>
                </c:pt>
                <c:pt idx="11">
                  <c:v>35.091389552598343</c:v>
                </c:pt>
                <c:pt idx="12">
                  <c:v>28.22675723022374</c:v>
                </c:pt>
                <c:pt idx="13">
                  <c:v>36.398327047642596</c:v>
                </c:pt>
                <c:pt idx="14">
                  <c:v>35.242746254297032</c:v>
                </c:pt>
                <c:pt idx="15">
                  <c:v>40.321198968766851</c:v>
                </c:pt>
                <c:pt idx="16">
                  <c:v>34.492693436891471</c:v>
                </c:pt>
                <c:pt idx="17">
                  <c:v>42.26218561418321</c:v>
                </c:pt>
                <c:pt idx="18">
                  <c:v>30.614054840632008</c:v>
                </c:pt>
                <c:pt idx="19">
                  <c:v>24.229206087905823</c:v>
                </c:pt>
                <c:pt idx="20">
                  <c:v>39.025480272013965</c:v>
                </c:pt>
                <c:pt idx="21">
                  <c:v>39.599280040884423</c:v>
                </c:pt>
                <c:pt idx="22">
                  <c:v>44.46175023170278</c:v>
                </c:pt>
                <c:pt idx="23">
                  <c:v>48.283411400479082</c:v>
                </c:pt>
                <c:pt idx="24">
                  <c:v>46.224753625492639</c:v>
                </c:pt>
                <c:pt idx="25">
                  <c:v>47.435797140103716</c:v>
                </c:pt>
                <c:pt idx="26">
                  <c:v>35.250397228620187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DCD-4610-A323-447AEADE44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167600"/>
        <c:axId val="281211184"/>
      </c:lineChart>
      <c:catAx>
        <c:axId val="21116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81211184"/>
        <c:crosses val="autoZero"/>
        <c:auto val="1"/>
        <c:lblAlgn val="ctr"/>
        <c:lblOffset val="0"/>
        <c:noMultiLvlLbl val="0"/>
      </c:catAx>
      <c:valAx>
        <c:axId val="281211184"/>
        <c:scaling>
          <c:orientation val="minMax"/>
          <c:max val="50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11167600"/>
        <c:crosses val="autoZero"/>
        <c:crossBetween val="between"/>
        <c:majorUnit val="5"/>
      </c:valAx>
      <c:spPr>
        <a:noFill/>
        <a:ln w="6350">
          <a:solidFill>
            <a:schemeClr val="tx1">
              <a:lumMod val="95000"/>
              <a:lumOff val="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0.53930326490412173"/>
          <c:y val="0.96157471949557138"/>
          <c:w val="0.43488839000214896"/>
          <c:h val="3.3450015394171174E-2"/>
        </c:manualLayout>
      </c:layout>
      <c:overlay val="0"/>
      <c:spPr>
        <a:noFill/>
        <a:ln w="6350">
          <a:solidFill>
            <a:schemeClr val="tx1">
              <a:lumMod val="95000"/>
              <a:lumOff val="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869494306033927E-2"/>
          <c:y val="1.9655308638079141E-2"/>
          <c:w val="0.8409595794557313"/>
          <c:h val="0.726934201679721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'GRAF-10'!$B$4</c:f>
              <c:strCache>
                <c:ptCount val="1"/>
                <c:pt idx="0">
                  <c:v>Průmysl (mzda v tis. korun, rok 2018)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9FC-4644-9B67-CC41DAC2936E}"/>
              </c:ext>
            </c:extLst>
          </c:dPt>
          <c:cat>
            <c:strRef>
              <c:f>'GRAF-10'!$A$5:$A$19</c:f>
              <c:strCache>
                <c:ptCount val="15"/>
                <c:pt idx="0">
                  <c:v>Praha</c:v>
                </c:pt>
                <c:pt idx="1">
                  <c:v>Středočeský</c:v>
                </c:pt>
                <c:pt idx="2">
                  <c:v>Plzeňský</c:v>
                </c:pt>
                <c:pt idx="3">
                  <c:v>Ústecký</c:v>
                </c:pt>
                <c:pt idx="4">
                  <c:v>Liberecký</c:v>
                </c:pt>
                <c:pt idx="5">
                  <c:v>Královéhrad.</c:v>
                </c:pt>
                <c:pt idx="6">
                  <c:v>Moravskosl.</c:v>
                </c:pt>
                <c:pt idx="7">
                  <c:v>Vysočina</c:v>
                </c:pt>
                <c:pt idx="8">
                  <c:v>Jihomoravský</c:v>
                </c:pt>
                <c:pt idx="9">
                  <c:v>Jihočeský</c:v>
                </c:pt>
                <c:pt idx="10">
                  <c:v>Pardubický</c:v>
                </c:pt>
                <c:pt idx="11">
                  <c:v>Zlínský</c:v>
                </c:pt>
                <c:pt idx="12">
                  <c:v>Olomoucký</c:v>
                </c:pt>
                <c:pt idx="13">
                  <c:v>Karlovarský</c:v>
                </c:pt>
                <c:pt idx="14">
                  <c:v>ČR celkem</c:v>
                </c:pt>
              </c:strCache>
            </c:strRef>
          </c:cat>
          <c:val>
            <c:numRef>
              <c:f>'GRAF-10'!$B$5:$B$19</c:f>
              <c:numCache>
                <c:formatCode>#\ ##0.0</c:formatCode>
                <c:ptCount val="15"/>
                <c:pt idx="0">
                  <c:v>39.357999999999997</c:v>
                </c:pt>
                <c:pt idx="1">
                  <c:v>37.792999999999999</c:v>
                </c:pt>
                <c:pt idx="2">
                  <c:v>33.137999999999998</c:v>
                </c:pt>
                <c:pt idx="3">
                  <c:v>32.085000000000001</c:v>
                </c:pt>
                <c:pt idx="4">
                  <c:v>31.847000000000001</c:v>
                </c:pt>
                <c:pt idx="5">
                  <c:v>31.484999999999999</c:v>
                </c:pt>
                <c:pt idx="6">
                  <c:v>31.343</c:v>
                </c:pt>
                <c:pt idx="7">
                  <c:v>30.783999999999999</c:v>
                </c:pt>
                <c:pt idx="8">
                  <c:v>30.588000000000001</c:v>
                </c:pt>
                <c:pt idx="9">
                  <c:v>30.068999999999999</c:v>
                </c:pt>
                <c:pt idx="10">
                  <c:v>30.047000000000001</c:v>
                </c:pt>
                <c:pt idx="11">
                  <c:v>29.855</c:v>
                </c:pt>
                <c:pt idx="12">
                  <c:v>29.273</c:v>
                </c:pt>
                <c:pt idx="13">
                  <c:v>28.928999999999998</c:v>
                </c:pt>
                <c:pt idx="14">
                  <c:v>32.259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9FC-4644-9B67-CC41DAC2936E}"/>
            </c:ext>
          </c:extLst>
        </c:ser>
        <c:ser>
          <c:idx val="1"/>
          <c:order val="1"/>
          <c:tx>
            <c:strRef>
              <c:f>'GRAF-10'!$C$4</c:f>
              <c:strCache>
                <c:ptCount val="1"/>
                <c:pt idx="0">
                  <c:v>Všechna odvětví (mzda v tis. korun, rok 2018)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'GRAF-10'!$A$5:$A$19</c:f>
              <c:strCache>
                <c:ptCount val="15"/>
                <c:pt idx="0">
                  <c:v>Praha</c:v>
                </c:pt>
                <c:pt idx="1">
                  <c:v>Středočeský</c:v>
                </c:pt>
                <c:pt idx="2">
                  <c:v>Plzeňský</c:v>
                </c:pt>
                <c:pt idx="3">
                  <c:v>Ústecký</c:v>
                </c:pt>
                <c:pt idx="4">
                  <c:v>Liberecký</c:v>
                </c:pt>
                <c:pt idx="5">
                  <c:v>Královéhrad.</c:v>
                </c:pt>
                <c:pt idx="6">
                  <c:v>Moravskosl.</c:v>
                </c:pt>
                <c:pt idx="7">
                  <c:v>Vysočina</c:v>
                </c:pt>
                <c:pt idx="8">
                  <c:v>Jihomoravský</c:v>
                </c:pt>
                <c:pt idx="9">
                  <c:v>Jihočeský</c:v>
                </c:pt>
                <c:pt idx="10">
                  <c:v>Pardubický</c:v>
                </c:pt>
                <c:pt idx="11">
                  <c:v>Zlínský</c:v>
                </c:pt>
                <c:pt idx="12">
                  <c:v>Olomoucký</c:v>
                </c:pt>
                <c:pt idx="13">
                  <c:v>Karlovarský</c:v>
                </c:pt>
                <c:pt idx="14">
                  <c:v>ČR celkem</c:v>
                </c:pt>
              </c:strCache>
            </c:strRef>
          </c:cat>
          <c:val>
            <c:numRef>
              <c:f>'GRAF-10'!$C$5:$C$19</c:f>
              <c:numCache>
                <c:formatCode>#\ ##0.0</c:formatCode>
                <c:ptCount val="15"/>
                <c:pt idx="0">
                  <c:v>40.006999999999998</c:v>
                </c:pt>
                <c:pt idx="1">
                  <c:v>32.819000000000003</c:v>
                </c:pt>
                <c:pt idx="2">
                  <c:v>31.273</c:v>
                </c:pt>
                <c:pt idx="3">
                  <c:v>29.396000000000001</c:v>
                </c:pt>
                <c:pt idx="4">
                  <c:v>29.939</c:v>
                </c:pt>
                <c:pt idx="5">
                  <c:v>29.905000000000001</c:v>
                </c:pt>
                <c:pt idx="6">
                  <c:v>29.08</c:v>
                </c:pt>
                <c:pt idx="7">
                  <c:v>29.483000000000001</c:v>
                </c:pt>
                <c:pt idx="8">
                  <c:v>30.92</c:v>
                </c:pt>
                <c:pt idx="9">
                  <c:v>28.984000000000002</c:v>
                </c:pt>
                <c:pt idx="10">
                  <c:v>28.978999999999999</c:v>
                </c:pt>
                <c:pt idx="11">
                  <c:v>28.635999999999999</c:v>
                </c:pt>
                <c:pt idx="12">
                  <c:v>28.904</c:v>
                </c:pt>
                <c:pt idx="13">
                  <c:v>28.001999999999999</c:v>
                </c:pt>
                <c:pt idx="14">
                  <c:v>32.097000000000001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9FC-4644-9B67-CC41DAC293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167600"/>
        <c:axId val="281211184"/>
      </c:barChart>
      <c:lineChart>
        <c:grouping val="standard"/>
        <c:varyColors val="0"/>
        <c:ser>
          <c:idx val="2"/>
          <c:order val="2"/>
          <c:tx>
            <c:strRef>
              <c:f>'GRAF-10'!$D$4</c:f>
              <c:strCache>
                <c:ptCount val="1"/>
                <c:pt idx="0">
                  <c:v>Index mzdy v prům. (úroveň ČR = 100, rok 2005)</c:v>
                </c:pt>
              </c:strCache>
            </c:strRef>
          </c:tx>
          <c:spPr>
            <a:ln w="19050" cap="rnd">
              <a:noFill/>
              <a:prstDash val="solid"/>
              <a:round/>
            </a:ln>
            <a:effectLst/>
          </c:spPr>
          <c:marker>
            <c:symbol val="circle"/>
            <c:size val="6"/>
            <c:spPr>
              <a:solidFill>
                <a:schemeClr val="accent6">
                  <a:lumMod val="20000"/>
                  <a:lumOff val="80000"/>
                </a:schemeClr>
              </a:solidFill>
              <a:ln w="9525">
                <a:solidFill>
                  <a:schemeClr val="tx1">
                    <a:lumMod val="50000"/>
                    <a:lumOff val="50000"/>
                  </a:schemeClr>
                </a:solidFill>
              </a:ln>
              <a:effectLst/>
            </c:spPr>
          </c:marker>
          <c:cat>
            <c:strRef>
              <c:f>'GRAF-10'!$A$5:$A$19</c:f>
              <c:strCache>
                <c:ptCount val="15"/>
                <c:pt idx="0">
                  <c:v>Praha</c:v>
                </c:pt>
                <c:pt idx="1">
                  <c:v>Středočeský</c:v>
                </c:pt>
                <c:pt idx="2">
                  <c:v>Plzeňský</c:v>
                </c:pt>
                <c:pt idx="3">
                  <c:v>Ústecký</c:v>
                </c:pt>
                <c:pt idx="4">
                  <c:v>Liberecký</c:v>
                </c:pt>
                <c:pt idx="5">
                  <c:v>Královéhrad.</c:v>
                </c:pt>
                <c:pt idx="6">
                  <c:v>Moravskosl.</c:v>
                </c:pt>
                <c:pt idx="7">
                  <c:v>Vysočina</c:v>
                </c:pt>
                <c:pt idx="8">
                  <c:v>Jihomoravský</c:v>
                </c:pt>
                <c:pt idx="9">
                  <c:v>Jihočeský</c:v>
                </c:pt>
                <c:pt idx="10">
                  <c:v>Pardubický</c:v>
                </c:pt>
                <c:pt idx="11">
                  <c:v>Zlínský</c:v>
                </c:pt>
                <c:pt idx="12">
                  <c:v>Olomoucký</c:v>
                </c:pt>
                <c:pt idx="13">
                  <c:v>Karlovarský</c:v>
                </c:pt>
                <c:pt idx="14">
                  <c:v>ČR celkem</c:v>
                </c:pt>
              </c:strCache>
            </c:strRef>
          </c:cat>
          <c:val>
            <c:numRef>
              <c:f>'GRAF-10'!$D$5:$D$19</c:f>
              <c:numCache>
                <c:formatCode>0.0</c:formatCode>
                <c:ptCount val="15"/>
                <c:pt idx="0">
                  <c:v>130.23295357932327</c:v>
                </c:pt>
                <c:pt idx="1">
                  <c:v>108.92705322224113</c:v>
                </c:pt>
                <c:pt idx="2">
                  <c:v>98.968429405429916</c:v>
                </c:pt>
                <c:pt idx="3">
                  <c:v>101.11659014906762</c:v>
                </c:pt>
                <c:pt idx="4">
                  <c:v>96.140112225811933</c:v>
                </c:pt>
                <c:pt idx="5">
                  <c:v>92.161197075327323</c:v>
                </c:pt>
                <c:pt idx="6">
                  <c:v>106.52950178541064</c:v>
                </c:pt>
                <c:pt idx="7">
                  <c:v>95.278580740236919</c:v>
                </c:pt>
                <c:pt idx="8">
                  <c:v>93.912599897976534</c:v>
                </c:pt>
                <c:pt idx="9">
                  <c:v>96.667233463696661</c:v>
                </c:pt>
                <c:pt idx="10">
                  <c:v>91.339341381851156</c:v>
                </c:pt>
                <c:pt idx="11">
                  <c:v>92.484271382417958</c:v>
                </c:pt>
                <c:pt idx="12">
                  <c:v>89.735305786997671</c:v>
                </c:pt>
                <c:pt idx="13">
                  <c:v>90.154735589185506</c:v>
                </c:pt>
                <c:pt idx="14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9FC-4644-9B67-CC41DAC2936E}"/>
            </c:ext>
          </c:extLst>
        </c:ser>
        <c:ser>
          <c:idx val="3"/>
          <c:order val="3"/>
          <c:tx>
            <c:strRef>
              <c:f>'GRAF-10'!$E$4</c:f>
              <c:strCache>
                <c:ptCount val="1"/>
                <c:pt idx="0">
                  <c:v>Index mzdy v prům. (úroveň ČR = 100, rok 2012)</c:v>
                </c:pt>
              </c:strCache>
            </c:strRef>
          </c:tx>
          <c:spPr>
            <a:ln w="6350" cap="rnd">
              <a:noFill/>
              <a:round/>
            </a:ln>
            <a:effectLst/>
          </c:spPr>
          <c:marker>
            <c:symbol val="circle"/>
            <c:size val="6"/>
            <c:spPr>
              <a:solidFill>
                <a:srgbClr val="27F92C"/>
              </a:solidFill>
              <a:ln w="6350">
                <a:solidFill>
                  <a:schemeClr val="bg1">
                    <a:lumMod val="65000"/>
                  </a:schemeClr>
                </a:solidFill>
              </a:ln>
              <a:effectLst/>
            </c:spPr>
          </c:marker>
          <c:cat>
            <c:strRef>
              <c:f>'GRAF-10'!$A$5:$A$19</c:f>
              <c:strCache>
                <c:ptCount val="15"/>
                <c:pt idx="0">
                  <c:v>Praha</c:v>
                </c:pt>
                <c:pt idx="1">
                  <c:v>Středočeský</c:v>
                </c:pt>
                <c:pt idx="2">
                  <c:v>Plzeňský</c:v>
                </c:pt>
                <c:pt idx="3">
                  <c:v>Ústecký</c:v>
                </c:pt>
                <c:pt idx="4">
                  <c:v>Liberecký</c:v>
                </c:pt>
                <c:pt idx="5">
                  <c:v>Královéhrad.</c:v>
                </c:pt>
                <c:pt idx="6">
                  <c:v>Moravskosl.</c:v>
                </c:pt>
                <c:pt idx="7">
                  <c:v>Vysočina</c:v>
                </c:pt>
                <c:pt idx="8">
                  <c:v>Jihomoravský</c:v>
                </c:pt>
                <c:pt idx="9">
                  <c:v>Jihočeský</c:v>
                </c:pt>
                <c:pt idx="10">
                  <c:v>Pardubický</c:v>
                </c:pt>
                <c:pt idx="11">
                  <c:v>Zlínský</c:v>
                </c:pt>
                <c:pt idx="12">
                  <c:v>Olomoucký</c:v>
                </c:pt>
                <c:pt idx="13">
                  <c:v>Karlovarský</c:v>
                </c:pt>
                <c:pt idx="14">
                  <c:v>ČR celkem</c:v>
                </c:pt>
              </c:strCache>
            </c:strRef>
          </c:cat>
          <c:val>
            <c:numRef>
              <c:f>'GRAF-10'!$E$5:$E$19</c:f>
              <c:numCache>
                <c:formatCode>0.0</c:formatCode>
                <c:ptCount val="15"/>
                <c:pt idx="0">
                  <c:v>131.36429258902791</c:v>
                </c:pt>
                <c:pt idx="1">
                  <c:v>112.48796920115495</c:v>
                </c:pt>
                <c:pt idx="2">
                  <c:v>100.48123195380174</c:v>
                </c:pt>
                <c:pt idx="3">
                  <c:v>97.73820981713186</c:v>
                </c:pt>
                <c:pt idx="4">
                  <c:v>98.937279435354512</c:v>
                </c:pt>
                <c:pt idx="5">
                  <c:v>94.910972088546671</c:v>
                </c:pt>
                <c:pt idx="6">
                  <c:v>101.35547000320821</c:v>
                </c:pt>
                <c:pt idx="7">
                  <c:v>92.697305101058717</c:v>
                </c:pt>
                <c:pt idx="8">
                  <c:v>96.466955405838945</c:v>
                </c:pt>
                <c:pt idx="9">
                  <c:v>93.88835418671799</c:v>
                </c:pt>
                <c:pt idx="10">
                  <c:v>90.210940006416422</c:v>
                </c:pt>
                <c:pt idx="11">
                  <c:v>91.582451074751361</c:v>
                </c:pt>
                <c:pt idx="12">
                  <c:v>91.654635867821625</c:v>
                </c:pt>
                <c:pt idx="13">
                  <c:v>88.855470003208211</c:v>
                </c:pt>
                <c:pt idx="14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89FC-4644-9B67-CC41DAC2936E}"/>
            </c:ext>
          </c:extLst>
        </c:ser>
        <c:ser>
          <c:idx val="4"/>
          <c:order val="4"/>
          <c:tx>
            <c:strRef>
              <c:f>'GRAF-10'!$F$4</c:f>
              <c:strCache>
                <c:ptCount val="1"/>
                <c:pt idx="0">
                  <c:v>Index mzdy v prům. (úroveň ČR = 100, rok 2018)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6"/>
            <c:spPr>
              <a:solidFill>
                <a:srgbClr val="00B050"/>
              </a:solidFill>
              <a:ln w="9525">
                <a:noFill/>
              </a:ln>
              <a:effectLst/>
            </c:spPr>
          </c:marker>
          <c:cat>
            <c:strRef>
              <c:f>'GRAF-10'!$A$5:$A$19</c:f>
              <c:strCache>
                <c:ptCount val="15"/>
                <c:pt idx="0">
                  <c:v>Praha</c:v>
                </c:pt>
                <c:pt idx="1">
                  <c:v>Středočeský</c:v>
                </c:pt>
                <c:pt idx="2">
                  <c:v>Plzeňský</c:v>
                </c:pt>
                <c:pt idx="3">
                  <c:v>Ústecký</c:v>
                </c:pt>
                <c:pt idx="4">
                  <c:v>Liberecký</c:v>
                </c:pt>
                <c:pt idx="5">
                  <c:v>Královéhrad.</c:v>
                </c:pt>
                <c:pt idx="6">
                  <c:v>Moravskosl.</c:v>
                </c:pt>
                <c:pt idx="7">
                  <c:v>Vysočina</c:v>
                </c:pt>
                <c:pt idx="8">
                  <c:v>Jihomoravský</c:v>
                </c:pt>
                <c:pt idx="9">
                  <c:v>Jihočeský</c:v>
                </c:pt>
                <c:pt idx="10">
                  <c:v>Pardubický</c:v>
                </c:pt>
                <c:pt idx="11">
                  <c:v>Zlínský</c:v>
                </c:pt>
                <c:pt idx="12">
                  <c:v>Olomoucký</c:v>
                </c:pt>
                <c:pt idx="13">
                  <c:v>Karlovarský</c:v>
                </c:pt>
                <c:pt idx="14">
                  <c:v>ČR celkem</c:v>
                </c:pt>
              </c:strCache>
            </c:strRef>
          </c:cat>
          <c:val>
            <c:numRef>
              <c:f>'GRAF-10'!$F$5:$F$19</c:f>
              <c:numCache>
                <c:formatCode>0.0</c:formatCode>
                <c:ptCount val="15"/>
                <c:pt idx="0">
                  <c:v>121.53172866520788</c:v>
                </c:pt>
                <c:pt idx="1">
                  <c:v>117.41169115348546</c:v>
                </c:pt>
                <c:pt idx="2">
                  <c:v>102.83526101906845</c:v>
                </c:pt>
                <c:pt idx="3">
                  <c:v>99.427946233197872</c:v>
                </c:pt>
                <c:pt idx="4">
                  <c:v>98.72460143794936</c:v>
                </c:pt>
                <c:pt idx="5">
                  <c:v>97.871209753047822</c:v>
                </c:pt>
                <c:pt idx="6">
                  <c:v>97.536730228196305</c:v>
                </c:pt>
                <c:pt idx="7">
                  <c:v>95.301656767739914</c:v>
                </c:pt>
                <c:pt idx="8">
                  <c:v>94.60143794935918</c:v>
                </c:pt>
                <c:pt idx="9">
                  <c:v>93.097843075961237</c:v>
                </c:pt>
                <c:pt idx="10">
                  <c:v>92.882150672085032</c:v>
                </c:pt>
                <c:pt idx="11">
                  <c:v>92.503907471084716</c:v>
                </c:pt>
                <c:pt idx="12">
                  <c:v>90.656455142231948</c:v>
                </c:pt>
                <c:pt idx="13">
                  <c:v>89.449828071272279</c:v>
                </c:pt>
                <c:pt idx="14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89FC-4644-9B67-CC41DAC293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11957727"/>
        <c:axId val="1111958143"/>
      </c:lineChart>
      <c:catAx>
        <c:axId val="21116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100000" spcFirstLastPara="1" vertOverflow="ellipsis" wrap="square" anchor="ctr" anchorCtr="1"/>
          <a:lstStyle/>
          <a:p>
            <a:pPr>
              <a:defRPr sz="7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81211184"/>
        <c:crosses val="autoZero"/>
        <c:auto val="1"/>
        <c:lblAlgn val="ctr"/>
        <c:lblOffset val="0"/>
        <c:noMultiLvlLbl val="0"/>
      </c:catAx>
      <c:valAx>
        <c:axId val="281211184"/>
        <c:scaling>
          <c:orientation val="minMax"/>
          <c:max val="40.5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1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800" i="1">
                    <a:latin typeface="Arial" panose="020B0604020202020204" pitchFamily="34" charset="0"/>
                    <a:cs typeface="Arial" panose="020B0604020202020204" pitchFamily="34" charset="0"/>
                  </a:rPr>
                  <a:t>Výše</a:t>
                </a:r>
                <a:r>
                  <a:rPr lang="cs-CZ" sz="800" i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 mzdy (v tis. korun)</a:t>
                </a:r>
                <a:endParaRPr lang="cs-CZ" sz="800" i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5.5714770423843857E-5"/>
              <c:y val="0.2270198467250686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1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11167600"/>
        <c:crosses val="autoZero"/>
        <c:crossBetween val="between"/>
        <c:majorUnit val="5"/>
      </c:valAx>
      <c:valAx>
        <c:axId val="1111958143"/>
        <c:scaling>
          <c:orientation val="minMax"/>
          <c:max val="136.30000000000001"/>
          <c:min val="88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1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800" i="1">
                    <a:latin typeface="Arial" panose="020B0604020202020204" pitchFamily="34" charset="0"/>
                    <a:cs typeface="Arial" panose="020B0604020202020204" pitchFamily="34" charset="0"/>
                  </a:rPr>
                  <a:t>Index</a:t>
                </a:r>
                <a:r>
                  <a:rPr lang="cs-CZ" sz="800" i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 mzdy (ČR = 100)</a:t>
                </a:r>
                <a:endParaRPr lang="cs-CZ" sz="800" i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96768188577178316"/>
              <c:y val="0.2335565209228286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1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111957727"/>
        <c:crosses val="max"/>
        <c:crossBetween val="between"/>
        <c:majorUnit val="6"/>
      </c:valAx>
      <c:catAx>
        <c:axId val="1111957727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11958143"/>
        <c:crosses val="autoZero"/>
        <c:auto val="1"/>
        <c:lblAlgn val="ctr"/>
        <c:lblOffset val="100"/>
        <c:noMultiLvlLbl val="0"/>
      </c:catAx>
      <c:spPr>
        <a:noFill/>
        <a:ln w="6350">
          <a:solidFill>
            <a:schemeClr val="tx1">
              <a:lumMod val="95000"/>
              <a:lumOff val="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7.1112173596896214E-3"/>
          <c:y val="0.86764514440192131"/>
          <c:w val="0.98244487939956271"/>
          <c:h val="0.12458881787498935"/>
        </c:manualLayout>
      </c:layout>
      <c:overlay val="0"/>
      <c:spPr>
        <a:noFill/>
        <a:ln w="6350">
          <a:solidFill>
            <a:schemeClr val="tx1">
              <a:lumMod val="95000"/>
              <a:lumOff val="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7768501558506524E-2"/>
          <c:y val="1.6893986268518412E-2"/>
          <c:w val="0.93814508161083487"/>
          <c:h val="0.7760943111837908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'GRAF-8'!$C$3</c:f>
              <c:strCache>
                <c:ptCount val="1"/>
                <c:pt idx="0">
                  <c:v>Průmysl (rok 2019)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'GRAF-8'!$A$4:$A$26</c:f>
              <c:strCache>
                <c:ptCount val="23"/>
                <c:pt idx="0">
                  <c:v>do 10</c:v>
                </c:pt>
                <c:pt idx="1">
                  <c:v>10,0 – 11,9</c:v>
                </c:pt>
                <c:pt idx="2">
                  <c:v>12,0 – 13,9</c:v>
                </c:pt>
                <c:pt idx="3">
                  <c:v>14,0 – 15,9</c:v>
                </c:pt>
                <c:pt idx="4">
                  <c:v>16,0 – 16,9</c:v>
                </c:pt>
                <c:pt idx="5">
                  <c:v>17,0 – 17,9</c:v>
                </c:pt>
                <c:pt idx="6">
                  <c:v>18,0 – 18,9</c:v>
                </c:pt>
                <c:pt idx="7">
                  <c:v>19,0 – 19,9</c:v>
                </c:pt>
                <c:pt idx="8">
                  <c:v>20,0 – 20,9</c:v>
                </c:pt>
                <c:pt idx="9">
                  <c:v>21,0 – 21,9</c:v>
                </c:pt>
                <c:pt idx="10">
                  <c:v>22,0 – 22,9</c:v>
                </c:pt>
                <c:pt idx="11">
                  <c:v>23,0 – 23,9</c:v>
                </c:pt>
                <c:pt idx="12">
                  <c:v>24,0 – 24,9</c:v>
                </c:pt>
                <c:pt idx="13">
                  <c:v>25,0 – 25,9</c:v>
                </c:pt>
                <c:pt idx="14">
                  <c:v>26,0 – 27,9</c:v>
                </c:pt>
                <c:pt idx="15">
                  <c:v>28,0 – 29,9</c:v>
                </c:pt>
                <c:pt idx="16">
                  <c:v>30,0 – 31,9</c:v>
                </c:pt>
                <c:pt idx="17">
                  <c:v>32,0 – 35,9</c:v>
                </c:pt>
                <c:pt idx="18">
                  <c:v>36,0 – 39,9</c:v>
                </c:pt>
                <c:pt idx="19">
                  <c:v>40,0 – 49,9</c:v>
                </c:pt>
                <c:pt idx="20">
                  <c:v>50,0 – 59,9</c:v>
                </c:pt>
                <c:pt idx="21">
                  <c:v>60,0 – 79,9</c:v>
                </c:pt>
                <c:pt idx="22">
                  <c:v>80,0 a více</c:v>
                </c:pt>
              </c:strCache>
            </c:strRef>
          </c:cat>
          <c:val>
            <c:numRef>
              <c:f>'GRAF-8'!$C$4:$C$26</c:f>
              <c:numCache>
                <c:formatCode>0.00</c:formatCode>
                <c:ptCount val="23"/>
                <c:pt idx="0">
                  <c:v>1.5692000000000001E-2</c:v>
                </c:pt>
                <c:pt idx="1">
                  <c:v>6.9904999999999995E-2</c:v>
                </c:pt>
                <c:pt idx="2">
                  <c:v>1.067823</c:v>
                </c:pt>
                <c:pt idx="3">
                  <c:v>2.2279070000000001</c:v>
                </c:pt>
                <c:pt idx="4">
                  <c:v>1.346427</c:v>
                </c:pt>
                <c:pt idx="5">
                  <c:v>1.5410410000000001</c:v>
                </c:pt>
                <c:pt idx="6">
                  <c:v>1.6788430000000001</c:v>
                </c:pt>
                <c:pt idx="7">
                  <c:v>1.8552420000000001</c:v>
                </c:pt>
                <c:pt idx="8">
                  <c:v>2.2509610000000002</c:v>
                </c:pt>
                <c:pt idx="9">
                  <c:v>2.3978660000000001</c:v>
                </c:pt>
                <c:pt idx="10">
                  <c:v>2.6214770000000001</c:v>
                </c:pt>
                <c:pt idx="11">
                  <c:v>3.0324430000000002</c:v>
                </c:pt>
                <c:pt idx="12">
                  <c:v>3.5436839999999998</c:v>
                </c:pt>
                <c:pt idx="13">
                  <c:v>3.6337950000000001</c:v>
                </c:pt>
                <c:pt idx="14">
                  <c:v>7.5540799999999999</c:v>
                </c:pt>
                <c:pt idx="15">
                  <c:v>7.746149</c:v>
                </c:pt>
                <c:pt idx="16">
                  <c:v>7.4370510000000003</c:v>
                </c:pt>
                <c:pt idx="17">
                  <c:v>12.817003</c:v>
                </c:pt>
                <c:pt idx="18">
                  <c:v>9.6561020000000006</c:v>
                </c:pt>
                <c:pt idx="19">
                  <c:v>13.678259000000001</c:v>
                </c:pt>
                <c:pt idx="20">
                  <c:v>6.444261</c:v>
                </c:pt>
                <c:pt idx="21">
                  <c:v>4.5208060000000003</c:v>
                </c:pt>
                <c:pt idx="22">
                  <c:v>2.8631709999999999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0D-4D76-96C0-4AD1A4993C56}"/>
            </c:ext>
          </c:extLst>
        </c:ser>
        <c:ser>
          <c:idx val="3"/>
          <c:order val="3"/>
          <c:tx>
            <c:strRef>
              <c:f>'GRAF-8'!$E$3</c:f>
              <c:strCache>
                <c:ptCount val="1"/>
                <c:pt idx="0">
                  <c:v>NH (rok 2019)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 w="6350">
              <a:solidFill>
                <a:schemeClr val="accent4">
                  <a:lumMod val="75000"/>
                </a:schemeClr>
              </a:solidFill>
            </a:ln>
            <a:effectLst/>
          </c:spPr>
          <c:invertIfNegative val="0"/>
          <c:cat>
            <c:strRef>
              <c:f>'GRAF-8'!$A$4:$A$26</c:f>
              <c:strCache>
                <c:ptCount val="23"/>
                <c:pt idx="0">
                  <c:v>do 10</c:v>
                </c:pt>
                <c:pt idx="1">
                  <c:v>10,0 – 11,9</c:v>
                </c:pt>
                <c:pt idx="2">
                  <c:v>12,0 – 13,9</c:v>
                </c:pt>
                <c:pt idx="3">
                  <c:v>14,0 – 15,9</c:v>
                </c:pt>
                <c:pt idx="4">
                  <c:v>16,0 – 16,9</c:v>
                </c:pt>
                <c:pt idx="5">
                  <c:v>17,0 – 17,9</c:v>
                </c:pt>
                <c:pt idx="6">
                  <c:v>18,0 – 18,9</c:v>
                </c:pt>
                <c:pt idx="7">
                  <c:v>19,0 – 19,9</c:v>
                </c:pt>
                <c:pt idx="8">
                  <c:v>20,0 – 20,9</c:v>
                </c:pt>
                <c:pt idx="9">
                  <c:v>21,0 – 21,9</c:v>
                </c:pt>
                <c:pt idx="10">
                  <c:v>22,0 – 22,9</c:v>
                </c:pt>
                <c:pt idx="11">
                  <c:v>23,0 – 23,9</c:v>
                </c:pt>
                <c:pt idx="12">
                  <c:v>24,0 – 24,9</c:v>
                </c:pt>
                <c:pt idx="13">
                  <c:v>25,0 – 25,9</c:v>
                </c:pt>
                <c:pt idx="14">
                  <c:v>26,0 – 27,9</c:v>
                </c:pt>
                <c:pt idx="15">
                  <c:v>28,0 – 29,9</c:v>
                </c:pt>
                <c:pt idx="16">
                  <c:v>30,0 – 31,9</c:v>
                </c:pt>
                <c:pt idx="17">
                  <c:v>32,0 – 35,9</c:v>
                </c:pt>
                <c:pt idx="18">
                  <c:v>36,0 – 39,9</c:v>
                </c:pt>
                <c:pt idx="19">
                  <c:v>40,0 – 49,9</c:v>
                </c:pt>
                <c:pt idx="20">
                  <c:v>50,0 – 59,9</c:v>
                </c:pt>
                <c:pt idx="21">
                  <c:v>60,0 – 79,9</c:v>
                </c:pt>
                <c:pt idx="22">
                  <c:v>80,0 a více</c:v>
                </c:pt>
              </c:strCache>
            </c:strRef>
          </c:cat>
          <c:val>
            <c:numRef>
              <c:f>'GRAF-8'!$E$4:$E$26</c:f>
              <c:numCache>
                <c:formatCode>0.00</c:formatCode>
                <c:ptCount val="23"/>
                <c:pt idx="0">
                  <c:v>2.1496999999999999E-2</c:v>
                </c:pt>
                <c:pt idx="1">
                  <c:v>0.24426600000000001</c:v>
                </c:pt>
                <c:pt idx="2">
                  <c:v>2.359864</c:v>
                </c:pt>
                <c:pt idx="3">
                  <c:v>4.1713089999999999</c:v>
                </c:pt>
                <c:pt idx="4">
                  <c:v>2.3404060000000002</c:v>
                </c:pt>
                <c:pt idx="5">
                  <c:v>2.2763239999999998</c:v>
                </c:pt>
                <c:pt idx="6">
                  <c:v>2.1463269999999999</c:v>
                </c:pt>
                <c:pt idx="7">
                  <c:v>2.2721089999999999</c:v>
                </c:pt>
                <c:pt idx="8">
                  <c:v>2.6456360000000001</c:v>
                </c:pt>
                <c:pt idx="9">
                  <c:v>2.5258959999999999</c:v>
                </c:pt>
                <c:pt idx="10">
                  <c:v>2.663427</c:v>
                </c:pt>
                <c:pt idx="11">
                  <c:v>2.8403649999999998</c:v>
                </c:pt>
                <c:pt idx="12">
                  <c:v>3.084003</c:v>
                </c:pt>
                <c:pt idx="13">
                  <c:v>3.1440779999999999</c:v>
                </c:pt>
                <c:pt idx="14">
                  <c:v>6.4640269999999997</c:v>
                </c:pt>
                <c:pt idx="15">
                  <c:v>6.4263810000000001</c:v>
                </c:pt>
                <c:pt idx="16">
                  <c:v>6.1008820000000004</c:v>
                </c:pt>
                <c:pt idx="17">
                  <c:v>11.178801999999999</c:v>
                </c:pt>
                <c:pt idx="18">
                  <c:v>8.9115520000000004</c:v>
                </c:pt>
                <c:pt idx="19">
                  <c:v>13.792789000000001</c:v>
                </c:pt>
                <c:pt idx="20">
                  <c:v>6.0636950000000001</c:v>
                </c:pt>
                <c:pt idx="21">
                  <c:v>4.6482809999999999</c:v>
                </c:pt>
                <c:pt idx="22">
                  <c:v>3.6780729999999999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0D-4D76-96C0-4AD1A4993C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9"/>
        <c:axId val="211167600"/>
        <c:axId val="281211184"/>
      </c:barChart>
      <c:lineChart>
        <c:grouping val="standard"/>
        <c:varyColors val="0"/>
        <c:ser>
          <c:idx val="0"/>
          <c:order val="0"/>
          <c:tx>
            <c:strRef>
              <c:f>'GRAF-8'!$B$3</c:f>
              <c:strCache>
                <c:ptCount val="1"/>
                <c:pt idx="0">
                  <c:v>Průmysl (rok 2012)</c:v>
                </c:pt>
              </c:strCache>
            </c:strRef>
          </c:tx>
          <c:spPr>
            <a:ln w="12700" cap="rnd">
              <a:solidFill>
                <a:schemeClr val="accent1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noFill/>
              </a:ln>
              <a:effectLst/>
            </c:spPr>
          </c:marker>
          <c:cat>
            <c:strRef>
              <c:f>'GRAF-8'!$A$4:$A$26</c:f>
              <c:strCache>
                <c:ptCount val="23"/>
                <c:pt idx="0">
                  <c:v>do 10</c:v>
                </c:pt>
                <c:pt idx="1">
                  <c:v>10,0 – 11,9</c:v>
                </c:pt>
                <c:pt idx="2">
                  <c:v>12,0 – 13,9</c:v>
                </c:pt>
                <c:pt idx="3">
                  <c:v>14,0 – 15,9</c:v>
                </c:pt>
                <c:pt idx="4">
                  <c:v>16,0 – 16,9</c:v>
                </c:pt>
                <c:pt idx="5">
                  <c:v>17,0 – 17,9</c:v>
                </c:pt>
                <c:pt idx="6">
                  <c:v>18,0 – 18,9</c:v>
                </c:pt>
                <c:pt idx="7">
                  <c:v>19,0 – 19,9</c:v>
                </c:pt>
                <c:pt idx="8">
                  <c:v>20,0 – 20,9</c:v>
                </c:pt>
                <c:pt idx="9">
                  <c:v>21,0 – 21,9</c:v>
                </c:pt>
                <c:pt idx="10">
                  <c:v>22,0 – 22,9</c:v>
                </c:pt>
                <c:pt idx="11">
                  <c:v>23,0 – 23,9</c:v>
                </c:pt>
                <c:pt idx="12">
                  <c:v>24,0 – 24,9</c:v>
                </c:pt>
                <c:pt idx="13">
                  <c:v>25,0 – 25,9</c:v>
                </c:pt>
                <c:pt idx="14">
                  <c:v>26,0 – 27,9</c:v>
                </c:pt>
                <c:pt idx="15">
                  <c:v>28,0 – 29,9</c:v>
                </c:pt>
                <c:pt idx="16">
                  <c:v>30,0 – 31,9</c:v>
                </c:pt>
                <c:pt idx="17">
                  <c:v>32,0 – 35,9</c:v>
                </c:pt>
                <c:pt idx="18">
                  <c:v>36,0 – 39,9</c:v>
                </c:pt>
                <c:pt idx="19">
                  <c:v>40,0 – 49,9</c:v>
                </c:pt>
                <c:pt idx="20">
                  <c:v>50,0 – 59,9</c:v>
                </c:pt>
                <c:pt idx="21">
                  <c:v>60,0 – 79,9</c:v>
                </c:pt>
                <c:pt idx="22">
                  <c:v>80,0 a více</c:v>
                </c:pt>
              </c:strCache>
            </c:strRef>
          </c:cat>
          <c:val>
            <c:numRef>
              <c:f>'GRAF-8'!$B$4:$B$26</c:f>
              <c:numCache>
                <c:formatCode>0.00</c:formatCode>
                <c:ptCount val="23"/>
                <c:pt idx="0">
                  <c:v>2.4550290000000001</c:v>
                </c:pt>
                <c:pt idx="1">
                  <c:v>3.9538060000000002</c:v>
                </c:pt>
                <c:pt idx="2">
                  <c:v>5.4337400000000002</c:v>
                </c:pt>
                <c:pt idx="3">
                  <c:v>7.7651789999999998</c:v>
                </c:pt>
                <c:pt idx="4">
                  <c:v>4.2685029999999999</c:v>
                </c:pt>
                <c:pt idx="5">
                  <c:v>4.7022380000000004</c:v>
                </c:pt>
                <c:pt idx="6">
                  <c:v>4.8064859999999996</c:v>
                </c:pt>
                <c:pt idx="7">
                  <c:v>4.7791090000000001</c:v>
                </c:pt>
                <c:pt idx="8">
                  <c:v>4.735589</c:v>
                </c:pt>
                <c:pt idx="9">
                  <c:v>4.7597849999999999</c:v>
                </c:pt>
                <c:pt idx="10">
                  <c:v>4.5097529999999999</c:v>
                </c:pt>
                <c:pt idx="11">
                  <c:v>4.2395750000000003</c:v>
                </c:pt>
                <c:pt idx="12">
                  <c:v>4.0041260000000003</c:v>
                </c:pt>
                <c:pt idx="13">
                  <c:v>3.7135739999999999</c:v>
                </c:pt>
                <c:pt idx="14">
                  <c:v>6.2230239999999997</c:v>
                </c:pt>
                <c:pt idx="15">
                  <c:v>5.0742779999999996</c:v>
                </c:pt>
                <c:pt idx="16">
                  <c:v>4.2693320000000003</c:v>
                </c:pt>
                <c:pt idx="17">
                  <c:v>6.2665649999999999</c:v>
                </c:pt>
                <c:pt idx="18">
                  <c:v>4.0157210000000001</c:v>
                </c:pt>
                <c:pt idx="19">
                  <c:v>5.1086150000000004</c:v>
                </c:pt>
                <c:pt idx="20">
                  <c:v>2.0075560000000001</c:v>
                </c:pt>
                <c:pt idx="21">
                  <c:v>1.4672339999999999</c:v>
                </c:pt>
                <c:pt idx="22">
                  <c:v>1.4411719999999999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C0D-4D76-96C0-4AD1A4993C56}"/>
            </c:ext>
          </c:extLst>
        </c:ser>
        <c:ser>
          <c:idx val="2"/>
          <c:order val="2"/>
          <c:tx>
            <c:strRef>
              <c:f>'GRAF-8'!$D$3</c:f>
              <c:strCache>
                <c:ptCount val="1"/>
                <c:pt idx="0">
                  <c:v>NH (rok 2012)</c:v>
                </c:pt>
              </c:strCache>
            </c:strRef>
          </c:tx>
          <c:spPr>
            <a:ln w="12700" cap="rnd">
              <a:solidFill>
                <a:schemeClr val="tx1">
                  <a:lumMod val="95000"/>
                  <a:lumOff val="5000"/>
                </a:schemeClr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tx1">
                    <a:lumMod val="95000"/>
                    <a:lumOff val="5000"/>
                  </a:schemeClr>
                </a:solidFill>
              </a:ln>
              <a:effectLst/>
            </c:spPr>
          </c:marker>
          <c:cat>
            <c:strRef>
              <c:f>'GRAF-8'!$A$4:$A$26</c:f>
              <c:strCache>
                <c:ptCount val="23"/>
                <c:pt idx="0">
                  <c:v>do 10</c:v>
                </c:pt>
                <c:pt idx="1">
                  <c:v>10,0 – 11,9</c:v>
                </c:pt>
                <c:pt idx="2">
                  <c:v>12,0 – 13,9</c:v>
                </c:pt>
                <c:pt idx="3">
                  <c:v>14,0 – 15,9</c:v>
                </c:pt>
                <c:pt idx="4">
                  <c:v>16,0 – 16,9</c:v>
                </c:pt>
                <c:pt idx="5">
                  <c:v>17,0 – 17,9</c:v>
                </c:pt>
                <c:pt idx="6">
                  <c:v>18,0 – 18,9</c:v>
                </c:pt>
                <c:pt idx="7">
                  <c:v>19,0 – 19,9</c:v>
                </c:pt>
                <c:pt idx="8">
                  <c:v>20,0 – 20,9</c:v>
                </c:pt>
                <c:pt idx="9">
                  <c:v>21,0 – 21,9</c:v>
                </c:pt>
                <c:pt idx="10">
                  <c:v>22,0 – 22,9</c:v>
                </c:pt>
                <c:pt idx="11">
                  <c:v>23,0 – 23,9</c:v>
                </c:pt>
                <c:pt idx="12">
                  <c:v>24,0 – 24,9</c:v>
                </c:pt>
                <c:pt idx="13">
                  <c:v>25,0 – 25,9</c:v>
                </c:pt>
                <c:pt idx="14">
                  <c:v>26,0 – 27,9</c:v>
                </c:pt>
                <c:pt idx="15">
                  <c:v>28,0 – 29,9</c:v>
                </c:pt>
                <c:pt idx="16">
                  <c:v>30,0 – 31,9</c:v>
                </c:pt>
                <c:pt idx="17">
                  <c:v>32,0 – 35,9</c:v>
                </c:pt>
                <c:pt idx="18">
                  <c:v>36,0 – 39,9</c:v>
                </c:pt>
                <c:pt idx="19">
                  <c:v>40,0 – 49,9</c:v>
                </c:pt>
                <c:pt idx="20">
                  <c:v>50,0 – 59,9</c:v>
                </c:pt>
                <c:pt idx="21">
                  <c:v>60,0 – 79,9</c:v>
                </c:pt>
                <c:pt idx="22">
                  <c:v>80,0 a více</c:v>
                </c:pt>
              </c:strCache>
            </c:strRef>
          </c:cat>
          <c:val>
            <c:numRef>
              <c:f>'GRAF-8'!$D$4:$D$26</c:f>
              <c:numCache>
                <c:formatCode>0.00</c:formatCode>
                <c:ptCount val="23"/>
                <c:pt idx="0">
                  <c:v>5.1378199999999996</c:v>
                </c:pt>
                <c:pt idx="1">
                  <c:v>5.9405749999999999</c:v>
                </c:pt>
                <c:pt idx="2">
                  <c:v>6.2338060000000004</c:v>
                </c:pt>
                <c:pt idx="3">
                  <c:v>7.3488810000000004</c:v>
                </c:pt>
                <c:pt idx="4">
                  <c:v>3.9139189999999999</c:v>
                </c:pt>
                <c:pt idx="5">
                  <c:v>4.2888979999999997</c:v>
                </c:pt>
                <c:pt idx="6">
                  <c:v>4.1906840000000001</c:v>
                </c:pt>
                <c:pt idx="7">
                  <c:v>4.2273250000000004</c:v>
                </c:pt>
                <c:pt idx="8">
                  <c:v>4.3625740000000004</c:v>
                </c:pt>
                <c:pt idx="9">
                  <c:v>4.3728309999999997</c:v>
                </c:pt>
                <c:pt idx="10">
                  <c:v>4.2560380000000002</c:v>
                </c:pt>
                <c:pt idx="11">
                  <c:v>4.0195470000000002</c:v>
                </c:pt>
                <c:pt idx="12">
                  <c:v>3.7558250000000002</c:v>
                </c:pt>
                <c:pt idx="13">
                  <c:v>3.567123</c:v>
                </c:pt>
                <c:pt idx="14">
                  <c:v>6.1209569999999998</c:v>
                </c:pt>
                <c:pt idx="15">
                  <c:v>4.8170130000000002</c:v>
                </c:pt>
                <c:pt idx="16">
                  <c:v>3.858247</c:v>
                </c:pt>
                <c:pt idx="17">
                  <c:v>5.5136919999999998</c:v>
                </c:pt>
                <c:pt idx="18">
                  <c:v>3.5142220000000002</c:v>
                </c:pt>
                <c:pt idx="19">
                  <c:v>4.7034909999999996</c:v>
                </c:pt>
                <c:pt idx="20">
                  <c:v>2.1344759999999998</c:v>
                </c:pt>
                <c:pt idx="21">
                  <c:v>1.894353</c:v>
                </c:pt>
                <c:pt idx="22">
                  <c:v>1.8276950000000001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C0D-4D76-96C0-4AD1A4993C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167600"/>
        <c:axId val="281211184"/>
      </c:lineChart>
      <c:catAx>
        <c:axId val="21116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3000000" spcFirstLastPara="1" vertOverflow="ellipsis" wrap="square" anchor="ctr" anchorCtr="1"/>
          <a:lstStyle/>
          <a:p>
            <a:pPr>
              <a:defRPr sz="7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81211184"/>
        <c:crosses val="autoZero"/>
        <c:auto val="1"/>
        <c:lblAlgn val="ctr"/>
        <c:lblOffset val="0"/>
        <c:noMultiLvlLbl val="0"/>
      </c:catAx>
      <c:valAx>
        <c:axId val="281211184"/>
        <c:scaling>
          <c:orientation val="minMax"/>
          <c:max val="14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11167600"/>
        <c:crosses val="autoZero"/>
        <c:crossBetween val="between"/>
        <c:majorUnit val="1"/>
      </c:valAx>
      <c:spPr>
        <a:noFill/>
        <a:ln w="6350">
          <a:solidFill>
            <a:schemeClr val="tx1">
              <a:lumMod val="95000"/>
              <a:lumOff val="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5.3515036626388443E-2"/>
          <c:y val="0.93132234441614403"/>
          <c:w val="0.92700078469572744"/>
          <c:h val="6.3702390473598561E-2"/>
        </c:manualLayout>
      </c:layout>
      <c:overlay val="0"/>
      <c:spPr>
        <a:noFill/>
        <a:ln w="6350">
          <a:solidFill>
            <a:schemeClr val="tx1">
              <a:lumMod val="95000"/>
              <a:lumOff val="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0.10887</cdr:x>
      <cdr:y>0.40447</cdr:y>
    </cdr:from>
    <cdr:to>
      <cdr:x>0.93283</cdr:x>
      <cdr:y>0.40447</cdr:y>
    </cdr:to>
    <cdr:cxnSp macro="">
      <cdr:nvCxnSpPr>
        <cdr:cNvPr id="3" name="Přímá spojnice 2"/>
        <cdr:cNvCxnSpPr/>
      </cdr:nvCxnSpPr>
      <cdr:spPr>
        <a:xfrm xmlns:a="http://schemas.openxmlformats.org/drawingml/2006/main">
          <a:off x="520222" y="1471415"/>
          <a:ext cx="3937190" cy="0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tx1">
              <a:lumMod val="95000"/>
              <a:lumOff val="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0.16261</cdr:x>
      <cdr:y>0.95539</cdr:y>
    </cdr:from>
    <cdr:to>
      <cdr:x>0.17691</cdr:x>
      <cdr:y>0.97754</cdr:y>
    </cdr:to>
    <cdr:sp macro="" textlink="">
      <cdr:nvSpPr>
        <cdr:cNvPr id="2" name="Obdélník 1"/>
        <cdr:cNvSpPr/>
      </cdr:nvSpPr>
      <cdr:spPr>
        <a:xfrm xmlns:a="http://schemas.openxmlformats.org/drawingml/2006/main">
          <a:off x="783434" y="3208060"/>
          <a:ext cx="68914" cy="7437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 w="3175">
          <a:solidFill>
            <a:schemeClr val="tx1">
              <a:lumMod val="65000"/>
              <a:lumOff val="3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cs-CZ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0.07311</cdr:x>
      <cdr:y>0.56432</cdr:y>
    </cdr:from>
    <cdr:to>
      <cdr:x>0.91519</cdr:x>
      <cdr:y>0.56692</cdr:y>
    </cdr:to>
    <cdr:cxnSp macro="">
      <cdr:nvCxnSpPr>
        <cdr:cNvPr id="3" name="Přímá spojnice 2"/>
        <cdr:cNvCxnSpPr/>
      </cdr:nvCxnSpPr>
      <cdr:spPr>
        <a:xfrm xmlns:a="http://schemas.openxmlformats.org/drawingml/2006/main" flipH="1" flipV="1">
          <a:off x="350322" y="1959429"/>
          <a:ext cx="4035003" cy="902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>
              <a:lumMod val="95000"/>
              <a:lumOff val="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0.47053</cdr:x>
      <cdr:y>0.01621</cdr:y>
    </cdr:from>
    <cdr:to>
      <cdr:x>0.4735</cdr:x>
      <cdr:y>0.64591</cdr:y>
    </cdr:to>
    <cdr:cxnSp macro="">
      <cdr:nvCxnSpPr>
        <cdr:cNvPr id="3" name="Přímá spojnice 2"/>
        <cdr:cNvCxnSpPr/>
      </cdr:nvCxnSpPr>
      <cdr:spPr>
        <a:xfrm xmlns:a="http://schemas.openxmlformats.org/drawingml/2006/main" flipV="1">
          <a:off x="2261259" y="54441"/>
          <a:ext cx="14285" cy="2114785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>
              <a:lumMod val="95000"/>
              <a:lumOff val="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0.48224</cdr:x>
      <cdr:y>0.01675</cdr:y>
    </cdr:from>
    <cdr:to>
      <cdr:x>0.48521</cdr:x>
      <cdr:y>0.64204</cdr:y>
    </cdr:to>
    <cdr:cxnSp macro="">
      <cdr:nvCxnSpPr>
        <cdr:cNvPr id="5" name="Přímá spojnice 4"/>
        <cdr:cNvCxnSpPr/>
      </cdr:nvCxnSpPr>
      <cdr:spPr>
        <a:xfrm xmlns:a="http://schemas.openxmlformats.org/drawingml/2006/main" flipV="1">
          <a:off x="2317543" y="56254"/>
          <a:ext cx="14277" cy="2099983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0070C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0.67829</cdr:x>
      <cdr:y>0.01701</cdr:y>
    </cdr:from>
    <cdr:to>
      <cdr:x>0.68044</cdr:x>
      <cdr:y>0.36487</cdr:y>
    </cdr:to>
    <cdr:cxnSp macro="">
      <cdr:nvCxnSpPr>
        <cdr:cNvPr id="4" name="Přímá spojnice 3"/>
        <cdr:cNvCxnSpPr/>
      </cdr:nvCxnSpPr>
      <cdr:spPr>
        <a:xfrm xmlns:a="http://schemas.openxmlformats.org/drawingml/2006/main" flipH="1" flipV="1">
          <a:off x="3259723" y="57128"/>
          <a:ext cx="10320" cy="1168257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>
              <a:lumMod val="95000"/>
              <a:lumOff val="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0.69199</cdr:x>
      <cdr:y>0.01675</cdr:y>
    </cdr:from>
    <cdr:to>
      <cdr:x>0.69215</cdr:x>
      <cdr:y>0.43706</cdr:y>
    </cdr:to>
    <cdr:cxnSp macro="">
      <cdr:nvCxnSpPr>
        <cdr:cNvPr id="8" name="Přímá spojnice 7"/>
        <cdr:cNvCxnSpPr/>
      </cdr:nvCxnSpPr>
      <cdr:spPr>
        <a:xfrm xmlns:a="http://schemas.openxmlformats.org/drawingml/2006/main" flipH="1" flipV="1">
          <a:off x="3325563" y="56253"/>
          <a:ext cx="765" cy="1411587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0070C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0.16963</cdr:x>
      <cdr:y>0.01937</cdr:y>
    </cdr:from>
    <cdr:to>
      <cdr:x>0.46602</cdr:x>
      <cdr:y>0.1362</cdr:y>
    </cdr:to>
    <cdr:sp macro="" textlink="">
      <cdr:nvSpPr>
        <cdr:cNvPr id="12" name="TextovéPole 11"/>
        <cdr:cNvSpPr txBox="1"/>
      </cdr:nvSpPr>
      <cdr:spPr>
        <a:xfrm xmlns:a="http://schemas.openxmlformats.org/drawingml/2006/main">
          <a:off x="811902" y="65052"/>
          <a:ext cx="1418616" cy="3923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r>
            <a:rPr lang="cs-CZ" sz="700">
              <a:latin typeface="Arial" panose="020B0604020202020204" pitchFamily="34" charset="0"/>
              <a:cs typeface="Arial" panose="020B0604020202020204" pitchFamily="34" charset="0"/>
            </a:rPr>
            <a:t>mzdový medián (rok 2012):</a:t>
          </a:r>
        </a:p>
        <a:p xmlns:a="http://schemas.openxmlformats.org/drawingml/2006/main">
          <a:r>
            <a:rPr lang="cs-CZ" sz="700">
              <a:latin typeface="Arial" panose="020B0604020202020204" pitchFamily="34" charset="0"/>
              <a:cs typeface="Arial" panose="020B0604020202020204" pitchFamily="34" charset="0"/>
            </a:rPr>
            <a:t>všechna odvětví: 22,0 tis.</a:t>
          </a:r>
          <a:r>
            <a:rPr lang="cs-CZ" sz="700" baseline="0">
              <a:latin typeface="Arial" panose="020B0604020202020204" pitchFamily="34" charset="0"/>
              <a:cs typeface="Arial" panose="020B0604020202020204" pitchFamily="34" charset="0"/>
            </a:rPr>
            <a:t> korun</a:t>
          </a:r>
          <a:r>
            <a:rPr lang="cs-CZ" sz="700"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7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z</a:t>
          </a:r>
          <a:r>
            <a:rPr lang="cs-CZ" sz="70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toho průmysl</a:t>
          </a:r>
          <a:r>
            <a:rPr lang="cs-CZ" sz="7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: 22,5 tis.</a:t>
          </a:r>
          <a:r>
            <a:rPr lang="cs-CZ" sz="70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korun</a:t>
          </a:r>
          <a:r>
            <a:rPr lang="cs-CZ" sz="7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  <a:endParaRPr lang="cs-CZ" sz="700">
            <a:effectLst/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endParaRPr lang="cs-CZ" sz="7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0.43539</cdr:x>
      <cdr:y>0.04387</cdr:y>
    </cdr:from>
    <cdr:to>
      <cdr:x>0.47323</cdr:x>
      <cdr:y>0.06321</cdr:y>
    </cdr:to>
    <cdr:cxnSp macro="">
      <cdr:nvCxnSpPr>
        <cdr:cNvPr id="14" name="Přímá spojnice se šipkou 13"/>
        <cdr:cNvCxnSpPr/>
      </cdr:nvCxnSpPr>
      <cdr:spPr>
        <a:xfrm xmlns:a="http://schemas.openxmlformats.org/drawingml/2006/main" flipV="1">
          <a:off x="2092407" y="147328"/>
          <a:ext cx="181841" cy="64943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>
              <a:lumMod val="95000"/>
              <a:lumOff val="5000"/>
            </a:schemeClr>
          </a:solidFill>
          <a:tailEnd type="triangle" w="sm" len="sm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0.42548</cdr:x>
      <cdr:y>0.08899</cdr:y>
    </cdr:from>
    <cdr:to>
      <cdr:x>0.48855</cdr:x>
      <cdr:y>0.09415</cdr:y>
    </cdr:to>
    <cdr:cxnSp macro="">
      <cdr:nvCxnSpPr>
        <cdr:cNvPr id="18" name="Přímá spojnice se šipkou 17"/>
        <cdr:cNvCxnSpPr/>
      </cdr:nvCxnSpPr>
      <cdr:spPr>
        <a:xfrm xmlns:a="http://schemas.openxmlformats.org/drawingml/2006/main" flipV="1">
          <a:off x="2044770" y="298862"/>
          <a:ext cx="303080" cy="17334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rgbClr val="0070C0"/>
          </a:solidFill>
          <a:tailEnd type="triangle" w="sm" len="sm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0.50066</cdr:x>
      <cdr:y>0.01899</cdr:y>
    </cdr:from>
    <cdr:to>
      <cdr:x>0.69846</cdr:x>
      <cdr:y>0.11568</cdr:y>
    </cdr:to>
    <cdr:sp macro="" textlink="">
      <cdr:nvSpPr>
        <cdr:cNvPr id="20" name="TextovéPole 1"/>
        <cdr:cNvSpPr txBox="1"/>
      </cdr:nvSpPr>
      <cdr:spPr>
        <a:xfrm xmlns:a="http://schemas.openxmlformats.org/drawingml/2006/main">
          <a:off x="2406074" y="63789"/>
          <a:ext cx="950562" cy="3247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cs-CZ" sz="700">
              <a:latin typeface="Arial" panose="020B0604020202020204" pitchFamily="34" charset="0"/>
              <a:cs typeface="Arial" panose="020B0604020202020204" pitchFamily="34" charset="0"/>
            </a:rPr>
            <a:t>medián (rok 2019):</a:t>
          </a:r>
        </a:p>
        <a:p xmlns:a="http://schemas.openxmlformats.org/drawingml/2006/main">
          <a:r>
            <a:rPr lang="cs-CZ" sz="700">
              <a:latin typeface="Arial" panose="020B0604020202020204" pitchFamily="34" charset="0"/>
              <a:cs typeface="Arial" panose="020B0604020202020204" pitchFamily="34" charset="0"/>
            </a:rPr>
            <a:t>31,4 tis.</a:t>
          </a:r>
          <a:r>
            <a:rPr lang="cs-CZ" sz="700" baseline="0">
              <a:latin typeface="Arial" panose="020B0604020202020204" pitchFamily="34" charset="0"/>
              <a:cs typeface="Arial" panose="020B0604020202020204" pitchFamily="34" charset="0"/>
            </a:rPr>
            <a:t> korun</a:t>
          </a:r>
          <a:r>
            <a:rPr lang="cs-CZ" sz="700"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7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32,0 tis.</a:t>
          </a:r>
          <a:r>
            <a:rPr lang="cs-CZ" sz="70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korun</a:t>
          </a:r>
          <a:r>
            <a:rPr lang="cs-CZ" sz="7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  <a:endParaRPr lang="cs-CZ" sz="700">
            <a:effectLst/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endParaRPr lang="cs-CZ" sz="7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0.62228</cdr:x>
      <cdr:y>0.09634</cdr:y>
    </cdr:from>
    <cdr:to>
      <cdr:x>0.69485</cdr:x>
      <cdr:y>0.09672</cdr:y>
    </cdr:to>
    <cdr:cxnSp macro="">
      <cdr:nvCxnSpPr>
        <cdr:cNvPr id="21" name="Přímá spojnice se šipkou 20"/>
        <cdr:cNvCxnSpPr/>
      </cdr:nvCxnSpPr>
      <cdr:spPr>
        <a:xfrm xmlns:a="http://schemas.openxmlformats.org/drawingml/2006/main">
          <a:off x="2990561" y="323564"/>
          <a:ext cx="348755" cy="1276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rgbClr val="0070C0"/>
          </a:solidFill>
          <a:tailEnd type="triangle" w="sm" len="sm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0.62859</cdr:x>
      <cdr:y>0.04645</cdr:y>
    </cdr:from>
    <cdr:to>
      <cdr:x>0.67593</cdr:x>
      <cdr:y>0.06927</cdr:y>
    </cdr:to>
    <cdr:cxnSp macro="">
      <cdr:nvCxnSpPr>
        <cdr:cNvPr id="22" name="Přímá spojnice se šipkou 21"/>
        <cdr:cNvCxnSpPr/>
      </cdr:nvCxnSpPr>
      <cdr:spPr>
        <a:xfrm xmlns:a="http://schemas.openxmlformats.org/drawingml/2006/main" flipV="1">
          <a:off x="3020868" y="155987"/>
          <a:ext cx="227528" cy="76656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>
              <a:lumMod val="95000"/>
              <a:lumOff val="5000"/>
            </a:schemeClr>
          </a:solidFill>
          <a:tailEnd type="triangle" w="sm" len="sm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0.12779</cdr:x>
      <cdr:y>0.41737</cdr:y>
    </cdr:from>
    <cdr:to>
      <cdr:x>0.92817</cdr:x>
      <cdr:y>0.41748</cdr:y>
    </cdr:to>
    <cdr:cxnSp macro="">
      <cdr:nvCxnSpPr>
        <cdr:cNvPr id="3" name="Přímá spojnice 2"/>
        <cdr:cNvCxnSpPr/>
      </cdr:nvCxnSpPr>
      <cdr:spPr>
        <a:xfrm xmlns:a="http://schemas.openxmlformats.org/drawingml/2006/main" flipH="1" flipV="1">
          <a:off x="612032" y="1410510"/>
          <a:ext cx="3833222" cy="379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>
              <a:lumMod val="95000"/>
              <a:lumOff val="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0.09341</cdr:x>
      <cdr:y>0.07103</cdr:y>
    </cdr:from>
    <cdr:to>
      <cdr:x>0.12764</cdr:x>
      <cdr:y>0.11402</cdr:y>
    </cdr:to>
    <cdr:sp macro="" textlink="">
      <cdr:nvSpPr>
        <cdr:cNvPr id="7" name="Obdélník 6"/>
        <cdr:cNvSpPr/>
      </cdr:nvSpPr>
      <cdr:spPr>
        <a:xfrm xmlns:a="http://schemas.openxmlformats.org/drawingml/2006/main">
          <a:off x="448202" y="249606"/>
          <a:ext cx="164238" cy="151071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0.19455</cdr:x>
      <cdr:y>0.02145</cdr:y>
    </cdr:from>
    <cdr:to>
      <cdr:x>0.35199</cdr:x>
      <cdr:y>0.12239</cdr:y>
    </cdr:to>
    <cdr:sp macro="" textlink="">
      <cdr:nvSpPr>
        <cdr:cNvPr id="8" name="TextovéPole 7"/>
        <cdr:cNvSpPr txBox="1"/>
      </cdr:nvSpPr>
      <cdr:spPr>
        <a:xfrm xmlns:a="http://schemas.openxmlformats.org/drawingml/2006/main">
          <a:off x="933485" y="75370"/>
          <a:ext cx="755429" cy="3547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r>
            <a:rPr lang="cs-CZ" sz="750">
              <a:latin typeface="Arial" panose="020B0604020202020204" pitchFamily="34" charset="0"/>
              <a:cs typeface="Arial" panose="020B0604020202020204" pitchFamily="34" charset="0"/>
            </a:rPr>
            <a:t>rok</a:t>
          </a:r>
          <a:r>
            <a:rPr lang="cs-CZ" sz="750" baseline="0">
              <a:latin typeface="Arial" panose="020B0604020202020204" pitchFamily="34" charset="0"/>
              <a:cs typeface="Arial" panose="020B0604020202020204" pitchFamily="34" charset="0"/>
            </a:rPr>
            <a:t> 2005:474%</a:t>
          </a:r>
        </a:p>
        <a:p xmlns:a="http://schemas.openxmlformats.org/drawingml/2006/main">
          <a:r>
            <a:rPr lang="cs-CZ" sz="750" baseline="0">
              <a:latin typeface="Arial" panose="020B0604020202020204" pitchFamily="34" charset="0"/>
              <a:cs typeface="Arial" panose="020B0604020202020204" pitchFamily="34" charset="0"/>
            </a:rPr>
            <a:t>rok 2013: 620 %</a:t>
          </a:r>
        </a:p>
        <a:p xmlns:a="http://schemas.openxmlformats.org/drawingml/2006/main">
          <a:r>
            <a:rPr lang="cs-CZ" sz="750" baseline="0">
              <a:latin typeface="Arial" panose="020B0604020202020204" pitchFamily="34" charset="0"/>
              <a:cs typeface="Arial" panose="020B0604020202020204" pitchFamily="34" charset="0"/>
            </a:rPr>
            <a:t>rok 2019: 382 % </a:t>
          </a:r>
        </a:p>
      </cdr:txBody>
    </cdr:sp>
  </cdr:relSizeAnchor>
  <cdr:relSizeAnchor xmlns:cdr="http://schemas.openxmlformats.org/drawingml/2006/chartDrawing">
    <cdr:from>
      <cdr:x>0.10815</cdr:x>
      <cdr:y>0.0486</cdr:y>
    </cdr:from>
    <cdr:to>
      <cdr:x>0.17661</cdr:x>
      <cdr:y>0.06692</cdr:y>
    </cdr:to>
    <cdr:cxnSp macro="">
      <cdr:nvCxnSpPr>
        <cdr:cNvPr id="10" name="Přímá spojnice se šipkou 9"/>
        <cdr:cNvCxnSpPr/>
      </cdr:nvCxnSpPr>
      <cdr:spPr>
        <a:xfrm xmlns:a="http://schemas.openxmlformats.org/drawingml/2006/main" flipH="1" flipV="1">
          <a:off x="520656" y="170710"/>
          <a:ext cx="329597" cy="64345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 w="sm" len="med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0.08135</cdr:x>
      <cdr:y>0.44035</cdr:y>
    </cdr:from>
    <cdr:to>
      <cdr:x>0.98626</cdr:x>
      <cdr:y>0.44035</cdr:y>
    </cdr:to>
    <cdr:cxnSp macro="">
      <cdr:nvCxnSpPr>
        <cdr:cNvPr id="14" name="Přímá spojnice 13"/>
        <cdr:cNvCxnSpPr/>
      </cdr:nvCxnSpPr>
      <cdr:spPr>
        <a:xfrm xmlns:a="http://schemas.openxmlformats.org/drawingml/2006/main">
          <a:off x="388851" y="1548353"/>
          <a:ext cx="4325744" cy="0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tx1">
              <a:lumMod val="95000"/>
              <a:lumOff val="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0.06138</cdr:x>
      <cdr:y>0.0703</cdr:y>
    </cdr:from>
    <cdr:to>
      <cdr:x>0.09561</cdr:x>
      <cdr:y>0.11329</cdr:y>
    </cdr:to>
    <cdr:sp macro="" textlink="">
      <cdr:nvSpPr>
        <cdr:cNvPr id="7" name="Obdélník 6"/>
        <cdr:cNvSpPr/>
      </cdr:nvSpPr>
      <cdr:spPr>
        <a:xfrm xmlns:a="http://schemas.openxmlformats.org/drawingml/2006/main">
          <a:off x="291882" y="242223"/>
          <a:ext cx="162787" cy="14812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0.16118</cdr:x>
      <cdr:y>0.02922</cdr:y>
    </cdr:from>
    <cdr:to>
      <cdr:x>0.32093</cdr:x>
      <cdr:y>0.09914</cdr:y>
    </cdr:to>
    <cdr:sp macro="" textlink="">
      <cdr:nvSpPr>
        <cdr:cNvPr id="8" name="TextovéPole 7"/>
        <cdr:cNvSpPr txBox="1"/>
      </cdr:nvSpPr>
      <cdr:spPr>
        <a:xfrm xmlns:a="http://schemas.openxmlformats.org/drawingml/2006/main">
          <a:off x="770308" y="100687"/>
          <a:ext cx="763469" cy="2408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r>
            <a:rPr lang="cs-CZ" sz="750" baseline="0">
              <a:latin typeface="Arial" panose="020B0604020202020204" pitchFamily="34" charset="0"/>
              <a:cs typeface="Arial" panose="020B0604020202020204" pitchFamily="34" charset="0"/>
            </a:rPr>
            <a:t>rok 2013: 257 %</a:t>
          </a:r>
        </a:p>
        <a:p xmlns:a="http://schemas.openxmlformats.org/drawingml/2006/main">
          <a:r>
            <a:rPr lang="cs-CZ" sz="750" baseline="0">
              <a:latin typeface="Arial" panose="020B0604020202020204" pitchFamily="34" charset="0"/>
              <a:cs typeface="Arial" panose="020B0604020202020204" pitchFamily="34" charset="0"/>
            </a:rPr>
            <a:t>rok 2019: 537 % </a:t>
          </a:r>
        </a:p>
      </cdr:txBody>
    </cdr:sp>
  </cdr:relSizeAnchor>
  <cdr:relSizeAnchor xmlns:cdr="http://schemas.openxmlformats.org/drawingml/2006/chartDrawing">
    <cdr:from>
      <cdr:x>0.09792</cdr:x>
      <cdr:y>0.04272</cdr:y>
    </cdr:from>
    <cdr:to>
      <cdr:x>0.15998</cdr:x>
      <cdr:y>0.06235</cdr:y>
    </cdr:to>
    <cdr:cxnSp macro="">
      <cdr:nvCxnSpPr>
        <cdr:cNvPr id="10" name="Přímá spojnice se šipkou 9"/>
        <cdr:cNvCxnSpPr/>
      </cdr:nvCxnSpPr>
      <cdr:spPr>
        <a:xfrm xmlns:a="http://schemas.openxmlformats.org/drawingml/2006/main" flipH="1" flipV="1">
          <a:off x="465687" y="147188"/>
          <a:ext cx="295122" cy="67631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rgbClr val="00B050"/>
          </a:solidFill>
          <a:tailEnd type="triangle" w="sm" len="med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27D8B-81A4-4377-B923-835A5181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Anaýza ekonomického vývoje v roce 2017.dotx</Template>
  <TotalTime>0</TotalTime>
  <Pages>19</Pages>
  <Words>7441</Words>
  <Characters>43904</Characters>
  <Application>Microsoft Office Word</Application>
  <DocSecurity>0</DocSecurity>
  <Lines>365</Lines>
  <Paragraphs>102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51243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kamenicky3604</cp:lastModifiedBy>
  <cp:revision>2</cp:revision>
  <cp:lastPrinted>2019-09-12T09:26:00Z</cp:lastPrinted>
  <dcterms:created xsi:type="dcterms:W3CDTF">2020-12-23T09:51:00Z</dcterms:created>
  <dcterms:modified xsi:type="dcterms:W3CDTF">2020-12-23T09:51:00Z</dcterms:modified>
</cp:coreProperties>
</file>