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drawings/drawing2.xml" ContentType="application/vnd.openxmlformats-officedocument.drawingml.chartshapes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drawings/drawing3.xml" ContentType="application/vnd.openxmlformats-officedocument.drawingml.chartshapes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drawings/drawing4.xml" ContentType="application/vnd.openxmlformats-officedocument.drawingml.chartshapes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drawings/drawing5.xml" ContentType="application/vnd.openxmlformats-officedocument.drawingml.chartshapes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drawings/drawing6.xml" ContentType="application/vnd.openxmlformats-officedocument.drawingml.chartshapes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drawings/drawing7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77FC1" w14:textId="77777777" w:rsidR="00A75E40" w:rsidRPr="00360DE3" w:rsidRDefault="00DD0AE9" w:rsidP="00E67696">
      <w:pPr>
        <w:rPr>
          <w:lang w:eastAsia="ar-SA"/>
        </w:rPr>
        <w:sectPr w:rsidR="00A75E40" w:rsidRPr="00360DE3" w:rsidSect="0085114D">
          <w:pgSz w:w="11906" w:h="16838" w:code="9"/>
          <w:pgMar w:top="1134" w:right="1134" w:bottom="1418" w:left="1134" w:header="709" w:footer="709" w:gutter="0"/>
          <w:pgNumType w:start="1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 wp14:anchorId="55FBC0C1" wp14:editId="361E8654">
                <wp:simplePos x="0" y="0"/>
                <wp:positionH relativeFrom="page">
                  <wp:posOffset>571500</wp:posOffset>
                </wp:positionH>
                <wp:positionV relativeFrom="page">
                  <wp:posOffset>466725</wp:posOffset>
                </wp:positionV>
                <wp:extent cx="2249805" cy="554355"/>
                <wp:effectExtent l="0" t="0" r="0" b="0"/>
                <wp:wrapSquare wrapText="bothSides"/>
                <wp:docPr id="10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49805" cy="554355"/>
                          <a:chOff x="567" y="851"/>
                          <a:chExt cx="2714" cy="667"/>
                        </a:xfrm>
                      </wpg:grpSpPr>
                      <wps:wsp>
                        <wps:cNvPr id="20" name="Rectangl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15" y="901"/>
                            <a:ext cx="676" cy="154"/>
                          </a:xfrm>
                          <a:prstGeom prst="rect">
                            <a:avLst/>
                          </a:pr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7" y="1131"/>
                            <a:ext cx="1324" cy="154"/>
                          </a:xfrm>
                          <a:prstGeom prst="rect">
                            <a:avLst/>
                          </a:pr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88" y="1361"/>
                            <a:ext cx="603" cy="153"/>
                          </a:xfrm>
                          <a:prstGeom prst="rect">
                            <a:avLst/>
                          </a:prstGeom>
                          <a:solidFill>
                            <a:srgbClr val="007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9" y="1311"/>
                            <a:ext cx="600" cy="207"/>
                          </a:xfrm>
                          <a:custGeom>
                            <a:avLst/>
                            <a:gdLst>
                              <a:gd name="T0" fmla="*/ 520 w 1200"/>
                              <a:gd name="T1" fmla="*/ 84 h 415"/>
                              <a:gd name="T2" fmla="*/ 537 w 1200"/>
                              <a:gd name="T3" fmla="*/ 88 h 415"/>
                              <a:gd name="T4" fmla="*/ 550 w 1200"/>
                              <a:gd name="T5" fmla="*/ 100 h 415"/>
                              <a:gd name="T6" fmla="*/ 557 w 1200"/>
                              <a:gd name="T7" fmla="*/ 114 h 415"/>
                              <a:gd name="T8" fmla="*/ 559 w 1200"/>
                              <a:gd name="T9" fmla="*/ 131 h 415"/>
                              <a:gd name="T10" fmla="*/ 554 w 1200"/>
                              <a:gd name="T11" fmla="*/ 147 h 415"/>
                              <a:gd name="T12" fmla="*/ 544 w 1200"/>
                              <a:gd name="T13" fmla="*/ 160 h 415"/>
                              <a:gd name="T14" fmla="*/ 530 w 1200"/>
                              <a:gd name="T15" fmla="*/ 168 h 415"/>
                              <a:gd name="T16" fmla="*/ 506 w 1200"/>
                              <a:gd name="T17" fmla="*/ 170 h 415"/>
                              <a:gd name="T18" fmla="*/ 540 w 1200"/>
                              <a:gd name="T19" fmla="*/ 202 h 415"/>
                              <a:gd name="T20" fmla="*/ 567 w 1200"/>
                              <a:gd name="T21" fmla="*/ 190 h 415"/>
                              <a:gd name="T22" fmla="*/ 587 w 1200"/>
                              <a:gd name="T23" fmla="*/ 169 h 415"/>
                              <a:gd name="T24" fmla="*/ 599 w 1200"/>
                              <a:gd name="T25" fmla="*/ 142 h 415"/>
                              <a:gd name="T26" fmla="*/ 599 w 1200"/>
                              <a:gd name="T27" fmla="*/ 111 h 415"/>
                              <a:gd name="T28" fmla="*/ 587 w 1200"/>
                              <a:gd name="T29" fmla="*/ 84 h 415"/>
                              <a:gd name="T30" fmla="*/ 567 w 1200"/>
                              <a:gd name="T31" fmla="*/ 63 h 415"/>
                              <a:gd name="T32" fmla="*/ 540 w 1200"/>
                              <a:gd name="T33" fmla="*/ 51 h 415"/>
                              <a:gd name="T34" fmla="*/ 466 w 1200"/>
                              <a:gd name="T35" fmla="*/ 204 h 415"/>
                              <a:gd name="T36" fmla="*/ 388 w 1200"/>
                              <a:gd name="T37" fmla="*/ 146 h 415"/>
                              <a:gd name="T38" fmla="*/ 393 w 1200"/>
                              <a:gd name="T39" fmla="*/ 50 h 415"/>
                              <a:gd name="T40" fmla="*/ 343 w 1200"/>
                              <a:gd name="T41" fmla="*/ 177 h 415"/>
                              <a:gd name="T42" fmla="*/ 257 w 1200"/>
                              <a:gd name="T43" fmla="*/ 18 h 415"/>
                              <a:gd name="T44" fmla="*/ 174 w 1200"/>
                              <a:gd name="T45" fmla="*/ 18 h 415"/>
                              <a:gd name="T46" fmla="*/ 216 w 1200"/>
                              <a:gd name="T47" fmla="*/ 81 h 415"/>
                              <a:gd name="T48" fmla="*/ 231 w 1200"/>
                              <a:gd name="T49" fmla="*/ 88 h 415"/>
                              <a:gd name="T50" fmla="*/ 235 w 1200"/>
                              <a:gd name="T51" fmla="*/ 104 h 415"/>
                              <a:gd name="T52" fmla="*/ 225 w 1200"/>
                              <a:gd name="T53" fmla="*/ 116 h 415"/>
                              <a:gd name="T54" fmla="*/ 204 w 1200"/>
                              <a:gd name="T55" fmla="*/ 119 h 415"/>
                              <a:gd name="T56" fmla="*/ 258 w 1200"/>
                              <a:gd name="T57" fmla="*/ 135 h 415"/>
                              <a:gd name="T58" fmla="*/ 271 w 1200"/>
                              <a:gd name="T59" fmla="*/ 121 h 415"/>
                              <a:gd name="T60" fmla="*/ 276 w 1200"/>
                              <a:gd name="T61" fmla="*/ 102 h 415"/>
                              <a:gd name="T62" fmla="*/ 275 w 1200"/>
                              <a:gd name="T63" fmla="*/ 83 h 415"/>
                              <a:gd name="T64" fmla="*/ 266 w 1200"/>
                              <a:gd name="T65" fmla="*/ 67 h 415"/>
                              <a:gd name="T66" fmla="*/ 252 w 1200"/>
                              <a:gd name="T67" fmla="*/ 55 h 415"/>
                              <a:gd name="T68" fmla="*/ 232 w 1200"/>
                              <a:gd name="T69" fmla="*/ 50 h 415"/>
                              <a:gd name="T70" fmla="*/ 204 w 1200"/>
                              <a:gd name="T71" fmla="*/ 204 h 415"/>
                              <a:gd name="T72" fmla="*/ 243 w 1200"/>
                              <a:gd name="T73" fmla="*/ 141 h 415"/>
                              <a:gd name="T74" fmla="*/ 67 w 1200"/>
                              <a:gd name="T75" fmla="*/ 42 h 415"/>
                              <a:gd name="T76" fmla="*/ 0 w 1200"/>
                              <a:gd name="T77" fmla="*/ 139 h 415"/>
                              <a:gd name="T78" fmla="*/ 3 w 1200"/>
                              <a:gd name="T79" fmla="*/ 166 h 415"/>
                              <a:gd name="T80" fmla="*/ 12 w 1200"/>
                              <a:gd name="T81" fmla="*/ 184 h 415"/>
                              <a:gd name="T82" fmla="*/ 34 w 1200"/>
                              <a:gd name="T83" fmla="*/ 201 h 415"/>
                              <a:gd name="T84" fmla="*/ 67 w 1200"/>
                              <a:gd name="T85" fmla="*/ 207 h 415"/>
                              <a:gd name="T86" fmla="*/ 96 w 1200"/>
                              <a:gd name="T87" fmla="*/ 202 h 415"/>
                              <a:gd name="T88" fmla="*/ 119 w 1200"/>
                              <a:gd name="T89" fmla="*/ 186 h 415"/>
                              <a:gd name="T90" fmla="*/ 131 w 1200"/>
                              <a:gd name="T91" fmla="*/ 166 h 415"/>
                              <a:gd name="T92" fmla="*/ 134 w 1200"/>
                              <a:gd name="T93" fmla="*/ 139 h 415"/>
                              <a:gd name="T94" fmla="*/ 95 w 1200"/>
                              <a:gd name="T95" fmla="*/ 143 h 415"/>
                              <a:gd name="T96" fmla="*/ 89 w 1200"/>
                              <a:gd name="T97" fmla="*/ 163 h 415"/>
                              <a:gd name="T98" fmla="*/ 78 w 1200"/>
                              <a:gd name="T99" fmla="*/ 170 h 415"/>
                              <a:gd name="T100" fmla="*/ 63 w 1200"/>
                              <a:gd name="T101" fmla="*/ 172 h 415"/>
                              <a:gd name="T102" fmla="*/ 52 w 1200"/>
                              <a:gd name="T103" fmla="*/ 168 h 415"/>
                              <a:gd name="T104" fmla="*/ 42 w 1200"/>
                              <a:gd name="T105" fmla="*/ 156 h 415"/>
                              <a:gd name="T106" fmla="*/ 40 w 1200"/>
                              <a:gd name="T107" fmla="*/ 50 h 41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0" h="415">
                                <a:moveTo>
                                  <a:pt x="1011" y="341"/>
                                </a:moveTo>
                                <a:lnTo>
                                  <a:pt x="1011" y="167"/>
                                </a:lnTo>
                                <a:lnTo>
                                  <a:pt x="1030" y="167"/>
                                </a:lnTo>
                                <a:lnTo>
                                  <a:pt x="1040" y="169"/>
                                </a:lnTo>
                                <a:lnTo>
                                  <a:pt x="1049" y="170"/>
                                </a:lnTo>
                                <a:lnTo>
                                  <a:pt x="1059" y="171"/>
                                </a:lnTo>
                                <a:lnTo>
                                  <a:pt x="1067" y="174"/>
                                </a:lnTo>
                                <a:lnTo>
                                  <a:pt x="1074" y="177"/>
                                </a:lnTo>
                                <a:lnTo>
                                  <a:pt x="1082" y="182"/>
                                </a:lnTo>
                                <a:lnTo>
                                  <a:pt x="1088" y="187"/>
                                </a:lnTo>
                                <a:lnTo>
                                  <a:pt x="1094" y="194"/>
                                </a:lnTo>
                                <a:lnTo>
                                  <a:pt x="1099" y="200"/>
                                </a:lnTo>
                                <a:lnTo>
                                  <a:pt x="1104" y="206"/>
                                </a:lnTo>
                                <a:lnTo>
                                  <a:pt x="1108" y="213"/>
                                </a:lnTo>
                                <a:lnTo>
                                  <a:pt x="1112" y="221"/>
                                </a:lnTo>
                                <a:lnTo>
                                  <a:pt x="1114" y="228"/>
                                </a:lnTo>
                                <a:lnTo>
                                  <a:pt x="1116" y="237"/>
                                </a:lnTo>
                                <a:lnTo>
                                  <a:pt x="1117" y="245"/>
                                </a:lnTo>
                                <a:lnTo>
                                  <a:pt x="1117" y="253"/>
                                </a:lnTo>
                                <a:lnTo>
                                  <a:pt x="1117" y="262"/>
                                </a:lnTo>
                                <a:lnTo>
                                  <a:pt x="1116" y="271"/>
                                </a:lnTo>
                                <a:lnTo>
                                  <a:pt x="1114" y="278"/>
                                </a:lnTo>
                                <a:lnTo>
                                  <a:pt x="1112" y="287"/>
                                </a:lnTo>
                                <a:lnTo>
                                  <a:pt x="1108" y="294"/>
                                </a:lnTo>
                                <a:lnTo>
                                  <a:pt x="1104" y="301"/>
                                </a:lnTo>
                                <a:lnTo>
                                  <a:pt x="1099" y="308"/>
                                </a:lnTo>
                                <a:lnTo>
                                  <a:pt x="1094" y="314"/>
                                </a:lnTo>
                                <a:lnTo>
                                  <a:pt x="1088" y="321"/>
                                </a:lnTo>
                                <a:lnTo>
                                  <a:pt x="1082" y="326"/>
                                </a:lnTo>
                                <a:lnTo>
                                  <a:pt x="1074" y="331"/>
                                </a:lnTo>
                                <a:lnTo>
                                  <a:pt x="1067" y="334"/>
                                </a:lnTo>
                                <a:lnTo>
                                  <a:pt x="1059" y="337"/>
                                </a:lnTo>
                                <a:lnTo>
                                  <a:pt x="1049" y="338"/>
                                </a:lnTo>
                                <a:lnTo>
                                  <a:pt x="1040" y="339"/>
                                </a:lnTo>
                                <a:lnTo>
                                  <a:pt x="1030" y="341"/>
                                </a:lnTo>
                                <a:lnTo>
                                  <a:pt x="1011" y="341"/>
                                </a:lnTo>
                                <a:close/>
                                <a:moveTo>
                                  <a:pt x="931" y="408"/>
                                </a:moveTo>
                                <a:lnTo>
                                  <a:pt x="1049" y="408"/>
                                </a:lnTo>
                                <a:lnTo>
                                  <a:pt x="1064" y="407"/>
                                </a:lnTo>
                                <a:lnTo>
                                  <a:pt x="1079" y="404"/>
                                </a:lnTo>
                                <a:lnTo>
                                  <a:pt x="1093" y="400"/>
                                </a:lnTo>
                                <a:lnTo>
                                  <a:pt x="1107" y="395"/>
                                </a:lnTo>
                                <a:lnTo>
                                  <a:pt x="1121" y="389"/>
                                </a:lnTo>
                                <a:lnTo>
                                  <a:pt x="1133" y="380"/>
                                </a:lnTo>
                                <a:lnTo>
                                  <a:pt x="1144" y="372"/>
                                </a:lnTo>
                                <a:lnTo>
                                  <a:pt x="1155" y="362"/>
                                </a:lnTo>
                                <a:lnTo>
                                  <a:pt x="1165" y="351"/>
                                </a:lnTo>
                                <a:lnTo>
                                  <a:pt x="1174" y="339"/>
                                </a:lnTo>
                                <a:lnTo>
                                  <a:pt x="1182" y="326"/>
                                </a:lnTo>
                                <a:lnTo>
                                  <a:pt x="1188" y="313"/>
                                </a:lnTo>
                                <a:lnTo>
                                  <a:pt x="1194" y="298"/>
                                </a:lnTo>
                                <a:lnTo>
                                  <a:pt x="1198" y="284"/>
                                </a:lnTo>
                                <a:lnTo>
                                  <a:pt x="1200" y="270"/>
                                </a:lnTo>
                                <a:lnTo>
                                  <a:pt x="1200" y="253"/>
                                </a:lnTo>
                                <a:lnTo>
                                  <a:pt x="1200" y="238"/>
                                </a:lnTo>
                                <a:lnTo>
                                  <a:pt x="1198" y="223"/>
                                </a:lnTo>
                                <a:lnTo>
                                  <a:pt x="1194" y="208"/>
                                </a:lnTo>
                                <a:lnTo>
                                  <a:pt x="1188" y="195"/>
                                </a:lnTo>
                                <a:lnTo>
                                  <a:pt x="1182" y="181"/>
                                </a:lnTo>
                                <a:lnTo>
                                  <a:pt x="1174" y="169"/>
                                </a:lnTo>
                                <a:lnTo>
                                  <a:pt x="1165" y="157"/>
                                </a:lnTo>
                                <a:lnTo>
                                  <a:pt x="1155" y="146"/>
                                </a:lnTo>
                                <a:lnTo>
                                  <a:pt x="1144" y="136"/>
                                </a:lnTo>
                                <a:lnTo>
                                  <a:pt x="1133" y="126"/>
                                </a:lnTo>
                                <a:lnTo>
                                  <a:pt x="1121" y="119"/>
                                </a:lnTo>
                                <a:lnTo>
                                  <a:pt x="1107" y="113"/>
                                </a:lnTo>
                                <a:lnTo>
                                  <a:pt x="1093" y="108"/>
                                </a:lnTo>
                                <a:lnTo>
                                  <a:pt x="1079" y="103"/>
                                </a:lnTo>
                                <a:lnTo>
                                  <a:pt x="1064" y="101"/>
                                </a:lnTo>
                                <a:lnTo>
                                  <a:pt x="1049" y="100"/>
                                </a:lnTo>
                                <a:lnTo>
                                  <a:pt x="931" y="100"/>
                                </a:lnTo>
                                <a:lnTo>
                                  <a:pt x="931" y="408"/>
                                </a:lnTo>
                                <a:close/>
                                <a:moveTo>
                                  <a:pt x="775" y="293"/>
                                </a:moveTo>
                                <a:lnTo>
                                  <a:pt x="708" y="293"/>
                                </a:lnTo>
                                <a:lnTo>
                                  <a:pt x="742" y="195"/>
                                </a:lnTo>
                                <a:lnTo>
                                  <a:pt x="775" y="293"/>
                                </a:lnTo>
                                <a:close/>
                                <a:moveTo>
                                  <a:pt x="797" y="354"/>
                                </a:moveTo>
                                <a:lnTo>
                                  <a:pt x="817" y="408"/>
                                </a:lnTo>
                                <a:lnTo>
                                  <a:pt x="901" y="408"/>
                                </a:lnTo>
                                <a:lnTo>
                                  <a:pt x="785" y="100"/>
                                </a:lnTo>
                                <a:lnTo>
                                  <a:pt x="698" y="100"/>
                                </a:lnTo>
                                <a:lnTo>
                                  <a:pt x="581" y="408"/>
                                </a:lnTo>
                                <a:lnTo>
                                  <a:pt x="665" y="408"/>
                                </a:lnTo>
                                <a:lnTo>
                                  <a:pt x="686" y="354"/>
                                </a:lnTo>
                                <a:lnTo>
                                  <a:pt x="797" y="354"/>
                                </a:lnTo>
                                <a:close/>
                                <a:moveTo>
                                  <a:pt x="347" y="37"/>
                                </a:moveTo>
                                <a:lnTo>
                                  <a:pt x="430" y="83"/>
                                </a:lnTo>
                                <a:lnTo>
                                  <a:pt x="513" y="37"/>
                                </a:lnTo>
                                <a:lnTo>
                                  <a:pt x="491" y="3"/>
                                </a:lnTo>
                                <a:lnTo>
                                  <a:pt x="430" y="34"/>
                                </a:lnTo>
                                <a:lnTo>
                                  <a:pt x="369" y="3"/>
                                </a:lnTo>
                                <a:lnTo>
                                  <a:pt x="347" y="37"/>
                                </a:lnTo>
                                <a:close/>
                                <a:moveTo>
                                  <a:pt x="407" y="238"/>
                                </a:moveTo>
                                <a:lnTo>
                                  <a:pt x="407" y="161"/>
                                </a:lnTo>
                                <a:lnTo>
                                  <a:pt x="422" y="161"/>
                                </a:lnTo>
                                <a:lnTo>
                                  <a:pt x="432" y="162"/>
                                </a:lnTo>
                                <a:lnTo>
                                  <a:pt x="442" y="164"/>
                                </a:lnTo>
                                <a:lnTo>
                                  <a:pt x="449" y="166"/>
                                </a:lnTo>
                                <a:lnTo>
                                  <a:pt x="455" y="170"/>
                                </a:lnTo>
                                <a:lnTo>
                                  <a:pt x="461" y="176"/>
                                </a:lnTo>
                                <a:lnTo>
                                  <a:pt x="466" y="182"/>
                                </a:lnTo>
                                <a:lnTo>
                                  <a:pt x="469" y="191"/>
                                </a:lnTo>
                                <a:lnTo>
                                  <a:pt x="470" y="200"/>
                                </a:lnTo>
                                <a:lnTo>
                                  <a:pt x="469" y="208"/>
                                </a:lnTo>
                                <a:lnTo>
                                  <a:pt x="466" y="216"/>
                                </a:lnTo>
                                <a:lnTo>
                                  <a:pt x="461" y="223"/>
                                </a:lnTo>
                                <a:lnTo>
                                  <a:pt x="455" y="230"/>
                                </a:lnTo>
                                <a:lnTo>
                                  <a:pt x="449" y="233"/>
                                </a:lnTo>
                                <a:lnTo>
                                  <a:pt x="442" y="236"/>
                                </a:lnTo>
                                <a:lnTo>
                                  <a:pt x="432" y="237"/>
                                </a:lnTo>
                                <a:lnTo>
                                  <a:pt x="422" y="238"/>
                                </a:lnTo>
                                <a:lnTo>
                                  <a:pt x="407" y="238"/>
                                </a:lnTo>
                                <a:close/>
                                <a:moveTo>
                                  <a:pt x="485" y="282"/>
                                </a:moveTo>
                                <a:lnTo>
                                  <a:pt x="498" y="278"/>
                                </a:lnTo>
                                <a:lnTo>
                                  <a:pt x="508" y="275"/>
                                </a:lnTo>
                                <a:lnTo>
                                  <a:pt x="516" y="270"/>
                                </a:lnTo>
                                <a:lnTo>
                                  <a:pt x="525" y="263"/>
                                </a:lnTo>
                                <a:lnTo>
                                  <a:pt x="531" y="257"/>
                                </a:lnTo>
                                <a:lnTo>
                                  <a:pt x="536" y="250"/>
                                </a:lnTo>
                                <a:lnTo>
                                  <a:pt x="541" y="242"/>
                                </a:lnTo>
                                <a:lnTo>
                                  <a:pt x="545" y="233"/>
                                </a:lnTo>
                                <a:lnTo>
                                  <a:pt x="549" y="225"/>
                                </a:lnTo>
                                <a:lnTo>
                                  <a:pt x="551" y="215"/>
                                </a:lnTo>
                                <a:lnTo>
                                  <a:pt x="552" y="205"/>
                                </a:lnTo>
                                <a:lnTo>
                                  <a:pt x="552" y="195"/>
                                </a:lnTo>
                                <a:lnTo>
                                  <a:pt x="552" y="186"/>
                                </a:lnTo>
                                <a:lnTo>
                                  <a:pt x="551" y="176"/>
                                </a:lnTo>
                                <a:lnTo>
                                  <a:pt x="549" y="167"/>
                                </a:lnTo>
                                <a:lnTo>
                                  <a:pt x="546" y="159"/>
                                </a:lnTo>
                                <a:lnTo>
                                  <a:pt x="542" y="150"/>
                                </a:lnTo>
                                <a:lnTo>
                                  <a:pt x="537" y="141"/>
                                </a:lnTo>
                                <a:lnTo>
                                  <a:pt x="532" y="134"/>
                                </a:lnTo>
                                <a:lnTo>
                                  <a:pt x="526" y="128"/>
                                </a:lnTo>
                                <a:lnTo>
                                  <a:pt x="519" y="120"/>
                                </a:lnTo>
                                <a:lnTo>
                                  <a:pt x="511" y="115"/>
                                </a:lnTo>
                                <a:lnTo>
                                  <a:pt x="504" y="110"/>
                                </a:lnTo>
                                <a:lnTo>
                                  <a:pt x="495" y="106"/>
                                </a:lnTo>
                                <a:lnTo>
                                  <a:pt x="485" y="104"/>
                                </a:lnTo>
                                <a:lnTo>
                                  <a:pt x="475" y="101"/>
                                </a:lnTo>
                                <a:lnTo>
                                  <a:pt x="463" y="100"/>
                                </a:lnTo>
                                <a:lnTo>
                                  <a:pt x="450" y="100"/>
                                </a:lnTo>
                                <a:lnTo>
                                  <a:pt x="327" y="100"/>
                                </a:lnTo>
                                <a:lnTo>
                                  <a:pt x="327" y="408"/>
                                </a:lnTo>
                                <a:lnTo>
                                  <a:pt x="407" y="408"/>
                                </a:lnTo>
                                <a:lnTo>
                                  <a:pt x="407" y="289"/>
                                </a:lnTo>
                                <a:lnTo>
                                  <a:pt x="483" y="408"/>
                                </a:lnTo>
                                <a:lnTo>
                                  <a:pt x="582" y="408"/>
                                </a:lnTo>
                                <a:lnTo>
                                  <a:pt x="485" y="282"/>
                                </a:lnTo>
                                <a:close/>
                                <a:moveTo>
                                  <a:pt x="210" y="35"/>
                                </a:moveTo>
                                <a:lnTo>
                                  <a:pt x="171" y="0"/>
                                </a:lnTo>
                                <a:lnTo>
                                  <a:pt x="105" y="56"/>
                                </a:lnTo>
                                <a:lnTo>
                                  <a:pt x="133" y="85"/>
                                </a:lnTo>
                                <a:lnTo>
                                  <a:pt x="210" y="35"/>
                                </a:lnTo>
                                <a:close/>
                                <a:moveTo>
                                  <a:pt x="8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278"/>
                                </a:lnTo>
                                <a:lnTo>
                                  <a:pt x="0" y="293"/>
                                </a:lnTo>
                                <a:lnTo>
                                  <a:pt x="2" y="308"/>
                                </a:lnTo>
                                <a:lnTo>
                                  <a:pt x="3" y="321"/>
                                </a:lnTo>
                                <a:lnTo>
                                  <a:pt x="5" y="333"/>
                                </a:lnTo>
                                <a:lnTo>
                                  <a:pt x="9" y="343"/>
                                </a:lnTo>
                                <a:lnTo>
                                  <a:pt x="13" y="353"/>
                                </a:lnTo>
                                <a:lnTo>
                                  <a:pt x="17" y="362"/>
                                </a:lnTo>
                                <a:lnTo>
                                  <a:pt x="23" y="369"/>
                                </a:lnTo>
                                <a:lnTo>
                                  <a:pt x="32" y="379"/>
                                </a:lnTo>
                                <a:lnTo>
                                  <a:pt x="43" y="389"/>
                                </a:lnTo>
                                <a:lnTo>
                                  <a:pt x="54" y="397"/>
                                </a:lnTo>
                                <a:lnTo>
                                  <a:pt x="68" y="403"/>
                                </a:lnTo>
                                <a:lnTo>
                                  <a:pt x="83" y="409"/>
                                </a:lnTo>
                                <a:lnTo>
                                  <a:pt x="99" y="413"/>
                                </a:lnTo>
                                <a:lnTo>
                                  <a:pt x="115" y="415"/>
                                </a:lnTo>
                                <a:lnTo>
                                  <a:pt x="133" y="415"/>
                                </a:lnTo>
                                <a:lnTo>
                                  <a:pt x="149" y="415"/>
                                </a:lnTo>
                                <a:lnTo>
                                  <a:pt x="165" y="413"/>
                                </a:lnTo>
                                <a:lnTo>
                                  <a:pt x="179" y="409"/>
                                </a:lnTo>
                                <a:lnTo>
                                  <a:pt x="192" y="404"/>
                                </a:lnTo>
                                <a:lnTo>
                                  <a:pt x="206" y="399"/>
                                </a:lnTo>
                                <a:lnTo>
                                  <a:pt x="217" y="392"/>
                                </a:lnTo>
                                <a:lnTo>
                                  <a:pt x="228" y="383"/>
                                </a:lnTo>
                                <a:lnTo>
                                  <a:pt x="238" y="372"/>
                                </a:lnTo>
                                <a:lnTo>
                                  <a:pt x="246" y="363"/>
                                </a:lnTo>
                                <a:lnTo>
                                  <a:pt x="253" y="353"/>
                                </a:lnTo>
                                <a:lnTo>
                                  <a:pt x="258" y="343"/>
                                </a:lnTo>
                                <a:lnTo>
                                  <a:pt x="262" y="333"/>
                                </a:lnTo>
                                <a:lnTo>
                                  <a:pt x="265" y="321"/>
                                </a:lnTo>
                                <a:lnTo>
                                  <a:pt x="267" y="308"/>
                                </a:lnTo>
                                <a:lnTo>
                                  <a:pt x="268" y="293"/>
                                </a:lnTo>
                                <a:lnTo>
                                  <a:pt x="268" y="278"/>
                                </a:lnTo>
                                <a:lnTo>
                                  <a:pt x="268" y="100"/>
                                </a:lnTo>
                                <a:lnTo>
                                  <a:pt x="189" y="100"/>
                                </a:lnTo>
                                <a:lnTo>
                                  <a:pt x="189" y="267"/>
                                </a:lnTo>
                                <a:lnTo>
                                  <a:pt x="189" y="287"/>
                                </a:lnTo>
                                <a:lnTo>
                                  <a:pt x="187" y="301"/>
                                </a:lnTo>
                                <a:lnTo>
                                  <a:pt x="185" y="311"/>
                                </a:lnTo>
                                <a:lnTo>
                                  <a:pt x="181" y="321"/>
                                </a:lnTo>
                                <a:lnTo>
                                  <a:pt x="177" y="326"/>
                                </a:lnTo>
                                <a:lnTo>
                                  <a:pt x="172" y="331"/>
                                </a:lnTo>
                                <a:lnTo>
                                  <a:pt x="167" y="334"/>
                                </a:lnTo>
                                <a:lnTo>
                                  <a:pt x="161" y="338"/>
                                </a:lnTo>
                                <a:lnTo>
                                  <a:pt x="155" y="341"/>
                                </a:lnTo>
                                <a:lnTo>
                                  <a:pt x="149" y="343"/>
                                </a:lnTo>
                                <a:lnTo>
                                  <a:pt x="141" y="344"/>
                                </a:lnTo>
                                <a:lnTo>
                                  <a:pt x="134" y="346"/>
                                </a:lnTo>
                                <a:lnTo>
                                  <a:pt x="126" y="344"/>
                                </a:lnTo>
                                <a:lnTo>
                                  <a:pt x="120" y="343"/>
                                </a:lnTo>
                                <a:lnTo>
                                  <a:pt x="114" y="342"/>
                                </a:lnTo>
                                <a:lnTo>
                                  <a:pt x="108" y="339"/>
                                </a:lnTo>
                                <a:lnTo>
                                  <a:pt x="103" y="336"/>
                                </a:lnTo>
                                <a:lnTo>
                                  <a:pt x="98" y="332"/>
                                </a:lnTo>
                                <a:lnTo>
                                  <a:pt x="93" y="327"/>
                                </a:lnTo>
                                <a:lnTo>
                                  <a:pt x="89" y="322"/>
                                </a:lnTo>
                                <a:lnTo>
                                  <a:pt x="84" y="312"/>
                                </a:lnTo>
                                <a:lnTo>
                                  <a:pt x="81" y="302"/>
                                </a:lnTo>
                                <a:lnTo>
                                  <a:pt x="80" y="288"/>
                                </a:lnTo>
                                <a:lnTo>
                                  <a:pt x="80" y="267"/>
                                </a:lnTo>
                                <a:lnTo>
                                  <a:pt x="8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2" y="1081"/>
                            <a:ext cx="1319" cy="208"/>
                          </a:xfrm>
                          <a:custGeom>
                            <a:avLst/>
                            <a:gdLst>
                              <a:gd name="T0" fmla="*/ 1221 w 2637"/>
                              <a:gd name="T1" fmla="*/ 204 h 416"/>
                              <a:gd name="T2" fmla="*/ 1166 w 2637"/>
                              <a:gd name="T3" fmla="*/ 50 h 416"/>
                              <a:gd name="T4" fmla="*/ 1072 w 2637"/>
                              <a:gd name="T5" fmla="*/ 137 h 416"/>
                              <a:gd name="T6" fmla="*/ 1004 w 2637"/>
                              <a:gd name="T7" fmla="*/ 54 h 416"/>
                              <a:gd name="T8" fmla="*/ 943 w 2637"/>
                              <a:gd name="T9" fmla="*/ 51 h 416"/>
                              <a:gd name="T10" fmla="*/ 900 w 2637"/>
                              <a:gd name="T11" fmla="*/ 82 h 416"/>
                              <a:gd name="T12" fmla="*/ 887 w 2637"/>
                              <a:gd name="T13" fmla="*/ 136 h 416"/>
                              <a:gd name="T14" fmla="*/ 907 w 2637"/>
                              <a:gd name="T15" fmla="*/ 181 h 416"/>
                              <a:gd name="T16" fmla="*/ 959 w 2637"/>
                              <a:gd name="T17" fmla="*/ 208 h 416"/>
                              <a:gd name="T18" fmla="*/ 1000 w 2637"/>
                              <a:gd name="T19" fmla="*/ 157 h 416"/>
                              <a:gd name="T20" fmla="*/ 969 w 2637"/>
                              <a:gd name="T21" fmla="*/ 169 h 416"/>
                              <a:gd name="T22" fmla="*/ 945 w 2637"/>
                              <a:gd name="T23" fmla="*/ 161 h 416"/>
                              <a:gd name="T24" fmla="*/ 929 w 2637"/>
                              <a:gd name="T25" fmla="*/ 137 h 416"/>
                              <a:gd name="T26" fmla="*/ 933 w 2637"/>
                              <a:gd name="T27" fmla="*/ 107 h 416"/>
                              <a:gd name="T28" fmla="*/ 953 w 2637"/>
                              <a:gd name="T29" fmla="*/ 89 h 416"/>
                              <a:gd name="T30" fmla="*/ 984 w 2637"/>
                              <a:gd name="T31" fmla="*/ 88 h 416"/>
                              <a:gd name="T32" fmla="*/ 864 w 2637"/>
                              <a:gd name="T33" fmla="*/ 50 h 416"/>
                              <a:gd name="T34" fmla="*/ 802 w 2637"/>
                              <a:gd name="T35" fmla="*/ 50 h 416"/>
                              <a:gd name="T36" fmla="*/ 680 w 2637"/>
                              <a:gd name="T37" fmla="*/ 59 h 416"/>
                              <a:gd name="T38" fmla="*/ 638 w 2637"/>
                              <a:gd name="T39" fmla="*/ 46 h 416"/>
                              <a:gd name="T40" fmla="*/ 602 w 2637"/>
                              <a:gd name="T41" fmla="*/ 54 h 416"/>
                              <a:gd name="T42" fmla="*/ 581 w 2637"/>
                              <a:gd name="T43" fmla="*/ 82 h 416"/>
                              <a:gd name="T44" fmla="*/ 583 w 2637"/>
                              <a:gd name="T45" fmla="*/ 116 h 416"/>
                              <a:gd name="T46" fmla="*/ 610 w 2637"/>
                              <a:gd name="T47" fmla="*/ 138 h 416"/>
                              <a:gd name="T48" fmla="*/ 644 w 2637"/>
                              <a:gd name="T49" fmla="*/ 153 h 416"/>
                              <a:gd name="T50" fmla="*/ 637 w 2637"/>
                              <a:gd name="T51" fmla="*/ 171 h 416"/>
                              <a:gd name="T52" fmla="*/ 608 w 2637"/>
                              <a:gd name="T53" fmla="*/ 170 h 416"/>
                              <a:gd name="T54" fmla="*/ 586 w 2637"/>
                              <a:gd name="T55" fmla="*/ 198 h 416"/>
                              <a:gd name="T56" fmla="*/ 633 w 2637"/>
                              <a:gd name="T57" fmla="*/ 208 h 416"/>
                              <a:gd name="T58" fmla="*/ 671 w 2637"/>
                              <a:gd name="T59" fmla="*/ 193 h 416"/>
                              <a:gd name="T60" fmla="*/ 687 w 2637"/>
                              <a:gd name="T61" fmla="*/ 160 h 416"/>
                              <a:gd name="T62" fmla="*/ 678 w 2637"/>
                              <a:gd name="T63" fmla="*/ 126 h 416"/>
                              <a:gd name="T64" fmla="*/ 638 w 2637"/>
                              <a:gd name="T65" fmla="*/ 107 h 416"/>
                              <a:gd name="T66" fmla="*/ 621 w 2637"/>
                              <a:gd name="T67" fmla="*/ 93 h 416"/>
                              <a:gd name="T68" fmla="*/ 635 w 2637"/>
                              <a:gd name="T69" fmla="*/ 80 h 416"/>
                              <a:gd name="T70" fmla="*/ 665 w 2637"/>
                              <a:gd name="T71" fmla="*/ 90 h 416"/>
                              <a:gd name="T72" fmla="*/ 452 w 2637"/>
                              <a:gd name="T73" fmla="*/ 84 h 416"/>
                              <a:gd name="T74" fmla="*/ 452 w 2637"/>
                              <a:gd name="T75" fmla="*/ 204 h 416"/>
                              <a:gd name="T76" fmla="*/ 343 w 2637"/>
                              <a:gd name="T77" fmla="*/ 204 h 416"/>
                              <a:gd name="T78" fmla="*/ 333 w 2637"/>
                              <a:gd name="T79" fmla="*/ 177 h 416"/>
                              <a:gd name="T80" fmla="*/ 158 w 2637"/>
                              <a:gd name="T81" fmla="*/ 204 h 416"/>
                              <a:gd name="T82" fmla="*/ 84 w 2637"/>
                              <a:gd name="T83" fmla="*/ 49 h 416"/>
                              <a:gd name="T84" fmla="*/ 42 w 2637"/>
                              <a:gd name="T85" fmla="*/ 48 h 416"/>
                              <a:gd name="T86" fmla="*/ 14 w 2637"/>
                              <a:gd name="T87" fmla="*/ 68 h 416"/>
                              <a:gd name="T88" fmla="*/ 6 w 2637"/>
                              <a:gd name="T89" fmla="*/ 103 h 416"/>
                              <a:gd name="T90" fmla="*/ 19 w 2637"/>
                              <a:gd name="T91" fmla="*/ 128 h 416"/>
                              <a:gd name="T92" fmla="*/ 64 w 2637"/>
                              <a:gd name="T93" fmla="*/ 147 h 416"/>
                              <a:gd name="T94" fmla="*/ 71 w 2637"/>
                              <a:gd name="T95" fmla="*/ 165 h 416"/>
                              <a:gd name="T96" fmla="*/ 48 w 2637"/>
                              <a:gd name="T97" fmla="*/ 174 h 416"/>
                              <a:gd name="T98" fmla="*/ 17 w 2637"/>
                              <a:gd name="T99" fmla="*/ 158 h 416"/>
                              <a:gd name="T100" fmla="*/ 40 w 2637"/>
                              <a:gd name="T101" fmla="*/ 207 h 416"/>
                              <a:gd name="T102" fmla="*/ 84 w 2637"/>
                              <a:gd name="T103" fmla="*/ 202 h 416"/>
                              <a:gd name="T104" fmla="*/ 110 w 2637"/>
                              <a:gd name="T105" fmla="*/ 176 h 416"/>
                              <a:gd name="T106" fmla="*/ 110 w 2637"/>
                              <a:gd name="T107" fmla="*/ 135 h 416"/>
                              <a:gd name="T108" fmla="*/ 93 w 2637"/>
                              <a:gd name="T109" fmla="*/ 117 h 416"/>
                              <a:gd name="T110" fmla="*/ 50 w 2637"/>
                              <a:gd name="T111" fmla="*/ 99 h 416"/>
                              <a:gd name="T112" fmla="*/ 53 w 2637"/>
                              <a:gd name="T113" fmla="*/ 84 h 416"/>
                              <a:gd name="T114" fmla="*/ 76 w 2637"/>
                              <a:gd name="T115" fmla="*/ 81 h 41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637" h="416">
                                <a:moveTo>
                                  <a:pt x="2561" y="35"/>
                                </a:moveTo>
                                <a:lnTo>
                                  <a:pt x="2524" y="0"/>
                                </a:lnTo>
                                <a:lnTo>
                                  <a:pt x="2458" y="56"/>
                                </a:lnTo>
                                <a:lnTo>
                                  <a:pt x="2485" y="84"/>
                                </a:lnTo>
                                <a:lnTo>
                                  <a:pt x="2561" y="35"/>
                                </a:lnTo>
                                <a:close/>
                                <a:moveTo>
                                  <a:pt x="2442" y="260"/>
                                </a:moveTo>
                                <a:lnTo>
                                  <a:pt x="2442" y="407"/>
                                </a:lnTo>
                                <a:lnTo>
                                  <a:pt x="2521" y="407"/>
                                </a:lnTo>
                                <a:lnTo>
                                  <a:pt x="2521" y="260"/>
                                </a:lnTo>
                                <a:lnTo>
                                  <a:pt x="2637" y="99"/>
                                </a:lnTo>
                                <a:lnTo>
                                  <a:pt x="2540" y="99"/>
                                </a:lnTo>
                                <a:lnTo>
                                  <a:pt x="2484" y="183"/>
                                </a:lnTo>
                                <a:lnTo>
                                  <a:pt x="2427" y="99"/>
                                </a:lnTo>
                                <a:lnTo>
                                  <a:pt x="2331" y="99"/>
                                </a:lnTo>
                                <a:lnTo>
                                  <a:pt x="2442" y="260"/>
                                </a:lnTo>
                                <a:close/>
                                <a:moveTo>
                                  <a:pt x="2143" y="226"/>
                                </a:moveTo>
                                <a:lnTo>
                                  <a:pt x="2143" y="99"/>
                                </a:lnTo>
                                <a:lnTo>
                                  <a:pt x="2063" y="99"/>
                                </a:lnTo>
                                <a:lnTo>
                                  <a:pt x="2063" y="407"/>
                                </a:lnTo>
                                <a:lnTo>
                                  <a:pt x="2143" y="407"/>
                                </a:lnTo>
                                <a:lnTo>
                                  <a:pt x="2143" y="274"/>
                                </a:lnTo>
                                <a:lnTo>
                                  <a:pt x="2247" y="407"/>
                                </a:lnTo>
                                <a:lnTo>
                                  <a:pt x="2351" y="407"/>
                                </a:lnTo>
                                <a:lnTo>
                                  <a:pt x="2217" y="245"/>
                                </a:lnTo>
                                <a:lnTo>
                                  <a:pt x="2340" y="99"/>
                                </a:lnTo>
                                <a:lnTo>
                                  <a:pt x="2240" y="99"/>
                                </a:lnTo>
                                <a:lnTo>
                                  <a:pt x="2143" y="226"/>
                                </a:lnTo>
                                <a:close/>
                                <a:moveTo>
                                  <a:pt x="2008" y="108"/>
                                </a:moveTo>
                                <a:lnTo>
                                  <a:pt x="1987" y="102"/>
                                </a:lnTo>
                                <a:lnTo>
                                  <a:pt x="1969" y="97"/>
                                </a:lnTo>
                                <a:lnTo>
                                  <a:pt x="1952" y="93"/>
                                </a:lnTo>
                                <a:lnTo>
                                  <a:pt x="1936" y="93"/>
                                </a:lnTo>
                                <a:lnTo>
                                  <a:pt x="1918" y="93"/>
                                </a:lnTo>
                                <a:lnTo>
                                  <a:pt x="1902" y="96"/>
                                </a:lnTo>
                                <a:lnTo>
                                  <a:pt x="1886" y="101"/>
                                </a:lnTo>
                                <a:lnTo>
                                  <a:pt x="1871" y="106"/>
                                </a:lnTo>
                                <a:lnTo>
                                  <a:pt x="1857" y="112"/>
                                </a:lnTo>
                                <a:lnTo>
                                  <a:pt x="1844" y="121"/>
                                </a:lnTo>
                                <a:lnTo>
                                  <a:pt x="1831" y="129"/>
                                </a:lnTo>
                                <a:lnTo>
                                  <a:pt x="1820" y="140"/>
                                </a:lnTo>
                                <a:lnTo>
                                  <a:pt x="1809" y="152"/>
                                </a:lnTo>
                                <a:lnTo>
                                  <a:pt x="1800" y="164"/>
                                </a:lnTo>
                                <a:lnTo>
                                  <a:pt x="1791" y="178"/>
                                </a:lnTo>
                                <a:lnTo>
                                  <a:pt x="1785" y="192"/>
                                </a:lnTo>
                                <a:lnTo>
                                  <a:pt x="1780" y="207"/>
                                </a:lnTo>
                                <a:lnTo>
                                  <a:pt x="1775" y="223"/>
                                </a:lnTo>
                                <a:lnTo>
                                  <a:pt x="1773" y="239"/>
                                </a:lnTo>
                                <a:lnTo>
                                  <a:pt x="1773" y="256"/>
                                </a:lnTo>
                                <a:lnTo>
                                  <a:pt x="1773" y="271"/>
                                </a:lnTo>
                                <a:lnTo>
                                  <a:pt x="1775" y="286"/>
                                </a:lnTo>
                                <a:lnTo>
                                  <a:pt x="1778" y="300"/>
                                </a:lnTo>
                                <a:lnTo>
                                  <a:pt x="1783" y="314"/>
                                </a:lnTo>
                                <a:lnTo>
                                  <a:pt x="1789" y="327"/>
                                </a:lnTo>
                                <a:lnTo>
                                  <a:pt x="1795" y="340"/>
                                </a:lnTo>
                                <a:lnTo>
                                  <a:pt x="1804" y="351"/>
                                </a:lnTo>
                                <a:lnTo>
                                  <a:pt x="1813" y="362"/>
                                </a:lnTo>
                                <a:lnTo>
                                  <a:pt x="1825" y="373"/>
                                </a:lnTo>
                                <a:lnTo>
                                  <a:pt x="1839" y="385"/>
                                </a:lnTo>
                                <a:lnTo>
                                  <a:pt x="1854" y="393"/>
                                </a:lnTo>
                                <a:lnTo>
                                  <a:pt x="1869" y="401"/>
                                </a:lnTo>
                                <a:lnTo>
                                  <a:pt x="1885" y="407"/>
                                </a:lnTo>
                                <a:lnTo>
                                  <a:pt x="1902" y="412"/>
                                </a:lnTo>
                                <a:lnTo>
                                  <a:pt x="1918" y="415"/>
                                </a:lnTo>
                                <a:lnTo>
                                  <a:pt x="1936" y="416"/>
                                </a:lnTo>
                                <a:lnTo>
                                  <a:pt x="1951" y="415"/>
                                </a:lnTo>
                                <a:lnTo>
                                  <a:pt x="1966" y="413"/>
                                </a:lnTo>
                                <a:lnTo>
                                  <a:pt x="1983" y="408"/>
                                </a:lnTo>
                                <a:lnTo>
                                  <a:pt x="2008" y="401"/>
                                </a:lnTo>
                                <a:lnTo>
                                  <a:pt x="2008" y="306"/>
                                </a:lnTo>
                                <a:lnTo>
                                  <a:pt x="1999" y="314"/>
                                </a:lnTo>
                                <a:lnTo>
                                  <a:pt x="1992" y="320"/>
                                </a:lnTo>
                                <a:lnTo>
                                  <a:pt x="1983" y="326"/>
                                </a:lnTo>
                                <a:lnTo>
                                  <a:pt x="1976" y="330"/>
                                </a:lnTo>
                                <a:lnTo>
                                  <a:pt x="1967" y="334"/>
                                </a:lnTo>
                                <a:lnTo>
                                  <a:pt x="1957" y="336"/>
                                </a:lnTo>
                                <a:lnTo>
                                  <a:pt x="1948" y="337"/>
                                </a:lnTo>
                                <a:lnTo>
                                  <a:pt x="1938" y="337"/>
                                </a:lnTo>
                                <a:lnTo>
                                  <a:pt x="1931" y="337"/>
                                </a:lnTo>
                                <a:lnTo>
                                  <a:pt x="1923" y="336"/>
                                </a:lnTo>
                                <a:lnTo>
                                  <a:pt x="1916" y="335"/>
                                </a:lnTo>
                                <a:lnTo>
                                  <a:pt x="1908" y="332"/>
                                </a:lnTo>
                                <a:lnTo>
                                  <a:pt x="1902" y="330"/>
                                </a:lnTo>
                                <a:lnTo>
                                  <a:pt x="1896" y="326"/>
                                </a:lnTo>
                                <a:lnTo>
                                  <a:pt x="1889" y="322"/>
                                </a:lnTo>
                                <a:lnTo>
                                  <a:pt x="1884" y="317"/>
                                </a:lnTo>
                                <a:lnTo>
                                  <a:pt x="1876" y="311"/>
                                </a:lnTo>
                                <a:lnTo>
                                  <a:pt x="1871" y="305"/>
                                </a:lnTo>
                                <a:lnTo>
                                  <a:pt x="1866" y="299"/>
                                </a:lnTo>
                                <a:lnTo>
                                  <a:pt x="1862" y="291"/>
                                </a:lnTo>
                                <a:lnTo>
                                  <a:pt x="1860" y="283"/>
                                </a:lnTo>
                                <a:lnTo>
                                  <a:pt x="1857" y="274"/>
                                </a:lnTo>
                                <a:lnTo>
                                  <a:pt x="1856" y="265"/>
                                </a:lnTo>
                                <a:lnTo>
                                  <a:pt x="1856" y="255"/>
                                </a:lnTo>
                                <a:lnTo>
                                  <a:pt x="1856" y="246"/>
                                </a:lnTo>
                                <a:lnTo>
                                  <a:pt x="1857" y="238"/>
                                </a:lnTo>
                                <a:lnTo>
                                  <a:pt x="1860" y="229"/>
                                </a:lnTo>
                                <a:lnTo>
                                  <a:pt x="1862" y="221"/>
                                </a:lnTo>
                                <a:lnTo>
                                  <a:pt x="1865" y="214"/>
                                </a:lnTo>
                                <a:lnTo>
                                  <a:pt x="1870" y="207"/>
                                </a:lnTo>
                                <a:lnTo>
                                  <a:pt x="1874" y="200"/>
                                </a:lnTo>
                                <a:lnTo>
                                  <a:pt x="1879" y="194"/>
                                </a:lnTo>
                                <a:lnTo>
                                  <a:pt x="1885" y="189"/>
                                </a:lnTo>
                                <a:lnTo>
                                  <a:pt x="1891" y="184"/>
                                </a:lnTo>
                                <a:lnTo>
                                  <a:pt x="1898" y="180"/>
                                </a:lnTo>
                                <a:lnTo>
                                  <a:pt x="1905" y="177"/>
                                </a:lnTo>
                                <a:lnTo>
                                  <a:pt x="1913" y="174"/>
                                </a:lnTo>
                                <a:lnTo>
                                  <a:pt x="1921" y="172"/>
                                </a:lnTo>
                                <a:lnTo>
                                  <a:pt x="1930" y="170"/>
                                </a:lnTo>
                                <a:lnTo>
                                  <a:pt x="1938" y="170"/>
                                </a:lnTo>
                                <a:lnTo>
                                  <a:pt x="1948" y="170"/>
                                </a:lnTo>
                                <a:lnTo>
                                  <a:pt x="1958" y="173"/>
                                </a:lnTo>
                                <a:lnTo>
                                  <a:pt x="1967" y="175"/>
                                </a:lnTo>
                                <a:lnTo>
                                  <a:pt x="1977" y="179"/>
                                </a:lnTo>
                                <a:lnTo>
                                  <a:pt x="1984" y="184"/>
                                </a:lnTo>
                                <a:lnTo>
                                  <a:pt x="1993" y="189"/>
                                </a:lnTo>
                                <a:lnTo>
                                  <a:pt x="2001" y="197"/>
                                </a:lnTo>
                                <a:lnTo>
                                  <a:pt x="2008" y="204"/>
                                </a:lnTo>
                                <a:lnTo>
                                  <a:pt x="2008" y="108"/>
                                </a:lnTo>
                                <a:close/>
                                <a:moveTo>
                                  <a:pt x="1727" y="99"/>
                                </a:moveTo>
                                <a:lnTo>
                                  <a:pt x="1647" y="99"/>
                                </a:lnTo>
                                <a:lnTo>
                                  <a:pt x="1647" y="407"/>
                                </a:lnTo>
                                <a:lnTo>
                                  <a:pt x="1727" y="407"/>
                                </a:lnTo>
                                <a:lnTo>
                                  <a:pt x="1727" y="99"/>
                                </a:lnTo>
                                <a:close/>
                                <a:moveTo>
                                  <a:pt x="1538" y="167"/>
                                </a:moveTo>
                                <a:lnTo>
                                  <a:pt x="1604" y="167"/>
                                </a:lnTo>
                                <a:lnTo>
                                  <a:pt x="1604" y="99"/>
                                </a:lnTo>
                                <a:lnTo>
                                  <a:pt x="1394" y="99"/>
                                </a:lnTo>
                                <a:lnTo>
                                  <a:pt x="1394" y="167"/>
                                </a:lnTo>
                                <a:lnTo>
                                  <a:pt x="1459" y="167"/>
                                </a:lnTo>
                                <a:lnTo>
                                  <a:pt x="1459" y="407"/>
                                </a:lnTo>
                                <a:lnTo>
                                  <a:pt x="1538" y="407"/>
                                </a:lnTo>
                                <a:lnTo>
                                  <a:pt x="1538" y="167"/>
                                </a:lnTo>
                                <a:close/>
                                <a:moveTo>
                                  <a:pt x="1360" y="117"/>
                                </a:moveTo>
                                <a:lnTo>
                                  <a:pt x="1349" y="111"/>
                                </a:lnTo>
                                <a:lnTo>
                                  <a:pt x="1337" y="106"/>
                                </a:lnTo>
                                <a:lnTo>
                                  <a:pt x="1324" y="102"/>
                                </a:lnTo>
                                <a:lnTo>
                                  <a:pt x="1313" y="98"/>
                                </a:lnTo>
                                <a:lnTo>
                                  <a:pt x="1300" y="96"/>
                                </a:lnTo>
                                <a:lnTo>
                                  <a:pt x="1288" y="93"/>
                                </a:lnTo>
                                <a:lnTo>
                                  <a:pt x="1276" y="92"/>
                                </a:lnTo>
                                <a:lnTo>
                                  <a:pt x="1263" y="92"/>
                                </a:lnTo>
                                <a:lnTo>
                                  <a:pt x="1252" y="92"/>
                                </a:lnTo>
                                <a:lnTo>
                                  <a:pt x="1241" y="94"/>
                                </a:lnTo>
                                <a:lnTo>
                                  <a:pt x="1231" y="96"/>
                                </a:lnTo>
                                <a:lnTo>
                                  <a:pt x="1221" y="99"/>
                                </a:lnTo>
                                <a:lnTo>
                                  <a:pt x="1211" y="103"/>
                                </a:lnTo>
                                <a:lnTo>
                                  <a:pt x="1203" y="108"/>
                                </a:lnTo>
                                <a:lnTo>
                                  <a:pt x="1195" y="114"/>
                                </a:lnTo>
                                <a:lnTo>
                                  <a:pt x="1187" y="121"/>
                                </a:lnTo>
                                <a:lnTo>
                                  <a:pt x="1181" y="128"/>
                                </a:lnTo>
                                <a:lnTo>
                                  <a:pt x="1175" y="136"/>
                                </a:lnTo>
                                <a:lnTo>
                                  <a:pt x="1170" y="144"/>
                                </a:lnTo>
                                <a:lnTo>
                                  <a:pt x="1166" y="153"/>
                                </a:lnTo>
                                <a:lnTo>
                                  <a:pt x="1162" y="163"/>
                                </a:lnTo>
                                <a:lnTo>
                                  <a:pt x="1161" y="174"/>
                                </a:lnTo>
                                <a:lnTo>
                                  <a:pt x="1158" y="184"/>
                                </a:lnTo>
                                <a:lnTo>
                                  <a:pt x="1158" y="195"/>
                                </a:lnTo>
                                <a:lnTo>
                                  <a:pt x="1158" y="205"/>
                                </a:lnTo>
                                <a:lnTo>
                                  <a:pt x="1160" y="215"/>
                                </a:lnTo>
                                <a:lnTo>
                                  <a:pt x="1162" y="224"/>
                                </a:lnTo>
                                <a:lnTo>
                                  <a:pt x="1165" y="231"/>
                                </a:lnTo>
                                <a:lnTo>
                                  <a:pt x="1168" y="239"/>
                                </a:lnTo>
                                <a:lnTo>
                                  <a:pt x="1172" y="245"/>
                                </a:lnTo>
                                <a:lnTo>
                                  <a:pt x="1177" y="251"/>
                                </a:lnTo>
                                <a:lnTo>
                                  <a:pt x="1183" y="256"/>
                                </a:lnTo>
                                <a:lnTo>
                                  <a:pt x="1192" y="263"/>
                                </a:lnTo>
                                <a:lnTo>
                                  <a:pt x="1203" y="269"/>
                                </a:lnTo>
                                <a:lnTo>
                                  <a:pt x="1219" y="275"/>
                                </a:lnTo>
                                <a:lnTo>
                                  <a:pt x="1242" y="281"/>
                                </a:lnTo>
                                <a:lnTo>
                                  <a:pt x="1254" y="286"/>
                                </a:lnTo>
                                <a:lnTo>
                                  <a:pt x="1264" y="290"/>
                                </a:lnTo>
                                <a:lnTo>
                                  <a:pt x="1273" y="294"/>
                                </a:lnTo>
                                <a:lnTo>
                                  <a:pt x="1279" y="297"/>
                                </a:lnTo>
                                <a:lnTo>
                                  <a:pt x="1284" y="301"/>
                                </a:lnTo>
                                <a:lnTo>
                                  <a:pt x="1287" y="306"/>
                                </a:lnTo>
                                <a:lnTo>
                                  <a:pt x="1289" y="311"/>
                                </a:lnTo>
                                <a:lnTo>
                                  <a:pt x="1289" y="317"/>
                                </a:lnTo>
                                <a:lnTo>
                                  <a:pt x="1289" y="324"/>
                                </a:lnTo>
                                <a:lnTo>
                                  <a:pt x="1287" y="330"/>
                                </a:lnTo>
                                <a:lnTo>
                                  <a:pt x="1283" y="335"/>
                                </a:lnTo>
                                <a:lnTo>
                                  <a:pt x="1279" y="339"/>
                                </a:lnTo>
                                <a:lnTo>
                                  <a:pt x="1273" y="342"/>
                                </a:lnTo>
                                <a:lnTo>
                                  <a:pt x="1267" y="345"/>
                                </a:lnTo>
                                <a:lnTo>
                                  <a:pt x="1259" y="346"/>
                                </a:lnTo>
                                <a:lnTo>
                                  <a:pt x="1251" y="347"/>
                                </a:lnTo>
                                <a:lnTo>
                                  <a:pt x="1242" y="347"/>
                                </a:lnTo>
                                <a:lnTo>
                                  <a:pt x="1233" y="345"/>
                                </a:lnTo>
                                <a:lnTo>
                                  <a:pt x="1224" y="344"/>
                                </a:lnTo>
                                <a:lnTo>
                                  <a:pt x="1216" y="340"/>
                                </a:lnTo>
                                <a:lnTo>
                                  <a:pt x="1207" y="335"/>
                                </a:lnTo>
                                <a:lnTo>
                                  <a:pt x="1198" y="330"/>
                                </a:lnTo>
                                <a:lnTo>
                                  <a:pt x="1190" y="324"/>
                                </a:lnTo>
                                <a:lnTo>
                                  <a:pt x="1180" y="316"/>
                                </a:lnTo>
                                <a:lnTo>
                                  <a:pt x="1146" y="381"/>
                                </a:lnTo>
                                <a:lnTo>
                                  <a:pt x="1158" y="388"/>
                                </a:lnTo>
                                <a:lnTo>
                                  <a:pt x="1171" y="396"/>
                                </a:lnTo>
                                <a:lnTo>
                                  <a:pt x="1185" y="401"/>
                                </a:lnTo>
                                <a:lnTo>
                                  <a:pt x="1198" y="406"/>
                                </a:lnTo>
                                <a:lnTo>
                                  <a:pt x="1212" y="410"/>
                                </a:lnTo>
                                <a:lnTo>
                                  <a:pt x="1226" y="413"/>
                                </a:lnTo>
                                <a:lnTo>
                                  <a:pt x="1239" y="415"/>
                                </a:lnTo>
                                <a:lnTo>
                                  <a:pt x="1253" y="415"/>
                                </a:lnTo>
                                <a:lnTo>
                                  <a:pt x="1266" y="415"/>
                                </a:lnTo>
                                <a:lnTo>
                                  <a:pt x="1278" y="413"/>
                                </a:lnTo>
                                <a:lnTo>
                                  <a:pt x="1290" y="411"/>
                                </a:lnTo>
                                <a:lnTo>
                                  <a:pt x="1302" y="407"/>
                                </a:lnTo>
                                <a:lnTo>
                                  <a:pt x="1313" y="403"/>
                                </a:lnTo>
                                <a:lnTo>
                                  <a:pt x="1323" y="398"/>
                                </a:lnTo>
                                <a:lnTo>
                                  <a:pt x="1333" y="392"/>
                                </a:lnTo>
                                <a:lnTo>
                                  <a:pt x="1342" y="386"/>
                                </a:lnTo>
                                <a:lnTo>
                                  <a:pt x="1349" y="378"/>
                                </a:lnTo>
                                <a:lnTo>
                                  <a:pt x="1355" y="371"/>
                                </a:lnTo>
                                <a:lnTo>
                                  <a:pt x="1360" y="362"/>
                                </a:lnTo>
                                <a:lnTo>
                                  <a:pt x="1365" y="352"/>
                                </a:lnTo>
                                <a:lnTo>
                                  <a:pt x="1369" y="342"/>
                                </a:lnTo>
                                <a:lnTo>
                                  <a:pt x="1371" y="331"/>
                                </a:lnTo>
                                <a:lnTo>
                                  <a:pt x="1373" y="319"/>
                                </a:lnTo>
                                <a:lnTo>
                                  <a:pt x="1373" y="306"/>
                                </a:lnTo>
                                <a:lnTo>
                                  <a:pt x="1371" y="290"/>
                                </a:lnTo>
                                <a:lnTo>
                                  <a:pt x="1369" y="275"/>
                                </a:lnTo>
                                <a:lnTo>
                                  <a:pt x="1366" y="269"/>
                                </a:lnTo>
                                <a:lnTo>
                                  <a:pt x="1363" y="263"/>
                                </a:lnTo>
                                <a:lnTo>
                                  <a:pt x="1359" y="258"/>
                                </a:lnTo>
                                <a:lnTo>
                                  <a:pt x="1355" y="251"/>
                                </a:lnTo>
                                <a:lnTo>
                                  <a:pt x="1350" y="246"/>
                                </a:lnTo>
                                <a:lnTo>
                                  <a:pt x="1345" y="241"/>
                                </a:lnTo>
                                <a:lnTo>
                                  <a:pt x="1339" y="238"/>
                                </a:lnTo>
                                <a:lnTo>
                                  <a:pt x="1332" y="234"/>
                                </a:lnTo>
                                <a:lnTo>
                                  <a:pt x="1315" y="226"/>
                                </a:lnTo>
                                <a:lnTo>
                                  <a:pt x="1298" y="220"/>
                                </a:lnTo>
                                <a:lnTo>
                                  <a:pt x="1276" y="213"/>
                                </a:lnTo>
                                <a:lnTo>
                                  <a:pt x="1263" y="209"/>
                                </a:lnTo>
                                <a:lnTo>
                                  <a:pt x="1256" y="205"/>
                                </a:lnTo>
                                <a:lnTo>
                                  <a:pt x="1249" y="200"/>
                                </a:lnTo>
                                <a:lnTo>
                                  <a:pt x="1247" y="198"/>
                                </a:lnTo>
                                <a:lnTo>
                                  <a:pt x="1244" y="194"/>
                                </a:lnTo>
                                <a:lnTo>
                                  <a:pt x="1242" y="189"/>
                                </a:lnTo>
                                <a:lnTo>
                                  <a:pt x="1242" y="185"/>
                                </a:lnTo>
                                <a:lnTo>
                                  <a:pt x="1243" y="179"/>
                                </a:lnTo>
                                <a:lnTo>
                                  <a:pt x="1244" y="174"/>
                                </a:lnTo>
                                <a:lnTo>
                                  <a:pt x="1248" y="170"/>
                                </a:lnTo>
                                <a:lnTo>
                                  <a:pt x="1252" y="167"/>
                                </a:lnTo>
                                <a:lnTo>
                                  <a:pt x="1257" y="163"/>
                                </a:lnTo>
                                <a:lnTo>
                                  <a:pt x="1263" y="160"/>
                                </a:lnTo>
                                <a:lnTo>
                                  <a:pt x="1269" y="159"/>
                                </a:lnTo>
                                <a:lnTo>
                                  <a:pt x="1277" y="158"/>
                                </a:lnTo>
                                <a:lnTo>
                                  <a:pt x="1283" y="159"/>
                                </a:lnTo>
                                <a:lnTo>
                                  <a:pt x="1289" y="159"/>
                                </a:lnTo>
                                <a:lnTo>
                                  <a:pt x="1297" y="162"/>
                                </a:lnTo>
                                <a:lnTo>
                                  <a:pt x="1303" y="163"/>
                                </a:lnTo>
                                <a:lnTo>
                                  <a:pt x="1315" y="170"/>
                                </a:lnTo>
                                <a:lnTo>
                                  <a:pt x="1329" y="179"/>
                                </a:lnTo>
                                <a:lnTo>
                                  <a:pt x="1360" y="117"/>
                                </a:lnTo>
                                <a:close/>
                                <a:moveTo>
                                  <a:pt x="1091" y="99"/>
                                </a:moveTo>
                                <a:lnTo>
                                  <a:pt x="1011" y="99"/>
                                </a:lnTo>
                                <a:lnTo>
                                  <a:pt x="1011" y="407"/>
                                </a:lnTo>
                                <a:lnTo>
                                  <a:pt x="1091" y="407"/>
                                </a:lnTo>
                                <a:lnTo>
                                  <a:pt x="1091" y="99"/>
                                </a:lnTo>
                                <a:close/>
                                <a:moveTo>
                                  <a:pt x="904" y="167"/>
                                </a:moveTo>
                                <a:lnTo>
                                  <a:pt x="970" y="167"/>
                                </a:lnTo>
                                <a:lnTo>
                                  <a:pt x="970" y="99"/>
                                </a:lnTo>
                                <a:lnTo>
                                  <a:pt x="758" y="99"/>
                                </a:lnTo>
                                <a:lnTo>
                                  <a:pt x="758" y="167"/>
                                </a:lnTo>
                                <a:lnTo>
                                  <a:pt x="825" y="167"/>
                                </a:lnTo>
                                <a:lnTo>
                                  <a:pt x="825" y="407"/>
                                </a:lnTo>
                                <a:lnTo>
                                  <a:pt x="904" y="407"/>
                                </a:lnTo>
                                <a:lnTo>
                                  <a:pt x="904" y="167"/>
                                </a:lnTo>
                                <a:close/>
                                <a:moveTo>
                                  <a:pt x="644" y="292"/>
                                </a:moveTo>
                                <a:lnTo>
                                  <a:pt x="578" y="292"/>
                                </a:lnTo>
                                <a:lnTo>
                                  <a:pt x="611" y="194"/>
                                </a:lnTo>
                                <a:lnTo>
                                  <a:pt x="644" y="292"/>
                                </a:lnTo>
                                <a:close/>
                                <a:moveTo>
                                  <a:pt x="666" y="354"/>
                                </a:moveTo>
                                <a:lnTo>
                                  <a:pt x="686" y="407"/>
                                </a:lnTo>
                                <a:lnTo>
                                  <a:pt x="771" y="407"/>
                                </a:lnTo>
                                <a:lnTo>
                                  <a:pt x="655" y="99"/>
                                </a:lnTo>
                                <a:lnTo>
                                  <a:pt x="568" y="99"/>
                                </a:lnTo>
                                <a:lnTo>
                                  <a:pt x="450" y="407"/>
                                </a:lnTo>
                                <a:lnTo>
                                  <a:pt x="534" y="407"/>
                                </a:lnTo>
                                <a:lnTo>
                                  <a:pt x="555" y="354"/>
                                </a:lnTo>
                                <a:lnTo>
                                  <a:pt x="666" y="354"/>
                                </a:lnTo>
                                <a:close/>
                                <a:moveTo>
                                  <a:pt x="395" y="167"/>
                                </a:moveTo>
                                <a:lnTo>
                                  <a:pt x="461" y="167"/>
                                </a:lnTo>
                                <a:lnTo>
                                  <a:pt x="461" y="99"/>
                                </a:lnTo>
                                <a:lnTo>
                                  <a:pt x="249" y="99"/>
                                </a:lnTo>
                                <a:lnTo>
                                  <a:pt x="249" y="167"/>
                                </a:lnTo>
                                <a:lnTo>
                                  <a:pt x="315" y="167"/>
                                </a:lnTo>
                                <a:lnTo>
                                  <a:pt x="315" y="407"/>
                                </a:lnTo>
                                <a:lnTo>
                                  <a:pt x="395" y="407"/>
                                </a:lnTo>
                                <a:lnTo>
                                  <a:pt x="395" y="167"/>
                                </a:lnTo>
                                <a:close/>
                                <a:moveTo>
                                  <a:pt x="214" y="117"/>
                                </a:moveTo>
                                <a:lnTo>
                                  <a:pt x="203" y="111"/>
                                </a:lnTo>
                                <a:lnTo>
                                  <a:pt x="190" y="106"/>
                                </a:lnTo>
                                <a:lnTo>
                                  <a:pt x="178" y="102"/>
                                </a:lnTo>
                                <a:lnTo>
                                  <a:pt x="167" y="98"/>
                                </a:lnTo>
                                <a:lnTo>
                                  <a:pt x="154" y="96"/>
                                </a:lnTo>
                                <a:lnTo>
                                  <a:pt x="142" y="93"/>
                                </a:lnTo>
                                <a:lnTo>
                                  <a:pt x="129" y="92"/>
                                </a:lnTo>
                                <a:lnTo>
                                  <a:pt x="117" y="92"/>
                                </a:lnTo>
                                <a:lnTo>
                                  <a:pt x="106" y="92"/>
                                </a:lnTo>
                                <a:lnTo>
                                  <a:pt x="94" y="94"/>
                                </a:lnTo>
                                <a:lnTo>
                                  <a:pt x="84" y="96"/>
                                </a:lnTo>
                                <a:lnTo>
                                  <a:pt x="75" y="99"/>
                                </a:lnTo>
                                <a:lnTo>
                                  <a:pt x="65" y="103"/>
                                </a:lnTo>
                                <a:lnTo>
                                  <a:pt x="56" y="108"/>
                                </a:lnTo>
                                <a:lnTo>
                                  <a:pt x="48" y="114"/>
                                </a:lnTo>
                                <a:lnTo>
                                  <a:pt x="41" y="121"/>
                                </a:lnTo>
                                <a:lnTo>
                                  <a:pt x="35" y="128"/>
                                </a:lnTo>
                                <a:lnTo>
                                  <a:pt x="28" y="136"/>
                                </a:lnTo>
                                <a:lnTo>
                                  <a:pt x="23" y="144"/>
                                </a:lnTo>
                                <a:lnTo>
                                  <a:pt x="20" y="153"/>
                                </a:lnTo>
                                <a:lnTo>
                                  <a:pt x="16" y="163"/>
                                </a:lnTo>
                                <a:lnTo>
                                  <a:pt x="15" y="174"/>
                                </a:lnTo>
                                <a:lnTo>
                                  <a:pt x="12" y="184"/>
                                </a:lnTo>
                                <a:lnTo>
                                  <a:pt x="12" y="195"/>
                                </a:lnTo>
                                <a:lnTo>
                                  <a:pt x="12" y="205"/>
                                </a:lnTo>
                                <a:lnTo>
                                  <a:pt x="13" y="215"/>
                                </a:lnTo>
                                <a:lnTo>
                                  <a:pt x="16" y="224"/>
                                </a:lnTo>
                                <a:lnTo>
                                  <a:pt x="18" y="231"/>
                                </a:lnTo>
                                <a:lnTo>
                                  <a:pt x="22" y="239"/>
                                </a:lnTo>
                                <a:lnTo>
                                  <a:pt x="26" y="245"/>
                                </a:lnTo>
                                <a:lnTo>
                                  <a:pt x="31" y="251"/>
                                </a:lnTo>
                                <a:lnTo>
                                  <a:pt x="37" y="256"/>
                                </a:lnTo>
                                <a:lnTo>
                                  <a:pt x="46" y="263"/>
                                </a:lnTo>
                                <a:lnTo>
                                  <a:pt x="57" y="269"/>
                                </a:lnTo>
                                <a:lnTo>
                                  <a:pt x="73" y="275"/>
                                </a:lnTo>
                                <a:lnTo>
                                  <a:pt x="96" y="281"/>
                                </a:lnTo>
                                <a:lnTo>
                                  <a:pt x="108" y="286"/>
                                </a:lnTo>
                                <a:lnTo>
                                  <a:pt x="118" y="290"/>
                                </a:lnTo>
                                <a:lnTo>
                                  <a:pt x="127" y="294"/>
                                </a:lnTo>
                                <a:lnTo>
                                  <a:pt x="133" y="297"/>
                                </a:lnTo>
                                <a:lnTo>
                                  <a:pt x="138" y="301"/>
                                </a:lnTo>
                                <a:lnTo>
                                  <a:pt x="141" y="306"/>
                                </a:lnTo>
                                <a:lnTo>
                                  <a:pt x="143" y="311"/>
                                </a:lnTo>
                                <a:lnTo>
                                  <a:pt x="143" y="317"/>
                                </a:lnTo>
                                <a:lnTo>
                                  <a:pt x="143" y="324"/>
                                </a:lnTo>
                                <a:lnTo>
                                  <a:pt x="141" y="330"/>
                                </a:lnTo>
                                <a:lnTo>
                                  <a:pt x="137" y="335"/>
                                </a:lnTo>
                                <a:lnTo>
                                  <a:pt x="133" y="339"/>
                                </a:lnTo>
                                <a:lnTo>
                                  <a:pt x="127" y="342"/>
                                </a:lnTo>
                                <a:lnTo>
                                  <a:pt x="121" y="345"/>
                                </a:lnTo>
                                <a:lnTo>
                                  <a:pt x="113" y="346"/>
                                </a:lnTo>
                                <a:lnTo>
                                  <a:pt x="104" y="347"/>
                                </a:lnTo>
                                <a:lnTo>
                                  <a:pt x="96" y="347"/>
                                </a:lnTo>
                                <a:lnTo>
                                  <a:pt x="87" y="345"/>
                                </a:lnTo>
                                <a:lnTo>
                                  <a:pt x="78" y="344"/>
                                </a:lnTo>
                                <a:lnTo>
                                  <a:pt x="70" y="340"/>
                                </a:lnTo>
                                <a:lnTo>
                                  <a:pt x="61" y="335"/>
                                </a:lnTo>
                                <a:lnTo>
                                  <a:pt x="52" y="330"/>
                                </a:lnTo>
                                <a:lnTo>
                                  <a:pt x="43" y="324"/>
                                </a:lnTo>
                                <a:lnTo>
                                  <a:pt x="33" y="316"/>
                                </a:lnTo>
                                <a:lnTo>
                                  <a:pt x="0" y="381"/>
                                </a:lnTo>
                                <a:lnTo>
                                  <a:pt x="12" y="388"/>
                                </a:lnTo>
                                <a:lnTo>
                                  <a:pt x="25" y="396"/>
                                </a:lnTo>
                                <a:lnTo>
                                  <a:pt x="38" y="401"/>
                                </a:lnTo>
                                <a:lnTo>
                                  <a:pt x="52" y="406"/>
                                </a:lnTo>
                                <a:lnTo>
                                  <a:pt x="66" y="410"/>
                                </a:lnTo>
                                <a:lnTo>
                                  <a:pt x="79" y="413"/>
                                </a:lnTo>
                                <a:lnTo>
                                  <a:pt x="93" y="415"/>
                                </a:lnTo>
                                <a:lnTo>
                                  <a:pt x="107" y="415"/>
                                </a:lnTo>
                                <a:lnTo>
                                  <a:pt x="119" y="415"/>
                                </a:lnTo>
                                <a:lnTo>
                                  <a:pt x="132" y="413"/>
                                </a:lnTo>
                                <a:lnTo>
                                  <a:pt x="144" y="411"/>
                                </a:lnTo>
                                <a:lnTo>
                                  <a:pt x="155" y="407"/>
                                </a:lnTo>
                                <a:lnTo>
                                  <a:pt x="167" y="403"/>
                                </a:lnTo>
                                <a:lnTo>
                                  <a:pt x="177" y="398"/>
                                </a:lnTo>
                                <a:lnTo>
                                  <a:pt x="187" y="392"/>
                                </a:lnTo>
                                <a:lnTo>
                                  <a:pt x="195" y="386"/>
                                </a:lnTo>
                                <a:lnTo>
                                  <a:pt x="203" y="378"/>
                                </a:lnTo>
                                <a:lnTo>
                                  <a:pt x="209" y="371"/>
                                </a:lnTo>
                                <a:lnTo>
                                  <a:pt x="214" y="362"/>
                                </a:lnTo>
                                <a:lnTo>
                                  <a:pt x="219" y="352"/>
                                </a:lnTo>
                                <a:lnTo>
                                  <a:pt x="223" y="342"/>
                                </a:lnTo>
                                <a:lnTo>
                                  <a:pt x="225" y="331"/>
                                </a:lnTo>
                                <a:lnTo>
                                  <a:pt x="227" y="319"/>
                                </a:lnTo>
                                <a:lnTo>
                                  <a:pt x="227" y="306"/>
                                </a:lnTo>
                                <a:lnTo>
                                  <a:pt x="225" y="290"/>
                                </a:lnTo>
                                <a:lnTo>
                                  <a:pt x="223" y="275"/>
                                </a:lnTo>
                                <a:lnTo>
                                  <a:pt x="220" y="269"/>
                                </a:lnTo>
                                <a:lnTo>
                                  <a:pt x="217" y="263"/>
                                </a:lnTo>
                                <a:lnTo>
                                  <a:pt x="213" y="258"/>
                                </a:lnTo>
                                <a:lnTo>
                                  <a:pt x="209" y="251"/>
                                </a:lnTo>
                                <a:lnTo>
                                  <a:pt x="204" y="246"/>
                                </a:lnTo>
                                <a:lnTo>
                                  <a:pt x="199" y="241"/>
                                </a:lnTo>
                                <a:lnTo>
                                  <a:pt x="193" y="238"/>
                                </a:lnTo>
                                <a:lnTo>
                                  <a:pt x="185" y="234"/>
                                </a:lnTo>
                                <a:lnTo>
                                  <a:pt x="169" y="226"/>
                                </a:lnTo>
                                <a:lnTo>
                                  <a:pt x="151" y="220"/>
                                </a:lnTo>
                                <a:lnTo>
                                  <a:pt x="129" y="213"/>
                                </a:lnTo>
                                <a:lnTo>
                                  <a:pt x="117" y="209"/>
                                </a:lnTo>
                                <a:lnTo>
                                  <a:pt x="109" y="205"/>
                                </a:lnTo>
                                <a:lnTo>
                                  <a:pt x="103" y="200"/>
                                </a:lnTo>
                                <a:lnTo>
                                  <a:pt x="99" y="198"/>
                                </a:lnTo>
                                <a:lnTo>
                                  <a:pt x="98" y="194"/>
                                </a:lnTo>
                                <a:lnTo>
                                  <a:pt x="96" y="189"/>
                                </a:lnTo>
                                <a:lnTo>
                                  <a:pt x="96" y="185"/>
                                </a:lnTo>
                                <a:lnTo>
                                  <a:pt x="97" y="179"/>
                                </a:lnTo>
                                <a:lnTo>
                                  <a:pt x="98" y="174"/>
                                </a:lnTo>
                                <a:lnTo>
                                  <a:pt x="102" y="170"/>
                                </a:lnTo>
                                <a:lnTo>
                                  <a:pt x="106" y="167"/>
                                </a:lnTo>
                                <a:lnTo>
                                  <a:pt x="111" y="163"/>
                                </a:lnTo>
                                <a:lnTo>
                                  <a:pt x="117" y="160"/>
                                </a:lnTo>
                                <a:lnTo>
                                  <a:pt x="123" y="159"/>
                                </a:lnTo>
                                <a:lnTo>
                                  <a:pt x="129" y="158"/>
                                </a:lnTo>
                                <a:lnTo>
                                  <a:pt x="137" y="159"/>
                                </a:lnTo>
                                <a:lnTo>
                                  <a:pt x="143" y="159"/>
                                </a:lnTo>
                                <a:lnTo>
                                  <a:pt x="151" y="162"/>
                                </a:lnTo>
                                <a:lnTo>
                                  <a:pt x="157" y="163"/>
                                </a:lnTo>
                                <a:lnTo>
                                  <a:pt x="169" y="170"/>
                                </a:lnTo>
                                <a:lnTo>
                                  <a:pt x="183" y="179"/>
                                </a:lnTo>
                                <a:lnTo>
                                  <a:pt x="214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62" y="851"/>
                            <a:ext cx="679" cy="208"/>
                          </a:xfrm>
                          <a:custGeom>
                            <a:avLst/>
                            <a:gdLst>
                              <a:gd name="T0" fmla="*/ 641 w 1358"/>
                              <a:gd name="T1" fmla="*/ 18 h 416"/>
                              <a:gd name="T2" fmla="*/ 679 w 1358"/>
                              <a:gd name="T3" fmla="*/ 50 h 416"/>
                              <a:gd name="T4" fmla="*/ 581 w 1358"/>
                              <a:gd name="T5" fmla="*/ 130 h 416"/>
                              <a:gd name="T6" fmla="*/ 432 w 1358"/>
                              <a:gd name="T7" fmla="*/ 204 h 416"/>
                              <a:gd name="T8" fmla="*/ 530 w 1358"/>
                              <a:gd name="T9" fmla="*/ 50 h 416"/>
                              <a:gd name="T10" fmla="*/ 349 w 1358"/>
                              <a:gd name="T11" fmla="*/ 54 h 416"/>
                              <a:gd name="T12" fmla="*/ 318 w 1358"/>
                              <a:gd name="T13" fmla="*/ 46 h 416"/>
                              <a:gd name="T14" fmla="*/ 290 w 1358"/>
                              <a:gd name="T15" fmla="*/ 50 h 416"/>
                              <a:gd name="T16" fmla="*/ 271 w 1358"/>
                              <a:gd name="T17" fmla="*/ 64 h 416"/>
                              <a:gd name="T18" fmla="*/ 261 w 1358"/>
                              <a:gd name="T19" fmla="*/ 87 h 416"/>
                              <a:gd name="T20" fmla="*/ 261 w 1358"/>
                              <a:gd name="T21" fmla="*/ 112 h 416"/>
                              <a:gd name="T22" fmla="*/ 272 w 1358"/>
                              <a:gd name="T23" fmla="*/ 129 h 416"/>
                              <a:gd name="T24" fmla="*/ 307 w 1358"/>
                              <a:gd name="T25" fmla="*/ 144 h 416"/>
                              <a:gd name="T26" fmla="*/ 324 w 1358"/>
                              <a:gd name="T27" fmla="*/ 153 h 416"/>
                              <a:gd name="T28" fmla="*/ 322 w 1358"/>
                              <a:gd name="T29" fmla="*/ 168 h 416"/>
                              <a:gd name="T30" fmla="*/ 306 w 1358"/>
                              <a:gd name="T31" fmla="*/ 174 h 416"/>
                              <a:gd name="T32" fmla="*/ 284 w 1358"/>
                              <a:gd name="T33" fmla="*/ 168 h 416"/>
                              <a:gd name="T34" fmla="*/ 260 w 1358"/>
                              <a:gd name="T35" fmla="*/ 195 h 416"/>
                              <a:gd name="T36" fmla="*/ 293 w 1358"/>
                              <a:gd name="T37" fmla="*/ 207 h 416"/>
                              <a:gd name="T38" fmla="*/ 326 w 1358"/>
                              <a:gd name="T39" fmla="*/ 206 h 416"/>
                              <a:gd name="T40" fmla="*/ 351 w 1358"/>
                              <a:gd name="T41" fmla="*/ 193 h 416"/>
                              <a:gd name="T42" fmla="*/ 365 w 1358"/>
                              <a:gd name="T43" fmla="*/ 172 h 416"/>
                              <a:gd name="T44" fmla="*/ 365 w 1358"/>
                              <a:gd name="T45" fmla="*/ 138 h 416"/>
                              <a:gd name="T46" fmla="*/ 356 w 1358"/>
                              <a:gd name="T47" fmla="*/ 124 h 416"/>
                              <a:gd name="T48" fmla="*/ 329 w 1358"/>
                              <a:gd name="T49" fmla="*/ 111 h 416"/>
                              <a:gd name="T50" fmla="*/ 304 w 1358"/>
                              <a:gd name="T51" fmla="*/ 99 h 416"/>
                              <a:gd name="T52" fmla="*/ 303 w 1358"/>
                              <a:gd name="T53" fmla="*/ 87 h 416"/>
                              <a:gd name="T54" fmla="*/ 315 w 1358"/>
                              <a:gd name="T55" fmla="*/ 80 h 416"/>
                              <a:gd name="T56" fmla="*/ 332 w 1358"/>
                              <a:gd name="T57" fmla="*/ 82 h 416"/>
                              <a:gd name="T58" fmla="*/ 232 w 1358"/>
                              <a:gd name="T59" fmla="*/ 50 h 416"/>
                              <a:gd name="T60" fmla="*/ 185 w 1358"/>
                              <a:gd name="T61" fmla="*/ 170 h 416"/>
                              <a:gd name="T62" fmla="*/ 185 w 1358"/>
                              <a:gd name="T63" fmla="*/ 84 h 416"/>
                              <a:gd name="T64" fmla="*/ 105 w 1358"/>
                              <a:gd name="T65" fmla="*/ 1 h 416"/>
                              <a:gd name="T66" fmla="*/ 108 w 1358"/>
                              <a:gd name="T67" fmla="*/ 51 h 416"/>
                              <a:gd name="T68" fmla="*/ 65 w 1358"/>
                              <a:gd name="T69" fmla="*/ 48 h 416"/>
                              <a:gd name="T70" fmla="*/ 29 w 1358"/>
                              <a:gd name="T71" fmla="*/ 65 h 416"/>
                              <a:gd name="T72" fmla="*/ 6 w 1358"/>
                              <a:gd name="T73" fmla="*/ 96 h 416"/>
                              <a:gd name="T74" fmla="*/ 0 w 1358"/>
                              <a:gd name="T75" fmla="*/ 136 h 416"/>
                              <a:gd name="T76" fmla="*/ 11 w 1358"/>
                              <a:gd name="T77" fmla="*/ 170 h 416"/>
                              <a:gd name="T78" fmla="*/ 41 w 1358"/>
                              <a:gd name="T79" fmla="*/ 197 h 416"/>
                              <a:gd name="T80" fmla="*/ 82 w 1358"/>
                              <a:gd name="T81" fmla="*/ 208 h 416"/>
                              <a:gd name="T82" fmla="*/ 118 w 1358"/>
                              <a:gd name="T83" fmla="*/ 153 h 416"/>
                              <a:gd name="T84" fmla="*/ 97 w 1358"/>
                              <a:gd name="T85" fmla="*/ 167 h 416"/>
                              <a:gd name="T86" fmla="*/ 76 w 1358"/>
                              <a:gd name="T87" fmla="*/ 168 h 416"/>
                              <a:gd name="T88" fmla="*/ 59 w 1358"/>
                              <a:gd name="T89" fmla="*/ 162 h 416"/>
                              <a:gd name="T90" fmla="*/ 45 w 1358"/>
                              <a:gd name="T91" fmla="*/ 146 h 416"/>
                              <a:gd name="T92" fmla="*/ 42 w 1358"/>
                              <a:gd name="T93" fmla="*/ 124 h 416"/>
                              <a:gd name="T94" fmla="*/ 49 w 1358"/>
                              <a:gd name="T95" fmla="*/ 104 h 416"/>
                              <a:gd name="T96" fmla="*/ 63 w 1358"/>
                              <a:gd name="T97" fmla="*/ 91 h 416"/>
                              <a:gd name="T98" fmla="*/ 83 w 1358"/>
                              <a:gd name="T99" fmla="*/ 86 h 416"/>
                              <a:gd name="T100" fmla="*/ 107 w 1358"/>
                              <a:gd name="T101" fmla="*/ 92 h 41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358" h="416">
                                <a:moveTo>
                                  <a:pt x="1282" y="36"/>
                                </a:moveTo>
                                <a:lnTo>
                                  <a:pt x="1243" y="0"/>
                                </a:lnTo>
                                <a:lnTo>
                                  <a:pt x="1178" y="56"/>
                                </a:lnTo>
                                <a:lnTo>
                                  <a:pt x="1205" y="85"/>
                                </a:lnTo>
                                <a:lnTo>
                                  <a:pt x="1282" y="36"/>
                                </a:lnTo>
                                <a:close/>
                                <a:moveTo>
                                  <a:pt x="1162" y="260"/>
                                </a:moveTo>
                                <a:lnTo>
                                  <a:pt x="1162" y="407"/>
                                </a:lnTo>
                                <a:lnTo>
                                  <a:pt x="1242" y="407"/>
                                </a:lnTo>
                                <a:lnTo>
                                  <a:pt x="1242" y="260"/>
                                </a:lnTo>
                                <a:lnTo>
                                  <a:pt x="1358" y="100"/>
                                </a:lnTo>
                                <a:lnTo>
                                  <a:pt x="1261" y="100"/>
                                </a:lnTo>
                                <a:lnTo>
                                  <a:pt x="1205" y="183"/>
                                </a:lnTo>
                                <a:lnTo>
                                  <a:pt x="1146" y="100"/>
                                </a:lnTo>
                                <a:lnTo>
                                  <a:pt x="1051" y="100"/>
                                </a:lnTo>
                                <a:lnTo>
                                  <a:pt x="1162" y="260"/>
                                </a:lnTo>
                                <a:close/>
                                <a:moveTo>
                                  <a:pt x="863" y="227"/>
                                </a:moveTo>
                                <a:lnTo>
                                  <a:pt x="863" y="100"/>
                                </a:lnTo>
                                <a:lnTo>
                                  <a:pt x="783" y="100"/>
                                </a:lnTo>
                                <a:lnTo>
                                  <a:pt x="783" y="407"/>
                                </a:lnTo>
                                <a:lnTo>
                                  <a:pt x="863" y="407"/>
                                </a:lnTo>
                                <a:lnTo>
                                  <a:pt x="863" y="274"/>
                                </a:lnTo>
                                <a:lnTo>
                                  <a:pt x="967" y="407"/>
                                </a:lnTo>
                                <a:lnTo>
                                  <a:pt x="1071" y="407"/>
                                </a:lnTo>
                                <a:lnTo>
                                  <a:pt x="938" y="245"/>
                                </a:lnTo>
                                <a:lnTo>
                                  <a:pt x="1059" y="100"/>
                                </a:lnTo>
                                <a:lnTo>
                                  <a:pt x="960" y="100"/>
                                </a:lnTo>
                                <a:lnTo>
                                  <a:pt x="863" y="227"/>
                                </a:lnTo>
                                <a:close/>
                                <a:moveTo>
                                  <a:pt x="721" y="117"/>
                                </a:moveTo>
                                <a:lnTo>
                                  <a:pt x="709" y="112"/>
                                </a:lnTo>
                                <a:lnTo>
                                  <a:pt x="697" y="107"/>
                                </a:lnTo>
                                <a:lnTo>
                                  <a:pt x="685" y="102"/>
                                </a:lnTo>
                                <a:lnTo>
                                  <a:pt x="673" y="98"/>
                                </a:lnTo>
                                <a:lnTo>
                                  <a:pt x="660" y="96"/>
                                </a:lnTo>
                                <a:lnTo>
                                  <a:pt x="648" y="93"/>
                                </a:lnTo>
                                <a:lnTo>
                                  <a:pt x="635" y="92"/>
                                </a:lnTo>
                                <a:lnTo>
                                  <a:pt x="624" y="92"/>
                                </a:lnTo>
                                <a:lnTo>
                                  <a:pt x="611" y="92"/>
                                </a:lnTo>
                                <a:lnTo>
                                  <a:pt x="602" y="95"/>
                                </a:lnTo>
                                <a:lnTo>
                                  <a:pt x="590" y="97"/>
                                </a:lnTo>
                                <a:lnTo>
                                  <a:pt x="580" y="100"/>
                                </a:lnTo>
                                <a:lnTo>
                                  <a:pt x="572" y="103"/>
                                </a:lnTo>
                                <a:lnTo>
                                  <a:pt x="563" y="108"/>
                                </a:lnTo>
                                <a:lnTo>
                                  <a:pt x="555" y="115"/>
                                </a:lnTo>
                                <a:lnTo>
                                  <a:pt x="548" y="121"/>
                                </a:lnTo>
                                <a:lnTo>
                                  <a:pt x="542" y="128"/>
                                </a:lnTo>
                                <a:lnTo>
                                  <a:pt x="535" y="136"/>
                                </a:lnTo>
                                <a:lnTo>
                                  <a:pt x="531" y="145"/>
                                </a:lnTo>
                                <a:lnTo>
                                  <a:pt x="527" y="153"/>
                                </a:lnTo>
                                <a:lnTo>
                                  <a:pt x="523" y="163"/>
                                </a:lnTo>
                                <a:lnTo>
                                  <a:pt x="521" y="174"/>
                                </a:lnTo>
                                <a:lnTo>
                                  <a:pt x="519" y="184"/>
                                </a:lnTo>
                                <a:lnTo>
                                  <a:pt x="519" y="196"/>
                                </a:lnTo>
                                <a:lnTo>
                                  <a:pt x="519" y="206"/>
                                </a:lnTo>
                                <a:lnTo>
                                  <a:pt x="521" y="216"/>
                                </a:lnTo>
                                <a:lnTo>
                                  <a:pt x="522" y="224"/>
                                </a:lnTo>
                                <a:lnTo>
                                  <a:pt x="524" y="232"/>
                                </a:lnTo>
                                <a:lnTo>
                                  <a:pt x="528" y="239"/>
                                </a:lnTo>
                                <a:lnTo>
                                  <a:pt x="533" y="245"/>
                                </a:lnTo>
                                <a:lnTo>
                                  <a:pt x="538" y="252"/>
                                </a:lnTo>
                                <a:lnTo>
                                  <a:pt x="543" y="257"/>
                                </a:lnTo>
                                <a:lnTo>
                                  <a:pt x="552" y="263"/>
                                </a:lnTo>
                                <a:lnTo>
                                  <a:pt x="564" y="269"/>
                                </a:lnTo>
                                <a:lnTo>
                                  <a:pt x="580" y="275"/>
                                </a:lnTo>
                                <a:lnTo>
                                  <a:pt x="602" y="282"/>
                                </a:lnTo>
                                <a:lnTo>
                                  <a:pt x="614" y="287"/>
                                </a:lnTo>
                                <a:lnTo>
                                  <a:pt x="625" y="290"/>
                                </a:lnTo>
                                <a:lnTo>
                                  <a:pt x="634" y="294"/>
                                </a:lnTo>
                                <a:lnTo>
                                  <a:pt x="640" y="298"/>
                                </a:lnTo>
                                <a:lnTo>
                                  <a:pt x="644" y="301"/>
                                </a:lnTo>
                                <a:lnTo>
                                  <a:pt x="648" y="306"/>
                                </a:lnTo>
                                <a:lnTo>
                                  <a:pt x="649" y="311"/>
                                </a:lnTo>
                                <a:lnTo>
                                  <a:pt x="650" y="318"/>
                                </a:lnTo>
                                <a:lnTo>
                                  <a:pt x="649" y="324"/>
                                </a:lnTo>
                                <a:lnTo>
                                  <a:pt x="648" y="330"/>
                                </a:lnTo>
                                <a:lnTo>
                                  <a:pt x="644" y="335"/>
                                </a:lnTo>
                                <a:lnTo>
                                  <a:pt x="639" y="339"/>
                                </a:lnTo>
                                <a:lnTo>
                                  <a:pt x="634" y="343"/>
                                </a:lnTo>
                                <a:lnTo>
                                  <a:pt x="626" y="345"/>
                                </a:lnTo>
                                <a:lnTo>
                                  <a:pt x="619" y="348"/>
                                </a:lnTo>
                                <a:lnTo>
                                  <a:pt x="611" y="348"/>
                                </a:lnTo>
                                <a:lnTo>
                                  <a:pt x="603" y="348"/>
                                </a:lnTo>
                                <a:lnTo>
                                  <a:pt x="594" y="345"/>
                                </a:lnTo>
                                <a:lnTo>
                                  <a:pt x="585" y="344"/>
                                </a:lnTo>
                                <a:lnTo>
                                  <a:pt x="577" y="340"/>
                                </a:lnTo>
                                <a:lnTo>
                                  <a:pt x="568" y="335"/>
                                </a:lnTo>
                                <a:lnTo>
                                  <a:pt x="559" y="330"/>
                                </a:lnTo>
                                <a:lnTo>
                                  <a:pt x="549" y="324"/>
                                </a:lnTo>
                                <a:lnTo>
                                  <a:pt x="540" y="316"/>
                                </a:lnTo>
                                <a:lnTo>
                                  <a:pt x="507" y="381"/>
                                </a:lnTo>
                                <a:lnTo>
                                  <a:pt x="519" y="389"/>
                                </a:lnTo>
                                <a:lnTo>
                                  <a:pt x="532" y="396"/>
                                </a:lnTo>
                                <a:lnTo>
                                  <a:pt x="544" y="401"/>
                                </a:lnTo>
                                <a:lnTo>
                                  <a:pt x="558" y="406"/>
                                </a:lnTo>
                                <a:lnTo>
                                  <a:pt x="572" y="410"/>
                                </a:lnTo>
                                <a:lnTo>
                                  <a:pt x="585" y="414"/>
                                </a:lnTo>
                                <a:lnTo>
                                  <a:pt x="599" y="415"/>
                                </a:lnTo>
                                <a:lnTo>
                                  <a:pt x="613" y="415"/>
                                </a:lnTo>
                                <a:lnTo>
                                  <a:pt x="626" y="415"/>
                                </a:lnTo>
                                <a:lnTo>
                                  <a:pt x="639" y="414"/>
                                </a:lnTo>
                                <a:lnTo>
                                  <a:pt x="651" y="411"/>
                                </a:lnTo>
                                <a:lnTo>
                                  <a:pt x="663" y="407"/>
                                </a:lnTo>
                                <a:lnTo>
                                  <a:pt x="674" y="404"/>
                                </a:lnTo>
                                <a:lnTo>
                                  <a:pt x="684" y="399"/>
                                </a:lnTo>
                                <a:lnTo>
                                  <a:pt x="694" y="392"/>
                                </a:lnTo>
                                <a:lnTo>
                                  <a:pt x="702" y="386"/>
                                </a:lnTo>
                                <a:lnTo>
                                  <a:pt x="709" y="379"/>
                                </a:lnTo>
                                <a:lnTo>
                                  <a:pt x="716" y="371"/>
                                </a:lnTo>
                                <a:lnTo>
                                  <a:pt x="721" y="363"/>
                                </a:lnTo>
                                <a:lnTo>
                                  <a:pt x="725" y="353"/>
                                </a:lnTo>
                                <a:lnTo>
                                  <a:pt x="729" y="343"/>
                                </a:lnTo>
                                <a:lnTo>
                                  <a:pt x="731" y="331"/>
                                </a:lnTo>
                                <a:lnTo>
                                  <a:pt x="732" y="319"/>
                                </a:lnTo>
                                <a:lnTo>
                                  <a:pt x="734" y="306"/>
                                </a:lnTo>
                                <a:lnTo>
                                  <a:pt x="732" y="290"/>
                                </a:lnTo>
                                <a:lnTo>
                                  <a:pt x="729" y="275"/>
                                </a:lnTo>
                                <a:lnTo>
                                  <a:pt x="726" y="269"/>
                                </a:lnTo>
                                <a:lnTo>
                                  <a:pt x="724" y="263"/>
                                </a:lnTo>
                                <a:lnTo>
                                  <a:pt x="720" y="258"/>
                                </a:lnTo>
                                <a:lnTo>
                                  <a:pt x="716" y="252"/>
                                </a:lnTo>
                                <a:lnTo>
                                  <a:pt x="711" y="247"/>
                                </a:lnTo>
                                <a:lnTo>
                                  <a:pt x="705" y="243"/>
                                </a:lnTo>
                                <a:lnTo>
                                  <a:pt x="699" y="238"/>
                                </a:lnTo>
                                <a:lnTo>
                                  <a:pt x="692" y="234"/>
                                </a:lnTo>
                                <a:lnTo>
                                  <a:pt x="676" y="227"/>
                                </a:lnTo>
                                <a:lnTo>
                                  <a:pt x="658" y="221"/>
                                </a:lnTo>
                                <a:lnTo>
                                  <a:pt x="636" y="214"/>
                                </a:lnTo>
                                <a:lnTo>
                                  <a:pt x="624" y="209"/>
                                </a:lnTo>
                                <a:lnTo>
                                  <a:pt x="615" y="206"/>
                                </a:lnTo>
                                <a:lnTo>
                                  <a:pt x="610" y="201"/>
                                </a:lnTo>
                                <a:lnTo>
                                  <a:pt x="607" y="198"/>
                                </a:lnTo>
                                <a:lnTo>
                                  <a:pt x="604" y="194"/>
                                </a:lnTo>
                                <a:lnTo>
                                  <a:pt x="603" y="189"/>
                                </a:lnTo>
                                <a:lnTo>
                                  <a:pt x="603" y="186"/>
                                </a:lnTo>
                                <a:lnTo>
                                  <a:pt x="603" y="181"/>
                                </a:lnTo>
                                <a:lnTo>
                                  <a:pt x="605" y="174"/>
                                </a:lnTo>
                                <a:lnTo>
                                  <a:pt x="608" y="171"/>
                                </a:lnTo>
                                <a:lnTo>
                                  <a:pt x="611" y="167"/>
                                </a:lnTo>
                                <a:lnTo>
                                  <a:pt x="618" y="163"/>
                                </a:lnTo>
                                <a:lnTo>
                                  <a:pt x="623" y="161"/>
                                </a:lnTo>
                                <a:lnTo>
                                  <a:pt x="629" y="159"/>
                                </a:lnTo>
                                <a:lnTo>
                                  <a:pt x="636" y="158"/>
                                </a:lnTo>
                                <a:lnTo>
                                  <a:pt x="643" y="159"/>
                                </a:lnTo>
                                <a:lnTo>
                                  <a:pt x="650" y="159"/>
                                </a:lnTo>
                                <a:lnTo>
                                  <a:pt x="656" y="162"/>
                                </a:lnTo>
                                <a:lnTo>
                                  <a:pt x="663" y="163"/>
                                </a:lnTo>
                                <a:lnTo>
                                  <a:pt x="676" y="171"/>
                                </a:lnTo>
                                <a:lnTo>
                                  <a:pt x="689" y="179"/>
                                </a:lnTo>
                                <a:lnTo>
                                  <a:pt x="721" y="117"/>
                                </a:lnTo>
                                <a:close/>
                                <a:moveTo>
                                  <a:pt x="463" y="167"/>
                                </a:moveTo>
                                <a:lnTo>
                                  <a:pt x="463" y="100"/>
                                </a:lnTo>
                                <a:lnTo>
                                  <a:pt x="289" y="100"/>
                                </a:lnTo>
                                <a:lnTo>
                                  <a:pt x="289" y="407"/>
                                </a:lnTo>
                                <a:lnTo>
                                  <a:pt x="463" y="407"/>
                                </a:lnTo>
                                <a:lnTo>
                                  <a:pt x="463" y="340"/>
                                </a:lnTo>
                                <a:lnTo>
                                  <a:pt x="369" y="340"/>
                                </a:lnTo>
                                <a:lnTo>
                                  <a:pt x="369" y="287"/>
                                </a:lnTo>
                                <a:lnTo>
                                  <a:pt x="458" y="287"/>
                                </a:lnTo>
                                <a:lnTo>
                                  <a:pt x="458" y="219"/>
                                </a:lnTo>
                                <a:lnTo>
                                  <a:pt x="369" y="219"/>
                                </a:lnTo>
                                <a:lnTo>
                                  <a:pt x="369" y="167"/>
                                </a:lnTo>
                                <a:lnTo>
                                  <a:pt x="463" y="167"/>
                                </a:lnTo>
                                <a:close/>
                                <a:moveTo>
                                  <a:pt x="66" y="36"/>
                                </a:moveTo>
                                <a:lnTo>
                                  <a:pt x="148" y="82"/>
                                </a:lnTo>
                                <a:lnTo>
                                  <a:pt x="231" y="36"/>
                                </a:lnTo>
                                <a:lnTo>
                                  <a:pt x="210" y="2"/>
                                </a:lnTo>
                                <a:lnTo>
                                  <a:pt x="148" y="34"/>
                                </a:lnTo>
                                <a:lnTo>
                                  <a:pt x="87" y="2"/>
                                </a:lnTo>
                                <a:lnTo>
                                  <a:pt x="66" y="36"/>
                                </a:lnTo>
                                <a:close/>
                                <a:moveTo>
                                  <a:pt x="235" y="108"/>
                                </a:moveTo>
                                <a:lnTo>
                                  <a:pt x="215" y="102"/>
                                </a:lnTo>
                                <a:lnTo>
                                  <a:pt x="197" y="97"/>
                                </a:lnTo>
                                <a:lnTo>
                                  <a:pt x="180" y="95"/>
                                </a:lnTo>
                                <a:lnTo>
                                  <a:pt x="163" y="93"/>
                                </a:lnTo>
                                <a:lnTo>
                                  <a:pt x="146" y="95"/>
                                </a:lnTo>
                                <a:lnTo>
                                  <a:pt x="129" y="96"/>
                                </a:lnTo>
                                <a:lnTo>
                                  <a:pt x="114" y="101"/>
                                </a:lnTo>
                                <a:lnTo>
                                  <a:pt x="99" y="106"/>
                                </a:lnTo>
                                <a:lnTo>
                                  <a:pt x="84" y="112"/>
                                </a:lnTo>
                                <a:lnTo>
                                  <a:pt x="71" y="121"/>
                                </a:lnTo>
                                <a:lnTo>
                                  <a:pt x="58" y="130"/>
                                </a:lnTo>
                                <a:lnTo>
                                  <a:pt x="47" y="141"/>
                                </a:lnTo>
                                <a:lnTo>
                                  <a:pt x="37" y="152"/>
                                </a:lnTo>
                                <a:lnTo>
                                  <a:pt x="27" y="164"/>
                                </a:lnTo>
                                <a:lnTo>
                                  <a:pt x="20" y="178"/>
                                </a:lnTo>
                                <a:lnTo>
                                  <a:pt x="12" y="192"/>
                                </a:lnTo>
                                <a:lnTo>
                                  <a:pt x="7" y="207"/>
                                </a:lnTo>
                                <a:lnTo>
                                  <a:pt x="3" y="223"/>
                                </a:lnTo>
                                <a:lnTo>
                                  <a:pt x="1" y="239"/>
                                </a:lnTo>
                                <a:lnTo>
                                  <a:pt x="0" y="257"/>
                                </a:lnTo>
                                <a:lnTo>
                                  <a:pt x="0" y="272"/>
                                </a:lnTo>
                                <a:lnTo>
                                  <a:pt x="2" y="287"/>
                                </a:lnTo>
                                <a:lnTo>
                                  <a:pt x="6" y="300"/>
                                </a:lnTo>
                                <a:lnTo>
                                  <a:pt x="10" y="314"/>
                                </a:lnTo>
                                <a:lnTo>
                                  <a:pt x="16" y="328"/>
                                </a:lnTo>
                                <a:lnTo>
                                  <a:pt x="22" y="340"/>
                                </a:lnTo>
                                <a:lnTo>
                                  <a:pt x="31" y="351"/>
                                </a:lnTo>
                                <a:lnTo>
                                  <a:pt x="41" y="363"/>
                                </a:lnTo>
                                <a:lnTo>
                                  <a:pt x="53" y="374"/>
                                </a:lnTo>
                                <a:lnTo>
                                  <a:pt x="66" y="385"/>
                                </a:lnTo>
                                <a:lnTo>
                                  <a:pt x="81" y="394"/>
                                </a:lnTo>
                                <a:lnTo>
                                  <a:pt x="97" y="401"/>
                                </a:lnTo>
                                <a:lnTo>
                                  <a:pt x="113" y="407"/>
                                </a:lnTo>
                                <a:lnTo>
                                  <a:pt x="129" y="412"/>
                                </a:lnTo>
                                <a:lnTo>
                                  <a:pt x="147" y="415"/>
                                </a:lnTo>
                                <a:lnTo>
                                  <a:pt x="163" y="416"/>
                                </a:lnTo>
                                <a:lnTo>
                                  <a:pt x="179" y="415"/>
                                </a:lnTo>
                                <a:lnTo>
                                  <a:pt x="193" y="414"/>
                                </a:lnTo>
                                <a:lnTo>
                                  <a:pt x="212" y="409"/>
                                </a:lnTo>
                                <a:lnTo>
                                  <a:pt x="235" y="401"/>
                                </a:lnTo>
                                <a:lnTo>
                                  <a:pt x="235" y="306"/>
                                </a:lnTo>
                                <a:lnTo>
                                  <a:pt x="228" y="314"/>
                                </a:lnTo>
                                <a:lnTo>
                                  <a:pt x="219" y="320"/>
                                </a:lnTo>
                                <a:lnTo>
                                  <a:pt x="212" y="326"/>
                                </a:lnTo>
                                <a:lnTo>
                                  <a:pt x="203" y="330"/>
                                </a:lnTo>
                                <a:lnTo>
                                  <a:pt x="194" y="334"/>
                                </a:lnTo>
                                <a:lnTo>
                                  <a:pt x="185" y="336"/>
                                </a:lnTo>
                                <a:lnTo>
                                  <a:pt x="175" y="338"/>
                                </a:lnTo>
                                <a:lnTo>
                                  <a:pt x="165" y="339"/>
                                </a:lnTo>
                                <a:lnTo>
                                  <a:pt x="158" y="338"/>
                                </a:lnTo>
                                <a:lnTo>
                                  <a:pt x="151" y="336"/>
                                </a:lnTo>
                                <a:lnTo>
                                  <a:pt x="143" y="335"/>
                                </a:lnTo>
                                <a:lnTo>
                                  <a:pt x="137" y="333"/>
                                </a:lnTo>
                                <a:lnTo>
                                  <a:pt x="129" y="330"/>
                                </a:lnTo>
                                <a:lnTo>
                                  <a:pt x="123" y="326"/>
                                </a:lnTo>
                                <a:lnTo>
                                  <a:pt x="117" y="323"/>
                                </a:lnTo>
                                <a:lnTo>
                                  <a:pt x="111" y="318"/>
                                </a:lnTo>
                                <a:lnTo>
                                  <a:pt x="104" y="311"/>
                                </a:lnTo>
                                <a:lnTo>
                                  <a:pt x="98" y="305"/>
                                </a:lnTo>
                                <a:lnTo>
                                  <a:pt x="93" y="299"/>
                                </a:lnTo>
                                <a:lnTo>
                                  <a:pt x="89" y="292"/>
                                </a:lnTo>
                                <a:lnTo>
                                  <a:pt x="87" y="283"/>
                                </a:lnTo>
                                <a:lnTo>
                                  <a:pt x="84" y="274"/>
                                </a:lnTo>
                                <a:lnTo>
                                  <a:pt x="83" y="265"/>
                                </a:lnTo>
                                <a:lnTo>
                                  <a:pt x="83" y="255"/>
                                </a:lnTo>
                                <a:lnTo>
                                  <a:pt x="83" y="247"/>
                                </a:lnTo>
                                <a:lnTo>
                                  <a:pt x="84" y="238"/>
                                </a:lnTo>
                                <a:lnTo>
                                  <a:pt x="87" y="229"/>
                                </a:lnTo>
                                <a:lnTo>
                                  <a:pt x="89" y="222"/>
                                </a:lnTo>
                                <a:lnTo>
                                  <a:pt x="93" y="214"/>
                                </a:lnTo>
                                <a:lnTo>
                                  <a:pt x="97" y="207"/>
                                </a:lnTo>
                                <a:lnTo>
                                  <a:pt x="102" y="201"/>
                                </a:lnTo>
                                <a:lnTo>
                                  <a:pt x="107" y="194"/>
                                </a:lnTo>
                                <a:lnTo>
                                  <a:pt x="112" y="189"/>
                                </a:lnTo>
                                <a:lnTo>
                                  <a:pt x="118" y="184"/>
                                </a:lnTo>
                                <a:lnTo>
                                  <a:pt x="126" y="181"/>
                                </a:lnTo>
                                <a:lnTo>
                                  <a:pt x="133" y="177"/>
                                </a:lnTo>
                                <a:lnTo>
                                  <a:pt x="141" y="174"/>
                                </a:lnTo>
                                <a:lnTo>
                                  <a:pt x="148" y="172"/>
                                </a:lnTo>
                                <a:lnTo>
                                  <a:pt x="157" y="171"/>
                                </a:lnTo>
                                <a:lnTo>
                                  <a:pt x="165" y="171"/>
                                </a:lnTo>
                                <a:lnTo>
                                  <a:pt x="175" y="171"/>
                                </a:lnTo>
                                <a:lnTo>
                                  <a:pt x="185" y="173"/>
                                </a:lnTo>
                                <a:lnTo>
                                  <a:pt x="195" y="176"/>
                                </a:lnTo>
                                <a:lnTo>
                                  <a:pt x="204" y="179"/>
                                </a:lnTo>
                                <a:lnTo>
                                  <a:pt x="213" y="184"/>
                                </a:lnTo>
                                <a:lnTo>
                                  <a:pt x="220" y="189"/>
                                </a:lnTo>
                                <a:lnTo>
                                  <a:pt x="228" y="197"/>
                                </a:lnTo>
                                <a:lnTo>
                                  <a:pt x="235" y="204"/>
                                </a:lnTo>
                                <a:lnTo>
                                  <a:pt x="23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1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DA3CF3" id="Group 24" o:spid="_x0000_s1026" style="position:absolute;margin-left:45pt;margin-top:36.75pt;width:177.15pt;height:43.65pt;z-index:251657728;mso-position-horizontal-relative:page;mso-position-vertical-relative:page" coordorigin="567,851" coordsize="2714,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G+eS0AAIAMAQAOAAAAZHJzL2Uyb0RvYy54bWzsfVFvJEeO5vsC9x8EPR5gd2VmZVZVY9qL&#10;sb0eLDC3a9zofoCsVreE7VZpq2S3Zxf73+9jBMmMUCXjy50d7AB39oNTajEYESSDwSAZjN/9/a+f&#10;P139cn86Px6f3l13X2+ur+6f7o7vH58+vrv+Pzc/fLW/vjq/3D69v/10fLp/d/3n+/P133/zP/7u&#10;d1+e3973x4fjp/f3pysgeTq//fL87vrh5eX57Zs357uH+8+356+Pz/dP+OOH4+nz7Qt+PX188/50&#10;+wXYP396028205svx9P759Px7v58xr9+n/94/U3C/+HD/d3LP3/4cL5/ufr07hpje0n/P6X//yT/&#10;f/PN727ffjzdPj883ukwbv+CUXy+fXxCp47q+9uX26ufT48XqD4/3p2O5+OHl6/vjp/fHD98eLy7&#10;T3PAbLrNq9n84XT8+TnN5ePbLx+fnUwg7Ss6/cVo7/7plx9PV4/vwTuQ5+n2M3iUur3qt0KcL88f&#10;3wLmD6fnPz3/eMozxI9/PN79y/nq6fjdw+3Tx/vfn59BaKCQFm9eN5HfP+b2Vz99+V/H9+ji9ueX&#10;Y6LXrx9OnwUrKHH1a2LLn50t97++XN3hH/t+e9hvxuurO/xtHLfDOGa+3T2AudJsnHbXV/jjfkxD&#10;uH179/AP1njXbXPLCUAyvtu3udM0UB2YTBQCeJ5pfP6v0fhPD7fP94l1Z6Gf0rh3Gv9vEAyk+3R/&#10;dchkTmBG43NI4Jnmp9Pxy8P97XsM1Ohe4JDpnMExSvGu70BZ0O6wUdoZ2afdlAnXjUkUnHC3b59P&#10;55c/3B8/X8kP765PmEzi5u0vfzy/ZBobiDD3fPz0+P6Hx0+f0i+njz999+l09cutLMnNrvv2O2VL&#10;BfbpSYCfjtIsY8z/gtGhD/mbjDMtsX8/dP12821/+OqHab/7avthO3512G32X226w7eHabM9bL//&#10;4T+0E2sP7mcKZdb/dHz/Z1DrdMR0wCRoNPzwcDz92/XVF2iHd9fnf/359nR/ffXpH59A8UO33Yo6&#10;Sb9sx50w9lT+5afyL7dPd0D17vrl+ir/+N1LVkE/P58ePz6gpy6R7+n4e6yLD4+JhDK+PKq0ppJ0&#10;/neJaWeqYBZTqAewQQYFcf4byKkt8a4bXslpN0BVJd3wm6D+/yao/YKgJvH42wlq1+9h80ChdsP0&#10;SlKnzWCCOqg6sv3P1OVvGlXU6/97GhUaKhtXP5zu78Wcver6/6xC/Yf3jy8/Hh+fXv6rW/5hOqiE&#10;dhcSio1MzKx+UxtLMKl+znu+bL22z8Pefa+78cf3OsEbYPjw+ROs6P/55mrsN1dfMNWNWdoOhS3G&#10;ofbbq4erLewQ7DCC0jBhdTvMOOwCTFhTDrXfL2MC+R1mHKMxwRByqG6zWUYFo8iBxjEaFOxRh+q6&#10;YH7QEw40jodgfuCVQ2HzWx6VWO8OBRs5wAV+z2Dddhcgqwi/DZGVlO+mgF5ifs8jGyLaixXqYN0U&#10;8LGrqL+ZomlW5N9FI6vovw1HVjKg3/TLNBML0McPYyUYWV8x4BCMrK8YsA+R1Qw4BCOrGHCIxKyv&#10;GLCNplkxIEZWMaALhLavGBBPs2RApCuGdfSH8TizaRqWKTZU5A8FYyjJPwZzHErqb6dIYoeS+v0m&#10;UBhDSf0Bym5Ztw4V9bdTMMuS+sNhiJCV1IfqXNTUchhy6R+2Ea5tSf1uF6ifbUn+PlSx25L8XaAw&#10;tiX5u12kyrYl+UNcJfX7LmLltqT+PhCLbUn8Hlp9mZPbkvjR5jaWxO+HMcAF38jMoy4SsbEifh8i&#10;q4gPWiyKBRwHc5ci1cuzhD9nBuu6QI+NFfnHSPjHkvwdqLE8sor+u4j+Y0l/uEqWkU0VA3aRYOA4&#10;UEwz2kimigG7iAFTyYB9oMimiv6h8plK+mPrWqTYVJO/D3gpnjjXBGNA/ami/hDiKqkfqZ5dRfxQ&#10;xnYl8UMFu6uIH+qxXUn8bhuIxa6kfmgR7EriR9uuuOKcqpGhsitJ3w3BMtqVtI8U9a6kfAfBWRSJ&#10;fUn6LuLivqR8F+3f+5LyQ6Qp9iXh4TEPxrWK8PuS8DjvBLhKyh+ipb0vSR/aiOIYcC6KnltWh/uK&#10;+PuA+IeK+OEOcqioH3HyUFK/C8l/KMkfStihJP8hUmCHkvwdltqiiB1K8u8jih1K8neRWXcoyb+L&#10;9o9DRf3w7IAT7cxL9LjMyg5O9Rms2wVWdbcp6T9GK6kT/9EsQOEhaVMyAColGlvFgTGQs25TsiA0&#10;hjs4DOaxRcq625Q82FxNG/x3NY0jLNtXh/9uUzKiDVqdfgloyRACWjKFgJaMIaAlcwhoySACWjKJ&#10;gJaMIqDrudWt51Z1VG4PoDouE9D13OrXc0tCC77iyADWc6tfz61+Pbeq4zQZ63puVQfrNtbqcE1A&#10;13OrOmYTrOu5VR24Cdb13KpO3gTr+rU1rOdWdRBvD6A6jBPQ9dyqTuUE63puVedzgnU9t6qTOsG6&#10;nlvVmb2NtTq5E9D1+1Z1hCdY12vC6ixPsK7XhNWhnmBdrwnH9dyqTvjtAVTHfALa5BYyKTxucvuQ&#10;UyYQYPn1SWMp+AmJAsjyuRF7SWIiz8ez5LlIbAXBmZsUtQEWAMpfS/hDBY91K/AWbbyEh+VU4seK&#10;FPgUiVnEjwBCCY+1JvAWK1rA31fw4IvAp5yXZfxDBS+GnTTIcarlFtu6hU65a8x5rFvopHP8abmP&#10;qW6h0+4a897VLXTisJJyMssCpWpOi5EkM4cFFLZ4xWudOaybqAWQltwT4yb1EfMb3VctdOawSsI+&#10;ao6LUZL6iGeOAZd9iMEhLXKexyI/MPCqhYl5Y+Y1z8Urn/pozLzmubjeU4vGzGueDzpz7N4hrWqe&#10;y+YtfWBnDlvUPBdXeWoRzxzkLGklDvHUIp45CF+10Jljt4xGhYBJ1UJnjp0wbFHzXDZCGVXO31vk&#10;OVhW9iGbXGrRmHnNc9nAUovGzGuey+aUWjRmXvNcNp7UojHzmueyqUiLnCuyPPOa5+IgTi3imUOQ&#10;SlqJGzi1iGcOkata6Mw9ZfJSX0H0qhY6c6QWRDyHaVi2EMetjAqe2bBFzXPxzqYWjZnXPBcXbGrR&#10;mHnNc/G0phYxz7EQqnnozOEzDedR81z8ptIHPKNhi5rn4h1NLeKZYwmVo9rrzOHljPrAYqta6Mzh&#10;ywxb1DzXRKcbOCzDFjXPxWkp84BXMmxR81w8k6lFY+Y1z8X9mFo0Zl7zXJyMqUVj5jXPxZWYWjRm&#10;XvMc+SS5ibgEw7nXXE9uQelGHH9RGyiQkosI7Fk/8fyhbOo2SgBx4hX9ZG2kRqkk+b7Ooj9dXyGL&#10;/idpAxv19kVsWfvx6gtS4CTx5+oBCV0wruQPn4+/3N8cE8iLGLQgBixlTHHwPW8G+fS0CNq5UjIA&#10;+z4rTrUgOKBuuJ0rLcNkX8MoZzqMsoPOyvQxAPsaoBwnEqAx2QDsa4ASJ0uAllttAPY1QFVhiJaT&#10;rlVHdPi2x2j5ib7QrUv7Wte6kjp82xjFZ47JaJoXxMYw2VcxmnD28Ck3MSY/sWB0M94w2dcwIo0u&#10;de12sgHY1wHzuuhhkLa7lhwj6Rq+HAKYWdjDObEOcLRVbGOzr49RMWKLJxh1jL53Gib7OkadNaJ+&#10;BKPSkQmFc4YJhfF6cH1nY7OvjnGj0jPgrNsc40blcUBKWRtQJXxgQrHRNTPAIdvGqKtw8EOJTcK+&#10;Nhld1wPM1TZG1RQDEzNcX0jyOOA80cao2mzwA4eNzb42RtWPs841APsa4IVyNoC7T8fzPUZzqdEP&#10;4gTG8tk6N2OFrjObQQ29fW0casBufXsyAPsaoMStU+eM+hLJTIBEoaewFgAHhCub1EdySGaTG0M2&#10;NvvqGDvxZwtGWIFtjHpUG2D2tgElf0YwUrUhiR4C6McsG5t9bYwu7mbfGIB9DXDtAupsSVKFrou8&#10;h4nVnrXaYD0s3SZgskEw655t3g7I9LQDsiXZ2RjdJ2P0s6/R0Wbtq8YA7GuAtnlTeXRzgFgiSIpL&#10;QkGNoE6lp0OGVZPgncpjtyVaFZeoctc5+tuwG3TNdExP2ypEcgUZo4SrIRS4TtQG3KimkH2vOeuN&#10;6p7ZVjfW2VdZuFFtNh8EDMC+BmhWZ86eD8ljKleOGK0hGtylvo3V+U7Sk2TxgAwZd6TOceHuFaRN&#10;x755Wjv1WXVEgi97NjyN0UoiSFJwphOi0e7huxXIS1pYL3m0cityDdxOsolEnggPJtUIDG6UrKkV&#10;45t0UbJ5TPtsMQ5+l9PmaV/lzgUF7e8x1QeJownVTS9ERN+q4YEsrpacjliTFT4bgn3zULeS2iTd&#10;NpFZn8QeG/RKTBvZxUxtRDFxxGaRUfa+V4TUMZXkrkDDbl+dt9wOAMaOwUkae4Jr2w9bW5DQSy22&#10;bE0dIRO0CWfqn+y3W4w/jQ8utyY+yTyVeZCD7dZuNblzyehmX6WfOh7ZadXw9UTzI6k/jQ8Z4WQe&#10;eb49MQa2Sr8eq6VJF+VHj82xDadHO7LLblVe2MF3q/I3S7TR175K5wvJt783Vouq0d55Ha4WM63I&#10;yXa0bQkbWYtKox37idSOck9G1jMSsJv49ByE+wsETqUH/tsmPjjIUr9YrW04HR+RitGkB/Np4pNr&#10;AzJfD48aF+2buT1qQKZHoYY2PtVKZPs3fB02rja+dVrE5sucgiOM1qRtcD5v9mtak/FNUoJEe7mD&#10;0+hmX6WfaWuyUY2SOyb4iB9rlIS8BEfkSs/4HeOv+pU7hORbdNmCr6lf4uLbusFEdh01QJm1vJUL&#10;ETJfYoBtNdTI4AZJvFuBz+CYAWZ2wFq4nvgRtpIKj/ExfKOeAxmc8WPWvCafsbbuNT0DuXRZJCJl&#10;3cntCwy2LTqd1HgBFMKuLQkzB4pHtmyg9s0L6mJw9ud4PhqXm0Ujmk8O5cxwhtq+eQQZqicblEL5&#10;+cpw2FdnkyjDXKRqNxO3Z6byQDYI9ToiaNtmRh4Yc5noCYF4qGAZiQCIMd7qVFXl4BFXo5V9M80k&#10;FVGwkZWkeQEDTj6tTuXOErBtPRRnndk3d+rLsj0F9XlvmfsBWjn1SrSzrQm9RB+6Cjrd9SmcHSvZ&#10;+Nzh2p5up2HcLXaRFpElMJR4Bvo04fT4PgBvE07TjwZy5BRbNvVLfK29WgcDsf56rIeEj6yLXhNG&#10;cGW2PQ9N+mCLtjcPL1EBvYUpyNmmV6mf3T8m7fZV9WRwRNkZPqY6O6xZod9aOJlPSw4MX8/CW/h7&#10;4hsLWqn1MnhiotHDvpkunbpxaCRK7u6JrmIOTk2BoXEo4y+xJsWHkPp174SN3746DwsxECvW9AuT&#10;Z7GGU7/wADf5hvFnOGITqFU8MHyaVknHJ1UrhB/ktGXR0BUxN6Vzex56qB2ww7XIoj5psT1bYLqI&#10;BhzYm2A611yRJtw7TJRxV62JTQ0aBCrWgJGFe2GSmVyaFYfhSuJJquvnGSj4x7JcTVVY7lzWn/v2&#10;++5bV5UV2G/15/6G9edg9LyulpT2x/9MVa+/YrUk9Vhscr5erjwohSlRjQfbVC6XZNJuBb1K+Vtd&#10;LqnrUWLgyxV8S2lhl7WQoC/9HppdX0+6pATCQB2ok2vby7hgmziY3tS8QAWd4DAIgssl0qVhgVMz&#10;GEo0ySXeC1yw6WagTbqiv4QLW6CDoYLRIiqYaQ5zSPfzlzCBKw6lhVkuBiVnVwc64Bbq8gTFPeJg&#10;+3x/9xJXSfh9KmSzNCyJazgulIdbnmJVMOmAe+nBwCrSa52Ry5GVtD+kGlOLIytpD4d3MLKS+jDN&#10;QpqV9Ee4eBmbbMVODZQkC+YpeRUOhiB1gKzkwGErl86X5ikHzAJZrh9wQbTq0uehD0dWcSASfrFM&#10;vMvDIDfFF0dWcgALLphmyYHDGCIrGYBb84tLSYJx88BQl2F5YOLHdjAtQXNBMTmRz0BTiKskf6R5&#10;xOSbcaFMSjCukvohrpL40z4SWPHRepdYJMv0Kmk/DVI/YImR1WVNrb10QS9J1fIOp3COYiU7WKQS&#10;xRE9A0ERLI9LvCEOFikySchwoBFlZQJcJe2x0SwTTM7KjmzqIuJL9NjBOtB1kfpVwaQp1aRbor74&#10;N2ZkWCCLyMQH7FDYbINpSujDweDDDJCV9J+gO5dpJh6BAlkupHUhGNUtyxG1PwJkFQMOAc2qy5VT&#10;qHqqikmh8q/uVE6pYtISA6r7lB2qii0yoLpKiaLNwTTldDrTTCsMXtBMfCMONaXCHksjqyomIZMo&#10;GFm5AuJVLn4W7zNU11XNpCm07eSw7shCktXqJ9rhJAjuuKDwFskvEXAHQgpJQP6qZpLWKrygvngk&#10;HNc21S5Zon5VMkmLAF3iKonfwFUSPzSGq5pJuSbd4sBK4sfISurDCxdRrKS+Fbi7mKYcap1kXapk&#10;tjQyOXA7WDgyie84VLiLi1vaobbBDid3hmagaOMV19cMFageSTdyINQ/XVZj4m1zKC1nc0mtkvSR&#10;QhRXh2NCCt6y3Nc1kyK7ri6Z1AczrEomhRaPeGrmcWnB1YspSvanQ4WqVSKrDoVszGCOJeW30W5U&#10;V0xCXcRFPSHuqLnHSEtLLGOGgjgv4hJX7gyW6ggtCb3EeWcwK8t1QbG6YlIo9nXFJCvMtYCtZABC&#10;3IG8pgjlPFVU+gumWvKgha6Uf6tVuDC6kg2pUOcy5So+dMERQgL4M4FhOC8vza46+KLQ6/JM5fqN&#10;EyQ8j0iW7QwWaX/USS6gUhnFxXlKTMz7DA++ks/jUO1qDRJMWgtasoJgLdnRBq2OwgS0XB4EtOQN&#10;AS35Q0BLJhHQklEEdD23fquIJNnwK+W1Oky3WfBbRaTquN0mVnXoJqDruVUdvwnW9WurOocTrOs1&#10;YXUgJ1jXa8LqZN7GWp3OCeh6TVgd0wnW9ZpQwqcrV2x1aCcDWM+t6vROsK7nVnWMb2OtjvIEdD23&#10;qjM9wbqeW9XhnmBdv29Vp3yCdb2VUZ3321irUz8BXW9lVOd/grWpCRG0XVsVC7ZdqiGwtioWDLwS&#10;HvKF2P6Npdxc1jbp6toNkByBtyzHBfi6bgNkQuAtOH8JD3uvHA+4LfCW8rQA/7peQ27gyScLLepK&#10;HXpL/sbTuRZa1JU6NAHixhPPFlrUlTo0gf4GxM6B/4UWdaUOkDlN3C/rLbSoOa3pG62qWDAPS9rq&#10;ZYUbv3Sx0EfN7TVVsWp+a/LJjadjXPaBYEs1Kp15H/MccZeyhV6dalXFQhCmamFiHss5DMmqhQq6&#10;5/MuzKPm+YqqWEBW9aEz90vqC33UPNdr7a2qWIjflH2IcSYLypPqFvqoeS6GV2oRr3EMuOpDFzmi&#10;F5G0Y+BVC505QhRhi5rnmqreqoqFqZZ9rKiKBaJULUy5xTMHcaoWOnO/2HJJXVTEqFrozP1KxUKL&#10;mucrqmKB8GUfmiB544mZC33UPF9TFavmuV70uvGcpcs+wLJqVDpzT2heaFHzXC+ntapigcllH5oS&#10;eAMPeyRXMGqrFspzvxK1MKqa5yuqYsHErfrQmXuO9kIfNc811atVFQsiV/ahVxtuPLl3oY+a52uq&#10;YtU813uzN544etnHqwpMekO/VRULxnA5jxVVsSDeVQvVcH5rYGFUNc+1wMCNX7taaFHzfEVVLBjK&#10;1aiU5568vdBHzfPkFBbFO1/vWWhTc31dVaya71aMBv3Eeg6LtJxNKnyfxxbreCzXuo2SQKrXR6sR&#10;YbWqjd6iQZFTK9VwSQMs8rqNCsBcv2ChTS0Byb2a5lPbdJIs6aVn/5IqX8lJm6t8Ze7O12Y0O3y0&#10;NGMj/gxh+ZwGqdZX+6YQSi5lOpOrQr3daiI1QvqLAdqwLM30stBNb/eme6z/zOpwVgbKCtj0o2Q7&#10;gUerAefObcT2VYJKKqFg9DVpf7evEV7NLAa3VRXaudI1RPZVhFvx067oWFLZ18AZDS9n3OAR3hVJ&#10;yHvPqw95ZKCMABvxOayYl8FRVlrHqwF7VGzJAmckt6+SvpeUmjVSJIWAVgH2et+G1Trrh5Vi1K+E&#10;M+LMDLS5Nri+0Tvfc82WiOso0JNJJZtKi6advZlKbomhqknWzL4z23jtm3mEzJhsRlM4PSRTOHlC&#10;RsQyhQ+h060/+2q/ezVo5g3XAOxrgHpnU7bBJmX2kj+EnjtyfwBPP2W7U4r0tDGqSuj8eGxjs6+N&#10;Uf0BHaSpjVEek5ExgjsEENFRASTFMLqdVh/pyI0n/B2+X8FIrqoBMHc9P71rs7Wvztor47hPwwDs&#10;64Cq/fywbQD2fQ1I9lNktChGCEeTjj5Gcn0fGPNOPpB72yBP7ppW/9v5tRcz22y29rVZ61V10VnN&#10;yez17jutm7aXODd4TSux7bWKxOCHNhubfXWMe0knFYzktnO392usdgw0TPY1jOIxBsYtveKmgsv2&#10;pe6gqmfLFMBBdRm9fWrKUe8SxNrsYBuYm7Q2W/vqrA96dqcXbg8qZuy+PKrHZMFldHTAgSnSA0yP&#10;xGv4XpvyeNDbtAPUXxvQ1oybP0YW+xp59IA/kJoz2Aazsqf1LQ+6Kwyk6gyKy6oCyHdeGry2O7oc&#10;MFs1tLTmwe6b0zGqb3twz6jRz75GRxUKdoHP1wwl+F6P4fRm6N7VHtvi1IIf3FFvk7CvaQoTCj+X&#10;GoB9HVAJ7odrA7CvAVqpJGJko+hLtmZ6UssJgLppkuMI9GMWXGY8AzAbZnKVurm4HBCer3WACMQT&#10;QB0ju43rs6YGktGRmlwS88Su0DPds1cHJbVS9lpXkpXZ6vZWOBEuqjZ5zJKCpLcBzTYjx37cCs+6&#10;p4Pp1cR40NIktAr3QS0AqarZxqgnfbwJSQA18kNrjx9UP3JA1bgcUL0sHbNSbFfo3KNsC9++ph/1&#10;njvMZzJrdzMwOuJgJIIrN/xbBIcYZiXVkROc79fIuGYYVXouiijEZ1OwO69x14Dh0XTSU7xDGi3t&#10;qzQ1OGqnWderAS96bsxrNOnz4Eg8MSsl5aA2I/vazBTwYhyv4AZ1bq+FYzXAuq0W514NSElq5FkN&#10;eNl1g/iD7oKdb+kh8QetADM7m42Y9lXii/WUFhYzWwd12VIXyqC6EUq3tVI7OQpKz8yV0WukhblG&#10;erVj2AEcfuzcL9HI8NKug9MiF2xf680DSswDXA7P/bY1HdwrqulIqSK8zqG680KBvZIFqdWbZIFZ&#10;B9jMMyCzN6wwCitjB4nWrpmNLrtZGiO8TE3xwr34DEhq8+BeY+YzHpRmGJXgbNPHXZ/cNTNMHNDD&#10;dcYR++oqNUBWdhGTUUOZnZRt1j2WNaGjmowQXwKYZ90zN5TYQsJC5mWGUKihjON/u2s9ACPAQwD1&#10;SC06oInR1kzvIX3jiH2VM70WYOyZTdRrukqfy0vEB+BeXTw986n1mtrQI7Dcnoy586iKUhu9J8YT&#10;lnP28dJXP6QSk/CaekWkEGICZKfQGZD4/RyQSbiPkXlFevOzMP9Ar3Sk9YJ65QwtQOSVvNgrNL3a&#10;NAM7hfbqU5Ni123pUcHlgHJhQXhNx6imBC/jZA4Z5rqVY2rqmnHGnmqgDhm4bjJGJj1yqMyCy3SP&#10;JOgLeZgCMGU/kNpK0I95QxqYCQVvR+qaOTHxnkLW4VtmDfaaarpFVkNbejRrknpkZdsQ8lCvsRXd&#10;44DuDCaeG6ndmbtmu4IKxZYpqcF85ZDLJnnMWGb1JrvBnJjUrLZVyOxg0TlZHong2lliYDGwwcrH&#10;sbCRHWRoAGVQf9XAAnpe2B+TahPc1gwzZyRmk8jjacu289vXTlAGyNbMoF3T/domQ22KwRytzEqR&#10;QpYyGWr3DLp9SMXKNh2V17KNEEC1SNmGJNtGGiPOU22MqimkmicBVEOTlUccYC2nrlkARZ4ryoBM&#10;7elhlL5sZ6fR3jPJTLzsa4amOayZ973Xoz/1yFr+iCj9Jh2RA5VmTV8INBuXeem6GZCpZs3soZ5E&#10;HyM7nCFZLE8GB8n2rPX8f+miueCMnobpoUJXoRzS2l1r8LbzVGrr0r4mFOZoZcvVTFeOUe1wDii1&#10;BaBS5CDZnMxg7gdGHluF1GE9IB6SumbuZdtnZoeZ0a/hZdtoWMHdjKGTzV41dUjDbl/lksFRr6B1&#10;vRrwoud4XocLd2w0r4O5WIjj1uAuBlFPf6fekJVgbLlZTsVaOEZLo8tauMt+Y5qjgFUS1N5tsYjm&#10;o5qgM6QR0b5ZliZz+pGj/GXPhqcxWrUm5sejotHaM1OMZju1eBjcpMYEEZFRy08TMHv7gfU6atVh&#10;CmdmLRwzLU03XdCP01wenMxa1A4KEc39HSWyKg2OEMmshJVgl1Jvc8ty6bqbjM7gGM2NLmvhLscX&#10;y7kEvxPNaRjFvIA0iqLnQppEqaucxlBARRkhM8zUU8iO/3rQowGUvKu6rjIO21d3M80RZmA4DaUp&#10;tK0DC+m1V5Z6G8k8NYRAJFpPlOz9RrW259xio4J9MzXMmCQREw0RsZRYeK+SYJJHf/S1A5SWbeoj&#10;9RjI85sttWXJtSxOouEUZsXpFKgZnmfKIiQammHxET3nsaORHoJZbCTPlEZG9ChIHAn+jFo7nKdu&#10;MhYT0RgiO3VrUJfFQ9QjybwCllNFvAwWZSCREKxiEXIaB9EcOxoG0WxT6lXRjIyeWE72xgqNgWgm&#10;BA2B6NqnERA96dK3JhzOLAbTSPZVPW1wzIFt42PRD5Upmhxp/kcWBlR+8NCHOrlZVMGSspmfSc9B&#10;LJyhYsrALL5FRqcbP4t46MmLparbPTsS7VAHBot1rBQU4ytiMq3tRKMhLMhhvue268ny58nOr0uR&#10;hTeUHiy44WGDtpdGY3wssKGJazRaoREsCqfxZgqnr2ex4dnj3DSkoYcgZpCLIS7qnQY07CkcZuPa&#10;AmP2ph6kBhI1N5OeBTPEHyvzEKd9S9ztMMFCGZYnwCIZ8mxs6pcEMnpbGtT8yPyQNyya8zB1TKIY&#10;1i/bbm0eLIbRq/nJEi38aiKxP8XhnswL4hE1/jJLStJDEz62reDYkeHa8oIbgRmOBS80ZIurlk2+&#10;4amEjI+FLjTcL/RuyYFcxkvzAB2bcHoMpHELXUc0c0m9xCxqoWRmMQuN07CIhW7yLF7hYO1ohXnE&#10;iVvaxsaOSBpDpu5wPWlfukBeGYTmOiQrSJzlIgE8SpEleUWkIOMjK7KzTFQW9FB7hfarEk8DFHax&#10;ldHFgjIscKRZQixkZTtHHJxAjthvj17tZIM4/ePTGe4wGCv45af0y3ZMf7l9uns4nt5dv1xf5R+/&#10;e8FvgPr5+fT48eEFcpxKajwdf//zy/HD44soNXlg6qfj+z//eNJfvpyfv/md/Ct+uPr186cn/PSM&#10;Hh9eXp7fvnlzvnu4/3x7/vrz493peD5+ePn67vj5zfHDh8e7+zdfjqf3b/pNt0k/PZ+Od/fn8+PT&#10;xz893D7fo299zerH09Xje4nAXz56lTS8gv3pWQZ1+/b8/Mfj3b+cr56O3z3cPn28//35+f4uzQb/&#10;9Fd/9Gqfo/jzm1eTWLd/xSevpq08WILa18neLx+zwunOS2Z2QVFxHBYcBiMLMEEdOVT0Ugw28xkm&#10;PaKyNCb4sBwKeerLRbHBSAfaDlJGfwkVdKlDxcX9C6AR/S2jAkccVTS/quo3EncCVLIVzLiCsvCS&#10;4uVAA3izPCwxuBwseglHXO4OBNsxwlVSPpxjSfk+1dFforxsY94lKvcvVzaHE8+B+ikU0pL2eMdk&#10;EZcoqhW4JL3fwVBNIUBWEr9PD7MtTVJOCzMyvGG1PLKS+kN6a2wRWUl96NoAWUl+3AoJWCnniXlk&#10;0RM94sp2KLxgGSEr6d9FT0jIFboZ2UYekViapvhQHQw3+JanWb11hXznCFnFgHBkJQNQ2iZCVjHg&#10;EDz9ALf/PH482RshKxkQvrAgrhMnBm4fR8hKBuD55mWaye48I8OTfMsMEI+jg4WPB0nUyqGQCBgh&#10;qxiAhbK4AiQQvwZZxYDwkaqSAcMY0Uwu9nmfSHkKRlYzINLYktQ1I+uiR6oqBqQnGJdWgFjGjix6&#10;9EG8ZQ6EJJ6A/lUl7Ug1SqByxtVFvBQfk4NFrxpJZM6BcAM/GldJ/eghNElNcVx9jKskfrQtyc0b&#10;x4WM62BcVYVsnO2WpULuJK1BVgp/9OCGXBOZcW3CgZXED+RLXKMFqsgkEB+gg0Uvc0oyhwOFy1sO&#10;XQ6Fd24WV7e4zR0oPeS4JPWSjOJQ0bs6cjdpBgp4KJEuBzoEyhDH+xko0vgSs3ZM4Vuhkkw6Q0Vq&#10;VTyqM1QkWRKJcKjQKhfz36Fwl3qZ7nL1waGwxpbV/asHrgIeVg9cdaG1KYdr77KLzApJGHAojD4Y&#10;WEX8KZpkSfz0XM2ScImb2nsMLRS5yupQ6ZnWRVwV8adgS5OcE8eVnkJdwiXJjA7VReY5nOsz1DZi&#10;pLguZ1zRhiYpHQ4VnkDEXe9QqNu5LGDieHOoKdqCxO/mUIdAdYnXzYHSk5eL5CpJj3cZF9VN/caV&#10;PAu4LF/1I1eHgI+p0KmPrF1aX5yka0FLNhCsJS8IaMkQAlpyhYCWvCGgJYPaoNVZmICWq4SAlkuF&#10;gK7nVnU+JljXc0uuz60Ul+q0TAawnlsSrFw5gOr03B5AdYImoOu5VR2lCdb1a0vCdGspsJ5b1eGa&#10;jHU9tyT0s3Ks1VG7PYDquE1A13NLshHWjnU9tyQBby3W9dySwMZarOu5JbegVmKtzuVtFlRncwK6&#10;nlsSslk71vXckgtja7Gu51Z1bCcUWM+t6vzexvq3eBwLoaa1r/IgLFnWKIcVimDhjUW9L+uTw2Yp&#10;4SE0Am/R5QX4uj49xEHgLfK6AF9XpwejBd6S4xbg69r0YKHAW3bEAvzruvS5gV8BXmjxqiq9Ttkj&#10;6gstXtWk10l7ouplCxg3JVX1onzrVR4MuGqhE/e8kIU+ak7LDi2k8qIvCy1e8Vpnjq015xIstKi5&#10;rZUBbrBthi1qfmvibOtVHhCnnLmmT994Vb2FUdU8l91OZu65Ngstap5r9tUNtqlwHjXP9TLKjef0&#10;XfYBBpTzED9wGlUs62BV1UJ57qmZC33UPJedQ/rAthDNA8wt+9DLBq1XecDkqoVKu6dQLoyq5rnm&#10;Ld946YqFFjXPNU//Bmo4nEfN8xWv8kCQynloeuGNJ9IvjKrmud7fuIHfMxoVRK/qQ3mOnIWwRc1z&#10;cXEKBz2r4nJUr16U0hJCN/BUhn3UPNcKSq1XeSDe5TxWvMqDhVC10Jn7BaOFedQ819tiN562vtCi&#10;5rmm37Ze5UG8pByVljJqvcqDxVa1UGn3LPnLUWHRVS1sS4t5juVZtVCeeyLSQh/1OtciJq1XeWDD&#10;lX2seJUHQZeqhc4cmW2RXEEFVC105nCuhS1qnq94lQdKo+xDr27deAnaBVrVPBdnmawov0+10KLm&#10;ud5yar3K8+pFKc04u/FCTJd9IIhTzUN57tefFlrUPI9e5YEtiLZ/PL8I+r/kpZjkWGu9FIP6UZmG&#10;foMpuvWIsBmODqA2yVqU+vwCxgqASRqiwLkMWo6cffXyxMUA7e/xtUIvJDc/XRLOyqqv0WxqK5Sw&#10;GnDu3EZsX52ZpOAIBYT7eVEZgH2NBHrLgANa1Vz45psY4X5e1/XGUvfYGI2Ol7OO+bRHnp8QoIcT&#10;JQ83YpNBMgrYmwVr4Rgzrd+1cKzYtdXtZfjgyYYfFKRhgFaDmN1WwzNccFKsELaD2hyMgkaZmXcm&#10;tDG/d+IulDHAxdnm986eDyEvHEyW6EuqO02aw82u+056c45chZiUSNgbWstsUlvXtycjkX3z+p7E&#10;1wWykHsVk57IGJgmFzMwzWkm9zlH3ZR997Oh2zdPYVSrhUkNMkVVCtsKalTNwC79jnoXpvPzuY3L&#10;vjo+ux3sJ2b7u30NTseHA0WLs6OyjF38HcXlKhLvJyrrz77ar975QBi13a+4xgUfyZC2Z81YVfRR&#10;7zDhqaB2vwZHJN7wIS+pjU81QU+usI12Z5dcnRx1bSBxhPSbt1xWGXXUK3ZMrVqVaalQ3JQXtZ16&#10;Py0a/+2rcqAnV3oP2AqO+onK8NhX8em6ZHd/JtUGYmy15jFpwQYp1NmE0ztR7G7SpL4WdhV4Uu+H&#10;VP1q9qtlXthVYNPM7CrwJM5irDd2FXhSHwVyc8n4FB+RZx8fnA6r5uu+KuO/fbMcTBKikHm4v8n+&#10;bl+DyyfDAfLa7Fd9fazA6KR6Y4D+beLTTYvC6d0kBjfqOY+Nb1S7gN0GHu2OJOSwNQ+ri8OuZo9q&#10;jbELwaPJH5GXUdfHwPSpVWcll4JNjw/kkYdRvaus7umo65LeC9YjEbsYbHYEK3pq/N2SqiCjXmZj&#10;d3knvdNI4XR9UDhdl2x8kx7D2N3gSe0mdmyYJCUO+mCLO5UteZ603svgvgzTF/ZVvWHrjVidO91n&#10;2N1gs/8H95tZf/bN/e402sLuBtvJQ6pvtua7s7u8xA7b6d1Mpid3av/Jm6vNfm0deQzI5mlfna/u&#10;l2zf2ik+tv/aPJh9sFN5ZneDd2aHUTrnaAYrbmr8ZfbVTvcPKaTZpLM6SMSX1YKbVB+wwqYT5F3W&#10;EbsbPFkRUvd0GF/tq+tI9Z+8PNEcn0ac5OZiE874QWqaTlZ2ldjtk2RyyXzJW4aT7jPscvCkd7rZ&#10;7eBJ9312PXiGa58/ZjhCZ3OokRvCk5bIkTrgTX6onLIbwpOW0mHnvMnPg6Rf1Vfspu6kciWFz5vz&#10;0PMMxad2MYdTfyQpYWr7G6WLrjfKD6uxyvaZC8+VrdvY27XVvXjmdeTddEjiZLV3FJiXxeCYFWD9&#10;roVjxXCsWvZaOHaKtEfnV8OR3dPGJxVAWtJtcDPnjNv2zdra6HcJF0uFVaY0/RTJRKceK3Igt6eM&#10;PHxjI7RvHmlvers5b+sTRkaLPFoHhngK8oK+GFdMmd58av44UkSbXncr5s2Vl+dktyLOS3s3grhC&#10;ReckbG3TwUIrDJtqZOJQ69Thwl4PV3uFlb1Uc569HK7BB1Yk0eJXxEkBm0zo1nnmismmfbOMetGJ&#10;tmCZpxQesJaQaoqURCNbYPp4BnsrPM+APcFp0SwiINmCIp4Ys4/b9qxCwavemqTaqMxnl8ZFnwXP&#10;XdJHwXX5Ez+6unfphpG96Ow5cAiYCBo75Mk9SQFjNp1OgQSo5U6VYMMJuMUDVUXMAdKZg4EEtKw4&#10;EH0CXBcfc0SYcqMPgMt1NEyX4tPiSsyx4a/XkAOKbQ6MfgbHDsi9ph4yOfZiYdAnLfbaPNir0V70&#10;jOhMORAlsSJ7sb0nRF/91pK8Ayt2Zc+8EPXkLyMxfOq4ouPTAwVznFpposHTOW0TsW/eTGx9MAdr&#10;pwcoxjcrxSSP/7TkQOpTJ76RQADu2Slc++CmFaoGnENb3epq64mbTk87rLS9GXgki0SNCZbzoEWY&#10;2PPeBuYZmMZQ+2bGGhhx9NjYiHjaTD0B2Tqzr3aalV6P7WoNF4hTRrcCZk2k24hQtczXglyRJErM&#10;hyJGn4gm86Hgxq/CtXe0Tn2C8rJoiypWxpc+5a3bN4tZ2ymFPuRt1cSIT6azOuQMTlUo8ymYSuaP&#10;eOe0jw6+ihb9rO4hr2KmuQGQ/SY+M41JbMe2SPp+t57b6PPdF+c7W2R2Jvytytq11lL7b6myhuJr&#10;H99++Yh6a3Ln6HT7/PB49/3ty235e6rK9va+Pz4cP72/P33zfwUAAAD//wMAUEsDBBQABgAIAAAA&#10;IQBDA5zo4AAAAAkBAAAPAAAAZHJzL2Rvd25yZXYueG1sTI9BS8NAFITvgv9heYI3uxuT1hqzKaWo&#10;p1KwFcTba/KahGbfhuw2Sf+960mPwwwz32SrybRioN41ljVEMwWCuLBlw5WGz8PbwxKE88gltpZJ&#10;w5UcrPLbmwzT0o78QcPeVyKUsEtRQ+19l0rpipoMupntiIN3sr1BH2RfybLHMZSbVj4qtZAGGw4L&#10;NXa0qak47y9Gw/uI4zqOXoft+bS5fh/mu69tRFrf303rFxCeJv8Xhl/8gA55YDraC5dOtBqeVbji&#10;NTzFcxDBT5IkBnEMwYVagswz+f9B/gMAAP//AwBQSwECLQAUAAYACAAAACEAtoM4kv4AAADhAQAA&#10;EwAAAAAAAAAAAAAAAAAAAAAAW0NvbnRlbnRfVHlwZXNdLnhtbFBLAQItABQABgAIAAAAIQA4/SH/&#10;1gAAAJQBAAALAAAAAAAAAAAAAAAAAC8BAABfcmVscy8ucmVsc1BLAQItABQABgAIAAAAIQCJxjG+&#10;eS0AAIAMAQAOAAAAAAAAAAAAAAAAAC4CAABkcnMvZTJvRG9jLnhtbFBLAQItABQABgAIAAAAIQBD&#10;A5zo4AAAAAkBAAAPAAAAAAAAAAAAAAAAANMvAABkcnMvZG93bnJldi54bWxQSwUGAAAAAAQABADz&#10;AAAA4DAAAAAA&#10;">
                <o:lock v:ext="edit" aspectratio="t"/>
                <v:rect id="Rectangle 9" o:spid="_x0000_s1027" style="position:absolute;left:1215;top:901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6BEwAAAANsAAAAPAAAAZHJzL2Rvd25yZXYueG1sRE/Pa8Iw&#10;FL4P/B/CE3ab6TzMUo0iGwNBd7AVen1r3tpg81Ka2Nb/fjkIHj++35vdZFsxUO+NYwXviwQEceW0&#10;4VrBpfh+S0H4gKyxdUwK7uRht529bDDTbuQzDXmoRQxhn6GCJoQuk9JXDVn0C9cRR+7P9RZDhH0t&#10;dY9jDLetXCbJh7RoODY02NFnQ9U1v1kFRp5Gm/+UXy65dYUpV7+pD0elXufTfg0i0BSe4of7oBUs&#10;4/r4Jf4Auf0HAAD//wMAUEsBAi0AFAAGAAgAAAAhANvh9svuAAAAhQEAABMAAAAAAAAAAAAAAAAA&#10;AAAAAFtDb250ZW50X1R5cGVzXS54bWxQSwECLQAUAAYACAAAACEAWvQsW78AAAAVAQAACwAAAAAA&#10;AAAAAAAAAAAfAQAAX3JlbHMvLnJlbHNQSwECLQAUAAYACAAAACEAKGugRMAAAADbAAAADwAAAAAA&#10;AAAAAAAAAAAHAgAAZHJzL2Rvd25yZXYueG1sUEsFBgAAAAADAAMAtwAAAPQCAAAAAA==&#10;" fillcolor="#0071bc" stroked="f">
                  <o:lock v:ext="edit" aspectratio="t"/>
                </v:rect>
                <v:rect id="Rectangle 10" o:spid="_x0000_s1028" style="position:absolute;left:567;top:1131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XfxAAAANsAAAAPAAAAZHJzL2Rvd25yZXYueG1sRI/BasMw&#10;EETvhf6D2EBvjZQcWuNGCSElEGh6qF3IdWNtbBFrZSzFdv8+KhR6HGbmDbPaTK4VA/XBetawmCsQ&#10;xJU3lmsN3+X+OQMRIrLB1jNp+KEAm/Xjwwpz40f+oqGItUgQDjlqaGLscilD1ZDDMPcdcfIuvncY&#10;k+xraXocE9y1cqnUi3RoOS002NGuoepa3JwGK4+jKz5P717dutKeXs9ZiB9aP82m7RuISFP8D/+1&#10;D0bDcgG/X9IPkOs7AAAA//8DAFBLAQItABQABgAIAAAAIQDb4fbL7gAAAIUBAAATAAAAAAAAAAAA&#10;AAAAAAAAAABbQ29udGVudF9UeXBlc10ueG1sUEsBAi0AFAAGAAgAAAAhAFr0LFu/AAAAFQEAAAsA&#10;AAAAAAAAAAAAAAAAHwEAAF9yZWxzLy5yZWxzUEsBAi0AFAAGAAgAAAAhAEcnBd/EAAAA2wAAAA8A&#10;AAAAAAAAAAAAAAAABwIAAGRycy9kb3ducmV2LnhtbFBLBQYAAAAAAwADALcAAAD4AgAAAAA=&#10;" fillcolor="#0071bc" stroked="f">
                  <o:lock v:ext="edit" aspectratio="t"/>
                </v:rect>
                <v:rect id="Rectangle 11" o:spid="_x0000_s1029" style="position:absolute;left:1288;top:1361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ZuowwAAANsAAAAPAAAAZHJzL2Rvd25yZXYueG1sRI/NasMw&#10;EITvhb6D2EJvjVwfmuBECSGlUGhziB3wdWNtbBFrZSz5p29fFQo5DjPzDbPZzbYVI/XeOFbwukhA&#10;EFdOG64VnIuPlxUIH5A1to5JwQ952G0fHzaYaTfxicY81CJC2GeooAmhy6T0VUMW/cJ1xNG7ut5i&#10;iLKvpe5xinDbyjRJ3qRFw3GhwY4ODVW3fLAKjPyebH4s310ydIUpl5eVD19KPT/N+zWIQHO4h//b&#10;n1pBmsLfl/gD5PYXAAD//wMAUEsBAi0AFAAGAAgAAAAhANvh9svuAAAAhQEAABMAAAAAAAAAAAAA&#10;AAAAAAAAAFtDb250ZW50X1R5cGVzXS54bWxQSwECLQAUAAYACAAAACEAWvQsW78AAAAVAQAACwAA&#10;AAAAAAAAAAAAAAAfAQAAX3JlbHMvLnJlbHNQSwECLQAUAAYACAAAACEAt/WbqMMAAADbAAAADwAA&#10;AAAAAAAAAAAAAAAHAgAAZHJzL2Rvd25yZXYueG1sUEsFBgAAAAADAAMAtwAAAPcCAAAAAA==&#10;" fillcolor="#0071bc" stroked="f">
                  <o:lock v:ext="edit" aspectratio="t"/>
                </v:rect>
                <v:shape id="Freeform 12" o:spid="_x0000_s1030" style="position:absolute;left:1969;top:1311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LmswQAAANsAAAAPAAAAZHJzL2Rvd25yZXYueG1sRI9Bi8Iw&#10;FITvwv6H8ARvmlpElq5Riqzsiqet9f5o3jbF5qU0Ueu/N4LgcZiZb5jVZrCtuFLvG8cK5rMEBHHl&#10;dMO1gvK4m36C8AFZY+uYFNzJw2b9MVphpt2N/+hahFpECPsMFZgQukxKXxmy6GeuI47ev+sthij7&#10;WuoebxFuW5kmyVJabDguGOxoa6g6Fxer4DsnQ3nZbQvet6ef0/mQNvuDUpPxkH+BCDSEd/jV/tUK&#10;0gU8v8QfINcPAAAA//8DAFBLAQItABQABgAIAAAAIQDb4fbL7gAAAIUBAAATAAAAAAAAAAAAAAAA&#10;AAAAAABbQ29udGVudF9UeXBlc10ueG1sUEsBAi0AFAAGAAgAAAAhAFr0LFu/AAAAFQEAAAsAAAAA&#10;AAAAAAAAAAAAHwEAAF9yZWxzLy5yZWxzUEsBAi0AFAAGAAgAAAAhADWAuazBAAAA2w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  <v:path arrowok="t" o:connecttype="custom" o:connectlocs="260,42;269,44;275,50;279,57;280,65;277,73;272,80;265,84;253,85;270,101;284,95;294,84;300,71;300,55;294,42;284,31;270,25;233,102;194,73;197,25;172,88;129,9;87,9;108,40;116,44;118,52;113,58;102,59;129,67;136,60;138,51;138,41;133,33;126,27;116,25;102,102;122,70;34,21;0,69;2,83;6,92;17,100;34,103;48,101;60,93;66,83;67,69;48,71;45,81;39,85;32,86;26,84;21,78;20,25" o:connectangles="0,0,0,0,0,0,0,0,0,0,0,0,0,0,0,0,0,0,0,0,0,0,0,0,0,0,0,0,0,0,0,0,0,0,0,0,0,0,0,0,0,0,0,0,0,0,0,0,0,0,0,0,0,0"/>
                  <o:lock v:ext="edit" aspectratio="t" verticies="t"/>
                </v:shape>
                <v:shape id="Freeform 13" o:spid="_x0000_s1031" style="position:absolute;left:1962;top:1081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sR3xgAAANsAAAAPAAAAZHJzL2Rvd25yZXYueG1sRI9Ba8JA&#10;FITvhf6H5RW8iG60WErqKkURRCuo0YO3R/Y1Cc2+DburSf+9WxB6HGbmG2Y670wtbuR8ZVnBaJiA&#10;IM6trrhQcMpWg3cQPiBrrC2Tgl/yMJ89P00x1bblA92OoRARwj5FBWUITSqlz0sy6Ie2IY7et3UG&#10;Q5SukNphG+GmluMkeZMGK44LJTa0KCn/OV6NgkVWn93rV7s9uP5yvbnsCpnt9kr1XrrPDxCBuvAf&#10;frTXWsF4An9f4g+QszsAAAD//wMAUEsBAi0AFAAGAAgAAAAhANvh9svuAAAAhQEAABMAAAAAAAAA&#10;AAAAAAAAAAAAAFtDb250ZW50X1R5cGVzXS54bWxQSwECLQAUAAYACAAAACEAWvQsW78AAAAVAQAA&#10;CwAAAAAAAAAAAAAAAAAfAQAAX3JlbHMvLnJlbHNQSwECLQAUAAYACAAAACEAj2rEd8YAAADbAAAA&#10;DwAAAAAAAAAAAAAAAAAHAgAAZHJzL2Rvd25yZXYueG1sUEsFBgAAAAADAAMAtwAAAPoC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  <v:path arrowok="t" o:connecttype="custom" o:connectlocs="611,102;583,25;536,69;502,27;472,26;450,41;444,68;454,91;480,104;500,79;485,85;473,81;465,69;467,54;477,45;492,44;432,25;401,25;340,30;319,23;301,27;291,41;292,58;305,69;322,77;319,86;304,85;293,99;317,104;336,97;344,80;339,63;319,54;311,47;318,40;333,45;226,42;226,102;172,102;167,89;79,102;42,25;21,24;7,34;3,52;10,64;32,74;36,83;24,87;9,79;20,104;42,101;55,88;55,68;47,59;25,50;27,42;38,41" o:connectangles="0,0,0,0,0,0,0,0,0,0,0,0,0,0,0,0,0,0,0,0,0,0,0,0,0,0,0,0,0,0,0,0,0,0,0,0,0,0,0,0,0,0,0,0,0,0,0,0,0,0,0,0,0,0,0,0,0,0"/>
                  <o:lock v:ext="edit" aspectratio="t" verticies="t"/>
                </v:shape>
                <v:shape id="Freeform 14" o:spid="_x0000_s1032" style="position:absolute;left:1962;top:851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aBwwAAANsAAAAPAAAAZHJzL2Rvd25yZXYueG1sRI9Pa8JA&#10;FMTvQr/D8gq9SN3Ug0iaVVol1VvxD56f2WcSzL6Nu1sTv31XEDwOM78ZJpv3phFXcr62rOBjlIAg&#10;LqyuuVSw3+XvUxA+IGtsLJOCG3mYz14GGabadryh6zaUIpawT1FBFUKbSumLigz6kW2Jo3eyzmCI&#10;0pVSO+xiuWnkOEkm0mDNcaHClhYVFeftn1EwnhyOq3xdfv82P5eh06dlPuyWSr299l+fIAL14Rl+&#10;0Gt95+D+Jf4AOfsHAAD//wMAUEsBAi0AFAAGAAgAAAAhANvh9svuAAAAhQEAABMAAAAAAAAAAAAA&#10;AAAAAAAAAFtDb250ZW50X1R5cGVzXS54bWxQSwECLQAUAAYACAAAACEAWvQsW78AAAAVAQAACwAA&#10;AAAAAAAAAAAAAAAfAQAAX3JlbHMvLnJlbHNQSwECLQAUAAYACAAAACEAxgSWgcMAAADbAAAADwAA&#10;AAAAAAAAAAAAAAAHAgAAZHJzL2Rvd25yZXYueG1sUEsFBgAAAAADAAMAtwAAAPcC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  <v:path arrowok="t" o:connecttype="custom" o:connectlocs="321,9;340,25;291,65;216,102;265,25;175,27;159,23;145,25;136,32;131,44;131,56;136,65;154,72;162,77;161,84;153,87;142,84;130,98;147,104;163,103;176,97;183,86;183,69;178,62;165,56;152,50;152,44;158,40;166,41;116,25;93,85;93,42;53,1;54,26;33,24;15,33;3,48;0,68;6,85;21,99;41,104;59,77;49,84;38,84;30,81;23,73;21,62;25,52;32,46;42,43;54,46" o:connectangles="0,0,0,0,0,0,0,0,0,0,0,0,0,0,0,0,0,0,0,0,0,0,0,0,0,0,0,0,0,0,0,0,0,0,0,0,0,0,0,0,0,0,0,0,0,0,0,0,0,0,0"/>
                  <o:lock v:ext="edit" aspectratio="t" verticies="t"/>
                </v:shape>
                <w10:wrap type="square" anchorx="page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4C1412AA" wp14:editId="391CEEE8">
                <wp:simplePos x="0" y="0"/>
                <wp:positionH relativeFrom="page">
                  <wp:posOffset>1705610</wp:posOffset>
                </wp:positionH>
                <wp:positionV relativeFrom="page">
                  <wp:posOffset>8173085</wp:posOffset>
                </wp:positionV>
                <wp:extent cx="5130165" cy="925195"/>
                <wp:effectExtent l="0" t="0" r="0" b="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15D23" w14:textId="77777777" w:rsidR="009728D1" w:rsidRDefault="009728D1" w:rsidP="004924DC">
                            <w:r>
                              <w:t>Zpracoval: o</w:t>
                            </w:r>
                            <w:r w:rsidRPr="006C5577">
                              <w:t>dbor</w:t>
                            </w:r>
                            <w:r>
                              <w:t xml:space="preserve"> Kancelář předsedy</w:t>
                            </w:r>
                          </w:p>
                          <w:p w14:paraId="0A5F00A7" w14:textId="77777777" w:rsidR="009728D1" w:rsidRPr="006C5577" w:rsidRDefault="009728D1" w:rsidP="004924DC">
                            <w:r w:rsidRPr="006C5577">
                              <w:t xml:space="preserve">Ředitel odboru: </w:t>
                            </w:r>
                            <w:proofErr w:type="spellStart"/>
                            <w:r>
                              <w:t>Egor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Sidorov</w:t>
                            </w:r>
                            <w:proofErr w:type="spellEnd"/>
                            <w:r>
                              <w:t>, Ph.D.</w:t>
                            </w:r>
                          </w:p>
                          <w:p w14:paraId="79A8C0BC" w14:textId="77777777" w:rsidR="009728D1" w:rsidRPr="006C5577" w:rsidRDefault="009728D1" w:rsidP="004924DC">
                            <w:r w:rsidRPr="006C5577">
                              <w:t xml:space="preserve">Kontaktní osoba: </w:t>
                            </w:r>
                            <w:r>
                              <w:t>Jiří Kamenický</w:t>
                            </w:r>
                            <w:r w:rsidRPr="006C5577">
                              <w:t>,</w:t>
                            </w:r>
                            <w:r>
                              <w:t xml:space="preserve"> e-mail: jiri.kamenicky@czso.cz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412A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4.3pt;margin-top:643.55pt;width:403.95pt;height:72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5fPSAIAADoEAAAOAAAAZHJzL2Uyb0RvYy54bWysU9tu2zAMfR+wfxD07vhSJ42NOkWbNMOA&#10;7gK0+wBFlmNjtqhJSuys2AftO/Zjo+Qky7a3YS8CJZGH5Dnkze3QtWQvtGlAFjSeRJQIyaFs5Lag&#10;n57XwZwSY5ksWQtSFPQgDL1dvH5106tcJFBDWwpNEESavFcFra1VeRgaXouOmQkoIfGzAt0xi1e9&#10;DUvNekTv2jCJolnYgy6VBi6MwdfV+EkXHr+qBLcfqsoIS9qCYm3Wn9qfG3eGixuWbzVTdcOPZbB/&#10;qKJjjcSkZ6gVs4zsdPMXVNdwDQYqO+HQhVBVDRe+B+wmjv7o5qlmSvhekByjzjSZ/wfL3+8/atKU&#10;Bc0okaxDiZ7FYGH/4ztR0AqSOIp6ZXL0fFLoa4d7GFBq365Rj8A/GyJhWTO5FXdaQ18LVmKJsYsM&#10;L0JHHONANv07KDEX21nwQEOlO8cfMkIQHaU6nOXBegjHx2l8FcWzKSUc/7JkGmdTn4Llp2iljX0j&#10;oCPOKKhG+T062z8a66ph+cnFJZOwbtrWj0Arf3tAx/EFc2Oo+3NVeEVfsih7mD/M0yBNZg9BGpVl&#10;cLdepsFsHV9PV1er5XIVfxsn6yIoTtLoPsmC9Wx+HaRVOg2y62geRHF2n82iNEtXax+EqU9JPXmO&#10;r5E5O2yGoxgbKA9Io4ZxoHEB0ahBf6Wkx2EuqPmyY1pQ0r6VKIWb/JOhT8bmZDDJMbSglpLRXNpx&#10;Q3ZKN9sakUexJdyhXFXjmXS6jlUcRcYB9QQfl8ltwOXde/1a+cVPAAAA//8DAFBLAwQUAAYACAAA&#10;ACEAVPeuaeIAAAAOAQAADwAAAGRycy9kb3ducmV2LnhtbEyPwU7DMAyG70i8Q2QkbixZga6UptOE&#10;4ISE6MqBY9pkbbTGKU22lbfHO42brf/T78/FenYDO5opWI8SlgsBzGDrtcVOwlf9dpcBC1GhVoNH&#10;I+HXBFiX11eFyrU/YWWO29gxKsGQKwl9jGPOeWh741RY+NEgZTs/ORVpnTquJ3WicjfwRIiUO2WR&#10;LvRqNC+9affbg5Ow+cbq1f58NJ/VrrJ1/STwPd1LeXszb56BRTPHCwxnfVKHkpwaf0Ad2CAhSbOU&#10;UAqSbLUEdkbEKn0E1tD0cJ9kwMuC/3+j/AMAAP//AwBQSwECLQAUAAYACAAAACEAtoM4kv4AAADh&#10;AQAAEwAAAAAAAAAAAAAAAAAAAAAAW0NvbnRlbnRfVHlwZXNdLnhtbFBLAQItABQABgAIAAAAIQA4&#10;/SH/1gAAAJQBAAALAAAAAAAAAAAAAAAAAC8BAABfcmVscy8ucmVsc1BLAQItABQABgAIAAAAIQBc&#10;95fPSAIAADoEAAAOAAAAAAAAAAAAAAAAAC4CAABkcnMvZTJvRG9jLnhtbFBLAQItABQABgAIAAAA&#10;IQBU965p4gAAAA4BAAAPAAAAAAAAAAAAAAAAAKIEAABkcnMvZG93bnJldi54bWxQSwUGAAAAAAQA&#10;BADzAAAAsQUAAAAA&#10;" filled="f" stroked="f">
                <v:textbox inset="0,0,0,0">
                  <w:txbxContent>
                    <w:p w14:paraId="77015D23" w14:textId="77777777" w:rsidR="009728D1" w:rsidRDefault="009728D1" w:rsidP="004924DC">
                      <w:r>
                        <w:t>Zpracoval: o</w:t>
                      </w:r>
                      <w:r w:rsidRPr="006C5577">
                        <w:t>dbor</w:t>
                      </w:r>
                      <w:r>
                        <w:t xml:space="preserve"> Kancelář předsedy</w:t>
                      </w:r>
                    </w:p>
                    <w:p w14:paraId="0A5F00A7" w14:textId="77777777" w:rsidR="009728D1" w:rsidRPr="006C5577" w:rsidRDefault="009728D1" w:rsidP="004924DC">
                      <w:r w:rsidRPr="006C5577">
                        <w:t xml:space="preserve">Ředitel odboru: </w:t>
                      </w:r>
                      <w:r>
                        <w:t>Egor Sidorov, Ph.D.</w:t>
                      </w:r>
                    </w:p>
                    <w:p w14:paraId="79A8C0BC" w14:textId="77777777" w:rsidR="009728D1" w:rsidRPr="006C5577" w:rsidRDefault="009728D1" w:rsidP="004924DC">
                      <w:r w:rsidRPr="006C5577">
                        <w:t xml:space="preserve">Kontaktní osoba: </w:t>
                      </w:r>
                      <w:r>
                        <w:t>Jiří Kamenický</w:t>
                      </w:r>
                      <w:r w:rsidRPr="006C5577">
                        <w:t>,</w:t>
                      </w:r>
                      <w:r>
                        <w:t xml:space="preserve"> e-mail: jiri.kamenicky@czso.cz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26060A62" wp14:editId="50C90BBF">
                <wp:simplePos x="0" y="0"/>
                <wp:positionH relativeFrom="page">
                  <wp:posOffset>1710055</wp:posOffset>
                </wp:positionH>
                <wp:positionV relativeFrom="page">
                  <wp:posOffset>4680585</wp:posOffset>
                </wp:positionV>
                <wp:extent cx="5129530" cy="1686560"/>
                <wp:effectExtent l="0" t="0" r="0" b="0"/>
                <wp:wrapNone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B6B73" w14:textId="77777777" w:rsidR="009728D1" w:rsidRPr="00DC639E" w:rsidRDefault="009728D1" w:rsidP="004924DC">
                            <w:pPr>
                              <w:pStyle w:val="TLIdentifikace-sted"/>
                            </w:pPr>
                            <w:r w:rsidRPr="00DC639E">
                              <w:t>Souhrnná data o České republice</w:t>
                            </w:r>
                          </w:p>
                          <w:p w14:paraId="52A617E8" w14:textId="7736C3C8" w:rsidR="009728D1" w:rsidRPr="00AC15AE" w:rsidRDefault="009728D1" w:rsidP="004924DC">
                            <w:pPr>
                              <w:pStyle w:val="TLIdentifikace-sted"/>
                            </w:pPr>
                            <w:r w:rsidRPr="00AC15AE">
                              <w:t>Praha, 28. 12. 2020</w:t>
                            </w:r>
                          </w:p>
                          <w:p w14:paraId="48F0064F" w14:textId="0DC71148" w:rsidR="009728D1" w:rsidRPr="00AC15AE" w:rsidRDefault="009728D1" w:rsidP="004924DC">
                            <w:pPr>
                              <w:pStyle w:val="TLIdentifikace-sted"/>
                            </w:pPr>
                            <w:r w:rsidRPr="00AC15AE">
                              <w:t xml:space="preserve">Kód publikace: </w:t>
                            </w:r>
                            <w:r w:rsidRPr="00AC15AE">
                              <w:rPr>
                                <w:rStyle w:val="content"/>
                                <w:rFonts w:eastAsia="MS Gothic" w:cs="Arial"/>
                              </w:rPr>
                              <w:t>320329-20</w:t>
                            </w:r>
                          </w:p>
                          <w:p w14:paraId="3B2ED52C" w14:textId="7C4DAED1" w:rsidR="009728D1" w:rsidRPr="0096090E" w:rsidRDefault="009728D1" w:rsidP="004924DC">
                            <w:pPr>
                              <w:pStyle w:val="TLIdentifikace-sted"/>
                            </w:pPr>
                            <w:r w:rsidRPr="0096090E">
                              <w:t>Č. j.: CSU-016755/2020-01</w:t>
                            </w:r>
                          </w:p>
                          <w:p w14:paraId="0EB4D5F9" w14:textId="77777777" w:rsidR="009728D1" w:rsidRPr="00DC639E" w:rsidRDefault="009728D1" w:rsidP="004924DC">
                            <w:pPr>
                              <w:pStyle w:val="TLIdentifikace-sted"/>
                              <w:rPr>
                                <w:color w:val="0D0D0D" w:themeColor="text1" w:themeTint="F2"/>
                              </w:rPr>
                            </w:pPr>
                            <w:r w:rsidRPr="00DC639E">
                              <w:rPr>
                                <w:color w:val="0D0D0D" w:themeColor="text1" w:themeTint="F2"/>
                              </w:rPr>
                              <w:t>Pořadové číslo v roce: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60A62" id="_x0000_s1027" type="#_x0000_t202" style="position:absolute;left:0;text-align:left;margin-left:134.65pt;margin-top:368.55pt;width:403.9pt;height:132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rYSQIAAEMEAAAOAAAAZHJzL2Uyb0RvYy54bWysU9tu2zAMfR+wfxD07vpSx42NOEWa1MOA&#10;7gK0+wDFlmNjtqhJSuxu2AftO/Zjo+S47ba3YS8CJZGH5Dnk6nrsO3LiSrcgchpeBJRwUULVikNO&#10;Pz0U3pISbZioWAeC5/SRa3q9fv1qNciMR9BAV3FFEETobJA5bYyRme/rsuE90xcgucDPGlTPDF7V&#10;wa8UGxC97/woCBJ/AFVJBSXXGl930yddO/y65qX5UNeaG9LlFGsz7lTu3NvTX69YdlBMNm15LoP9&#10;QxU9awUmfYLaMcPIUbV/QfVtqUBDbS5K6H2o67bkrgfsJgz+6Oa+YZK7XpAcLZ9o0v8Ptnx/+qhI&#10;W+X0EukRrEeNHvho4PTzB5HQcRJZjgapM3S9l+hsxhsYUWvXr5Z3UH7WRMC2YeLAN0rB0HBWYY2h&#10;jfRfhE442oLsh3dQYS52NOCAxlr1lkCkhCA6FvP4pA/WQ0p8XIRRurB1lvgXJstkkTgFfZbN4VJp&#10;84ZDT6yRU4UD4ODZ6U4bWw7LZhebTUDRdp0bgk789oCO0wsmx1D7Z8twmn5Lg/R2ebuMvThKbr04&#10;qCpvU2xjLynCq8Xucrfd7sLv02y9CAqjOLiJUq9IlldeXMcLL70Kll4QpjdpEsRpvCtcEKaekzr2&#10;LGETdWbcj04sR61ldg/VI9KpYJps3EQ0GlBfKRlwqnOqvxyZ4pR0bwVKYldgNtRs7GeDiRJDc2oo&#10;mcytmVblKFV7aBB5Fn2DshWtI/S5irPYOKmO5/NW2VV4eXdez7u//gUAAP//AwBQSwMEFAAGAAgA&#10;AAAhAOihwvreAAAADQEAAA8AAABkcnMvZG93bnJldi54bWxMj7FOwzAQhnck3sE6JBZEbadSQkOc&#10;CiFY2GhZ2Nz4SCLscxS7SejT40yw/af79N931X5xlk04ht6TArkRwJAab3pqFXwcX+8fgIWoyWjr&#10;CRX8YIB9fX1V6dL4md5xOsSWpRIKpVbQxTiUnIemQ6fDxg9IafflR6djGseWm1HPqdxZngmRc6d7&#10;Shc6PeBzh8334ewU5MvLcPe2w2y+NHaiz4uUEaVStzfL0yOwiEv8g2HVT+pQJ6eTP5MJzCrI8t02&#10;oQqKbSGBrYQo1nRak8gK4HXF/39R/wIAAP//AwBQSwECLQAUAAYACAAAACEAtoM4kv4AAADhAQAA&#10;EwAAAAAAAAAAAAAAAAAAAAAAW0NvbnRlbnRfVHlwZXNdLnhtbFBLAQItABQABgAIAAAAIQA4/SH/&#10;1gAAAJQBAAALAAAAAAAAAAAAAAAAAC8BAABfcmVscy8ucmVsc1BLAQItABQABgAIAAAAIQDpRrrY&#10;SQIAAEMEAAAOAAAAAAAAAAAAAAAAAC4CAABkcnMvZTJvRG9jLnhtbFBLAQItABQABgAIAAAAIQDo&#10;ocL63gAAAA0BAAAPAAAAAAAAAAAAAAAAAKMEAABkcnMvZG93bnJldi54bWxQSwUGAAAAAAQABADz&#10;AAAArgUAAAAA&#10;" filled="f" stroked="f">
                <v:textbox style="mso-fit-shape-to-text:t" inset="0,0,0,0">
                  <w:txbxContent>
                    <w:p w14:paraId="6F8B6B73" w14:textId="77777777" w:rsidR="009728D1" w:rsidRPr="00DC639E" w:rsidRDefault="009728D1" w:rsidP="004924DC">
                      <w:pPr>
                        <w:pStyle w:val="TLIdentifikace-sted"/>
                      </w:pPr>
                      <w:r w:rsidRPr="00DC639E">
                        <w:t>Souhrnná data o České republice</w:t>
                      </w:r>
                    </w:p>
                    <w:p w14:paraId="52A617E8" w14:textId="7736C3C8" w:rsidR="009728D1" w:rsidRPr="00AC15AE" w:rsidRDefault="009728D1" w:rsidP="004924DC">
                      <w:pPr>
                        <w:pStyle w:val="TLIdentifikace-sted"/>
                      </w:pPr>
                      <w:r w:rsidRPr="00AC15AE">
                        <w:t>Praha, 28. 12. 2020</w:t>
                      </w:r>
                    </w:p>
                    <w:p w14:paraId="48F0064F" w14:textId="0DC71148" w:rsidR="009728D1" w:rsidRPr="00AC15AE" w:rsidRDefault="009728D1" w:rsidP="004924DC">
                      <w:pPr>
                        <w:pStyle w:val="TLIdentifikace-sted"/>
                      </w:pPr>
                      <w:r w:rsidRPr="00AC15AE">
                        <w:t xml:space="preserve">Kód publikace: </w:t>
                      </w:r>
                      <w:r w:rsidRPr="00AC15AE">
                        <w:rPr>
                          <w:rStyle w:val="content"/>
                          <w:rFonts w:eastAsia="MS Gothic" w:cs="Arial"/>
                        </w:rPr>
                        <w:t>320329-20</w:t>
                      </w:r>
                    </w:p>
                    <w:p w14:paraId="3B2ED52C" w14:textId="7C4DAED1" w:rsidR="009728D1" w:rsidRPr="0096090E" w:rsidRDefault="009728D1" w:rsidP="004924DC">
                      <w:pPr>
                        <w:pStyle w:val="TLIdentifikace-sted"/>
                      </w:pPr>
                      <w:r w:rsidRPr="0096090E">
                        <w:t>Č. j.: CSU-016755/2020-01</w:t>
                      </w:r>
                    </w:p>
                    <w:p w14:paraId="0EB4D5F9" w14:textId="77777777" w:rsidR="009728D1" w:rsidRPr="00DC639E" w:rsidRDefault="009728D1" w:rsidP="004924DC">
                      <w:pPr>
                        <w:pStyle w:val="TLIdentifikace-sted"/>
                        <w:rPr>
                          <w:color w:val="0D0D0D" w:themeColor="text1" w:themeTint="F2"/>
                        </w:rPr>
                      </w:pPr>
                      <w:r w:rsidRPr="00DC639E">
                        <w:rPr>
                          <w:color w:val="0D0D0D" w:themeColor="text1" w:themeTint="F2"/>
                        </w:rPr>
                        <w:t>Pořadové číslo v roce: 1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4BD4766D" wp14:editId="30D01DD9">
                <wp:simplePos x="0" y="0"/>
                <wp:positionH relativeFrom="page">
                  <wp:posOffset>1710055</wp:posOffset>
                </wp:positionH>
                <wp:positionV relativeFrom="page">
                  <wp:posOffset>1476375</wp:posOffset>
                </wp:positionV>
                <wp:extent cx="5129530" cy="150685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150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E3AF3" w14:textId="5DE94D8F" w:rsidR="009728D1" w:rsidRPr="00745BC3" w:rsidRDefault="009728D1" w:rsidP="000E6FBD">
                            <w:pPr>
                              <w:pStyle w:val="Nzev"/>
                              <w:rPr>
                                <w:sz w:val="32"/>
                              </w:rPr>
                            </w:pPr>
                            <w:r>
                              <w:t>ŠIRŠÍ ASPEKTY VÝVOJE PRŮMYSLU V ČR I EU Z POHLEDU TRHU PRÁCE</w:t>
                            </w:r>
                          </w:p>
                          <w:p w14:paraId="16D85A3E" w14:textId="77777777" w:rsidR="009728D1" w:rsidRPr="0012192F" w:rsidRDefault="009728D1" w:rsidP="0012192F">
                            <w:pPr>
                              <w:pStyle w:val="Podnadpi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4766D" id="_x0000_s1028" type="#_x0000_t202" style="position:absolute;left:0;text-align:left;margin-left:134.65pt;margin-top:116.25pt;width:403.9pt;height:118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ufSQIAAEMEAAAOAAAAZHJzL2Uyb0RvYy54bWysU9tu1DAQfUfiHyy/p7k02W6iZqt2t0FI&#10;3KSWD/A6ziYi8Rjbu0lBfBDfwY8xdppS4A3xYo09njMz58xcXk1DT05Cmw5kSeOziBIhOdSdPJT0&#10;430VrCkxlsma9SBFSR+EoVebly8uR1WIBFroa6EJgkhTjKqkrbWqCEPDWzEwcwZKSHQ2oAdm8aoP&#10;Ya3ZiOhDHyZRtApH0LXSwIUx+LqbnXTj8ZtGcPu+aYywpC8p1mb9qf25d2e4uWTFQTPVdvyxDPYP&#10;VQysk5j0CWrHLCNH3f0FNXRcg4HGnnEYQmiajgvfA3YTR390c9cyJXwvSI5RTzSZ/wfL350+aNLV&#10;JU1ySiQbUKN7MVk4/fhOFPSCJI6jUZkCv94p/GynG5hQa9+vUW+AfzJEwrZl8iCutYaxFazGGmMX&#10;GT4LnXGMA9mPb6HGXOxowQNNjR4cgUgJQXTU6uFJH6yHcHzM4iTPztHF0Rdn0WqdZT4HK5ZwpY19&#10;JWAgziipxgHw8Oz0xlhXDiuWLy6bhKrrez8EvfztAT/OL5gcQ53PleE1/ZpH+e36dp0GabK6DdKo&#10;roPrapsGqyq+yHbnu+12F3+bZ+tZUJyk0U2SB9VqfRGkTZoF+UW0DqI4v8lXUZqnu8oHYeolqWfP&#10;ETZTZ6f9NIu1iLKH+gHp1DBPNm4iGi3oL5SMONUlNZ+PTAtK+tcSJXErsBh6MfaLwSTH0JJaSmZz&#10;a+dVOSrdHVpEXkS/RtmqzhPq9J2reBQbJ9Xz/LhVbhWe3/2vX7u/+QkAAP//AwBQSwMEFAAGAAgA&#10;AAAhAItw3fbgAAAADAEAAA8AAABkcnMvZG93bnJldi54bWxMj7FOwzAQhnekvoN1lVgQdZxC2oQ4&#10;VYVgYaOwsLnxkUS1z1HsJqFPjzvBdqf79N/3l7vZGjbi4DtHEsQqAYZUO91RI+Hz4/V+C8wHRVoZ&#10;RyjhBz3sqsVNqQrtJnrH8RAaFkPIF0pCG0JfcO7rFq3yK9cjxdu3G6wKcR0argc1xXBreJokGbeq&#10;o/ihVT0+t1ifDmcrIZtf+ru3HNPpUpuRvi5CBBRS3i7n/ROwgHP4g+GqH9Whik5HdybtmZGQZvk6&#10;onFYp4/ArkSy2QhgRwkPWb4FXpX8f4nqFwAA//8DAFBLAQItABQABgAIAAAAIQC2gziS/gAAAOEB&#10;AAATAAAAAAAAAAAAAAAAAAAAAABbQ29udGVudF9UeXBlc10ueG1sUEsBAi0AFAAGAAgAAAAhADj9&#10;If/WAAAAlAEAAAsAAAAAAAAAAAAAAAAALwEAAF9yZWxzLy5yZWxzUEsBAi0AFAAGAAgAAAAhAKjP&#10;u59JAgAAQwQAAA4AAAAAAAAAAAAAAAAALgIAAGRycy9lMm9Eb2MueG1sUEsBAi0AFAAGAAgAAAAh&#10;AItw3fbgAAAADAEAAA8AAAAAAAAAAAAAAAAAowQAAGRycy9kb3ducmV2LnhtbFBLBQYAAAAABAAE&#10;APMAAACwBQAAAAA=&#10;" filled="f" stroked="f">
                <v:textbox style="mso-fit-shape-to-text:t" inset="0,0,0,0">
                  <w:txbxContent>
                    <w:p w14:paraId="636E3AF3" w14:textId="5DE94D8F" w:rsidR="009728D1" w:rsidRPr="00745BC3" w:rsidRDefault="009728D1" w:rsidP="000E6FBD">
                      <w:pPr>
                        <w:pStyle w:val="Nzev"/>
                        <w:rPr>
                          <w:sz w:val="32"/>
                        </w:rPr>
                      </w:pPr>
                      <w:r>
                        <w:t>ŠIRŠÍ ASPEKTY VÝVOJE PRŮMYSLU V ČR I EU Z POHLEDU TRHU PRÁCE</w:t>
                      </w:r>
                    </w:p>
                    <w:p w14:paraId="16D85A3E" w14:textId="77777777" w:rsidR="009728D1" w:rsidRPr="0012192F" w:rsidRDefault="009728D1" w:rsidP="0012192F">
                      <w:pPr>
                        <w:pStyle w:val="Podnadpis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3B15D70A" wp14:editId="4FE75FDE">
                <wp:simplePos x="0" y="0"/>
                <wp:positionH relativeFrom="page">
                  <wp:posOffset>1710055</wp:posOffset>
                </wp:positionH>
                <wp:positionV relativeFrom="page">
                  <wp:posOffset>9649460</wp:posOffset>
                </wp:positionV>
                <wp:extent cx="5130165" cy="179705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7106B" w14:textId="77777777" w:rsidR="009728D1" w:rsidRPr="004924DC" w:rsidRDefault="009728D1" w:rsidP="004924DC">
                            <w:r w:rsidRPr="004924DC">
                              <w:t xml:space="preserve">© Český statistický úřad, </w:t>
                            </w:r>
                            <w:r>
                              <w:t>Praha</w:t>
                            </w:r>
                            <w:r w:rsidRPr="004924DC">
                              <w:t xml:space="preserve">, </w:t>
                            </w:r>
                            <w:r>
                              <w:t>2020</w:t>
                            </w:r>
                          </w:p>
                          <w:p w14:paraId="63CD9556" w14:textId="77777777" w:rsidR="009728D1" w:rsidRPr="005251DD" w:rsidRDefault="009728D1" w:rsidP="00665BA4"/>
                          <w:p w14:paraId="60E6F47C" w14:textId="77777777" w:rsidR="009728D1" w:rsidRPr="005251DD" w:rsidRDefault="009728D1" w:rsidP="00FC684B"/>
                          <w:p w14:paraId="173E16A3" w14:textId="77777777" w:rsidR="009728D1" w:rsidRDefault="009728D1"/>
                          <w:p w14:paraId="43F719AC" w14:textId="77777777" w:rsidR="009728D1" w:rsidRPr="00097407" w:rsidRDefault="009728D1" w:rsidP="00665BA4">
                            <w:r w:rsidRPr="00097407">
                              <w:t xml:space="preserve">© </w:t>
                            </w:r>
                            <w:r w:rsidRPr="005251DD">
                              <w:t>Český statistický úřad</w:t>
                            </w:r>
                            <w:r>
                              <w:t xml:space="preserve"> / </w:t>
                            </w:r>
                            <w:r w:rsidRPr="009A1902">
                              <w:rPr>
                                <w:i/>
                              </w:rPr>
                              <w:t xml:space="preserve">Czech </w:t>
                            </w:r>
                            <w:proofErr w:type="spellStart"/>
                            <w:r w:rsidRPr="009A1902">
                              <w:rPr>
                                <w:rFonts w:cs="Arial"/>
                                <w:i/>
                                <w:szCs w:val="20"/>
                              </w:rPr>
                              <w:t>Statistical</w:t>
                            </w:r>
                            <w:proofErr w:type="spellEnd"/>
                            <w:r w:rsidRPr="009A1902"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 Office</w:t>
                            </w:r>
                            <w:r w:rsidRPr="00097407">
                              <w:t>, místo, rok vydání</w:t>
                            </w:r>
                          </w:p>
                          <w:p w14:paraId="79A0A6A2" w14:textId="77777777" w:rsidR="009728D1" w:rsidRPr="005251DD" w:rsidRDefault="009728D1" w:rsidP="00665BA4"/>
                          <w:p w14:paraId="23259C2D" w14:textId="77777777" w:rsidR="009728D1" w:rsidRPr="005251DD" w:rsidRDefault="009728D1" w:rsidP="00FC68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5D70A" id="_x0000_s1029" type="#_x0000_t202" style="position:absolute;left:0;text-align:left;margin-left:134.65pt;margin-top:759.8pt;width:403.9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ubSgIAAEEEAAAOAAAAZHJzL2Uyb0RvYy54bWysU11u2zAMfh+wOwh6d20njhMbdYo0aYYB&#10;3Q/Q7gCKLMfGbFGTlNhdsQPtHLvYKLnuuu1t2ItASeRH8vvIy6uha8lZaNOALGh8EVEiJIeykceC&#10;frrfBytKjGWyZC1IUdAHYejV+vWry17lYgY1tKXQBEGkyXtV0NpalYeh4bXomLkAJSR+VqA7ZvGq&#10;j2GpWY/oXRvOoigNe9Cl0sCFMfi6Gz/p2uNXleD2Q1UZYUlbUKzN+lP78+DOcH3J8qNmqm74Uxns&#10;H6roWCMx6TPUjllGTrr5C6pruAYDlb3g0IVQVQ0XvgfsJo7+6OauZkr4XpAco55pMv8Plr8/f9Sk&#10;KQuaUiJZhxLdi8HC+cd3oqAVZOYo6pXJ0fNOoa8drmFAqX27Rt0C/2yIhG3N5FFstIa+FqzEEmMX&#10;Gb4IHXGMAzn076DEXOxkwQMNle4cf8gIQXSU6uFZHqyHcHxcxPMoTheUcPyLl9kyWvgULJ+ilTb2&#10;jYCOOKOgGuX36Ox8a6yrhuWTi0smYd+0rR+BVv72gI7jC+bGUPfnqvCKPmZRdrO6WSVBMktvgiQq&#10;y2Cz3yZBuo+Xi918t93u4m/jZL0IimdJdD3Lgn26WgZJlSwCbGAVRHF2naVRkiW7vQ/C1FNST57j&#10;a2TODofBSzWfNDlA+YBsahjnGvcQjRr0V0p6nOmCmi8npgUl7VuJirgFmAw9GYfJYJJjaEEtJaO5&#10;teOinJRujjUij5pL2KBqVeMJdfKOVTxpjXPqeX7aKbcIL+/e69fmr38CAAD//wMAUEsDBBQABgAI&#10;AAAAIQAHZXB34QAAAA4BAAAPAAAAZHJzL2Rvd25yZXYueG1sTI/BToQwEIbvJr5DMybe3HZRQZCy&#10;2Rg9mRhZPHgsMAvN0inS7i6+veW0Hmf+L/98k29mM7ATTk5bkrBeCWBIjW01dRK+qre7J2DOK2rV&#10;YAkl/KKDTXF9laustWcq8bTzHQsl5DIlofd+zDh3TY9GuZUdkUK2t5NRPoxTx9tJnUO5GXgkRMyN&#10;0hQu9GrElx6bw+5oJGy/qXzVPx/1Z7kvdVWlgt7jg5S3N/P2GZjH2V9gWPSDOhTBqbZHah0bJERx&#10;eh/QEDyu0xjYgogkiYDVy+4hSYEXOf//RvEHAAD//wMAUEsBAi0AFAAGAAgAAAAhALaDOJL+AAAA&#10;4QEAABMAAAAAAAAAAAAAAAAAAAAAAFtDb250ZW50X1R5cGVzXS54bWxQSwECLQAUAAYACAAAACEA&#10;OP0h/9YAAACUAQAACwAAAAAAAAAAAAAAAAAvAQAAX3JlbHMvLnJlbHNQSwECLQAUAAYACAAAACEA&#10;8WH7m0oCAABBBAAADgAAAAAAAAAAAAAAAAAuAgAAZHJzL2Uyb0RvYy54bWxQSwECLQAUAAYACAAA&#10;ACEAB2Vwd+EAAAAOAQAADwAAAAAAAAAAAAAAAACkBAAAZHJzL2Rvd25yZXYueG1sUEsFBgAAAAAE&#10;AAQA8wAAALIFAAAAAA==&#10;" filled="f" stroked="f">
                <v:textbox inset="0,0,0,0">
                  <w:txbxContent>
                    <w:p w14:paraId="04C7106B" w14:textId="77777777" w:rsidR="009728D1" w:rsidRPr="004924DC" w:rsidRDefault="009728D1" w:rsidP="004924DC">
                      <w:r w:rsidRPr="004924DC">
                        <w:t xml:space="preserve">© Český statistický úřad, </w:t>
                      </w:r>
                      <w:r>
                        <w:t>Praha</w:t>
                      </w:r>
                      <w:r w:rsidRPr="004924DC">
                        <w:t xml:space="preserve">, </w:t>
                      </w:r>
                      <w:r>
                        <w:t>2020</w:t>
                      </w:r>
                    </w:p>
                    <w:p w14:paraId="63CD9556" w14:textId="77777777" w:rsidR="009728D1" w:rsidRPr="005251DD" w:rsidRDefault="009728D1" w:rsidP="00665BA4"/>
                    <w:p w14:paraId="60E6F47C" w14:textId="77777777" w:rsidR="009728D1" w:rsidRPr="005251DD" w:rsidRDefault="009728D1" w:rsidP="00FC684B"/>
                    <w:p w14:paraId="173E16A3" w14:textId="77777777" w:rsidR="009728D1" w:rsidRDefault="009728D1"/>
                    <w:p w14:paraId="43F719AC" w14:textId="77777777" w:rsidR="009728D1" w:rsidRPr="00097407" w:rsidRDefault="009728D1" w:rsidP="00665BA4">
                      <w:r w:rsidRPr="00097407">
                        <w:t xml:space="preserve">© </w:t>
                      </w:r>
                      <w:r w:rsidRPr="005251DD">
                        <w:t>Český statistický úřad</w:t>
                      </w:r>
                      <w:r>
                        <w:t xml:space="preserve"> / </w:t>
                      </w:r>
                      <w:r w:rsidRPr="009A1902">
                        <w:rPr>
                          <w:i/>
                        </w:rPr>
                        <w:t xml:space="preserve">Czech </w:t>
                      </w:r>
                      <w:r w:rsidRPr="009A1902">
                        <w:rPr>
                          <w:rFonts w:cs="Arial"/>
                          <w:i/>
                          <w:szCs w:val="20"/>
                        </w:rPr>
                        <w:t>Statistical Office</w:t>
                      </w:r>
                      <w:r w:rsidRPr="00097407">
                        <w:t>, místo, rok vydání</w:t>
                      </w:r>
                    </w:p>
                    <w:p w14:paraId="79A0A6A2" w14:textId="77777777" w:rsidR="009728D1" w:rsidRPr="005251DD" w:rsidRDefault="009728D1" w:rsidP="00665BA4"/>
                    <w:p w14:paraId="23259C2D" w14:textId="77777777" w:rsidR="009728D1" w:rsidRPr="005251DD" w:rsidRDefault="009728D1" w:rsidP="00FC684B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3632" behindDoc="0" locked="1" layoutInCell="0" allowOverlap="1" wp14:anchorId="7A559B31" wp14:editId="412F94F2">
                <wp:simplePos x="0" y="0"/>
                <wp:positionH relativeFrom="page">
                  <wp:posOffset>1710055</wp:posOffset>
                </wp:positionH>
                <wp:positionV relativeFrom="page">
                  <wp:posOffset>9361169</wp:posOffset>
                </wp:positionV>
                <wp:extent cx="5130165" cy="0"/>
                <wp:effectExtent l="0" t="0" r="13335" b="0"/>
                <wp:wrapNone/>
                <wp:docPr id="33" name="Přímá spojnic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301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32707C" id="Přímá spojnice 33" o:spid="_x0000_s1026" style="position:absolute;z-index:25165363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134.65pt,737.1pt" to="538.6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IlB3AEAAI8DAAAOAAAAZHJzL2Uyb0RvYy54bWysU0tu2zAQ3RfoHQjua8k2khaC5SxipJug&#10;NZD0ABOKlNjyBw5ryUfpsgfoKYLeq0P606TZBdWCIPlmHt+8Ga2uJmvYTkbU3rV8Pqs5k074Tru+&#10;5V/ub9594AwTuA6Md7Lle4n8av32zWoMjVz4wZtORkYkDpsxtHxIKTRVhWKQFnDmg3QEKh8tJDrG&#10;vuoijMRuTbWo68tq9LEL0QuJSLebA8jXhV8pKdJnpVAmZlpO2lJZY1kf8lqtV9D0EcKgxVEGvEKF&#10;Be3o0TPVBhKw71G/oLJaRI9epZnwtvJKaSFLDVTNvP6nmrsBgiy1kDkYzjbh/6MVn3bbyHTX8uWS&#10;MweWerT9/ePxl338yTD4r44EMsLIqDFgQ/HXbhtzqWJyd+HWi29IWPUMzAcMh7BJRZvDqVY2FeP3&#10;Z+PllJigy4v5sp5fXnAmTlgFzSkxREwfpbcsb1putMueQAO7W0z5aWhOIfna+RttTOmrcWykoVy8&#10;r6n1Ami8lIFEWxuoYHQ9Z2B6mluRYqFEb3SX0zMR7vHaRLYDGh2auM6P96SXMwOYCKAiypedIQnP&#10;UrOeDeBwSC7QMcy4TC3LZB7l/zUr7x58t9/Gk6PU9cJ+nNA8Vk/PtH/6H63/AAAA//8DAFBLAwQU&#10;AAYACAAAACEAj4R2TOIAAAAOAQAADwAAAGRycy9kb3ducmV2LnhtbEyPzUvDQBDF74L/wzKCF2k3&#10;XUtjYzZFIkLAg9gqeJxm13y4HyG7beN/7/QgepuZ93jze/lmsoYd9Rg67yQs5gkw7WqvOtdIeNs9&#10;ze6AhYhOofFOS/jWATbF5UWOmfIn96qP29gwCnEhQwltjEPGeahbbTHM/aAdaZ9+tBhpHRuuRjxR&#10;uDVcJMmKW+wcfWhx0GWr66/twUqonhfr8qYUvur7/uMRX97FWBkpr6+mh3tgUU/xzwxnfEKHgpj2&#10;/uBUYEaCWK1vyUrCMl0KYGdLkqY07X9vvMj5/xrFDwAAAP//AwBQSwECLQAUAAYACAAAACEAtoM4&#10;kv4AAADhAQAAEwAAAAAAAAAAAAAAAAAAAAAAW0NvbnRlbnRfVHlwZXNdLnhtbFBLAQItABQABgAI&#10;AAAAIQA4/SH/1gAAAJQBAAALAAAAAAAAAAAAAAAAAC8BAABfcmVscy8ucmVsc1BLAQItABQABgAI&#10;AAAAIQC/3IlB3AEAAI8DAAAOAAAAAAAAAAAAAAAAAC4CAABkcnMvZTJvRG9jLnhtbFBLAQItABQA&#10;BgAIAAAAIQCPhHZM4gAAAA4BAAAPAAAAAAAAAAAAAAAAADYEAABkcnMvZG93bnJldi54bWxQSwUG&#10;AAAAAAQABADzAAAARQUAAAAA&#10;" o:allowincell="f" strokecolor="windowText" strokeweight="1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F63FB7" w:rsidRPr="00360DE3">
        <w:br w:type="page"/>
      </w:r>
      <w:r w:rsidR="00D57677" w:rsidRPr="00360DE3">
        <w:lastRenderedPageBreak/>
        <w:br w:type="page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5971E25A" wp14:editId="010579C1">
                <wp:simplePos x="0" y="0"/>
                <wp:positionH relativeFrom="page">
                  <wp:posOffset>723900</wp:posOffset>
                </wp:positionH>
                <wp:positionV relativeFrom="page">
                  <wp:posOffset>1440180</wp:posOffset>
                </wp:positionV>
                <wp:extent cx="6119495" cy="767334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767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AF639" w14:textId="77777777" w:rsidR="009728D1" w:rsidRPr="006F5416" w:rsidRDefault="009728D1" w:rsidP="006F5416">
                            <w:pPr>
                              <w:pStyle w:val="TLKontaktyerven"/>
                            </w:pPr>
                            <w:r w:rsidRPr="006F5416">
                              <w:t>KONTAKTY V ÚSTŘEDÍ</w:t>
                            </w:r>
                          </w:p>
                          <w:p w14:paraId="7AC4AC10" w14:textId="77777777" w:rsidR="009728D1" w:rsidRPr="007D40DF" w:rsidRDefault="009728D1" w:rsidP="00825C4D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Český statistický úřad</w:t>
                            </w:r>
                            <w:r w:rsidRPr="007D40DF">
                              <w:rPr>
                                <w:b w:val="0"/>
                                <w:color w:val="auto"/>
                              </w:rPr>
                              <w:t xml:space="preserve"> | Na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padesátém 81, 100 82 Praha</w:t>
                            </w:r>
                            <w:r w:rsidRPr="007D40DF"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10, </w:t>
                            </w:r>
                            <w:r w:rsidRPr="007D40DF">
                              <w:rPr>
                                <w:b w:val="0"/>
                                <w:color w:val="auto"/>
                              </w:rPr>
                              <w:t xml:space="preserve">tel.: 274 051 111 | </w:t>
                            </w:r>
                            <w:r w:rsidRPr="007D40DF">
                              <w:rPr>
                                <w:color w:val="auto"/>
                              </w:rPr>
                              <w:t>www.czso.cz</w:t>
                            </w:r>
                          </w:p>
                          <w:p w14:paraId="6609ED54" w14:textId="77777777" w:rsidR="009728D1" w:rsidRPr="00D235B7" w:rsidRDefault="009728D1" w:rsidP="00825C4D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  <w:color w:val="auto"/>
                              </w:rPr>
                            </w:pPr>
                            <w:r w:rsidRPr="00D235B7">
                              <w:rPr>
                                <w:color w:val="auto"/>
                              </w:rPr>
                              <w:t>Oddělení informačních služeb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 xml:space="preserve"> | tel.: 274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>052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>304, 274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>052 451 | e-mail: infoservis@czso.cz</w:t>
                            </w:r>
                          </w:p>
                          <w:p w14:paraId="25E291C0" w14:textId="77777777" w:rsidR="009728D1" w:rsidRPr="00D235B7" w:rsidRDefault="009728D1" w:rsidP="00825C4D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  <w:color w:val="auto"/>
                              </w:rPr>
                            </w:pPr>
                            <w:r w:rsidRPr="00D235B7">
                              <w:rPr>
                                <w:color w:val="auto"/>
                              </w:rPr>
                              <w:t>Prodejna publikací ČSÚ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 xml:space="preserve"> | tel.: 274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>052 361 | e-mail: prodejna@czso.cz</w:t>
                            </w:r>
                          </w:p>
                          <w:p w14:paraId="7FFE2B3E" w14:textId="77777777" w:rsidR="009728D1" w:rsidRPr="00D235B7" w:rsidRDefault="009728D1" w:rsidP="00825C4D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  <w:color w:val="auto"/>
                              </w:rPr>
                            </w:pPr>
                            <w:r w:rsidRPr="00D235B7">
                              <w:rPr>
                                <w:color w:val="auto"/>
                              </w:rPr>
                              <w:t>Evropská data (ESDS), mezinárodní srovnání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 xml:space="preserve"> | tel.: 274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>052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>347 | e-mail: esds@czso.cz</w:t>
                            </w:r>
                          </w:p>
                          <w:p w14:paraId="54CDE814" w14:textId="77777777" w:rsidR="009728D1" w:rsidRPr="00D235B7" w:rsidRDefault="009728D1" w:rsidP="00825C4D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b w:val="0"/>
                                <w:color w:val="auto"/>
                              </w:rPr>
                            </w:pPr>
                            <w:r w:rsidRPr="00D235B7">
                              <w:rPr>
                                <w:color w:val="auto"/>
                              </w:rPr>
                              <w:t>Ústřední statistická knihovna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 xml:space="preserve"> | tel.: 274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D235B7">
                              <w:rPr>
                                <w:b w:val="0"/>
                                <w:color w:val="auto"/>
                              </w:rPr>
                              <w:t>052 361 | e-mail: knihovna@czso.cz</w:t>
                            </w:r>
                          </w:p>
                          <w:p w14:paraId="7A4D1929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contextualSpacing w:val="0"/>
                              <w:rPr>
                                <w:color w:val="auto"/>
                              </w:rPr>
                            </w:pPr>
                          </w:p>
                          <w:p w14:paraId="7ACB2830" w14:textId="77777777" w:rsidR="009728D1" w:rsidRPr="00D66223" w:rsidRDefault="009728D1" w:rsidP="00D66223">
                            <w:pPr>
                              <w:pStyle w:val="TLKontaktyerven"/>
                            </w:pPr>
                            <w:r w:rsidRPr="00D66223">
                              <w:t>INFORMAČNÍ SLUŽBY V REGIONECH</w:t>
                            </w:r>
                          </w:p>
                          <w:p w14:paraId="5ED1A1A9" w14:textId="77777777" w:rsidR="009728D1" w:rsidRPr="00992CF3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Hl. m. Praha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 | Na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padesátém 81, 100 82 Praha 10, 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 w:rsidRPr="007D40DF">
                              <w:rPr>
                                <w:b w:val="0"/>
                                <w:color w:val="auto"/>
                              </w:rPr>
                              <w:t>: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274 052 673, 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274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054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223</w:t>
                            </w:r>
                          </w:p>
                          <w:p w14:paraId="2B33C3B6" w14:textId="77777777" w:rsidR="009728D1" w:rsidRPr="00992CF3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e-mail: infoservispraha@czso.cz | </w:t>
                            </w:r>
                            <w:r w:rsidRPr="00992CF3">
                              <w:rPr>
                                <w:color w:val="auto"/>
                              </w:rPr>
                              <w:t>www.praha.czso.cz</w:t>
                            </w:r>
                          </w:p>
                          <w:p w14:paraId="7BE7E57F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0A5C24D0" w14:textId="77777777" w:rsidR="009728D1" w:rsidRPr="00992CF3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Středočeský kraj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 | Na padesátém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81, 100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82 Praha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10, 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274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054 175</w:t>
                            </w:r>
                          </w:p>
                          <w:p w14:paraId="0BFCF3CB" w14:textId="77777777" w:rsidR="009728D1" w:rsidRPr="00992CF3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e-mail: infoservisstc@czso.cz | </w:t>
                            </w:r>
                            <w:r w:rsidRPr="00992CF3">
                              <w:rPr>
                                <w:color w:val="auto"/>
                              </w:rPr>
                              <w:t>www.stredocesky.czso.cz</w:t>
                            </w:r>
                          </w:p>
                          <w:p w14:paraId="02215704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5413E4A2" w14:textId="77777777" w:rsidR="009728D1" w:rsidRPr="00992CF3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České Budějovice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 | Žižkova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1, 370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77 České Budějovice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, 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386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992CF3">
                              <w:rPr>
                                <w:b w:val="0"/>
                                <w:color w:val="auto"/>
                              </w:rPr>
                              <w:t>718 440</w:t>
                            </w:r>
                          </w:p>
                          <w:p w14:paraId="1A36ECD4" w14:textId="77777777" w:rsidR="009728D1" w:rsidRPr="00992CF3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992CF3">
                              <w:rPr>
                                <w:b w:val="0"/>
                                <w:color w:val="auto"/>
                              </w:rPr>
                              <w:t xml:space="preserve">e-mail: infoserviscb@czso.cz | </w:t>
                            </w:r>
                            <w:r w:rsidRPr="00992CF3">
                              <w:rPr>
                                <w:color w:val="auto"/>
                              </w:rPr>
                              <w:t>www.cbudejovice.czso.cz</w:t>
                            </w:r>
                          </w:p>
                          <w:p w14:paraId="4828408E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4B4162A0" w14:textId="77777777" w:rsidR="009728D1" w:rsidRPr="00BC731E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Plzeň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Slovanská alej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36, 326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64 Plzeň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,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377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612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108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, 377 612 145</w:t>
                            </w:r>
                          </w:p>
                          <w:p w14:paraId="26716234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infoservisplzen@czso.cz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www.plzen.czso.cz</w:t>
                            </w:r>
                          </w:p>
                          <w:p w14:paraId="66D122B4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002D4DFA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Karlovy Vary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</w:t>
                            </w:r>
                            <w:r w:rsidRPr="00095135">
                              <w:rPr>
                                <w:b w:val="0"/>
                                <w:color w:val="auto"/>
                              </w:rPr>
                              <w:t>Závodní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095135">
                              <w:rPr>
                                <w:b w:val="0"/>
                                <w:color w:val="auto"/>
                              </w:rPr>
                              <w:t>360/94, 360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095135">
                              <w:rPr>
                                <w:b w:val="0"/>
                                <w:color w:val="auto"/>
                              </w:rPr>
                              <w:t>06 Karlovy Vary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, 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353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114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529, 353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114 525</w:t>
                            </w:r>
                          </w:p>
                          <w:p w14:paraId="65152997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infoserviskv@czso.cz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www.kvary.czso.cz</w:t>
                            </w:r>
                          </w:p>
                          <w:p w14:paraId="77E9616B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4F4B2CBF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Ústí nad Labem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Špálova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2684, 400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11 Ústí nad Labem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,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472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706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176,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472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706 121</w:t>
                            </w:r>
                          </w:p>
                          <w:p w14:paraId="1200845D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infoservisul@czso.cz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www.ustinadlabem.czso.cz</w:t>
                            </w:r>
                          </w:p>
                          <w:p w14:paraId="38E2A99E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6A91F753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Liberec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n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ám. Dr.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Edvarda Beneše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585/26, 460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01 Liberec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1, 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485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238 811</w:t>
                            </w:r>
                          </w:p>
                          <w:p w14:paraId="7CCA1EB0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infoservislbc@czso.cz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www.liberec.czso.cz</w:t>
                            </w:r>
                          </w:p>
                          <w:p w14:paraId="71084995" w14:textId="77777777" w:rsidR="009728D1" w:rsidRPr="00CB390A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Cs/>
                                <w:color w:val="auto"/>
                              </w:rPr>
                            </w:pPr>
                          </w:p>
                          <w:p w14:paraId="65FBDEE0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Hradec Králové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Myslivečkova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914, 500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03 Hradec Králové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3, 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 w:rsidRPr="007D40DF">
                              <w:rPr>
                                <w:b w:val="0"/>
                                <w:color w:val="auto"/>
                              </w:rPr>
                              <w:t>: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495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762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322,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495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762 317</w:t>
                            </w:r>
                          </w:p>
                          <w:p w14:paraId="0AA21A0F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infoservishk@czso.cz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www.hradeckralove.czso.cz</w:t>
                            </w:r>
                          </w:p>
                          <w:p w14:paraId="07CE6D65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15477B29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Pardubice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V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Ráji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872, 531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53 Pardubice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,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tel.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: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466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743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480, 466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743 418</w:t>
                            </w:r>
                          </w:p>
                          <w:p w14:paraId="724C8199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infoservispa@czso.cz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www.pardubice.czso.cz</w:t>
                            </w:r>
                          </w:p>
                          <w:p w14:paraId="7C14C323" w14:textId="77777777" w:rsidR="009728D1" w:rsidRPr="00CB390A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Cs/>
                                <w:color w:val="auto"/>
                              </w:rPr>
                            </w:pPr>
                          </w:p>
                          <w:p w14:paraId="438F1FF5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Jihlava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Ke Skalce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30,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586 01 Jihlava, tel.: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567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109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062, 567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109 073</w:t>
                            </w:r>
                          </w:p>
                          <w:p w14:paraId="64C9D8C9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infoservisvys@czso.cz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www.jihlava.czso.cz</w:t>
                            </w:r>
                          </w:p>
                          <w:p w14:paraId="2E8E8E9B" w14:textId="77777777" w:rsidR="009728D1" w:rsidRPr="00CB390A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</w:p>
                          <w:p w14:paraId="2E01A641" w14:textId="77777777" w:rsidR="009728D1" w:rsidRPr="00BC731E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Brno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 | Jezuitská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2, 601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59 Brno, 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tel.: 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542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4A61C5">
                              <w:rPr>
                                <w:b w:val="0"/>
                                <w:color w:val="auto"/>
                              </w:rPr>
                              <w:t>528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115, 542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528 200</w:t>
                            </w:r>
                          </w:p>
                          <w:p w14:paraId="1053CC34" w14:textId="77777777" w:rsidR="009728D1" w:rsidRPr="004A61C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  <w:r w:rsidRPr="004A61C5">
                              <w:rPr>
                                <w:b w:val="0"/>
                                <w:color w:val="auto"/>
                              </w:rPr>
                              <w:t xml:space="preserve">e-mail: infoservisbrno@czso.cz | </w:t>
                            </w:r>
                            <w:r w:rsidRPr="004A61C5">
                              <w:rPr>
                                <w:color w:val="auto"/>
                              </w:rPr>
                              <w:t>www.brno.czso.cz</w:t>
                            </w:r>
                          </w:p>
                          <w:p w14:paraId="79CDB064" w14:textId="77777777" w:rsidR="009728D1" w:rsidRPr="00CB390A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Cs/>
                                <w:color w:val="auto"/>
                              </w:rPr>
                            </w:pPr>
                          </w:p>
                          <w:p w14:paraId="62F4F3CC" w14:textId="77777777" w:rsidR="009728D1" w:rsidRPr="005E7C78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Olomouc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 | Jeremenkova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1142/42, 772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11 Olomouc, 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tel.: 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585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731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516, 585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731 511</w:t>
                            </w:r>
                          </w:p>
                          <w:p w14:paraId="6A39C288" w14:textId="77777777" w:rsidR="009728D1" w:rsidRPr="005E7C78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e-mail: infoservisolom@czso.cz | </w:t>
                            </w:r>
                            <w:r w:rsidRPr="005E7C78">
                              <w:rPr>
                                <w:color w:val="auto"/>
                              </w:rPr>
                              <w:t>www.olomouc.czso.cz</w:t>
                            </w:r>
                          </w:p>
                          <w:p w14:paraId="44E8CB0D" w14:textId="77777777" w:rsidR="009728D1" w:rsidRPr="00CB390A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Cs/>
                                <w:color w:val="auto"/>
                              </w:rPr>
                            </w:pPr>
                          </w:p>
                          <w:p w14:paraId="31C27DED" w14:textId="77777777" w:rsidR="009728D1" w:rsidRPr="005E7C78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Zlín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 | tř.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Tomáše Bati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1565, 761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76 Zlín, 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tel.: 577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BC731E">
                              <w:rPr>
                                <w:b w:val="0"/>
                                <w:color w:val="auto"/>
                              </w:rPr>
                              <w:t>004 932, 5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77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004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935</w:t>
                            </w:r>
                          </w:p>
                          <w:p w14:paraId="0D65BC86" w14:textId="77777777" w:rsidR="009728D1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color w:val="auto"/>
                              </w:rPr>
                            </w:pP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e-mail: infoservis-zl@czso.cz | </w:t>
                            </w:r>
                            <w:r w:rsidRPr="00227A53">
                              <w:rPr>
                                <w:color w:val="auto"/>
                              </w:rPr>
                              <w:t>www.zlin.czso.cz</w:t>
                            </w:r>
                          </w:p>
                          <w:p w14:paraId="12FE28D7" w14:textId="77777777" w:rsidR="009728D1" w:rsidRPr="00CB390A" w:rsidRDefault="009728D1" w:rsidP="00095135">
                            <w:pPr>
                              <w:pStyle w:val="TLKontakty"/>
                              <w:spacing w:after="80" w:line="240" w:lineRule="auto"/>
                              <w:rPr>
                                <w:bCs/>
                                <w:color w:val="auto"/>
                              </w:rPr>
                            </w:pPr>
                          </w:p>
                          <w:p w14:paraId="3B717082" w14:textId="77777777" w:rsidR="009728D1" w:rsidRPr="005E7C78" w:rsidRDefault="009728D1" w:rsidP="00095135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D66223">
                              <w:t>Ostrava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 | Repinova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17, 702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03 Ostrava,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 xml:space="preserve"> tel.: 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595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131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230, 595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131</w:t>
                            </w:r>
                            <w:r>
                              <w:rPr>
                                <w:b w:val="0"/>
                                <w:color w:val="auto"/>
                              </w:rPr>
                              <w:t> </w:t>
                            </w:r>
                            <w:r w:rsidRPr="005E7C78">
                              <w:rPr>
                                <w:b w:val="0"/>
                                <w:color w:val="auto"/>
                              </w:rPr>
                              <w:t>232</w:t>
                            </w:r>
                          </w:p>
                          <w:p w14:paraId="09F6121B" w14:textId="77777777" w:rsidR="009728D1" w:rsidRPr="00095135" w:rsidRDefault="009728D1" w:rsidP="00825C4D">
                            <w:pPr>
                              <w:pStyle w:val="TLKontakty"/>
                              <w:spacing w:after="80" w:line="240" w:lineRule="auto"/>
                              <w:rPr>
                                <w:b w:val="0"/>
                                <w:color w:val="auto"/>
                              </w:rPr>
                            </w:pPr>
                            <w:r w:rsidRPr="005E7C78">
                              <w:rPr>
                                <w:b w:val="0"/>
                                <w:color w:val="auto"/>
                              </w:rPr>
                              <w:t xml:space="preserve">e-mail: infoservis_ov@czso.cz | </w:t>
                            </w:r>
                            <w:r w:rsidRPr="005E7C78">
                              <w:rPr>
                                <w:color w:val="auto"/>
                              </w:rPr>
                              <w:t>www.ostrava.czso.cz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1E25A" id="_x0000_s1030" type="#_x0000_t202" style="position:absolute;left:0;text-align:left;margin-left:57pt;margin-top:113.4pt;width:481.85pt;height:604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uKSgIAAEIEAAAOAAAAZHJzL2Uyb0RvYy54bWysU11u2zAMfh+wOwh6d22nrhMbdYo2qYcB&#10;3Q/Q7gCKLMfGbFGTlNhdsQPtHLvYKDnuuu1t2ItASeRH8vvIy6ux78hRaNOCLGh8FlEiJIeqlfuC&#10;fnoogxUlxjJZsQ6kKOijMPRq/frV5aBysYAGukpogiDS5IMqaGOtysPQ8Eb0zJyBEhI/a9A9s3jV&#10;+7DSbED0vgsXUZSGA+hKaeDCGHzdTp907fHrWnD7oa6NsKQrKNZm/an9uXNnuL5k+V4z1bT8VAb7&#10;hyp61kpM+gy1ZZaRg27/gupbrsFAbc849CHUdcuF7wG7iaM/urlvmBK+FyTHqGeazP+D5e+PHzVp&#10;q4ImlEjWo0QPYrRw/PGdKOgEWTiKBmVy9LxX6GvHGxhRat+uUXfAPxsiYdMwuRfXWsPQCFZhibGL&#10;DF+ETjjGgeyGd1BhLnaw4IHGWveOP2SEIDpK9fgsD9ZDOD6mcZwl2QUlHP+W6fL8PPEChiyfw5U2&#10;9o2AnjijoBr19/DseGesK4fls4vLJqFsu87PQCd/e0DH6QWTY6j7c2V4SZ+yKLtd3a6SIFmkt0ES&#10;VVVwXW6SIC3j5cX2fLvZbONv02i9CIoXSXSzyIIyXS2DpE4ugmwZrYIozm6yNEqyZFv6IEw9J/Xs&#10;OcIm6uy4G09anUTZQfWIdGqYBhsXEY0G9FdKBhzqgpovB6YFJd1biZK4DZgNPRu72WCSY2hBLSWT&#10;ubHTphyUbvcNIs+iX6NsZesJdfpOVZzExkH1PJ+Wym3Cy7v3+rX6658AAAD//wMAUEsDBBQABgAI&#10;AAAAIQCtGkZc4AAAAA0BAAAPAAAAZHJzL2Rvd25yZXYueG1sTI/BTsMwEETvSPyDtUhcUOs4lARC&#10;nAohuHCjcOnNTZYkwl5HsZuEfj3bE9x2tKOZeeV2cVZMOIbekwa1TkAg1b7pqdXw+fG6ugcRoqHG&#10;WE+o4QcDbKvLi9IUjZ/pHaddbAWHUCiMhi7GoZAy1B06E9Z+QOLflx+diSzHVjajmTncWZkmSSad&#10;6YkbOjPgc4f19+7oNGTLy3Dz9oDpfKrtRPuTUhGV1tdXy9MjiIhL/DPDeT5Ph4o3HfyRmiAsa7Vh&#10;lqghTTNmODuSPM9BHPja3N6lIKtS/qeofgEAAP//AwBQSwECLQAUAAYACAAAACEAtoM4kv4AAADh&#10;AQAAEwAAAAAAAAAAAAAAAAAAAAAAW0NvbnRlbnRfVHlwZXNdLnhtbFBLAQItABQABgAIAAAAIQA4&#10;/SH/1gAAAJQBAAALAAAAAAAAAAAAAAAAAC8BAABfcmVscy8ucmVsc1BLAQItABQABgAIAAAAIQBB&#10;djuKSgIAAEIEAAAOAAAAAAAAAAAAAAAAAC4CAABkcnMvZTJvRG9jLnhtbFBLAQItABQABgAIAAAA&#10;IQCtGkZc4AAAAA0BAAAPAAAAAAAAAAAAAAAAAKQEAABkcnMvZG93bnJldi54bWxQSwUGAAAAAAQA&#10;BADzAAAAsQUAAAAA&#10;" filled="f" stroked="f">
                <v:textbox style="mso-fit-shape-to-text:t" inset="0,0,0,0">
                  <w:txbxContent>
                    <w:p w14:paraId="14FAF639" w14:textId="77777777" w:rsidR="009728D1" w:rsidRPr="006F5416" w:rsidRDefault="009728D1" w:rsidP="006F5416">
                      <w:pPr>
                        <w:pStyle w:val="TLKontaktyerven"/>
                      </w:pPr>
                      <w:r w:rsidRPr="006F5416">
                        <w:t>KONTAKTY V ÚSTŘEDÍ</w:t>
                      </w:r>
                    </w:p>
                    <w:p w14:paraId="7AC4AC10" w14:textId="77777777" w:rsidR="009728D1" w:rsidRPr="007D40DF" w:rsidRDefault="009728D1" w:rsidP="00825C4D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  <w:color w:val="auto"/>
                        </w:rPr>
                      </w:pPr>
                      <w:r w:rsidRPr="00D66223">
                        <w:t>Český statistický úřad</w:t>
                      </w:r>
                      <w:r w:rsidRPr="007D40DF">
                        <w:rPr>
                          <w:b w:val="0"/>
                          <w:color w:val="auto"/>
                        </w:rPr>
                        <w:t xml:space="preserve"> | Na</w:t>
                      </w:r>
                      <w:r>
                        <w:rPr>
                          <w:b w:val="0"/>
                          <w:color w:val="auto"/>
                        </w:rPr>
                        <w:t xml:space="preserve"> padesátém 81, 100 82 Praha</w:t>
                      </w:r>
                      <w:r w:rsidRPr="007D40DF">
                        <w:rPr>
                          <w:b w:val="0"/>
                          <w:color w:val="auto"/>
                        </w:rPr>
                        <w:t> </w:t>
                      </w:r>
                      <w:r>
                        <w:rPr>
                          <w:b w:val="0"/>
                          <w:color w:val="auto"/>
                        </w:rPr>
                        <w:t xml:space="preserve">10, </w:t>
                      </w:r>
                      <w:r w:rsidRPr="007D40DF">
                        <w:rPr>
                          <w:b w:val="0"/>
                          <w:color w:val="auto"/>
                        </w:rPr>
                        <w:t xml:space="preserve">tel.: 274 051 111 | </w:t>
                      </w:r>
                      <w:r w:rsidRPr="007D40DF">
                        <w:rPr>
                          <w:color w:val="auto"/>
                        </w:rPr>
                        <w:t>www.czso.cz</w:t>
                      </w:r>
                    </w:p>
                    <w:p w14:paraId="6609ED54" w14:textId="77777777" w:rsidR="009728D1" w:rsidRPr="00D235B7" w:rsidRDefault="009728D1" w:rsidP="00825C4D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  <w:color w:val="auto"/>
                        </w:rPr>
                      </w:pPr>
                      <w:r w:rsidRPr="00D235B7">
                        <w:rPr>
                          <w:color w:val="auto"/>
                        </w:rPr>
                        <w:t>Oddělení informačních služeb</w:t>
                      </w:r>
                      <w:r w:rsidRPr="00D235B7">
                        <w:rPr>
                          <w:b w:val="0"/>
                          <w:color w:val="auto"/>
                        </w:rPr>
                        <w:t xml:space="preserve"> | tel.: 274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D235B7">
                        <w:rPr>
                          <w:b w:val="0"/>
                          <w:color w:val="auto"/>
                        </w:rPr>
                        <w:t>052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D235B7">
                        <w:rPr>
                          <w:b w:val="0"/>
                          <w:color w:val="auto"/>
                        </w:rPr>
                        <w:t>304, 274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D235B7">
                        <w:rPr>
                          <w:b w:val="0"/>
                          <w:color w:val="auto"/>
                        </w:rPr>
                        <w:t>052 451 | e-mail: infoservis@czso.cz</w:t>
                      </w:r>
                    </w:p>
                    <w:p w14:paraId="25E291C0" w14:textId="77777777" w:rsidR="009728D1" w:rsidRPr="00D235B7" w:rsidRDefault="009728D1" w:rsidP="00825C4D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  <w:color w:val="auto"/>
                        </w:rPr>
                      </w:pPr>
                      <w:r w:rsidRPr="00D235B7">
                        <w:rPr>
                          <w:color w:val="auto"/>
                        </w:rPr>
                        <w:t>Prodejna publikací ČSÚ</w:t>
                      </w:r>
                      <w:r w:rsidRPr="00D235B7">
                        <w:rPr>
                          <w:b w:val="0"/>
                          <w:color w:val="auto"/>
                        </w:rPr>
                        <w:t xml:space="preserve"> | tel.: 274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D235B7">
                        <w:rPr>
                          <w:b w:val="0"/>
                          <w:color w:val="auto"/>
                        </w:rPr>
                        <w:t>052 361 | e-mail: prodejna@czso.cz</w:t>
                      </w:r>
                    </w:p>
                    <w:p w14:paraId="7FFE2B3E" w14:textId="77777777" w:rsidR="009728D1" w:rsidRPr="00D235B7" w:rsidRDefault="009728D1" w:rsidP="00825C4D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  <w:color w:val="auto"/>
                        </w:rPr>
                      </w:pPr>
                      <w:r w:rsidRPr="00D235B7">
                        <w:rPr>
                          <w:color w:val="auto"/>
                        </w:rPr>
                        <w:t>Evropská data (ESDS), mezinárodní srovnání</w:t>
                      </w:r>
                      <w:r w:rsidRPr="00D235B7">
                        <w:rPr>
                          <w:b w:val="0"/>
                          <w:color w:val="auto"/>
                        </w:rPr>
                        <w:t xml:space="preserve"> | tel.: 274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D235B7">
                        <w:rPr>
                          <w:b w:val="0"/>
                          <w:color w:val="auto"/>
                        </w:rPr>
                        <w:t>052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D235B7">
                        <w:rPr>
                          <w:b w:val="0"/>
                          <w:color w:val="auto"/>
                        </w:rPr>
                        <w:t>347 | e-mail: esds@czso.cz</w:t>
                      </w:r>
                    </w:p>
                    <w:p w14:paraId="54CDE814" w14:textId="77777777" w:rsidR="009728D1" w:rsidRPr="00D235B7" w:rsidRDefault="009728D1" w:rsidP="00825C4D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b w:val="0"/>
                          <w:color w:val="auto"/>
                        </w:rPr>
                      </w:pPr>
                      <w:r w:rsidRPr="00D235B7">
                        <w:rPr>
                          <w:color w:val="auto"/>
                        </w:rPr>
                        <w:t>Ústřední statistická knihovna</w:t>
                      </w:r>
                      <w:r w:rsidRPr="00D235B7">
                        <w:rPr>
                          <w:b w:val="0"/>
                          <w:color w:val="auto"/>
                        </w:rPr>
                        <w:t xml:space="preserve"> | tel.: 274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D235B7">
                        <w:rPr>
                          <w:b w:val="0"/>
                          <w:color w:val="auto"/>
                        </w:rPr>
                        <w:t>052 361 | e-mail: knihovna@czso.cz</w:t>
                      </w:r>
                    </w:p>
                    <w:p w14:paraId="7A4D1929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contextualSpacing w:val="0"/>
                        <w:rPr>
                          <w:color w:val="auto"/>
                        </w:rPr>
                      </w:pPr>
                    </w:p>
                    <w:p w14:paraId="7ACB2830" w14:textId="77777777" w:rsidR="009728D1" w:rsidRPr="00D66223" w:rsidRDefault="009728D1" w:rsidP="00D66223">
                      <w:pPr>
                        <w:pStyle w:val="TLKontaktyerven"/>
                      </w:pPr>
                      <w:r w:rsidRPr="00D66223">
                        <w:t>INFORMAČNÍ SLUŽBY V REGIONECH</w:t>
                      </w:r>
                    </w:p>
                    <w:p w14:paraId="5ED1A1A9" w14:textId="77777777" w:rsidR="009728D1" w:rsidRPr="00992CF3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Hl. m. Praha</w:t>
                      </w:r>
                      <w:r w:rsidRPr="00992CF3">
                        <w:rPr>
                          <w:b w:val="0"/>
                          <w:color w:val="auto"/>
                        </w:rPr>
                        <w:t xml:space="preserve"> | Na</w:t>
                      </w:r>
                      <w:r>
                        <w:rPr>
                          <w:b w:val="0"/>
                          <w:color w:val="auto"/>
                        </w:rPr>
                        <w:t xml:space="preserve"> padesátém 81, 100 82 Praha 10, </w:t>
                      </w:r>
                      <w:r w:rsidRPr="00992CF3">
                        <w:rPr>
                          <w:b w:val="0"/>
                          <w:color w:val="auto"/>
                        </w:rPr>
                        <w:t>tel.</w:t>
                      </w:r>
                      <w:r w:rsidRPr="007D40DF">
                        <w:rPr>
                          <w:b w:val="0"/>
                          <w:color w:val="auto"/>
                        </w:rPr>
                        <w:t>:</w:t>
                      </w:r>
                      <w:r>
                        <w:rPr>
                          <w:b w:val="0"/>
                          <w:color w:val="auto"/>
                        </w:rPr>
                        <w:t xml:space="preserve"> 274 052 673, </w:t>
                      </w:r>
                      <w:r w:rsidRPr="00992CF3">
                        <w:rPr>
                          <w:b w:val="0"/>
                          <w:color w:val="auto"/>
                        </w:rPr>
                        <w:t>274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992CF3">
                        <w:rPr>
                          <w:b w:val="0"/>
                          <w:color w:val="auto"/>
                        </w:rPr>
                        <w:t>054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992CF3">
                        <w:rPr>
                          <w:b w:val="0"/>
                          <w:color w:val="auto"/>
                        </w:rPr>
                        <w:t>223</w:t>
                      </w:r>
                    </w:p>
                    <w:p w14:paraId="2B33C3B6" w14:textId="77777777" w:rsidR="009728D1" w:rsidRPr="00992CF3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992CF3">
                        <w:rPr>
                          <w:b w:val="0"/>
                          <w:color w:val="auto"/>
                        </w:rPr>
                        <w:t xml:space="preserve">e-mail: infoservispraha@czso.cz | </w:t>
                      </w:r>
                      <w:r w:rsidRPr="00992CF3">
                        <w:rPr>
                          <w:color w:val="auto"/>
                        </w:rPr>
                        <w:t>www.praha.czso.cz</w:t>
                      </w:r>
                    </w:p>
                    <w:p w14:paraId="7BE7E57F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14:paraId="0A5C24D0" w14:textId="77777777" w:rsidR="009728D1" w:rsidRPr="00992CF3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Středočeský kraj</w:t>
                      </w:r>
                      <w:r w:rsidRPr="00992CF3">
                        <w:rPr>
                          <w:b w:val="0"/>
                          <w:color w:val="auto"/>
                        </w:rPr>
                        <w:t xml:space="preserve"> | Na padesátém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992CF3">
                        <w:rPr>
                          <w:b w:val="0"/>
                          <w:color w:val="auto"/>
                        </w:rPr>
                        <w:t>81, 100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992CF3">
                        <w:rPr>
                          <w:b w:val="0"/>
                          <w:color w:val="auto"/>
                        </w:rPr>
                        <w:t>82 Praha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992CF3">
                        <w:rPr>
                          <w:b w:val="0"/>
                          <w:color w:val="auto"/>
                        </w:rPr>
                        <w:t>10, 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992CF3">
                        <w:rPr>
                          <w:b w:val="0"/>
                          <w:color w:val="auto"/>
                        </w:rPr>
                        <w:t>274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992CF3">
                        <w:rPr>
                          <w:b w:val="0"/>
                          <w:color w:val="auto"/>
                        </w:rPr>
                        <w:t>054 175</w:t>
                      </w:r>
                    </w:p>
                    <w:p w14:paraId="0BFCF3CB" w14:textId="77777777" w:rsidR="009728D1" w:rsidRPr="00992CF3" w:rsidRDefault="009728D1" w:rsidP="00825C4D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  <w:r w:rsidRPr="00992CF3">
                        <w:rPr>
                          <w:b w:val="0"/>
                          <w:color w:val="auto"/>
                        </w:rPr>
                        <w:t xml:space="preserve">e-mail: infoservisstc@czso.cz | </w:t>
                      </w:r>
                      <w:r w:rsidRPr="00992CF3">
                        <w:rPr>
                          <w:color w:val="auto"/>
                        </w:rPr>
                        <w:t>www.stredocesky.czso.cz</w:t>
                      </w:r>
                    </w:p>
                    <w:p w14:paraId="02215704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14:paraId="5413E4A2" w14:textId="77777777" w:rsidR="009728D1" w:rsidRPr="00992CF3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České Budějovice</w:t>
                      </w:r>
                      <w:r w:rsidRPr="00992CF3">
                        <w:rPr>
                          <w:b w:val="0"/>
                          <w:color w:val="auto"/>
                        </w:rPr>
                        <w:t xml:space="preserve"> | Žižkova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992CF3">
                        <w:rPr>
                          <w:b w:val="0"/>
                          <w:color w:val="auto"/>
                        </w:rPr>
                        <w:t>1, 370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992CF3">
                        <w:rPr>
                          <w:b w:val="0"/>
                          <w:color w:val="auto"/>
                        </w:rPr>
                        <w:t>77 České Budějovice</w:t>
                      </w:r>
                      <w:r>
                        <w:rPr>
                          <w:b w:val="0"/>
                          <w:color w:val="auto"/>
                        </w:rPr>
                        <w:t xml:space="preserve">, </w:t>
                      </w:r>
                      <w:r w:rsidRPr="00992CF3">
                        <w:rPr>
                          <w:b w:val="0"/>
                          <w:color w:val="auto"/>
                        </w:rPr>
                        <w:t>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992CF3">
                        <w:rPr>
                          <w:b w:val="0"/>
                          <w:color w:val="auto"/>
                        </w:rPr>
                        <w:t>386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992CF3">
                        <w:rPr>
                          <w:b w:val="0"/>
                          <w:color w:val="auto"/>
                        </w:rPr>
                        <w:t>718 440</w:t>
                      </w:r>
                    </w:p>
                    <w:p w14:paraId="1A36ECD4" w14:textId="77777777" w:rsidR="009728D1" w:rsidRPr="00992CF3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992CF3">
                        <w:rPr>
                          <w:b w:val="0"/>
                          <w:color w:val="auto"/>
                        </w:rPr>
                        <w:t xml:space="preserve">e-mail: infoserviscb@czso.cz | </w:t>
                      </w:r>
                      <w:r w:rsidRPr="00992CF3">
                        <w:rPr>
                          <w:color w:val="auto"/>
                        </w:rPr>
                        <w:t>www.cbudejovice.czso.cz</w:t>
                      </w:r>
                    </w:p>
                    <w:p w14:paraId="4828408E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14:paraId="4B4162A0" w14:textId="77777777" w:rsidR="009728D1" w:rsidRPr="00BC731E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Plzeň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Slovanská alej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36, 326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64 Plzeň</w:t>
                      </w:r>
                      <w:r>
                        <w:rPr>
                          <w:b w:val="0"/>
                          <w:color w:val="auto"/>
                        </w:rPr>
                        <w:t xml:space="preserve">, </w:t>
                      </w:r>
                      <w:r w:rsidRPr="004A61C5">
                        <w:rPr>
                          <w:b w:val="0"/>
                          <w:color w:val="auto"/>
                        </w:rPr>
                        <w:t>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4A61C5">
                        <w:rPr>
                          <w:b w:val="0"/>
                          <w:color w:val="auto"/>
                        </w:rPr>
                        <w:t>377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612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108</w:t>
                      </w:r>
                      <w:r w:rsidRPr="00BC731E">
                        <w:rPr>
                          <w:b w:val="0"/>
                          <w:color w:val="auto"/>
                        </w:rPr>
                        <w:t>, 377 612 145</w:t>
                      </w:r>
                    </w:p>
                    <w:p w14:paraId="26716234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infoservisplzen@czso.cz | </w:t>
                      </w:r>
                      <w:r w:rsidRPr="004A61C5">
                        <w:rPr>
                          <w:color w:val="auto"/>
                        </w:rPr>
                        <w:t>www.plzen.czso.cz</w:t>
                      </w:r>
                    </w:p>
                    <w:p w14:paraId="66D122B4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14:paraId="002D4DFA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Karlovy Vary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</w:t>
                      </w:r>
                      <w:r w:rsidRPr="00095135">
                        <w:rPr>
                          <w:b w:val="0"/>
                          <w:color w:val="auto"/>
                        </w:rPr>
                        <w:t>Závodní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095135">
                        <w:rPr>
                          <w:b w:val="0"/>
                          <w:color w:val="auto"/>
                        </w:rPr>
                        <w:t>360/94, 360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095135">
                        <w:rPr>
                          <w:b w:val="0"/>
                          <w:color w:val="auto"/>
                        </w:rPr>
                        <w:t>06 Karlovy Vary</w:t>
                      </w:r>
                      <w:r w:rsidRPr="004A61C5">
                        <w:rPr>
                          <w:b w:val="0"/>
                          <w:color w:val="auto"/>
                        </w:rPr>
                        <w:t>, 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4A61C5">
                        <w:rPr>
                          <w:b w:val="0"/>
                          <w:color w:val="auto"/>
                        </w:rPr>
                        <w:t>353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114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529, 353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114 525</w:t>
                      </w:r>
                    </w:p>
                    <w:p w14:paraId="65152997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infoserviskv@czso.cz | </w:t>
                      </w:r>
                      <w:r w:rsidRPr="004A61C5">
                        <w:rPr>
                          <w:color w:val="auto"/>
                        </w:rPr>
                        <w:t>www.kvary.czso.cz</w:t>
                      </w:r>
                    </w:p>
                    <w:p w14:paraId="77E9616B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14:paraId="4F4B2CBF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Ústí nad Labem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Špálova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2684, 400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11 Ústí nad Labem</w:t>
                      </w:r>
                      <w:r>
                        <w:rPr>
                          <w:b w:val="0"/>
                          <w:color w:val="auto"/>
                        </w:rPr>
                        <w:t xml:space="preserve">, </w:t>
                      </w:r>
                      <w:r w:rsidRPr="004A61C5">
                        <w:rPr>
                          <w:b w:val="0"/>
                          <w:color w:val="auto"/>
                        </w:rPr>
                        <w:t>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4A61C5">
                        <w:rPr>
                          <w:b w:val="0"/>
                          <w:color w:val="auto"/>
                        </w:rPr>
                        <w:t>472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706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176,</w:t>
                      </w:r>
                      <w:r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Pr="004A61C5">
                        <w:rPr>
                          <w:b w:val="0"/>
                          <w:color w:val="auto"/>
                        </w:rPr>
                        <w:t>472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706 121</w:t>
                      </w:r>
                    </w:p>
                    <w:p w14:paraId="1200845D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infoservisul@czso.cz | </w:t>
                      </w:r>
                      <w:r w:rsidRPr="004A61C5">
                        <w:rPr>
                          <w:color w:val="auto"/>
                        </w:rPr>
                        <w:t>www.ustinadlabem.czso.cz</w:t>
                      </w:r>
                    </w:p>
                    <w:p w14:paraId="38E2A99E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14:paraId="6A91F753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Liberec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</w:t>
                      </w:r>
                      <w:r>
                        <w:rPr>
                          <w:b w:val="0"/>
                          <w:color w:val="auto"/>
                        </w:rPr>
                        <w:t>n</w:t>
                      </w:r>
                      <w:r w:rsidRPr="004A61C5">
                        <w:rPr>
                          <w:b w:val="0"/>
                          <w:color w:val="auto"/>
                        </w:rPr>
                        <w:t>ám. Dr.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Edvarda Beneše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585/26, 460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01 Liberec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1, tel.</w:t>
                      </w:r>
                      <w:r>
                        <w:rPr>
                          <w:b w:val="0"/>
                          <w:color w:val="auto"/>
                        </w:rPr>
                        <w:t xml:space="preserve">: </w:t>
                      </w:r>
                      <w:r w:rsidRPr="004A61C5">
                        <w:rPr>
                          <w:b w:val="0"/>
                          <w:color w:val="auto"/>
                        </w:rPr>
                        <w:t>485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238 811</w:t>
                      </w:r>
                    </w:p>
                    <w:p w14:paraId="7CCA1EB0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infoservislbc@czso.cz | </w:t>
                      </w:r>
                      <w:r w:rsidRPr="004A61C5">
                        <w:rPr>
                          <w:color w:val="auto"/>
                        </w:rPr>
                        <w:t>www.liberec.czso.cz</w:t>
                      </w:r>
                    </w:p>
                    <w:p w14:paraId="71084995" w14:textId="77777777" w:rsidR="009728D1" w:rsidRPr="00CB390A" w:rsidRDefault="009728D1" w:rsidP="00825C4D">
                      <w:pPr>
                        <w:pStyle w:val="TLKontakty"/>
                        <w:spacing w:after="80" w:line="240" w:lineRule="auto"/>
                        <w:rPr>
                          <w:bCs/>
                          <w:color w:val="auto"/>
                        </w:rPr>
                      </w:pPr>
                    </w:p>
                    <w:p w14:paraId="65FBDEE0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Hradec Králové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Myslivečkova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914, 500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03 Hradec Králové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3, </w:t>
                      </w:r>
                      <w:r>
                        <w:rPr>
                          <w:b w:val="0"/>
                          <w:color w:val="auto"/>
                        </w:rPr>
                        <w:t>tel.</w:t>
                      </w:r>
                      <w:r w:rsidRPr="007D40DF">
                        <w:rPr>
                          <w:b w:val="0"/>
                          <w:color w:val="auto"/>
                        </w:rPr>
                        <w:t>:</w:t>
                      </w:r>
                      <w:r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Pr="004A61C5">
                        <w:rPr>
                          <w:b w:val="0"/>
                          <w:color w:val="auto"/>
                        </w:rPr>
                        <w:t>495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762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322,</w:t>
                      </w:r>
                      <w:r>
                        <w:rPr>
                          <w:b w:val="0"/>
                          <w:color w:val="auto"/>
                        </w:rPr>
                        <w:t xml:space="preserve"> </w:t>
                      </w:r>
                      <w:r w:rsidRPr="004A61C5">
                        <w:rPr>
                          <w:b w:val="0"/>
                          <w:color w:val="auto"/>
                        </w:rPr>
                        <w:t>495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762 317</w:t>
                      </w:r>
                    </w:p>
                    <w:p w14:paraId="0AA21A0F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infoservishk@czso.cz | </w:t>
                      </w:r>
                      <w:r w:rsidRPr="004A61C5">
                        <w:rPr>
                          <w:color w:val="auto"/>
                        </w:rPr>
                        <w:t>www.hradeckralove.czso.cz</w:t>
                      </w:r>
                    </w:p>
                    <w:p w14:paraId="07CE6D65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14:paraId="15477B29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Pardubice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V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Ráji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872, 531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53 Pardubice</w:t>
                      </w:r>
                      <w:r>
                        <w:rPr>
                          <w:b w:val="0"/>
                          <w:color w:val="auto"/>
                        </w:rPr>
                        <w:t xml:space="preserve">, </w:t>
                      </w:r>
                      <w:r w:rsidRPr="004A61C5">
                        <w:rPr>
                          <w:b w:val="0"/>
                          <w:color w:val="auto"/>
                        </w:rPr>
                        <w:t>tel.</w:t>
                      </w:r>
                      <w:r>
                        <w:rPr>
                          <w:b w:val="0"/>
                          <w:color w:val="auto"/>
                        </w:rPr>
                        <w:t>: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466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743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480, 466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743 418</w:t>
                      </w:r>
                    </w:p>
                    <w:p w14:paraId="724C8199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infoservispa@czso.cz | </w:t>
                      </w:r>
                      <w:r w:rsidRPr="004A61C5">
                        <w:rPr>
                          <w:color w:val="auto"/>
                        </w:rPr>
                        <w:t>www.pardubice.czso.cz</w:t>
                      </w:r>
                    </w:p>
                    <w:p w14:paraId="7C14C323" w14:textId="77777777" w:rsidR="009728D1" w:rsidRPr="00CB390A" w:rsidRDefault="009728D1" w:rsidP="00825C4D">
                      <w:pPr>
                        <w:pStyle w:val="TLKontakty"/>
                        <w:spacing w:after="80" w:line="240" w:lineRule="auto"/>
                        <w:rPr>
                          <w:bCs/>
                          <w:color w:val="auto"/>
                        </w:rPr>
                      </w:pPr>
                    </w:p>
                    <w:p w14:paraId="438F1FF5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Jihlava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Ke Skalce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30,</w:t>
                      </w:r>
                      <w:r>
                        <w:rPr>
                          <w:b w:val="0"/>
                          <w:color w:val="auto"/>
                        </w:rPr>
                        <w:t xml:space="preserve"> 586 01 Jihlava, tel.: </w:t>
                      </w:r>
                      <w:r w:rsidRPr="004A61C5">
                        <w:rPr>
                          <w:b w:val="0"/>
                          <w:color w:val="auto"/>
                        </w:rPr>
                        <w:t>567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109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BC731E">
                        <w:rPr>
                          <w:b w:val="0"/>
                          <w:color w:val="auto"/>
                        </w:rPr>
                        <w:t>062, 567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BC731E">
                        <w:rPr>
                          <w:b w:val="0"/>
                          <w:color w:val="auto"/>
                        </w:rPr>
                        <w:t>109 073</w:t>
                      </w:r>
                    </w:p>
                    <w:p w14:paraId="64C9D8C9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infoservisvys@czso.cz | </w:t>
                      </w:r>
                      <w:r w:rsidRPr="004A61C5">
                        <w:rPr>
                          <w:color w:val="auto"/>
                        </w:rPr>
                        <w:t>www.jihlava.czso.cz</w:t>
                      </w:r>
                    </w:p>
                    <w:p w14:paraId="2E8E8E9B" w14:textId="77777777" w:rsidR="009728D1" w:rsidRPr="00CB390A" w:rsidRDefault="009728D1" w:rsidP="00825C4D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</w:p>
                    <w:p w14:paraId="2E01A641" w14:textId="77777777" w:rsidR="009728D1" w:rsidRPr="00BC731E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Brno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 | Jezuitská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2, 601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 xml:space="preserve">59 Brno, </w:t>
                      </w:r>
                      <w:r>
                        <w:rPr>
                          <w:b w:val="0"/>
                          <w:color w:val="auto"/>
                        </w:rPr>
                        <w:t xml:space="preserve">tel.: </w:t>
                      </w:r>
                      <w:r w:rsidRPr="004A61C5">
                        <w:rPr>
                          <w:b w:val="0"/>
                          <w:color w:val="auto"/>
                        </w:rPr>
                        <w:t>542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4A61C5">
                        <w:rPr>
                          <w:b w:val="0"/>
                          <w:color w:val="auto"/>
                        </w:rPr>
                        <w:t>528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BC731E">
                        <w:rPr>
                          <w:b w:val="0"/>
                          <w:color w:val="auto"/>
                        </w:rPr>
                        <w:t>115, 542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BC731E">
                        <w:rPr>
                          <w:b w:val="0"/>
                          <w:color w:val="auto"/>
                        </w:rPr>
                        <w:t>528 200</w:t>
                      </w:r>
                    </w:p>
                    <w:p w14:paraId="1053CC34" w14:textId="77777777" w:rsidR="009728D1" w:rsidRPr="004A61C5" w:rsidRDefault="009728D1" w:rsidP="00825C4D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  <w:r w:rsidRPr="004A61C5">
                        <w:rPr>
                          <w:b w:val="0"/>
                          <w:color w:val="auto"/>
                        </w:rPr>
                        <w:t xml:space="preserve">e-mail: infoservisbrno@czso.cz | </w:t>
                      </w:r>
                      <w:r w:rsidRPr="004A61C5">
                        <w:rPr>
                          <w:color w:val="auto"/>
                        </w:rPr>
                        <w:t>www.brno.czso.cz</w:t>
                      </w:r>
                    </w:p>
                    <w:p w14:paraId="79CDB064" w14:textId="77777777" w:rsidR="009728D1" w:rsidRPr="00CB390A" w:rsidRDefault="009728D1" w:rsidP="00825C4D">
                      <w:pPr>
                        <w:pStyle w:val="TLKontakty"/>
                        <w:spacing w:after="80" w:line="240" w:lineRule="auto"/>
                        <w:rPr>
                          <w:bCs/>
                          <w:color w:val="auto"/>
                        </w:rPr>
                      </w:pPr>
                    </w:p>
                    <w:p w14:paraId="62F4F3CC" w14:textId="77777777" w:rsidR="009728D1" w:rsidRPr="005E7C78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Olomouc</w:t>
                      </w:r>
                      <w:r w:rsidRPr="005E7C78">
                        <w:rPr>
                          <w:b w:val="0"/>
                          <w:color w:val="auto"/>
                        </w:rPr>
                        <w:t xml:space="preserve"> | Jeremenkova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1142/42, 772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 xml:space="preserve">11 Olomouc, </w:t>
                      </w:r>
                      <w:r>
                        <w:rPr>
                          <w:b w:val="0"/>
                          <w:color w:val="auto"/>
                        </w:rPr>
                        <w:t xml:space="preserve">tel.: </w:t>
                      </w:r>
                      <w:r w:rsidRPr="005E7C78">
                        <w:rPr>
                          <w:b w:val="0"/>
                          <w:color w:val="auto"/>
                        </w:rPr>
                        <w:t>585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731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BC731E">
                        <w:rPr>
                          <w:b w:val="0"/>
                          <w:color w:val="auto"/>
                        </w:rPr>
                        <w:t>516, 585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BC731E">
                        <w:rPr>
                          <w:b w:val="0"/>
                          <w:color w:val="auto"/>
                        </w:rPr>
                        <w:t>731 511</w:t>
                      </w:r>
                    </w:p>
                    <w:p w14:paraId="6A39C288" w14:textId="77777777" w:rsidR="009728D1" w:rsidRPr="005E7C78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5E7C78">
                        <w:rPr>
                          <w:b w:val="0"/>
                          <w:color w:val="auto"/>
                        </w:rPr>
                        <w:t xml:space="preserve">e-mail: infoservisolom@czso.cz | </w:t>
                      </w:r>
                      <w:r w:rsidRPr="005E7C78">
                        <w:rPr>
                          <w:color w:val="auto"/>
                        </w:rPr>
                        <w:t>www.olomouc.czso.cz</w:t>
                      </w:r>
                    </w:p>
                    <w:p w14:paraId="44E8CB0D" w14:textId="77777777" w:rsidR="009728D1" w:rsidRPr="00CB390A" w:rsidRDefault="009728D1" w:rsidP="00825C4D">
                      <w:pPr>
                        <w:pStyle w:val="TLKontakty"/>
                        <w:spacing w:after="80" w:line="240" w:lineRule="auto"/>
                        <w:rPr>
                          <w:bCs/>
                          <w:color w:val="auto"/>
                        </w:rPr>
                      </w:pPr>
                    </w:p>
                    <w:p w14:paraId="31C27DED" w14:textId="77777777" w:rsidR="009728D1" w:rsidRPr="005E7C78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Zlín</w:t>
                      </w:r>
                      <w:r w:rsidRPr="005E7C78">
                        <w:rPr>
                          <w:b w:val="0"/>
                          <w:color w:val="auto"/>
                        </w:rPr>
                        <w:t xml:space="preserve"> | tř.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Tomáše Bati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1565, 761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 xml:space="preserve">76 Zlín, </w:t>
                      </w:r>
                      <w:r w:rsidRPr="00BC731E">
                        <w:rPr>
                          <w:b w:val="0"/>
                          <w:color w:val="auto"/>
                        </w:rPr>
                        <w:t>tel.: 577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BC731E">
                        <w:rPr>
                          <w:b w:val="0"/>
                          <w:color w:val="auto"/>
                        </w:rPr>
                        <w:t>004 932, 5</w:t>
                      </w:r>
                      <w:r w:rsidRPr="005E7C78">
                        <w:rPr>
                          <w:b w:val="0"/>
                          <w:color w:val="auto"/>
                        </w:rPr>
                        <w:t>77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004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935</w:t>
                      </w:r>
                    </w:p>
                    <w:p w14:paraId="0D65BC86" w14:textId="77777777" w:rsidR="009728D1" w:rsidRDefault="009728D1" w:rsidP="00825C4D">
                      <w:pPr>
                        <w:pStyle w:val="TLKontakty"/>
                        <w:spacing w:after="80" w:line="240" w:lineRule="auto"/>
                        <w:rPr>
                          <w:color w:val="auto"/>
                        </w:rPr>
                      </w:pPr>
                      <w:r w:rsidRPr="005E7C78">
                        <w:rPr>
                          <w:b w:val="0"/>
                          <w:color w:val="auto"/>
                        </w:rPr>
                        <w:t xml:space="preserve">e-mail: infoservis-zl@czso.cz | </w:t>
                      </w:r>
                      <w:r w:rsidRPr="00227A53">
                        <w:rPr>
                          <w:color w:val="auto"/>
                        </w:rPr>
                        <w:t>www.zlin.czso.cz</w:t>
                      </w:r>
                    </w:p>
                    <w:p w14:paraId="12FE28D7" w14:textId="77777777" w:rsidR="009728D1" w:rsidRPr="00CB390A" w:rsidRDefault="009728D1" w:rsidP="00095135">
                      <w:pPr>
                        <w:pStyle w:val="TLKontakty"/>
                        <w:spacing w:after="80" w:line="240" w:lineRule="auto"/>
                        <w:rPr>
                          <w:bCs/>
                          <w:color w:val="auto"/>
                        </w:rPr>
                      </w:pPr>
                    </w:p>
                    <w:p w14:paraId="3B717082" w14:textId="77777777" w:rsidR="009728D1" w:rsidRPr="005E7C78" w:rsidRDefault="009728D1" w:rsidP="00095135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D66223">
                        <w:t>Ostrava</w:t>
                      </w:r>
                      <w:r w:rsidRPr="005E7C78">
                        <w:rPr>
                          <w:b w:val="0"/>
                          <w:color w:val="auto"/>
                        </w:rPr>
                        <w:t xml:space="preserve"> | Repinova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17, 702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03 Ostrava,</w:t>
                      </w:r>
                      <w:r>
                        <w:rPr>
                          <w:b w:val="0"/>
                          <w:color w:val="auto"/>
                        </w:rPr>
                        <w:t xml:space="preserve"> tel.: </w:t>
                      </w:r>
                      <w:r w:rsidRPr="005E7C78">
                        <w:rPr>
                          <w:b w:val="0"/>
                          <w:color w:val="auto"/>
                        </w:rPr>
                        <w:t>595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131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230, 595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131</w:t>
                      </w:r>
                      <w:r>
                        <w:rPr>
                          <w:b w:val="0"/>
                          <w:color w:val="auto"/>
                        </w:rPr>
                        <w:t> </w:t>
                      </w:r>
                      <w:r w:rsidRPr="005E7C78">
                        <w:rPr>
                          <w:b w:val="0"/>
                          <w:color w:val="auto"/>
                        </w:rPr>
                        <w:t>232</w:t>
                      </w:r>
                    </w:p>
                    <w:p w14:paraId="09F6121B" w14:textId="77777777" w:rsidR="009728D1" w:rsidRPr="00095135" w:rsidRDefault="009728D1" w:rsidP="00825C4D">
                      <w:pPr>
                        <w:pStyle w:val="TLKontakty"/>
                        <w:spacing w:after="80" w:line="240" w:lineRule="auto"/>
                        <w:rPr>
                          <w:b w:val="0"/>
                          <w:color w:val="auto"/>
                        </w:rPr>
                      </w:pPr>
                      <w:r w:rsidRPr="005E7C78">
                        <w:rPr>
                          <w:b w:val="0"/>
                          <w:color w:val="auto"/>
                        </w:rPr>
                        <w:t xml:space="preserve">e-mail: infoservis_ov@czso.cz | </w:t>
                      </w:r>
                      <w:r w:rsidRPr="005E7C78">
                        <w:rPr>
                          <w:color w:val="auto"/>
                        </w:rPr>
                        <w:t>www.ostrava.czso.cz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4A1C9989" wp14:editId="463AEDFE">
                <wp:simplePos x="0" y="0"/>
                <wp:positionH relativeFrom="page">
                  <wp:posOffset>720090</wp:posOffset>
                </wp:positionH>
                <wp:positionV relativeFrom="page">
                  <wp:posOffset>9486900</wp:posOffset>
                </wp:positionV>
                <wp:extent cx="6120130" cy="360045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70D32" w14:textId="77777777" w:rsidR="009728D1" w:rsidRPr="00321924" w:rsidRDefault="009728D1" w:rsidP="00A16E1D">
                            <w:pPr>
                              <w:jc w:val="left"/>
                            </w:pPr>
                            <w:r w:rsidRPr="00321924">
                              <w:br/>
                              <w:t xml:space="preserve">© Český statistický úřad, </w:t>
                            </w:r>
                            <w:r>
                              <w:t>Praha, 2020</w:t>
                            </w:r>
                          </w:p>
                          <w:p w14:paraId="72D22036" w14:textId="77777777" w:rsidR="009728D1" w:rsidRDefault="009728D1"/>
                          <w:p w14:paraId="022AAAC9" w14:textId="77777777" w:rsidR="009728D1" w:rsidRPr="00841D9F" w:rsidRDefault="009728D1" w:rsidP="000A3A2C">
                            <w:r w:rsidRPr="00841D9F">
                              <w:rPr>
                                <w:szCs w:val="26"/>
                              </w:rPr>
                              <w:t>ISBN XX-XXXX-XXX-X</w:t>
                            </w:r>
                            <w:r>
                              <w:rPr>
                                <w:szCs w:val="26"/>
                              </w:rPr>
                              <w:t> </w:t>
                            </w:r>
                            <w:r w:rsidRPr="00841D9F">
                              <w:rPr>
                                <w:szCs w:val="26"/>
                              </w:rPr>
                              <w:t xml:space="preserve"> </w:t>
                            </w:r>
                            <w:r w:rsidRPr="00841D9F">
                              <w:t>(pouze u</w:t>
                            </w:r>
                            <w:r>
                              <w:t> </w:t>
                            </w:r>
                            <w:r w:rsidRPr="00841D9F">
                              <w:t>nepravidelných a</w:t>
                            </w:r>
                            <w:r>
                              <w:t> </w:t>
                            </w:r>
                            <w:r w:rsidRPr="00841D9F">
                              <w:t>ročních publikací)</w:t>
                            </w:r>
                          </w:p>
                          <w:p w14:paraId="39E69B8A" w14:textId="77777777" w:rsidR="009728D1" w:rsidRPr="00AF2852" w:rsidRDefault="009728D1" w:rsidP="000A3A2C">
                            <w:r w:rsidRPr="00841D9F">
                              <w:t>© Český sta</w:t>
                            </w:r>
                            <w:r>
                              <w:t xml:space="preserve">tistický úřad / </w:t>
                            </w:r>
                            <w:r w:rsidRPr="009A1902">
                              <w:rPr>
                                <w:i/>
                              </w:rPr>
                              <w:t xml:space="preserve">Czech </w:t>
                            </w:r>
                            <w:proofErr w:type="spellStart"/>
                            <w:r w:rsidRPr="009A1902">
                              <w:rPr>
                                <w:rFonts w:cs="Arial"/>
                                <w:i/>
                                <w:szCs w:val="20"/>
                              </w:rPr>
                              <w:t>Statistical</w:t>
                            </w:r>
                            <w:proofErr w:type="spellEnd"/>
                            <w:r w:rsidRPr="009A1902">
                              <w:rPr>
                                <w:rFonts w:cs="Arial"/>
                                <w:i/>
                                <w:szCs w:val="20"/>
                              </w:rPr>
                              <w:t xml:space="preserve"> Office</w:t>
                            </w:r>
                            <w:r>
                              <w:t>, místo, rok vydání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C9989" id="_x0000_s1031" type="#_x0000_t202" style="position:absolute;left:0;text-align:left;margin-left:56.7pt;margin-top:747pt;width:481.9pt;height:28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x1SQIAAEIEAAAOAAAAZHJzL2Uyb0RvYy54bWysU9tu2zAMfR+wfxD07voS142NOEWaNMOA&#10;7gK0+wBFlmNjtqhJSuxu2AftO/Zjo+Sk7ba3YS8CJZKH5Dni4nrsO3IU2rQgSxpfRJQIyaFq5b6k&#10;nx62wZwSY5msWAdSlPRRGHq9fP1qMahCJNBAVwlNEESaYlAlbaxVRRga3oiemQtQQqKzBt0zi1e9&#10;DyvNBkTvuzCJoiwcQFdKAxfG4OtmctKlx69rwe2HujbCkq6k2Jv1p/bnzp3hcsGKvWaqafmpDfYP&#10;XfSslVj0CWrDLCMH3f4F1bdcg4HaXnDoQ6jrlgs/A04TR39Mc98wJfwsSI5RTzSZ/wfL3x8/atJW&#10;JU1mlEjWo0YPYrRw/PmDKOgESRxHgzIFht4rDLbjDYyotZ/XqDvgnw2RsG6Y3IuV1jA0glXYY+wy&#10;wxepE45xILvhHVRYix0seKCx1r0jECkhiI5aPT7pg/0Qjo9ZjCTN0MXRN8uiKL30JVhxzlba2DcC&#10;euKMkmrU36Oz452xrhtWnENcMQnbtuv8H+jkbw8YOL1gbUx1PteFl/RbHuW389t5GqRJdhukUVUF&#10;q+06DbJtfHW5mW3W6038ffpaL5LiJI1ukjzYZvOrIK3TyyC/iuZBFOc3eRalebrZ+iQsfS7qyXN8&#10;TczZcTd6rfzYjtgdVI/IpobpY+MiotGA/krJgJ+6pObLgWlBSfdWoiJuA86GPhu7s8Ekx9SSWkom&#10;c22nTTko3e4bRJ40l7BC1erWE/rcxUlr/Kie59NSuU14efdRz6u//AUAAP//AwBQSwMEFAAGAAgA&#10;AAAhANXbivriAAAADgEAAA8AAABkcnMvZG93bnJldi54bWxMj8FOwzAQRO9I/IO1SNyo3ZI2NMSp&#10;KgQnJEQaDhyd2E2sxusQu234e7ancpvRPs3O5JvJ9exkxmA9SpjPBDCDjdcWWwlf1dvDE7AQFWrV&#10;ezQSfk2ATXF7k6tM+zOW5rSLLaMQDJmS0MU4ZJyHpjNOhZkfDNJt70enItmx5XpUZwp3PV8IseJO&#10;WaQPnRrMS2eaw+7oJGy/sXy1Px/1Z7kvbVWtBb6vDlLe303bZ2DRTPEKw6U+VYeCOtX+iDqwnvz8&#10;MSGURLJOaNUFEWm6AFaTWi5FCrzI+f8ZxR8AAAD//wMAUEsBAi0AFAAGAAgAAAAhALaDOJL+AAAA&#10;4QEAABMAAAAAAAAAAAAAAAAAAAAAAFtDb250ZW50X1R5cGVzXS54bWxQSwECLQAUAAYACAAAACEA&#10;OP0h/9YAAACUAQAACwAAAAAAAAAAAAAAAAAvAQAAX3JlbHMvLnJlbHNQSwECLQAUAAYACAAAACEA&#10;q/qsdUkCAABCBAAADgAAAAAAAAAAAAAAAAAuAgAAZHJzL2Uyb0RvYy54bWxQSwECLQAUAAYACAAA&#10;ACEA1duK+uIAAAAOAQAADwAAAAAAAAAAAAAAAACjBAAAZHJzL2Rvd25yZXYueG1sUEsFBgAAAAAE&#10;AAQA8wAAALIFAAAAAA==&#10;" filled="f" stroked="f">
                <v:textbox inset="0,0,0,0">
                  <w:txbxContent>
                    <w:p w14:paraId="5A470D32" w14:textId="77777777" w:rsidR="009728D1" w:rsidRPr="00321924" w:rsidRDefault="009728D1" w:rsidP="00A16E1D">
                      <w:pPr>
                        <w:jc w:val="left"/>
                      </w:pPr>
                      <w:r w:rsidRPr="00321924">
                        <w:br/>
                        <w:t xml:space="preserve">© Český statistický úřad, </w:t>
                      </w:r>
                      <w:r>
                        <w:t>Praha, 2020</w:t>
                      </w:r>
                    </w:p>
                    <w:p w14:paraId="72D22036" w14:textId="77777777" w:rsidR="009728D1" w:rsidRDefault="009728D1"/>
                    <w:p w14:paraId="022AAAC9" w14:textId="77777777" w:rsidR="009728D1" w:rsidRPr="00841D9F" w:rsidRDefault="009728D1" w:rsidP="000A3A2C">
                      <w:r w:rsidRPr="00841D9F">
                        <w:rPr>
                          <w:szCs w:val="26"/>
                        </w:rPr>
                        <w:t>ISBN XX-XXXX-XXX-X</w:t>
                      </w:r>
                      <w:r>
                        <w:rPr>
                          <w:szCs w:val="26"/>
                        </w:rPr>
                        <w:t> </w:t>
                      </w:r>
                      <w:r w:rsidRPr="00841D9F">
                        <w:rPr>
                          <w:szCs w:val="26"/>
                        </w:rPr>
                        <w:t xml:space="preserve"> </w:t>
                      </w:r>
                      <w:r w:rsidRPr="00841D9F">
                        <w:t>(pouze u</w:t>
                      </w:r>
                      <w:r>
                        <w:t> </w:t>
                      </w:r>
                      <w:r w:rsidRPr="00841D9F">
                        <w:t>nepravidelných a</w:t>
                      </w:r>
                      <w:r>
                        <w:t> </w:t>
                      </w:r>
                      <w:r w:rsidRPr="00841D9F">
                        <w:t>ročních publikací)</w:t>
                      </w:r>
                    </w:p>
                    <w:p w14:paraId="39E69B8A" w14:textId="77777777" w:rsidR="009728D1" w:rsidRPr="00AF2852" w:rsidRDefault="009728D1" w:rsidP="000A3A2C">
                      <w:r w:rsidRPr="00841D9F">
                        <w:t>© Český sta</w:t>
                      </w:r>
                      <w:r>
                        <w:t xml:space="preserve">tistický úřad / </w:t>
                      </w:r>
                      <w:r w:rsidRPr="009A1902">
                        <w:rPr>
                          <w:i/>
                        </w:rPr>
                        <w:t xml:space="preserve">Czech </w:t>
                      </w:r>
                      <w:r w:rsidRPr="009A1902">
                        <w:rPr>
                          <w:rFonts w:cs="Arial"/>
                          <w:i/>
                          <w:szCs w:val="20"/>
                        </w:rPr>
                        <w:t>Statistical Office</w:t>
                      </w:r>
                      <w:r>
                        <w:t>, místo, rok vydání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5DC90AAE" wp14:editId="04AB9426">
                <wp:simplePos x="0" y="0"/>
                <wp:positionH relativeFrom="page">
                  <wp:posOffset>723265</wp:posOffset>
                </wp:positionH>
                <wp:positionV relativeFrom="page">
                  <wp:posOffset>723265</wp:posOffset>
                </wp:positionV>
                <wp:extent cx="6119495" cy="55562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1CE050" w14:textId="77777777" w:rsidR="009728D1" w:rsidRPr="009A1902" w:rsidRDefault="009728D1" w:rsidP="000A3A2C">
                            <w:pPr>
                              <w:rPr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 w:rsidRPr="00B95F50">
                              <w:rPr>
                                <w:b/>
                                <w:color w:val="0071BC"/>
                                <w:sz w:val="24"/>
                              </w:rPr>
                              <w:t xml:space="preserve">Zajímají </w:t>
                            </w:r>
                            <w:r>
                              <w:rPr>
                                <w:b/>
                                <w:color w:val="0071BC"/>
                                <w:sz w:val="24"/>
                              </w:rPr>
                              <w:t>v</w:t>
                            </w:r>
                            <w:r w:rsidRPr="00B95F50">
                              <w:rPr>
                                <w:b/>
                                <w:color w:val="0071BC"/>
                                <w:sz w:val="24"/>
                              </w:rPr>
                              <w:t>ás nejnovější údaje o</w:t>
                            </w:r>
                            <w:r>
                              <w:rPr>
                                <w:b/>
                                <w:color w:val="0071BC"/>
                                <w:sz w:val="24"/>
                              </w:rPr>
                              <w:t> </w:t>
                            </w:r>
                            <w:r w:rsidRPr="00B95F50">
                              <w:rPr>
                                <w:b/>
                                <w:color w:val="0071BC"/>
                                <w:sz w:val="24"/>
                              </w:rPr>
                              <w:t xml:space="preserve">inflaci, HDP, obyvatelstvu, průměrných mzdách </w:t>
                            </w:r>
                            <w:r>
                              <w:rPr>
                                <w:b/>
                                <w:color w:val="0071BC"/>
                                <w:sz w:val="24"/>
                              </w:rPr>
                              <w:br/>
                            </w:r>
                            <w:r w:rsidRPr="00B95F50">
                              <w:rPr>
                                <w:b/>
                                <w:color w:val="0071BC"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0071BC"/>
                                <w:sz w:val="24"/>
                              </w:rPr>
                              <w:t> </w:t>
                            </w:r>
                            <w:r w:rsidRPr="00B95F50">
                              <w:rPr>
                                <w:b/>
                                <w:color w:val="0071BC"/>
                                <w:sz w:val="24"/>
                              </w:rPr>
                              <w:t xml:space="preserve">mnohé další? Najdete je na stránkách ČSÚ na internetu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www.czso.cz</w:t>
                            </w:r>
                            <w:r w:rsidRPr="00D64F56">
                              <w:rPr>
                                <w:b/>
                                <w:color w:val="0071BC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0AAE" id="_x0000_s1032" type="#_x0000_t202" style="position:absolute;left:0;text-align:left;margin-left:56.95pt;margin-top:56.95pt;width:481.85pt;height:43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sy/SAIAAEEEAAAOAAAAZHJzL2Uyb0RvYy54bWysU9tu1DAQfUfiHyy/p7mQpJuo2WovDUIq&#10;F6nlA7yJs4lIPMb2blIQH8R38GOMnaYUeEO8WGN75szMOTNX19PQkzNXugNR0PAioISLCupOHAv6&#10;8b70VpRow0TNehC8oA9c0+v1yxdXo8x5BC30NVcEQYTOR1nQ1hiZ+76uWj4wfQGSC/xsQA3M4FUd&#10;/VqxEdGH3o+CIPVHULVUUHGt8XU/f9K1w28aXpn3TaO5IX1BsTbjTuXOgz399RXLj4rJtqsey2D/&#10;UMXAOoFJn6D2zDByUt1fUENXKdDQmIsKBh+apqu46wG7CYM/urlrmeSuFyRHyyea9P+Drd6dPyjS&#10;1QWNKBFsQInu+WTg/OM7kdBzElmKRqlz9LyT6GumLUwotWtXy1uoPmkiYNcyceQbpWBsOauxxNBG&#10;+s9CZxxtQQ7jW6gxFzsZcEBTowbLHzJCEB2leniSB+shFT6mYZjFWUJJhX9JkqRR4lKwfImWSpvX&#10;HAZijYIqlN+hs/OtNrYali8uNpmAsut7NwK9+O0BHecXzI2h9s9W4RT9mgXZzepmFXtxlN54cVDX&#10;3qbcxV5ahpfJ/tV+t9uH3+bJehYURnGwjTKvTFeXXtzEiZddBisvCLNtlgZxFu9LF4Spl6SOPMvX&#10;zJyZDpOTKl00OUD9gGwqmOca9xCNFtQXSkac6YLqzyemOCX9G4GK2AVYDLUYh8VgosLQghpKZnNn&#10;5kU5SdUdW0ReNN+gamXnCLXyzlU8ao1z6nh+3Cm7CM/vzuvX5q9/AgAA//8DAFBLAwQUAAYACAAA&#10;ACEAgpbu4N0AAAAMAQAADwAAAGRycy9kb3ducmV2LnhtbEyPsU7DMBCG90q8g3WVWCpqO6CUhjgV&#10;QrCwUVjY3PhIotrnKHaT0KfHHRBs9+s+/fdduZudZSMOofOkQK4FMKTam44aBR/vLzf3wELUZLT1&#10;hAq+McCuulqUujB+ojcc97FhqYRCoRW0MfYF56Fu0emw9j1S2n35wemY4tBwM+gplTvLMyFy7nRH&#10;6UKre3xqsT7uT05BPj/3q9ctZtO5tiN9nqWMKJW6Xs6PD8AizvEPhot+UocqOR38iUxgNmV5u03o&#10;73AhxGaTAzsoyIS8A16V/P8T1Q8AAAD//wMAUEsBAi0AFAAGAAgAAAAhALaDOJL+AAAA4QEAABMA&#10;AAAAAAAAAAAAAAAAAAAAAFtDb250ZW50X1R5cGVzXS54bWxQSwECLQAUAAYACAAAACEAOP0h/9YA&#10;AACUAQAACwAAAAAAAAAAAAAAAAAvAQAAX3JlbHMvLnJlbHNQSwECLQAUAAYACAAAACEAnh7Mv0gC&#10;AABBBAAADgAAAAAAAAAAAAAAAAAuAgAAZHJzL2Uyb0RvYy54bWxQSwECLQAUAAYACAAAACEAgpbu&#10;4N0AAAAMAQAADwAAAAAAAAAAAAAAAACiBAAAZHJzL2Rvd25yZXYueG1sUEsFBgAAAAAEAAQA8wAA&#10;AKwFAAAAAA==&#10;" filled="f" stroked="f">
                <v:textbox style="mso-fit-shape-to-text:t" inset="0,0,0,0">
                  <w:txbxContent>
                    <w:p w14:paraId="4B1CE050" w14:textId="77777777" w:rsidR="009728D1" w:rsidRPr="009A1902" w:rsidRDefault="009728D1" w:rsidP="000A3A2C">
                      <w:pPr>
                        <w:rPr>
                          <w:b/>
                          <w:bCs/>
                          <w:i/>
                          <w:sz w:val="24"/>
                        </w:rPr>
                      </w:pPr>
                      <w:r w:rsidRPr="00B95F50">
                        <w:rPr>
                          <w:b/>
                          <w:color w:val="0071BC"/>
                          <w:sz w:val="24"/>
                        </w:rPr>
                        <w:t xml:space="preserve">Zajímají </w:t>
                      </w:r>
                      <w:r>
                        <w:rPr>
                          <w:b/>
                          <w:color w:val="0071BC"/>
                          <w:sz w:val="24"/>
                        </w:rPr>
                        <w:t>v</w:t>
                      </w:r>
                      <w:r w:rsidRPr="00B95F50">
                        <w:rPr>
                          <w:b/>
                          <w:color w:val="0071BC"/>
                          <w:sz w:val="24"/>
                        </w:rPr>
                        <w:t>ás nejnovější údaje o</w:t>
                      </w:r>
                      <w:r>
                        <w:rPr>
                          <w:b/>
                          <w:color w:val="0071BC"/>
                          <w:sz w:val="24"/>
                        </w:rPr>
                        <w:t> </w:t>
                      </w:r>
                      <w:r w:rsidRPr="00B95F50">
                        <w:rPr>
                          <w:b/>
                          <w:color w:val="0071BC"/>
                          <w:sz w:val="24"/>
                        </w:rPr>
                        <w:t xml:space="preserve">inflaci, HDP, obyvatelstvu, průměrných mzdách </w:t>
                      </w:r>
                      <w:r>
                        <w:rPr>
                          <w:b/>
                          <w:color w:val="0071BC"/>
                          <w:sz w:val="24"/>
                        </w:rPr>
                        <w:br/>
                      </w:r>
                      <w:r w:rsidRPr="00B95F50">
                        <w:rPr>
                          <w:b/>
                          <w:color w:val="0071BC"/>
                          <w:sz w:val="24"/>
                        </w:rPr>
                        <w:t>a</w:t>
                      </w:r>
                      <w:r>
                        <w:rPr>
                          <w:b/>
                          <w:color w:val="0071BC"/>
                          <w:sz w:val="24"/>
                        </w:rPr>
                        <w:t> </w:t>
                      </w:r>
                      <w:r w:rsidRPr="00B95F50">
                        <w:rPr>
                          <w:b/>
                          <w:color w:val="0071BC"/>
                          <w:sz w:val="24"/>
                        </w:rPr>
                        <w:t xml:space="preserve">mnohé další? Najdete je na stránkách ČSÚ na internetu </w:t>
                      </w:r>
                      <w:r>
                        <w:rPr>
                          <w:b/>
                          <w:bCs/>
                          <w:sz w:val="24"/>
                        </w:rPr>
                        <w:t>www.czso.cz</w:t>
                      </w:r>
                      <w:r w:rsidRPr="00D64F56">
                        <w:rPr>
                          <w:b/>
                          <w:color w:val="0071BC"/>
                          <w:sz w:val="24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dt>
      <w:sdtPr>
        <w:rPr>
          <w:b w:val="0"/>
          <w:color w:val="auto"/>
          <w:sz w:val="20"/>
        </w:rPr>
        <w:id w:val="5357999"/>
        <w:docPartObj>
          <w:docPartGallery w:val="Table of Contents"/>
          <w:docPartUnique/>
        </w:docPartObj>
      </w:sdtPr>
      <w:sdtEndPr/>
      <w:sdtContent>
        <w:p w14:paraId="5C4D0772" w14:textId="77777777" w:rsidR="00F46502" w:rsidRPr="00360DE3" w:rsidRDefault="00F46502" w:rsidP="00F46502">
          <w:pPr>
            <w:pStyle w:val="Obsah"/>
          </w:pPr>
          <w:r w:rsidRPr="00360DE3">
            <w:t>Obsah</w:t>
          </w:r>
        </w:p>
        <w:p w14:paraId="122395D4" w14:textId="77777777" w:rsidR="00EA0840" w:rsidRDefault="00EA0840" w:rsidP="00EA0840">
          <w:pPr>
            <w:pStyle w:val="Obsah1"/>
          </w:pPr>
        </w:p>
        <w:p w14:paraId="7A37B1B1" w14:textId="4DF51849" w:rsidR="006C386E" w:rsidRDefault="00A20028" w:rsidP="00E253C3">
          <w:pPr>
            <w:pStyle w:val="Obsah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cs-CZ"/>
            </w:rPr>
          </w:pPr>
          <w:r w:rsidRPr="00360DE3">
            <w:fldChar w:fldCharType="begin"/>
          </w:r>
          <w:r w:rsidR="00F46502" w:rsidRPr="00360DE3">
            <w:instrText xml:space="preserve"> TOC \o "1-3" \h \z \u </w:instrText>
          </w:r>
          <w:r w:rsidRPr="00360DE3">
            <w:fldChar w:fldCharType="separate"/>
          </w:r>
          <w:hyperlink w:anchor="_Toc57061285" w:history="1">
            <w:r w:rsidR="006C386E" w:rsidRPr="00B350A7">
              <w:rPr>
                <w:rStyle w:val="Hypertextovodkaz"/>
              </w:rPr>
              <w:t>1. Shrnutí</w:t>
            </w:r>
            <w:r w:rsidR="006C386E">
              <w:rPr>
                <w:webHidden/>
              </w:rPr>
              <w:tab/>
            </w:r>
            <w:r w:rsidR="006C386E">
              <w:rPr>
                <w:webHidden/>
              </w:rPr>
              <w:fldChar w:fldCharType="begin"/>
            </w:r>
            <w:r w:rsidR="006C386E">
              <w:rPr>
                <w:webHidden/>
              </w:rPr>
              <w:instrText xml:space="preserve"> PAGEREF _Toc57061285 \h </w:instrText>
            </w:r>
            <w:r w:rsidR="006C386E">
              <w:rPr>
                <w:webHidden/>
              </w:rPr>
            </w:r>
            <w:r w:rsidR="006C386E">
              <w:rPr>
                <w:webHidden/>
              </w:rPr>
              <w:fldChar w:fldCharType="separate"/>
            </w:r>
            <w:r w:rsidR="00EC1470">
              <w:rPr>
                <w:webHidden/>
              </w:rPr>
              <w:t>4</w:t>
            </w:r>
            <w:r w:rsidR="006C386E">
              <w:rPr>
                <w:webHidden/>
              </w:rPr>
              <w:fldChar w:fldCharType="end"/>
            </w:r>
          </w:hyperlink>
        </w:p>
        <w:p w14:paraId="45A8BEAC" w14:textId="6A3091EC" w:rsidR="006C386E" w:rsidRDefault="00AE1738" w:rsidP="00E253C3">
          <w:pPr>
            <w:pStyle w:val="Obsah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cs-CZ"/>
            </w:rPr>
          </w:pPr>
          <w:hyperlink w:anchor="_Toc57061286" w:history="1">
            <w:r w:rsidR="006C386E" w:rsidRPr="00B350A7">
              <w:rPr>
                <w:rStyle w:val="Hypertextovodkaz"/>
              </w:rPr>
              <w:t>2.</w:t>
            </w:r>
            <w:r w:rsidR="00CF20A4">
              <w:rPr>
                <w:rStyle w:val="Hypertextovodkaz"/>
              </w:rPr>
              <w:t> </w:t>
            </w:r>
            <w:r w:rsidR="006C386E" w:rsidRPr="00B350A7">
              <w:rPr>
                <w:rStyle w:val="Hypertextovodkaz"/>
              </w:rPr>
              <w:t xml:space="preserve">Role průmyslu </w:t>
            </w:r>
            <w:r w:rsidR="00307E77" w:rsidRPr="00B350A7">
              <w:rPr>
                <w:rStyle w:val="Hypertextovodkaz"/>
              </w:rPr>
              <w:t>v</w:t>
            </w:r>
            <w:r w:rsidR="00307E77">
              <w:rPr>
                <w:rStyle w:val="Hypertextovodkaz"/>
              </w:rPr>
              <w:t> </w:t>
            </w:r>
            <w:r w:rsidR="006C386E" w:rsidRPr="00B350A7">
              <w:rPr>
                <w:rStyle w:val="Hypertextovodkaz"/>
              </w:rPr>
              <w:t>ekonomice</w:t>
            </w:r>
            <w:r w:rsidR="006C386E">
              <w:rPr>
                <w:webHidden/>
              </w:rPr>
              <w:tab/>
            </w:r>
            <w:r w:rsidR="006C386E">
              <w:rPr>
                <w:webHidden/>
              </w:rPr>
              <w:fldChar w:fldCharType="begin"/>
            </w:r>
            <w:r w:rsidR="006C386E">
              <w:rPr>
                <w:webHidden/>
              </w:rPr>
              <w:instrText xml:space="preserve"> PAGEREF _Toc57061286 \h </w:instrText>
            </w:r>
            <w:r w:rsidR="006C386E">
              <w:rPr>
                <w:webHidden/>
              </w:rPr>
            </w:r>
            <w:r w:rsidR="006C386E">
              <w:rPr>
                <w:webHidden/>
              </w:rPr>
              <w:fldChar w:fldCharType="separate"/>
            </w:r>
            <w:r w:rsidR="00EC1470">
              <w:rPr>
                <w:webHidden/>
              </w:rPr>
              <w:t>6</w:t>
            </w:r>
            <w:r w:rsidR="006C386E">
              <w:rPr>
                <w:webHidden/>
              </w:rPr>
              <w:fldChar w:fldCharType="end"/>
            </w:r>
          </w:hyperlink>
        </w:p>
        <w:p w14:paraId="75A7B18F" w14:textId="4B832851" w:rsidR="006C386E" w:rsidRDefault="00AE1738" w:rsidP="00E253C3">
          <w:pPr>
            <w:pStyle w:val="Obsah1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  <w:lang w:eastAsia="cs-CZ"/>
            </w:rPr>
          </w:pPr>
          <w:hyperlink w:anchor="_Toc57061287" w:history="1">
            <w:r w:rsidR="00307E77" w:rsidRPr="00B350A7">
              <w:rPr>
                <w:rStyle w:val="Hypertextovodkaz"/>
              </w:rPr>
              <w:t>3</w:t>
            </w:r>
            <w:r w:rsidR="00CF20A4">
              <w:rPr>
                <w:rStyle w:val="Hypertextovodkaz"/>
              </w:rPr>
              <w:t>.</w:t>
            </w:r>
            <w:r w:rsidR="00307E77">
              <w:rPr>
                <w:rStyle w:val="Hypertextovodkaz"/>
              </w:rPr>
              <w:t> </w:t>
            </w:r>
            <w:r w:rsidR="006C386E" w:rsidRPr="00B350A7">
              <w:rPr>
                <w:rStyle w:val="Hypertextovodkaz"/>
              </w:rPr>
              <w:t>Zaměstnanost, mzdy, produktivita</w:t>
            </w:r>
            <w:r w:rsidR="006C386E">
              <w:rPr>
                <w:webHidden/>
              </w:rPr>
              <w:tab/>
            </w:r>
            <w:r w:rsidR="006C386E">
              <w:rPr>
                <w:webHidden/>
              </w:rPr>
              <w:fldChar w:fldCharType="begin"/>
            </w:r>
            <w:r w:rsidR="006C386E">
              <w:rPr>
                <w:webHidden/>
              </w:rPr>
              <w:instrText xml:space="preserve"> PAGEREF _Toc57061287 \h </w:instrText>
            </w:r>
            <w:r w:rsidR="006C386E">
              <w:rPr>
                <w:webHidden/>
              </w:rPr>
            </w:r>
            <w:r w:rsidR="006C386E">
              <w:rPr>
                <w:webHidden/>
              </w:rPr>
              <w:fldChar w:fldCharType="separate"/>
            </w:r>
            <w:r w:rsidR="00EC1470">
              <w:rPr>
                <w:webHidden/>
              </w:rPr>
              <w:t>13</w:t>
            </w:r>
            <w:r w:rsidR="006C386E">
              <w:rPr>
                <w:webHidden/>
              </w:rPr>
              <w:fldChar w:fldCharType="end"/>
            </w:r>
          </w:hyperlink>
        </w:p>
        <w:p w14:paraId="3D53BC6D" w14:textId="2622C74E" w:rsidR="006C386E" w:rsidRDefault="00AE1738" w:rsidP="00E253C3">
          <w:pPr>
            <w:pStyle w:val="Obsah2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61288" w:history="1">
            <w:r w:rsidR="006C386E" w:rsidRPr="00B350A7">
              <w:rPr>
                <w:rStyle w:val="Hypertextovodkaz"/>
                <w:rFonts w:cs="Arial"/>
                <w:noProof/>
              </w:rPr>
              <w:t>3.</w:t>
            </w:r>
            <w:r w:rsidR="00307E77" w:rsidRPr="00B350A7">
              <w:rPr>
                <w:rStyle w:val="Hypertextovodkaz"/>
                <w:rFonts w:cs="Arial"/>
                <w:noProof/>
              </w:rPr>
              <w:t>1</w:t>
            </w:r>
            <w:r w:rsidR="00307E77">
              <w:rPr>
                <w:rStyle w:val="Hypertextovodkaz"/>
                <w:rFonts w:cs="Arial"/>
                <w:noProof/>
              </w:rPr>
              <w:t> </w:t>
            </w:r>
            <w:r w:rsidR="006C386E" w:rsidRPr="00B350A7">
              <w:rPr>
                <w:rStyle w:val="Hypertextovodkaz"/>
                <w:rFonts w:cs="Arial"/>
                <w:noProof/>
              </w:rPr>
              <w:t>Zaměstnanost v tuzemském průmyslu</w:t>
            </w:r>
            <w:r w:rsidR="006C386E">
              <w:rPr>
                <w:noProof/>
                <w:webHidden/>
              </w:rPr>
              <w:tab/>
            </w:r>
            <w:r w:rsidR="006C386E">
              <w:rPr>
                <w:noProof/>
                <w:webHidden/>
              </w:rPr>
              <w:fldChar w:fldCharType="begin"/>
            </w:r>
            <w:r w:rsidR="006C386E">
              <w:rPr>
                <w:noProof/>
                <w:webHidden/>
              </w:rPr>
              <w:instrText xml:space="preserve"> PAGEREF _Toc57061288 \h </w:instrText>
            </w:r>
            <w:r w:rsidR="006C386E">
              <w:rPr>
                <w:noProof/>
                <w:webHidden/>
              </w:rPr>
            </w:r>
            <w:r w:rsidR="006C386E">
              <w:rPr>
                <w:noProof/>
                <w:webHidden/>
              </w:rPr>
              <w:fldChar w:fldCharType="separate"/>
            </w:r>
            <w:r w:rsidR="00EC1470">
              <w:rPr>
                <w:noProof/>
                <w:webHidden/>
              </w:rPr>
              <w:t>13</w:t>
            </w:r>
            <w:r w:rsidR="006C386E">
              <w:rPr>
                <w:noProof/>
                <w:webHidden/>
              </w:rPr>
              <w:fldChar w:fldCharType="end"/>
            </w:r>
          </w:hyperlink>
        </w:p>
        <w:p w14:paraId="507076A4" w14:textId="76C669BB" w:rsidR="006C386E" w:rsidRDefault="00AE1738" w:rsidP="00E253C3">
          <w:pPr>
            <w:pStyle w:val="Obsah2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61289" w:history="1">
            <w:r w:rsidR="006C386E" w:rsidRPr="00B350A7">
              <w:rPr>
                <w:rStyle w:val="Hypertextovodkaz"/>
                <w:rFonts w:cs="Arial"/>
                <w:noProof/>
              </w:rPr>
              <w:t>3.</w:t>
            </w:r>
            <w:r w:rsidR="00307E77" w:rsidRPr="00B350A7">
              <w:rPr>
                <w:rStyle w:val="Hypertextovodkaz"/>
                <w:rFonts w:cs="Arial"/>
                <w:noProof/>
              </w:rPr>
              <w:t>2</w:t>
            </w:r>
            <w:r w:rsidR="00307E77">
              <w:rPr>
                <w:rStyle w:val="Hypertextovodkaz"/>
                <w:rFonts w:cs="Arial"/>
                <w:noProof/>
              </w:rPr>
              <w:t> </w:t>
            </w:r>
            <w:r w:rsidR="006C386E" w:rsidRPr="00B350A7">
              <w:rPr>
                <w:rStyle w:val="Hypertextovodkaz"/>
                <w:rFonts w:cs="Arial"/>
                <w:noProof/>
              </w:rPr>
              <w:t xml:space="preserve">Mzdy </w:t>
            </w:r>
            <w:r w:rsidR="00307E77" w:rsidRPr="00B350A7">
              <w:rPr>
                <w:rStyle w:val="Hypertextovodkaz"/>
                <w:rFonts w:cs="Arial"/>
                <w:noProof/>
              </w:rPr>
              <w:t>a</w:t>
            </w:r>
            <w:r w:rsidR="00307E77">
              <w:rPr>
                <w:rStyle w:val="Hypertextovodkaz"/>
                <w:rFonts w:cs="Arial"/>
                <w:noProof/>
              </w:rPr>
              <w:t> </w:t>
            </w:r>
            <w:r w:rsidR="006C386E" w:rsidRPr="00B350A7">
              <w:rPr>
                <w:rStyle w:val="Hypertextovodkaz"/>
                <w:rFonts w:cs="Arial"/>
                <w:noProof/>
              </w:rPr>
              <w:t>jejich diferenciace v tuzemském průmyslu</w:t>
            </w:r>
            <w:r w:rsidR="006C386E">
              <w:rPr>
                <w:noProof/>
                <w:webHidden/>
              </w:rPr>
              <w:tab/>
            </w:r>
            <w:r w:rsidR="006C386E">
              <w:rPr>
                <w:noProof/>
                <w:webHidden/>
              </w:rPr>
              <w:fldChar w:fldCharType="begin"/>
            </w:r>
            <w:r w:rsidR="006C386E">
              <w:rPr>
                <w:noProof/>
                <w:webHidden/>
              </w:rPr>
              <w:instrText xml:space="preserve"> PAGEREF _Toc57061289 \h </w:instrText>
            </w:r>
            <w:r w:rsidR="006C386E">
              <w:rPr>
                <w:noProof/>
                <w:webHidden/>
              </w:rPr>
            </w:r>
            <w:r w:rsidR="006C386E">
              <w:rPr>
                <w:noProof/>
                <w:webHidden/>
              </w:rPr>
              <w:fldChar w:fldCharType="separate"/>
            </w:r>
            <w:r w:rsidR="00EC1470">
              <w:rPr>
                <w:noProof/>
                <w:webHidden/>
              </w:rPr>
              <w:t>18</w:t>
            </w:r>
            <w:r w:rsidR="006C386E">
              <w:rPr>
                <w:noProof/>
                <w:webHidden/>
              </w:rPr>
              <w:fldChar w:fldCharType="end"/>
            </w:r>
          </w:hyperlink>
        </w:p>
        <w:p w14:paraId="058451A4" w14:textId="0584FEB2" w:rsidR="006C386E" w:rsidRDefault="00AE1738" w:rsidP="00E253C3">
          <w:pPr>
            <w:pStyle w:val="Obsah2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61290" w:history="1">
            <w:r w:rsidR="006C386E" w:rsidRPr="00B350A7">
              <w:rPr>
                <w:rStyle w:val="Hypertextovodkaz"/>
                <w:rFonts w:cs="Arial"/>
                <w:noProof/>
              </w:rPr>
              <w:t>3.</w:t>
            </w:r>
            <w:r w:rsidR="00307E77" w:rsidRPr="00B350A7">
              <w:rPr>
                <w:rStyle w:val="Hypertextovodkaz"/>
                <w:rFonts w:cs="Arial"/>
                <w:noProof/>
              </w:rPr>
              <w:t>3</w:t>
            </w:r>
            <w:r w:rsidR="00307E77">
              <w:rPr>
                <w:rStyle w:val="Hypertextovodkaz"/>
                <w:rFonts w:cs="Arial"/>
                <w:noProof/>
              </w:rPr>
              <w:t> </w:t>
            </w:r>
            <w:r w:rsidR="006C386E" w:rsidRPr="00B350A7">
              <w:rPr>
                <w:rStyle w:val="Hypertextovodkaz"/>
                <w:rFonts w:cs="Arial"/>
                <w:noProof/>
              </w:rPr>
              <w:t xml:space="preserve">Produktivita práce </w:t>
            </w:r>
            <w:r w:rsidR="00307E77" w:rsidRPr="00B350A7">
              <w:rPr>
                <w:rStyle w:val="Hypertextovodkaz"/>
                <w:rFonts w:cs="Arial"/>
                <w:noProof/>
              </w:rPr>
              <w:t>a</w:t>
            </w:r>
            <w:r w:rsidR="00307E77">
              <w:rPr>
                <w:rStyle w:val="Hypertextovodkaz"/>
                <w:rFonts w:cs="Arial"/>
                <w:noProof/>
              </w:rPr>
              <w:t> </w:t>
            </w:r>
            <w:r w:rsidR="006C386E" w:rsidRPr="00B350A7">
              <w:rPr>
                <w:rStyle w:val="Hypertextovodkaz"/>
                <w:rFonts w:cs="Arial"/>
                <w:noProof/>
              </w:rPr>
              <w:t>pracovní náklady v tuzemském průmyslu</w:t>
            </w:r>
            <w:r w:rsidR="006C386E">
              <w:rPr>
                <w:noProof/>
                <w:webHidden/>
              </w:rPr>
              <w:tab/>
            </w:r>
            <w:r w:rsidR="006C386E">
              <w:rPr>
                <w:noProof/>
                <w:webHidden/>
              </w:rPr>
              <w:fldChar w:fldCharType="begin"/>
            </w:r>
            <w:r w:rsidR="006C386E">
              <w:rPr>
                <w:noProof/>
                <w:webHidden/>
              </w:rPr>
              <w:instrText xml:space="preserve"> PAGEREF _Toc57061290 \h </w:instrText>
            </w:r>
            <w:r w:rsidR="006C386E">
              <w:rPr>
                <w:noProof/>
                <w:webHidden/>
              </w:rPr>
            </w:r>
            <w:r w:rsidR="006C386E">
              <w:rPr>
                <w:noProof/>
                <w:webHidden/>
              </w:rPr>
              <w:fldChar w:fldCharType="separate"/>
            </w:r>
            <w:r w:rsidR="00EC1470">
              <w:rPr>
                <w:noProof/>
                <w:webHidden/>
              </w:rPr>
              <w:t>24</w:t>
            </w:r>
            <w:r w:rsidR="006C386E">
              <w:rPr>
                <w:noProof/>
                <w:webHidden/>
              </w:rPr>
              <w:fldChar w:fldCharType="end"/>
            </w:r>
          </w:hyperlink>
        </w:p>
        <w:p w14:paraId="403CAECF" w14:textId="4592052C" w:rsidR="006C386E" w:rsidRDefault="00AE1738" w:rsidP="00E253C3">
          <w:pPr>
            <w:pStyle w:val="Obsah2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61291" w:history="1">
            <w:r w:rsidR="006C386E" w:rsidRPr="00B350A7">
              <w:rPr>
                <w:rStyle w:val="Hypertextovodkaz"/>
                <w:rFonts w:cs="Arial"/>
                <w:noProof/>
              </w:rPr>
              <w:t>3.</w:t>
            </w:r>
            <w:r w:rsidR="00307E77" w:rsidRPr="00B350A7">
              <w:rPr>
                <w:rStyle w:val="Hypertextovodkaz"/>
                <w:rFonts w:cs="Arial"/>
                <w:noProof/>
              </w:rPr>
              <w:t>4</w:t>
            </w:r>
            <w:r w:rsidR="00307E77">
              <w:rPr>
                <w:rStyle w:val="Hypertextovodkaz"/>
                <w:rFonts w:cs="Arial"/>
                <w:noProof/>
              </w:rPr>
              <w:t> </w:t>
            </w:r>
            <w:r w:rsidR="006C386E" w:rsidRPr="00B350A7">
              <w:rPr>
                <w:rStyle w:val="Hypertextovodkaz"/>
                <w:rFonts w:cs="Arial"/>
                <w:noProof/>
              </w:rPr>
              <w:t>Průmysl na pracovním trhu v evropských státech</w:t>
            </w:r>
            <w:r w:rsidR="006C386E">
              <w:rPr>
                <w:noProof/>
                <w:webHidden/>
              </w:rPr>
              <w:tab/>
            </w:r>
            <w:r w:rsidR="006C386E">
              <w:rPr>
                <w:noProof/>
                <w:webHidden/>
              </w:rPr>
              <w:fldChar w:fldCharType="begin"/>
            </w:r>
            <w:r w:rsidR="006C386E">
              <w:rPr>
                <w:noProof/>
                <w:webHidden/>
              </w:rPr>
              <w:instrText xml:space="preserve"> PAGEREF _Toc57061291 \h </w:instrText>
            </w:r>
            <w:r w:rsidR="006C386E">
              <w:rPr>
                <w:noProof/>
                <w:webHidden/>
              </w:rPr>
            </w:r>
            <w:r w:rsidR="006C386E">
              <w:rPr>
                <w:noProof/>
                <w:webHidden/>
              </w:rPr>
              <w:fldChar w:fldCharType="separate"/>
            </w:r>
            <w:r w:rsidR="00EC1470">
              <w:rPr>
                <w:noProof/>
                <w:webHidden/>
              </w:rPr>
              <w:t>28</w:t>
            </w:r>
            <w:r w:rsidR="006C386E">
              <w:rPr>
                <w:noProof/>
                <w:webHidden/>
              </w:rPr>
              <w:fldChar w:fldCharType="end"/>
            </w:r>
          </w:hyperlink>
        </w:p>
        <w:p w14:paraId="730B17CF" w14:textId="77777777" w:rsidR="00F46502" w:rsidRPr="00360DE3" w:rsidRDefault="00A20028" w:rsidP="00F46502">
          <w:r w:rsidRPr="00360DE3">
            <w:fldChar w:fldCharType="end"/>
          </w:r>
        </w:p>
      </w:sdtContent>
    </w:sdt>
    <w:p w14:paraId="0B9D4D86" w14:textId="77777777" w:rsidR="00F46502" w:rsidRPr="00360DE3" w:rsidRDefault="00F46502" w:rsidP="00F46502">
      <w:pPr>
        <w:pStyle w:val="Textpoznpodarou"/>
        <w:jc w:val="both"/>
        <w:rPr>
          <w:rFonts w:cs="Arial"/>
          <w:color w:val="000000"/>
        </w:rPr>
      </w:pPr>
    </w:p>
    <w:p w14:paraId="2CB3C1C2" w14:textId="77777777" w:rsidR="00F46502" w:rsidRPr="00360DE3" w:rsidRDefault="00F46502" w:rsidP="00F46502">
      <w:pPr>
        <w:pStyle w:val="Textpoznpodarou"/>
        <w:jc w:val="both"/>
        <w:rPr>
          <w:rFonts w:cs="Arial"/>
          <w:color w:val="000000"/>
        </w:rPr>
      </w:pPr>
    </w:p>
    <w:p w14:paraId="071CEC2C" w14:textId="77777777" w:rsidR="00F46502" w:rsidRPr="00360DE3" w:rsidRDefault="00F46502" w:rsidP="00F46502">
      <w:pPr>
        <w:pStyle w:val="Textpoznpodarou"/>
        <w:jc w:val="both"/>
        <w:rPr>
          <w:rFonts w:cs="Arial"/>
          <w:color w:val="000000"/>
        </w:rPr>
      </w:pPr>
    </w:p>
    <w:p w14:paraId="7B9D0C67" w14:textId="77777777" w:rsidR="00F46502" w:rsidRPr="00360DE3" w:rsidRDefault="00F46502" w:rsidP="00F46502">
      <w:pPr>
        <w:pStyle w:val="Textpoznpodarou"/>
        <w:jc w:val="both"/>
        <w:rPr>
          <w:rFonts w:cs="Arial"/>
          <w:color w:val="000000"/>
        </w:rPr>
      </w:pPr>
    </w:p>
    <w:p w14:paraId="52F1C301" w14:textId="77777777" w:rsidR="00F46502" w:rsidRPr="00360DE3" w:rsidRDefault="00F46502" w:rsidP="00F46502">
      <w:pPr>
        <w:pStyle w:val="Textpoznpodarou"/>
        <w:jc w:val="both"/>
        <w:rPr>
          <w:rFonts w:cs="Arial"/>
          <w:color w:val="000000"/>
        </w:rPr>
      </w:pPr>
    </w:p>
    <w:p w14:paraId="1FD2D34F" w14:textId="77777777" w:rsidR="00F46502" w:rsidRPr="00360DE3" w:rsidRDefault="00F46502" w:rsidP="00F46502">
      <w:pPr>
        <w:pStyle w:val="Textpoznpodarou"/>
        <w:jc w:val="both"/>
        <w:rPr>
          <w:rFonts w:cs="Arial"/>
          <w:color w:val="000000"/>
        </w:rPr>
      </w:pPr>
    </w:p>
    <w:p w14:paraId="76013E49" w14:textId="77777777" w:rsidR="00F46502" w:rsidRPr="00947825" w:rsidRDefault="00241035" w:rsidP="00F46502">
      <w:pPr>
        <w:pStyle w:val="Textpoznpodarou"/>
        <w:jc w:val="both"/>
        <w:rPr>
          <w:rFonts w:cs="Arial"/>
          <w:color w:val="000000"/>
        </w:rPr>
      </w:pPr>
      <w:r w:rsidRPr="00947825">
        <w:rPr>
          <w:rFonts w:cs="Arial"/>
          <w:color w:val="000000"/>
        </w:rPr>
        <w:t>Zdroje dat v celé analýze: ČSÚ,</w:t>
      </w:r>
      <w:r w:rsidR="00F46502" w:rsidRPr="00947825">
        <w:rPr>
          <w:rFonts w:cs="Arial"/>
          <w:color w:val="000000"/>
        </w:rPr>
        <w:t xml:space="preserve"> </w:t>
      </w:r>
      <w:proofErr w:type="spellStart"/>
      <w:r w:rsidR="00F46502" w:rsidRPr="00947825">
        <w:rPr>
          <w:rFonts w:cs="Arial"/>
          <w:color w:val="000000"/>
        </w:rPr>
        <w:t>Eurostat</w:t>
      </w:r>
      <w:proofErr w:type="spellEnd"/>
      <w:r w:rsidR="00F46502" w:rsidRPr="00947825">
        <w:rPr>
          <w:rFonts w:cs="Arial"/>
          <w:color w:val="000000"/>
        </w:rPr>
        <w:t>, propočty ČSÚ.</w:t>
      </w:r>
    </w:p>
    <w:p w14:paraId="28BF6664" w14:textId="77777777" w:rsidR="00F46502" w:rsidRPr="00360DE3" w:rsidRDefault="00F46502" w:rsidP="00F46502">
      <w:pPr>
        <w:pStyle w:val="Textpoznpodarou"/>
        <w:jc w:val="both"/>
        <w:rPr>
          <w:rFonts w:cs="Arial"/>
          <w:color w:val="000000"/>
        </w:rPr>
      </w:pPr>
      <w:r w:rsidRPr="00947825">
        <w:rPr>
          <w:rFonts w:cs="Arial"/>
          <w:color w:val="000000"/>
        </w:rPr>
        <w:t xml:space="preserve">Poslední informace uváděné v této publikaci pocházejí </w:t>
      </w:r>
      <w:r w:rsidR="00BC0E31" w:rsidRPr="00947825">
        <w:rPr>
          <w:rFonts w:cs="Arial"/>
          <w:color w:val="000000"/>
        </w:rPr>
        <w:t>z</w:t>
      </w:r>
      <w:r w:rsidR="00947825" w:rsidRPr="00947825">
        <w:rPr>
          <w:rFonts w:cs="Arial"/>
          <w:color w:val="000000"/>
        </w:rPr>
        <w:t> 30</w:t>
      </w:r>
      <w:r w:rsidR="00B97434" w:rsidRPr="00947825">
        <w:rPr>
          <w:rFonts w:cs="Arial"/>
          <w:color w:val="000000"/>
        </w:rPr>
        <w:t>.</w:t>
      </w:r>
      <w:r w:rsidR="00833BF2" w:rsidRPr="00947825">
        <w:rPr>
          <w:rFonts w:cs="Arial"/>
          <w:color w:val="000000"/>
        </w:rPr>
        <w:t> </w:t>
      </w:r>
      <w:r w:rsidR="00947825" w:rsidRPr="00947825">
        <w:rPr>
          <w:rFonts w:cs="Arial"/>
          <w:color w:val="000000"/>
        </w:rPr>
        <w:t>října</w:t>
      </w:r>
      <w:r w:rsidRPr="00947825">
        <w:rPr>
          <w:rFonts w:cs="Arial"/>
          <w:color w:val="000000"/>
        </w:rPr>
        <w:t xml:space="preserve"> 20</w:t>
      </w:r>
      <w:r w:rsidR="00E503A5" w:rsidRPr="00947825">
        <w:rPr>
          <w:rFonts w:cs="Arial"/>
          <w:color w:val="000000"/>
        </w:rPr>
        <w:t>20</w:t>
      </w:r>
      <w:r w:rsidRPr="00947825">
        <w:rPr>
          <w:rFonts w:cs="Arial"/>
          <w:color w:val="000000"/>
        </w:rPr>
        <w:t>.</w:t>
      </w:r>
    </w:p>
    <w:p w14:paraId="51C7C525" w14:textId="77777777" w:rsidR="00EE4B1B" w:rsidRPr="00360DE3" w:rsidRDefault="00F46502" w:rsidP="00F46502">
      <w:pPr>
        <w:pStyle w:val="Nadpis11"/>
      </w:pPr>
      <w:r w:rsidRPr="00360DE3">
        <w:br w:type="page"/>
      </w:r>
      <w:bookmarkStart w:id="0" w:name="_Toc57061285"/>
      <w:r w:rsidR="00A21624">
        <w:lastRenderedPageBreak/>
        <w:t>1. </w:t>
      </w:r>
      <w:r w:rsidRPr="00360DE3">
        <w:t>Shrnutí</w:t>
      </w:r>
      <w:bookmarkEnd w:id="0"/>
    </w:p>
    <w:p w14:paraId="77E30CD5" w14:textId="44477269" w:rsidR="005E5906" w:rsidRPr="00C5186E" w:rsidRDefault="00F5041B" w:rsidP="005E5906">
      <w:pPr>
        <w:pStyle w:val="Normalodrka"/>
        <w:spacing w:after="160"/>
        <w:rPr>
          <w:spacing w:val="-2"/>
        </w:rPr>
      </w:pPr>
      <w:r w:rsidRPr="00C5186E">
        <w:rPr>
          <w:spacing w:val="-2"/>
        </w:rPr>
        <w:t>Průmysl je dlouhodobě jedním z klíčových odvětví ekonomiky ČR. V roce 2019 vytvářel 42</w:t>
      </w:r>
      <w:r w:rsidR="006E33D0">
        <w:rPr>
          <w:spacing w:val="-2"/>
        </w:rPr>
        <w:t> %</w:t>
      </w:r>
      <w:r w:rsidRPr="00C5186E">
        <w:rPr>
          <w:spacing w:val="-2"/>
        </w:rPr>
        <w:t xml:space="preserve"> produkce národního hospodářství, na celkové přidané hodnotě se podílel necelými 30</w:t>
      </w:r>
      <w:r w:rsidR="006E33D0">
        <w:rPr>
          <w:spacing w:val="-2"/>
        </w:rPr>
        <w:t> %</w:t>
      </w:r>
      <w:r w:rsidR="00EE5BC1" w:rsidRPr="00C5186E">
        <w:rPr>
          <w:spacing w:val="-2"/>
        </w:rPr>
        <w:t xml:space="preserve"> –</w:t>
      </w:r>
      <w:r w:rsidR="0040575D">
        <w:rPr>
          <w:spacing w:val="-2"/>
        </w:rPr>
        <w:t xml:space="preserve"> obdobně jako u </w:t>
      </w:r>
      <w:r w:rsidRPr="00C5186E">
        <w:rPr>
          <w:spacing w:val="-2"/>
        </w:rPr>
        <w:t xml:space="preserve">zaměstnanosti </w:t>
      </w:r>
      <w:r w:rsidR="00307E77" w:rsidRPr="00C5186E">
        <w:rPr>
          <w:spacing w:val="-2"/>
        </w:rPr>
        <w:t>a</w:t>
      </w:r>
      <w:r w:rsidR="00307E77">
        <w:rPr>
          <w:spacing w:val="-2"/>
        </w:rPr>
        <w:t> </w:t>
      </w:r>
      <w:r w:rsidRPr="00C5186E">
        <w:rPr>
          <w:spacing w:val="-2"/>
        </w:rPr>
        <w:t>objemu</w:t>
      </w:r>
      <w:r w:rsidR="00EE5BC1" w:rsidRPr="00C5186E">
        <w:rPr>
          <w:spacing w:val="-2"/>
        </w:rPr>
        <w:t xml:space="preserve"> mezd </w:t>
      </w:r>
      <w:r w:rsidR="00307E77" w:rsidRPr="00C5186E">
        <w:rPr>
          <w:spacing w:val="-2"/>
        </w:rPr>
        <w:t>i</w:t>
      </w:r>
      <w:r w:rsidR="00307E77">
        <w:rPr>
          <w:spacing w:val="-2"/>
        </w:rPr>
        <w:t> </w:t>
      </w:r>
      <w:r w:rsidRPr="00C5186E">
        <w:rPr>
          <w:spacing w:val="-2"/>
        </w:rPr>
        <w:t>platů.</w:t>
      </w:r>
      <w:r w:rsidR="00EE5BC1" w:rsidRPr="00C5186E">
        <w:rPr>
          <w:spacing w:val="-2"/>
        </w:rPr>
        <w:t xml:space="preserve"> Hodnota fixních investic v průmyslu představovala téměř polovinu investiční aktivity celého sektoru nefinančních podniků</w:t>
      </w:r>
      <w:r w:rsidR="008222CD">
        <w:rPr>
          <w:spacing w:val="-2"/>
        </w:rPr>
        <w:t xml:space="preserve">. Ve srovnání s výší investic v celém </w:t>
      </w:r>
      <w:r w:rsidR="008222CD" w:rsidRPr="00C5186E">
        <w:rPr>
          <w:spacing w:val="-2"/>
        </w:rPr>
        <w:t>sektoru vládních institucí</w:t>
      </w:r>
      <w:r w:rsidR="008222CD">
        <w:rPr>
          <w:spacing w:val="-2"/>
        </w:rPr>
        <w:t xml:space="preserve"> byla v roce 2018 hodnota investic v průmyslu (406</w:t>
      </w:r>
      <w:r w:rsidR="006E33D0">
        <w:rPr>
          <w:spacing w:val="-2"/>
        </w:rPr>
        <w:t> mld.</w:t>
      </w:r>
      <w:r w:rsidR="008222CD">
        <w:rPr>
          <w:spacing w:val="-2"/>
        </w:rPr>
        <w:t xml:space="preserve"> korun) </w:t>
      </w:r>
      <w:r w:rsidR="00307E77" w:rsidRPr="00C5186E">
        <w:rPr>
          <w:spacing w:val="-2"/>
        </w:rPr>
        <w:t>o</w:t>
      </w:r>
      <w:r w:rsidR="00307E77">
        <w:rPr>
          <w:spacing w:val="-2"/>
        </w:rPr>
        <w:t> </w:t>
      </w:r>
      <w:r w:rsidR="00EE5BC1" w:rsidRPr="00C5186E">
        <w:rPr>
          <w:spacing w:val="-2"/>
        </w:rPr>
        <w:t>80</w:t>
      </w:r>
      <w:r w:rsidR="006E33D0">
        <w:rPr>
          <w:spacing w:val="-2"/>
        </w:rPr>
        <w:t> %</w:t>
      </w:r>
      <w:r w:rsidR="00EE5BC1" w:rsidRPr="00C5186E">
        <w:rPr>
          <w:spacing w:val="-2"/>
        </w:rPr>
        <w:t xml:space="preserve"> </w:t>
      </w:r>
      <w:r w:rsidR="008222CD">
        <w:rPr>
          <w:spacing w:val="-2"/>
        </w:rPr>
        <w:t xml:space="preserve">vyšší. </w:t>
      </w:r>
      <w:r w:rsidR="00A65AAC" w:rsidRPr="00C5186E">
        <w:rPr>
          <w:spacing w:val="-2"/>
          <w:szCs w:val="20"/>
        </w:rPr>
        <w:t xml:space="preserve">Silný význam nabývá investiční aktivita průmyslu v oblasti informačních </w:t>
      </w:r>
      <w:r w:rsidR="00307E77" w:rsidRPr="00C5186E">
        <w:rPr>
          <w:spacing w:val="-2"/>
          <w:szCs w:val="20"/>
        </w:rPr>
        <w:t>a</w:t>
      </w:r>
      <w:r w:rsidR="00307E77">
        <w:rPr>
          <w:spacing w:val="-2"/>
          <w:szCs w:val="20"/>
        </w:rPr>
        <w:t> </w:t>
      </w:r>
      <w:r w:rsidR="00A65AAC" w:rsidRPr="00C5186E">
        <w:rPr>
          <w:spacing w:val="-2"/>
          <w:szCs w:val="20"/>
        </w:rPr>
        <w:t xml:space="preserve">komunikačních technologií, ostatních strojů </w:t>
      </w:r>
      <w:r w:rsidR="00307E77" w:rsidRPr="00C5186E">
        <w:rPr>
          <w:spacing w:val="-2"/>
          <w:szCs w:val="20"/>
        </w:rPr>
        <w:t>a</w:t>
      </w:r>
      <w:r w:rsidR="00307E77">
        <w:rPr>
          <w:spacing w:val="-2"/>
          <w:szCs w:val="20"/>
        </w:rPr>
        <w:t> </w:t>
      </w:r>
      <w:r w:rsidR="00A65AAC" w:rsidRPr="00C5186E">
        <w:rPr>
          <w:spacing w:val="-2"/>
          <w:szCs w:val="20"/>
        </w:rPr>
        <w:t xml:space="preserve">zařízení (mimo dopravní prostředky </w:t>
      </w:r>
      <w:r w:rsidR="00307E77" w:rsidRPr="00C5186E">
        <w:rPr>
          <w:spacing w:val="-2"/>
          <w:szCs w:val="20"/>
        </w:rPr>
        <w:t>a</w:t>
      </w:r>
      <w:r w:rsidR="00307E77">
        <w:rPr>
          <w:spacing w:val="-2"/>
          <w:szCs w:val="20"/>
        </w:rPr>
        <w:t> </w:t>
      </w:r>
      <w:r w:rsidR="00A65AAC" w:rsidRPr="00C5186E">
        <w:rPr>
          <w:spacing w:val="-2"/>
          <w:szCs w:val="20"/>
        </w:rPr>
        <w:t xml:space="preserve">zařízení) </w:t>
      </w:r>
      <w:r w:rsidR="00307E77" w:rsidRPr="00C5186E">
        <w:rPr>
          <w:spacing w:val="-2"/>
          <w:szCs w:val="20"/>
        </w:rPr>
        <w:t>a</w:t>
      </w:r>
      <w:r w:rsidR="00307E77">
        <w:rPr>
          <w:spacing w:val="-2"/>
          <w:szCs w:val="20"/>
        </w:rPr>
        <w:t> </w:t>
      </w:r>
      <w:r w:rsidR="00A65AAC" w:rsidRPr="00C5186E">
        <w:rPr>
          <w:spacing w:val="-2"/>
          <w:szCs w:val="20"/>
        </w:rPr>
        <w:t xml:space="preserve">také ve sféře vědy </w:t>
      </w:r>
      <w:r w:rsidR="00307E77" w:rsidRPr="00C5186E">
        <w:rPr>
          <w:spacing w:val="-2"/>
          <w:szCs w:val="20"/>
        </w:rPr>
        <w:t>a</w:t>
      </w:r>
      <w:r w:rsidR="00307E77">
        <w:rPr>
          <w:spacing w:val="-2"/>
          <w:szCs w:val="20"/>
        </w:rPr>
        <w:t> </w:t>
      </w:r>
      <w:r w:rsidR="00A65AAC" w:rsidRPr="00C5186E">
        <w:rPr>
          <w:spacing w:val="-2"/>
          <w:szCs w:val="20"/>
        </w:rPr>
        <w:t xml:space="preserve">výzkumu. </w:t>
      </w:r>
      <w:r w:rsidR="005E5906" w:rsidRPr="00C5186E">
        <w:rPr>
          <w:spacing w:val="-2"/>
        </w:rPr>
        <w:t xml:space="preserve">Průmysl tvoří rozhodující část zbožového zahraničního obchodu ČR </w:t>
      </w:r>
      <w:r w:rsidR="00307E77" w:rsidRPr="00C5186E">
        <w:rPr>
          <w:spacing w:val="-2"/>
        </w:rPr>
        <w:t>a</w:t>
      </w:r>
      <w:r w:rsidR="00307E77">
        <w:rPr>
          <w:spacing w:val="-2"/>
        </w:rPr>
        <w:t> </w:t>
      </w:r>
      <w:r w:rsidR="005E5906" w:rsidRPr="00C5186E">
        <w:rPr>
          <w:spacing w:val="-2"/>
        </w:rPr>
        <w:t xml:space="preserve">zásadně se podílí na poměrně vysoké otevřenosti celé ekonomiky. V posledních letech putovaly stabilně </w:t>
      </w:r>
      <w:r w:rsidR="00B512A8" w:rsidRPr="00C5186E">
        <w:rPr>
          <w:spacing w:val="-2"/>
        </w:rPr>
        <w:t xml:space="preserve">na vývoz </w:t>
      </w:r>
      <w:r w:rsidR="005E5906" w:rsidRPr="00C5186E">
        <w:rPr>
          <w:spacing w:val="-2"/>
        </w:rPr>
        <w:t xml:space="preserve">dvě třetiny tuzemské </w:t>
      </w:r>
      <w:r w:rsidR="00B512A8" w:rsidRPr="00C5186E">
        <w:rPr>
          <w:spacing w:val="-2"/>
        </w:rPr>
        <w:t>průmyslové produkce</w:t>
      </w:r>
      <w:r w:rsidR="005E5906" w:rsidRPr="00C5186E">
        <w:rPr>
          <w:spacing w:val="-2"/>
        </w:rPr>
        <w:t>.</w:t>
      </w:r>
    </w:p>
    <w:p w14:paraId="5C7032E6" w14:textId="7140ED93" w:rsidR="00C609C9" w:rsidRPr="00C5186E" w:rsidRDefault="00FE2D1C" w:rsidP="00067A82">
      <w:pPr>
        <w:pStyle w:val="Normalodrka"/>
        <w:spacing w:after="160"/>
        <w:rPr>
          <w:spacing w:val="-2"/>
        </w:rPr>
      </w:pPr>
      <w:r w:rsidRPr="00C5186E">
        <w:rPr>
          <w:spacing w:val="-2"/>
        </w:rPr>
        <w:t xml:space="preserve">Silné postavení tuzemského průmyslu v národním hospodářství je patrné </w:t>
      </w:r>
      <w:r w:rsidR="00307E77" w:rsidRPr="00C5186E">
        <w:rPr>
          <w:spacing w:val="-2"/>
        </w:rPr>
        <w:t>i</w:t>
      </w:r>
      <w:r w:rsidR="00307E77">
        <w:rPr>
          <w:spacing w:val="-2"/>
        </w:rPr>
        <w:t> </w:t>
      </w:r>
      <w:r w:rsidRPr="00C5186E">
        <w:rPr>
          <w:spacing w:val="-2"/>
        </w:rPr>
        <w:t>ve srovnání se státy EU. Vyšší</w:t>
      </w:r>
      <w:r w:rsidR="00CF20A4">
        <w:rPr>
          <w:spacing w:val="-2"/>
        </w:rPr>
        <w:t>ho</w:t>
      </w:r>
      <w:r w:rsidRPr="00C5186E">
        <w:rPr>
          <w:spacing w:val="-2"/>
        </w:rPr>
        <w:t xml:space="preserve"> podíl</w:t>
      </w:r>
      <w:r w:rsidR="00CF20A4">
        <w:rPr>
          <w:spacing w:val="-2"/>
        </w:rPr>
        <w:t>u</w:t>
      </w:r>
      <w:r w:rsidRPr="00C5186E">
        <w:rPr>
          <w:spacing w:val="-2"/>
        </w:rPr>
        <w:t xml:space="preserve"> na přidané hodnotě v celé ekonomice</w:t>
      </w:r>
      <w:r w:rsidR="00A616FD">
        <w:rPr>
          <w:spacing w:val="-2"/>
        </w:rPr>
        <w:t xml:space="preserve"> dosahova</w:t>
      </w:r>
      <w:r w:rsidRPr="00C5186E">
        <w:rPr>
          <w:spacing w:val="-2"/>
        </w:rPr>
        <w:t xml:space="preserve">l v roce 2019 jen </w:t>
      </w:r>
      <w:r w:rsidR="002B6F67">
        <w:rPr>
          <w:spacing w:val="-2"/>
        </w:rPr>
        <w:t xml:space="preserve">průmysl </w:t>
      </w:r>
      <w:r w:rsidRPr="00C5186E">
        <w:rPr>
          <w:spacing w:val="-2"/>
        </w:rPr>
        <w:t xml:space="preserve">v Irsku. V podílu </w:t>
      </w:r>
      <w:r w:rsidR="00B14928">
        <w:rPr>
          <w:spacing w:val="-2"/>
        </w:rPr>
        <w:t xml:space="preserve">průmyslu </w:t>
      </w:r>
      <w:r w:rsidRPr="00C5186E">
        <w:rPr>
          <w:spacing w:val="-2"/>
        </w:rPr>
        <w:t>na celkové zaměstnanosti drží Česko primát již více než dvě dekády.</w:t>
      </w:r>
      <w:r w:rsidR="0073093A" w:rsidRPr="00C5186E">
        <w:rPr>
          <w:spacing w:val="-2"/>
        </w:rPr>
        <w:t xml:space="preserve"> </w:t>
      </w:r>
      <w:r w:rsidR="00B14928">
        <w:rPr>
          <w:spacing w:val="-2"/>
        </w:rPr>
        <w:t>Velmi důležitou roli na trhu práce</w:t>
      </w:r>
      <w:r w:rsidR="00E0167B">
        <w:rPr>
          <w:spacing w:val="-2"/>
        </w:rPr>
        <w:t xml:space="preserve"> měl</w:t>
      </w:r>
      <w:r w:rsidR="00B14928">
        <w:rPr>
          <w:spacing w:val="-2"/>
        </w:rPr>
        <w:t xml:space="preserve"> průmysl </w:t>
      </w:r>
      <w:r w:rsidR="00307E77">
        <w:rPr>
          <w:spacing w:val="-2"/>
        </w:rPr>
        <w:t>i </w:t>
      </w:r>
      <w:r w:rsidR="00B14928">
        <w:rPr>
          <w:spacing w:val="-2"/>
        </w:rPr>
        <w:t xml:space="preserve">v Polsku, </w:t>
      </w:r>
      <w:r w:rsidR="00CF20A4">
        <w:rPr>
          <w:spacing w:val="-2"/>
        </w:rPr>
        <w:t xml:space="preserve">na </w:t>
      </w:r>
      <w:r w:rsidR="00B14928">
        <w:rPr>
          <w:spacing w:val="-2"/>
        </w:rPr>
        <w:t xml:space="preserve">Slovensku </w:t>
      </w:r>
      <w:r w:rsidR="00307E77">
        <w:rPr>
          <w:spacing w:val="-2"/>
        </w:rPr>
        <w:t>a </w:t>
      </w:r>
      <w:r w:rsidR="00CF20A4">
        <w:rPr>
          <w:spacing w:val="-2"/>
        </w:rPr>
        <w:t xml:space="preserve">ve </w:t>
      </w:r>
      <w:r w:rsidR="00B14928">
        <w:rPr>
          <w:spacing w:val="-2"/>
        </w:rPr>
        <w:t>Slovinsku.</w:t>
      </w:r>
    </w:p>
    <w:p w14:paraId="33C2EB27" w14:textId="1E52BA8A" w:rsidR="00307E77" w:rsidRDefault="00307E77" w:rsidP="00067A82">
      <w:pPr>
        <w:pStyle w:val="Normalodrka"/>
        <w:spacing w:after="160"/>
        <w:rPr>
          <w:spacing w:val="-2"/>
        </w:rPr>
      </w:pPr>
      <w:r w:rsidRPr="00C5186E">
        <w:rPr>
          <w:spacing w:val="-2"/>
        </w:rPr>
        <w:t>V</w:t>
      </w:r>
      <w:r>
        <w:rPr>
          <w:spacing w:val="-2"/>
        </w:rPr>
        <w:t> </w:t>
      </w:r>
      <w:r w:rsidR="0073093A" w:rsidRPr="00C5186E">
        <w:rPr>
          <w:spacing w:val="-2"/>
        </w:rPr>
        <w:t>průmyslu pracovalo dle pojetí národní</w:t>
      </w:r>
      <w:r w:rsidR="002257E8">
        <w:rPr>
          <w:spacing w:val="-2"/>
        </w:rPr>
        <w:t>ch účtů v roce 2019 celkem 1 517</w:t>
      </w:r>
      <w:r w:rsidR="006E33D0">
        <w:rPr>
          <w:spacing w:val="-2"/>
        </w:rPr>
        <w:t> tis.</w:t>
      </w:r>
      <w:r w:rsidR="0073093A" w:rsidRPr="00C5186E">
        <w:rPr>
          <w:spacing w:val="-2"/>
        </w:rPr>
        <w:t xml:space="preserve"> osob</w:t>
      </w:r>
      <w:r w:rsidR="00D41386" w:rsidRPr="00C5186E">
        <w:rPr>
          <w:spacing w:val="-2"/>
        </w:rPr>
        <w:t xml:space="preserve">. Jejich počet se po pěti růstových letech meziročně snížil </w:t>
      </w:r>
      <w:r w:rsidRPr="00C5186E">
        <w:rPr>
          <w:spacing w:val="-2"/>
        </w:rPr>
        <w:t>o</w:t>
      </w:r>
      <w:r>
        <w:rPr>
          <w:spacing w:val="-2"/>
        </w:rPr>
        <w:t> </w:t>
      </w:r>
      <w:r w:rsidR="00D41386" w:rsidRPr="00C5186E">
        <w:rPr>
          <w:spacing w:val="-2"/>
        </w:rPr>
        <w:t>0,8</w:t>
      </w:r>
      <w:r w:rsidR="006E33D0">
        <w:rPr>
          <w:spacing w:val="-2"/>
        </w:rPr>
        <w:t> %</w:t>
      </w:r>
      <w:r w:rsidR="00D41386" w:rsidRPr="00C5186E">
        <w:rPr>
          <w:spacing w:val="-2"/>
        </w:rPr>
        <w:t xml:space="preserve"> </w:t>
      </w:r>
      <w:r w:rsidRPr="00C5186E">
        <w:rPr>
          <w:spacing w:val="-2"/>
        </w:rPr>
        <w:t>a</w:t>
      </w:r>
      <w:r>
        <w:rPr>
          <w:spacing w:val="-2"/>
        </w:rPr>
        <w:t> </w:t>
      </w:r>
      <w:r w:rsidR="00D41386" w:rsidRPr="00C5186E">
        <w:rPr>
          <w:spacing w:val="-2"/>
        </w:rPr>
        <w:t xml:space="preserve">zaznamenal nejslabší tempo po roce 2010. </w:t>
      </w:r>
      <w:r w:rsidR="00E04FBD" w:rsidRPr="00C5186E">
        <w:rPr>
          <w:spacing w:val="-2"/>
        </w:rPr>
        <w:t>K</w:t>
      </w:r>
      <w:r w:rsidR="002257E8">
        <w:rPr>
          <w:spacing w:val="-2"/>
        </w:rPr>
        <w:t xml:space="preserve"> meziročnímu </w:t>
      </w:r>
      <w:r w:rsidR="00E04FBD" w:rsidRPr="00C5186E">
        <w:rPr>
          <w:spacing w:val="-2"/>
        </w:rPr>
        <w:t xml:space="preserve">poklesu přispěly nejvíce výroba počítačů, elektronických </w:t>
      </w:r>
      <w:r w:rsidRPr="00C5186E">
        <w:rPr>
          <w:spacing w:val="-2"/>
        </w:rPr>
        <w:t>a</w:t>
      </w:r>
      <w:r>
        <w:rPr>
          <w:spacing w:val="-2"/>
        </w:rPr>
        <w:t> </w:t>
      </w:r>
      <w:r w:rsidR="00E04FBD" w:rsidRPr="00C5186E">
        <w:rPr>
          <w:spacing w:val="-2"/>
        </w:rPr>
        <w:t xml:space="preserve">optických přístrojů, strojírenství </w:t>
      </w:r>
      <w:r w:rsidRPr="00C5186E">
        <w:rPr>
          <w:spacing w:val="-2"/>
        </w:rPr>
        <w:t>a</w:t>
      </w:r>
      <w:r>
        <w:rPr>
          <w:spacing w:val="-2"/>
        </w:rPr>
        <w:t> </w:t>
      </w:r>
      <w:r w:rsidR="00E04FBD" w:rsidRPr="00C5186E">
        <w:rPr>
          <w:spacing w:val="-2"/>
        </w:rPr>
        <w:t xml:space="preserve">kovovýroba. </w:t>
      </w:r>
      <w:r w:rsidR="006F0813" w:rsidRPr="00C5186E">
        <w:rPr>
          <w:spacing w:val="-2"/>
        </w:rPr>
        <w:t xml:space="preserve">V období od poslední recese (mezi roky 2013 </w:t>
      </w:r>
      <w:r w:rsidRPr="00C5186E">
        <w:rPr>
          <w:spacing w:val="-2"/>
        </w:rPr>
        <w:t>a</w:t>
      </w:r>
      <w:r>
        <w:rPr>
          <w:spacing w:val="-2"/>
        </w:rPr>
        <w:t> </w:t>
      </w:r>
      <w:r w:rsidR="006F0813" w:rsidRPr="00C5186E">
        <w:rPr>
          <w:spacing w:val="-2"/>
        </w:rPr>
        <w:t>2019)</w:t>
      </w:r>
      <w:r w:rsidR="00F85789" w:rsidRPr="00C5186E">
        <w:rPr>
          <w:spacing w:val="-2"/>
        </w:rPr>
        <w:t xml:space="preserve"> se průmysl podílel na růstu zaměstnanosti v</w:t>
      </w:r>
      <w:r w:rsidR="00C36CCC">
        <w:rPr>
          <w:spacing w:val="-2"/>
        </w:rPr>
        <w:t xml:space="preserve"> celé </w:t>
      </w:r>
      <w:r w:rsidR="00F85789" w:rsidRPr="00C5186E">
        <w:rPr>
          <w:spacing w:val="-2"/>
        </w:rPr>
        <w:t xml:space="preserve">ekonomice </w:t>
      </w:r>
      <w:r w:rsidR="0088661D">
        <w:rPr>
          <w:spacing w:val="-2"/>
        </w:rPr>
        <w:t>bezmála</w:t>
      </w:r>
      <w:r w:rsidR="00F85789" w:rsidRPr="00C5186E">
        <w:rPr>
          <w:spacing w:val="-2"/>
        </w:rPr>
        <w:t xml:space="preserve"> 40</w:t>
      </w:r>
      <w:r w:rsidR="00F85789" w:rsidRPr="00C5186E">
        <w:rPr>
          <w:spacing w:val="-2"/>
          <w:szCs w:val="20"/>
        </w:rPr>
        <w:t> </w:t>
      </w:r>
      <w:r w:rsidR="00F85789" w:rsidRPr="00C5186E">
        <w:rPr>
          <w:spacing w:val="-2"/>
        </w:rPr>
        <w:t>%</w:t>
      </w:r>
      <w:r w:rsidR="00221BD4">
        <w:rPr>
          <w:spacing w:val="-2"/>
        </w:rPr>
        <w:t>. D</w:t>
      </w:r>
      <w:r w:rsidR="00F85789" w:rsidRPr="00C5186E">
        <w:rPr>
          <w:spacing w:val="-2"/>
        </w:rPr>
        <w:t xml:space="preserve">ařilo se zejména výrobě motorových vozidel, </w:t>
      </w:r>
      <w:r w:rsidR="002F0A29" w:rsidRPr="00C5186E">
        <w:rPr>
          <w:spacing w:val="-2"/>
        </w:rPr>
        <w:t xml:space="preserve">kde se počet zaměstnaných zvýšil skoro </w:t>
      </w:r>
      <w:r w:rsidRPr="00C5186E">
        <w:rPr>
          <w:spacing w:val="-2"/>
        </w:rPr>
        <w:t>o</w:t>
      </w:r>
      <w:r>
        <w:rPr>
          <w:spacing w:val="-2"/>
        </w:rPr>
        <w:t> </w:t>
      </w:r>
      <w:r w:rsidR="002F0A29" w:rsidRPr="00C5186E">
        <w:rPr>
          <w:spacing w:val="-2"/>
        </w:rPr>
        <w:t>třetinu</w:t>
      </w:r>
      <w:r w:rsidR="00C5186E" w:rsidRPr="00C5186E">
        <w:rPr>
          <w:spacing w:val="-2"/>
        </w:rPr>
        <w:t xml:space="preserve"> (na 200</w:t>
      </w:r>
      <w:r w:rsidR="006E33D0">
        <w:rPr>
          <w:spacing w:val="-2"/>
        </w:rPr>
        <w:t> tis.</w:t>
      </w:r>
      <w:r w:rsidR="00C5186E" w:rsidRPr="00C5186E">
        <w:rPr>
          <w:spacing w:val="-2"/>
        </w:rPr>
        <w:t>).</w:t>
      </w:r>
      <w:r w:rsidR="00947FD4">
        <w:rPr>
          <w:spacing w:val="-2"/>
        </w:rPr>
        <w:t xml:space="preserve"> N</w:t>
      </w:r>
      <w:r w:rsidR="00221BD4">
        <w:rPr>
          <w:spacing w:val="-2"/>
        </w:rPr>
        <w:t>aopak bezmála</w:t>
      </w:r>
      <w:r w:rsidR="00947FD4">
        <w:rPr>
          <w:spacing w:val="-2"/>
        </w:rPr>
        <w:t xml:space="preserve"> čtvrtinu pracovních míst ztratil kožedělný průmysl </w:t>
      </w:r>
      <w:r>
        <w:rPr>
          <w:spacing w:val="-2"/>
        </w:rPr>
        <w:t>a </w:t>
      </w:r>
      <w:r w:rsidR="00947FD4">
        <w:rPr>
          <w:spacing w:val="-2"/>
        </w:rPr>
        <w:t xml:space="preserve">šestinu těžba </w:t>
      </w:r>
      <w:r>
        <w:rPr>
          <w:spacing w:val="-2"/>
        </w:rPr>
        <w:t>a </w:t>
      </w:r>
      <w:r w:rsidR="00947FD4">
        <w:rPr>
          <w:spacing w:val="-2"/>
        </w:rPr>
        <w:t>dobývání.</w:t>
      </w:r>
    </w:p>
    <w:p w14:paraId="18968259" w14:textId="37449789" w:rsidR="00307E77" w:rsidRDefault="00307E77" w:rsidP="0050700F">
      <w:pPr>
        <w:pStyle w:val="Normalodrka"/>
        <w:spacing w:after="160"/>
      </w:pPr>
      <w:r>
        <w:t>K </w:t>
      </w:r>
      <w:r w:rsidR="0050700F">
        <w:t>ne</w:t>
      </w:r>
      <w:r w:rsidR="000421E4">
        <w:t>j</w:t>
      </w:r>
      <w:r w:rsidR="0050700F">
        <w:t xml:space="preserve">průmyslovějším regionům ČR z pohledu zaměstnanosti patří dlouhodobě Liberecký </w:t>
      </w:r>
      <w:r>
        <w:t>a </w:t>
      </w:r>
      <w:r w:rsidR="0050700F">
        <w:t>Zlínský kraj a </w:t>
      </w:r>
      <w:r w:rsidR="00330711">
        <w:t xml:space="preserve">Kraj </w:t>
      </w:r>
      <w:r w:rsidR="0050700F">
        <w:t>Vysočina. V cel</w:t>
      </w:r>
      <w:r w:rsidR="007D7668">
        <w:t>ém Česku pracovalo v průmyslu 36</w:t>
      </w:r>
      <w:r w:rsidR="006E33D0">
        <w:t> %</w:t>
      </w:r>
      <w:r w:rsidR="0050700F">
        <w:t xml:space="preserve"> zaměstnaných mužů </w:t>
      </w:r>
      <w:r>
        <w:t>a </w:t>
      </w:r>
      <w:r w:rsidR="007D7668">
        <w:t>23</w:t>
      </w:r>
      <w:r w:rsidR="006E33D0">
        <w:t> %</w:t>
      </w:r>
      <w:r w:rsidR="0050700F">
        <w:t xml:space="preserve"> žen.</w:t>
      </w:r>
      <w:r w:rsidR="00C36CCC">
        <w:t xml:space="preserve"> Podíl </w:t>
      </w:r>
      <w:r w:rsidR="00EB6E42">
        <w:t xml:space="preserve">průmyslu na celkové zaměstnanosti mužů v poslední dekádě mírně rostl, </w:t>
      </w:r>
      <w:r>
        <w:t>u </w:t>
      </w:r>
      <w:r w:rsidR="00EB6E42">
        <w:t>žen stagnoval.</w:t>
      </w:r>
    </w:p>
    <w:p w14:paraId="3819FB70" w14:textId="02663F46" w:rsidR="002E4B33" w:rsidRDefault="002E4B33" w:rsidP="00B304F7">
      <w:pPr>
        <w:pStyle w:val="Normalodrka"/>
      </w:pPr>
      <w:r>
        <w:t xml:space="preserve">Téměř dvě třetiny pracovníků v průmyslu tvořili manuálně pracující. Muži v této kategorii působili nejčastěji jako řemeslníci a opraváři, ženy jako obsluha strojů </w:t>
      </w:r>
      <w:r w:rsidR="00307E77">
        <w:t>a </w:t>
      </w:r>
      <w:r>
        <w:t xml:space="preserve">zařízení. </w:t>
      </w:r>
      <w:r w:rsidR="002E5E3A">
        <w:rPr>
          <w:spacing w:val="-2"/>
          <w:szCs w:val="20"/>
        </w:rPr>
        <w:t>Podíl manuálně pracujících klesl</w:t>
      </w:r>
      <w:r w:rsidR="002E5E3A" w:rsidRPr="005B2CD2">
        <w:rPr>
          <w:spacing w:val="-2"/>
          <w:szCs w:val="20"/>
        </w:rPr>
        <w:t xml:space="preserve"> </w:t>
      </w:r>
      <w:r w:rsidR="002E5E3A">
        <w:rPr>
          <w:spacing w:val="-2"/>
          <w:szCs w:val="20"/>
        </w:rPr>
        <w:t xml:space="preserve">mezi lety 2011 </w:t>
      </w:r>
      <w:r w:rsidR="00307E77">
        <w:rPr>
          <w:spacing w:val="-2"/>
          <w:szCs w:val="20"/>
        </w:rPr>
        <w:t>a </w:t>
      </w:r>
      <w:r w:rsidR="002E5E3A">
        <w:rPr>
          <w:spacing w:val="-2"/>
          <w:szCs w:val="20"/>
        </w:rPr>
        <w:t xml:space="preserve">2019 </w:t>
      </w:r>
      <w:r w:rsidR="00307E77">
        <w:rPr>
          <w:spacing w:val="-2"/>
          <w:szCs w:val="20"/>
        </w:rPr>
        <w:t>o </w:t>
      </w:r>
      <w:r w:rsidR="002E5E3A">
        <w:rPr>
          <w:spacing w:val="-2"/>
          <w:szCs w:val="20"/>
        </w:rPr>
        <w:t>2</w:t>
      </w:r>
      <w:r w:rsidR="006E33D0">
        <w:rPr>
          <w:spacing w:val="-2"/>
          <w:szCs w:val="20"/>
        </w:rPr>
        <w:t> p. b.</w:t>
      </w:r>
      <w:r w:rsidR="002E5E3A">
        <w:rPr>
          <w:spacing w:val="-2"/>
          <w:szCs w:val="20"/>
        </w:rPr>
        <w:t xml:space="preserve"> </w:t>
      </w:r>
      <w:r w:rsidR="002E5E3A" w:rsidRPr="005B2CD2">
        <w:rPr>
          <w:spacing w:val="-2"/>
          <w:szCs w:val="20"/>
        </w:rPr>
        <w:t xml:space="preserve">Nárůst nemanuálních pracovníků byl tažen zejména kategorií specialistů, jejichž podíl vzrostl </w:t>
      </w:r>
      <w:proofErr w:type="gramStart"/>
      <w:r w:rsidR="002E5E3A" w:rsidRPr="005B2CD2">
        <w:rPr>
          <w:spacing w:val="-2"/>
          <w:szCs w:val="20"/>
        </w:rPr>
        <w:t>ze</w:t>
      </w:r>
      <w:proofErr w:type="gramEnd"/>
      <w:r w:rsidR="00330711">
        <w:rPr>
          <w:spacing w:val="-2"/>
          <w:szCs w:val="20"/>
        </w:rPr>
        <w:t> </w:t>
      </w:r>
      <w:r w:rsidR="00307E77" w:rsidRPr="005B2CD2">
        <w:rPr>
          <w:spacing w:val="-2"/>
          <w:szCs w:val="20"/>
        </w:rPr>
        <w:t>3</w:t>
      </w:r>
      <w:r w:rsidR="00330711">
        <w:rPr>
          <w:spacing w:val="-2"/>
          <w:szCs w:val="20"/>
        </w:rPr>
        <w:t xml:space="preserve"> </w:t>
      </w:r>
      <w:r w:rsidR="002E5E3A" w:rsidRPr="005B2CD2">
        <w:rPr>
          <w:spacing w:val="-2"/>
          <w:szCs w:val="20"/>
        </w:rPr>
        <w:t>na 6</w:t>
      </w:r>
      <w:r w:rsidR="006E33D0">
        <w:rPr>
          <w:spacing w:val="-2"/>
          <w:szCs w:val="20"/>
        </w:rPr>
        <w:t> %</w:t>
      </w:r>
      <w:r w:rsidR="002E5E3A" w:rsidRPr="005B2CD2">
        <w:rPr>
          <w:spacing w:val="-2"/>
          <w:szCs w:val="20"/>
        </w:rPr>
        <w:t>.</w:t>
      </w:r>
      <w:r w:rsidR="002E5E3A">
        <w:rPr>
          <w:spacing w:val="-2"/>
          <w:szCs w:val="20"/>
        </w:rPr>
        <w:t xml:space="preserve"> </w:t>
      </w:r>
      <w:r w:rsidR="00B304F7">
        <w:t xml:space="preserve">Nejlepší kvalifikační </w:t>
      </w:r>
      <w:r w:rsidR="00307E77">
        <w:t>i </w:t>
      </w:r>
      <w:r w:rsidR="00D9417F">
        <w:t xml:space="preserve">vzdělanostní </w:t>
      </w:r>
      <w:r w:rsidR="00B304F7">
        <w:t xml:space="preserve">skladbu pracovníků vykazuje z hlavních odvětví průmyslu energetika, nejhorší těžba </w:t>
      </w:r>
      <w:r w:rsidR="00307E77">
        <w:t>a </w:t>
      </w:r>
      <w:r w:rsidR="00B304F7">
        <w:t>dobývání.</w:t>
      </w:r>
      <w:r w:rsidR="00D9417F">
        <w:t xml:space="preserve"> </w:t>
      </w:r>
      <w:r w:rsidR="00EB6637">
        <w:t>Terciární vzdělání mělo jen 13</w:t>
      </w:r>
      <w:r w:rsidR="006E33D0">
        <w:t> %</w:t>
      </w:r>
      <w:r w:rsidR="00EB6637">
        <w:t xml:space="preserve"> zaměstnanců v průmyslu, skoro </w:t>
      </w:r>
      <w:r w:rsidR="00307E77">
        <w:t>o </w:t>
      </w:r>
      <w:r w:rsidR="00EB6637">
        <w:t>polovinu méně než v celé ekonomice.</w:t>
      </w:r>
    </w:p>
    <w:p w14:paraId="3DCF0ED5" w14:textId="212E3E5B" w:rsidR="00307E77" w:rsidRDefault="00E75C5C" w:rsidP="00E75C5C">
      <w:pPr>
        <w:pStyle w:val="Normalodrka"/>
      </w:pPr>
      <w:r>
        <w:t xml:space="preserve">Průměrná hrubá měsíční mzda zaměstnance (po přepočtu na plné úvazky) v průmyslu čítala v roce 2019 nominálně </w:t>
      </w:r>
      <w:r w:rsidRPr="00D9365F">
        <w:t>33</w:t>
      </w:r>
      <w:r>
        <w:t> </w:t>
      </w:r>
      <w:r w:rsidRPr="00D9365F">
        <w:t>96</w:t>
      </w:r>
      <w:r w:rsidR="00307E77" w:rsidRPr="00D9365F">
        <w:t>3</w:t>
      </w:r>
      <w:r w:rsidR="00307E77">
        <w:t> </w:t>
      </w:r>
      <w:r>
        <w:t xml:space="preserve">korun </w:t>
      </w:r>
      <w:r w:rsidR="00307E77">
        <w:t>a </w:t>
      </w:r>
      <w:r>
        <w:t>meziročně se zvýšila o 5,4</w:t>
      </w:r>
      <w:r w:rsidR="006E33D0">
        <w:t> %</w:t>
      </w:r>
      <w:r>
        <w:t xml:space="preserve">. To bylo </w:t>
      </w:r>
      <w:r w:rsidR="00307E77">
        <w:t>o </w:t>
      </w:r>
      <w:r>
        <w:t xml:space="preserve">rovný procentní bod méně než v celém národním hospodářství. Dynamika mezd v průmyslu za tempy v celé ekonomice </w:t>
      </w:r>
      <w:r w:rsidR="00B1032A">
        <w:t xml:space="preserve">lehce </w:t>
      </w:r>
      <w:r>
        <w:t>zaostávala</w:t>
      </w:r>
      <w:r w:rsidR="000421E4">
        <w:t xml:space="preserve"> </w:t>
      </w:r>
      <w:r w:rsidR="00307E77">
        <w:t>i </w:t>
      </w:r>
      <w:r w:rsidR="000421E4">
        <w:t>po většinu</w:t>
      </w:r>
      <w:r>
        <w:t xml:space="preserve"> posledního pětiletí. V roce 2019 rostla průměrná mzda nejvíce v kožedělném průmyslu (8,2</w:t>
      </w:r>
      <w:r w:rsidR="006E33D0">
        <w:t> %</w:t>
      </w:r>
      <w:r>
        <w:t xml:space="preserve">), nejméně v těžbě </w:t>
      </w:r>
      <w:r w:rsidR="00307E77">
        <w:t>a </w:t>
      </w:r>
      <w:r>
        <w:t>dobývání (3,6</w:t>
      </w:r>
      <w:r w:rsidR="006E33D0">
        <w:t> %</w:t>
      </w:r>
      <w:r>
        <w:t xml:space="preserve">). Mezi roky 2012 </w:t>
      </w:r>
      <w:r w:rsidR="00307E77">
        <w:t>a </w:t>
      </w:r>
      <w:r>
        <w:t xml:space="preserve">2019 se relativně nejvíce zvýšila mzda v menších </w:t>
      </w:r>
      <w:r w:rsidR="000421E4">
        <w:t xml:space="preserve">průmyslových </w:t>
      </w:r>
      <w:r>
        <w:t xml:space="preserve">odvětvích, </w:t>
      </w:r>
      <w:r w:rsidR="00CF3B58">
        <w:t xml:space="preserve">která </w:t>
      </w:r>
      <w:r>
        <w:t xml:space="preserve">zároveň </w:t>
      </w:r>
      <w:r w:rsidR="00CF3B58">
        <w:t xml:space="preserve">profitovala </w:t>
      </w:r>
      <w:r>
        <w:t>z opakovaného navyšování minimální mzdy.</w:t>
      </w:r>
    </w:p>
    <w:p w14:paraId="5A865B23" w14:textId="00BA9D44" w:rsidR="0024680E" w:rsidRDefault="00E75C5C" w:rsidP="0024680E">
      <w:pPr>
        <w:pStyle w:val="Normalodrka"/>
      </w:pPr>
      <w:r>
        <w:t>V roce 2019 dosáhla průměrná mzda v energetice 49</w:t>
      </w:r>
      <w:r w:rsidR="006E33D0">
        <w:t> tis.</w:t>
      </w:r>
      <w:r>
        <w:t xml:space="preserve"> </w:t>
      </w:r>
      <w:r w:rsidR="002B6F67">
        <w:t xml:space="preserve">korun </w:t>
      </w:r>
      <w:r w:rsidR="00307E77">
        <w:t>a </w:t>
      </w:r>
      <w:r>
        <w:t>byla 2,7krát vyšší než v oděvním průmyslu. Zaměstnanci ve výrobě motorových vozidel pobírali v průměru měsíčně 40</w:t>
      </w:r>
      <w:r w:rsidR="006E33D0">
        <w:t> tis.</w:t>
      </w:r>
      <w:r w:rsidR="00957C5D">
        <w:t xml:space="preserve"> korun, což se podepsalo na nadprůměrné výši mezd v průmyslu ve Středočeském kraji</w:t>
      </w:r>
      <w:r w:rsidR="00C36CCC">
        <w:t>. N</w:t>
      </w:r>
      <w:r w:rsidR="002B6F67">
        <w:t xml:space="preserve">epatrně </w:t>
      </w:r>
      <w:r w:rsidR="00957C5D">
        <w:t xml:space="preserve">více ale inkasovali zaměstnanci </w:t>
      </w:r>
      <w:r w:rsidR="00B1032A">
        <w:t xml:space="preserve">v průmyslu </w:t>
      </w:r>
      <w:r w:rsidR="00307E77">
        <w:t>v </w:t>
      </w:r>
      <w:r w:rsidR="00957C5D">
        <w:t xml:space="preserve">Praze. Jejich výdělky </w:t>
      </w:r>
      <w:r w:rsidR="00357D45">
        <w:t xml:space="preserve">zde </w:t>
      </w:r>
      <w:r w:rsidR="00957C5D">
        <w:t xml:space="preserve">byly </w:t>
      </w:r>
      <w:r w:rsidR="00307E77">
        <w:t>o </w:t>
      </w:r>
      <w:r w:rsidR="00957C5D">
        <w:t xml:space="preserve">více než třetinu vyšší než v Olomouckém </w:t>
      </w:r>
      <w:r w:rsidR="00307E77">
        <w:t>a </w:t>
      </w:r>
      <w:r w:rsidR="00957C5D">
        <w:t>Karlovarském kraji.</w:t>
      </w:r>
      <w:r w:rsidR="00357D45">
        <w:t xml:space="preserve"> V období 2005 až 2018</w:t>
      </w:r>
      <w:r w:rsidR="00942FD9">
        <w:t xml:space="preserve"> </w:t>
      </w:r>
      <w:r w:rsidR="0024680E">
        <w:t xml:space="preserve">se mzdy zvyšovaly nejvíce v krajích s významnějším zastoupením výroby </w:t>
      </w:r>
      <w:r w:rsidR="006654F4">
        <w:t xml:space="preserve">dopravních </w:t>
      </w:r>
      <w:r w:rsidR="0024680E">
        <w:t>prostředků a návazných oborů. Opačně na tom byly regiony s vyšším zastoupením oborů těžkého průmyslu (</w:t>
      </w:r>
      <w:r w:rsidR="006E33D0">
        <w:t xml:space="preserve">včetně </w:t>
      </w:r>
      <w:r w:rsidR="0024680E">
        <w:t>těžby</w:t>
      </w:r>
      <w:r w:rsidR="00F02A90">
        <w:t xml:space="preserve"> </w:t>
      </w:r>
      <w:r w:rsidR="00307E77">
        <w:t>a </w:t>
      </w:r>
      <w:r w:rsidR="00F02A90">
        <w:t>dobývání</w:t>
      </w:r>
      <w:r w:rsidR="0024680E">
        <w:t>).</w:t>
      </w:r>
    </w:p>
    <w:p w14:paraId="6F632E12" w14:textId="7F36680C" w:rsidR="00E75C5C" w:rsidRDefault="00592284" w:rsidP="00E75C5C">
      <w:pPr>
        <w:pStyle w:val="Normalodrka"/>
      </w:pPr>
      <w:r w:rsidRPr="003E362B">
        <w:rPr>
          <w:spacing w:val="-2"/>
          <w:szCs w:val="20"/>
        </w:rPr>
        <w:t>V roce 2019 pobíralo v průmyslu nominální hrubou měsíční mzdu nižší než 23</w:t>
      </w:r>
      <w:r w:rsidR="006E33D0">
        <w:rPr>
          <w:spacing w:val="-2"/>
          <w:szCs w:val="20"/>
        </w:rPr>
        <w:t> tis.</w:t>
      </w:r>
      <w:r w:rsidRPr="003E362B">
        <w:rPr>
          <w:spacing w:val="-2"/>
          <w:szCs w:val="20"/>
        </w:rPr>
        <w:t xml:space="preserve"> korun </w:t>
      </w:r>
      <w:r>
        <w:rPr>
          <w:spacing w:val="-2"/>
          <w:szCs w:val="20"/>
        </w:rPr>
        <w:t xml:space="preserve">jen </w:t>
      </w:r>
      <w:r w:rsidRPr="003E362B">
        <w:rPr>
          <w:spacing w:val="-2"/>
          <w:szCs w:val="20"/>
        </w:rPr>
        <w:t>17,1</w:t>
      </w:r>
      <w:r w:rsidR="006E33D0">
        <w:rPr>
          <w:spacing w:val="-2"/>
          <w:szCs w:val="20"/>
        </w:rPr>
        <w:t> %</w:t>
      </w:r>
      <w:r w:rsidRPr="003E362B">
        <w:rPr>
          <w:spacing w:val="-2"/>
          <w:szCs w:val="20"/>
        </w:rPr>
        <w:t xml:space="preserve"> zaměstn</w:t>
      </w:r>
      <w:r>
        <w:rPr>
          <w:spacing w:val="-2"/>
          <w:szCs w:val="20"/>
        </w:rPr>
        <w:t>anců, v celé ekonomice 23,7</w:t>
      </w:r>
      <w:r w:rsidR="006E33D0">
        <w:rPr>
          <w:spacing w:val="-2"/>
          <w:szCs w:val="20"/>
        </w:rPr>
        <w:t> %</w:t>
      </w:r>
      <w:r w:rsidR="00AA1DC6">
        <w:rPr>
          <w:spacing w:val="-2"/>
          <w:szCs w:val="20"/>
        </w:rPr>
        <w:t>. Stejně tak</w:t>
      </w:r>
      <w:r>
        <w:rPr>
          <w:spacing w:val="-2"/>
          <w:szCs w:val="20"/>
        </w:rPr>
        <w:t xml:space="preserve"> zastoupení </w:t>
      </w:r>
      <w:proofErr w:type="spellStart"/>
      <w:r>
        <w:rPr>
          <w:spacing w:val="-2"/>
          <w:szCs w:val="20"/>
        </w:rPr>
        <w:t>vysokopříj</w:t>
      </w:r>
      <w:r w:rsidRPr="003E362B">
        <w:rPr>
          <w:spacing w:val="-2"/>
          <w:szCs w:val="20"/>
        </w:rPr>
        <w:t>mových</w:t>
      </w:r>
      <w:proofErr w:type="spellEnd"/>
      <w:r w:rsidRPr="003E362B">
        <w:rPr>
          <w:spacing w:val="-2"/>
          <w:szCs w:val="20"/>
        </w:rPr>
        <w:t xml:space="preserve"> pracovníků (nad 60</w:t>
      </w:r>
      <w:r w:rsidR="006E33D0">
        <w:rPr>
          <w:spacing w:val="-2"/>
          <w:szCs w:val="20"/>
        </w:rPr>
        <w:t> tis.</w:t>
      </w:r>
      <w:r w:rsidRPr="003E362B">
        <w:rPr>
          <w:spacing w:val="-2"/>
          <w:szCs w:val="20"/>
        </w:rPr>
        <w:t xml:space="preserve"> korun měsíčn</w:t>
      </w:r>
      <w:r>
        <w:rPr>
          <w:spacing w:val="-2"/>
          <w:szCs w:val="20"/>
        </w:rPr>
        <w:t xml:space="preserve">ě) bylo vyšší v celé ekonomice </w:t>
      </w:r>
      <w:r w:rsidRPr="003E362B">
        <w:rPr>
          <w:spacing w:val="-2"/>
          <w:szCs w:val="20"/>
        </w:rPr>
        <w:t>(8,3</w:t>
      </w:r>
      <w:r w:rsidR="006E33D0">
        <w:rPr>
          <w:spacing w:val="-2"/>
          <w:szCs w:val="20"/>
        </w:rPr>
        <w:t> %</w:t>
      </w:r>
      <w:r>
        <w:rPr>
          <w:spacing w:val="-2"/>
          <w:szCs w:val="20"/>
        </w:rPr>
        <w:t xml:space="preserve">) nežli </w:t>
      </w:r>
      <w:r w:rsidR="00307E77">
        <w:rPr>
          <w:spacing w:val="-2"/>
          <w:szCs w:val="20"/>
        </w:rPr>
        <w:t>v</w:t>
      </w:r>
      <w:r w:rsidR="00CF3B58">
        <w:rPr>
          <w:spacing w:val="-2"/>
          <w:szCs w:val="20"/>
        </w:rPr>
        <w:t> </w:t>
      </w:r>
      <w:r>
        <w:rPr>
          <w:spacing w:val="-2"/>
          <w:szCs w:val="20"/>
        </w:rPr>
        <w:t>rámci</w:t>
      </w:r>
      <w:r w:rsidR="00CF3B58">
        <w:rPr>
          <w:spacing w:val="-2"/>
          <w:szCs w:val="20"/>
        </w:rPr>
        <w:t xml:space="preserve"> </w:t>
      </w:r>
      <w:r>
        <w:rPr>
          <w:spacing w:val="-2"/>
          <w:szCs w:val="20"/>
        </w:rPr>
        <w:t>samotného průmyslu (</w:t>
      </w:r>
      <w:r w:rsidRPr="003E362B">
        <w:rPr>
          <w:spacing w:val="-2"/>
          <w:szCs w:val="20"/>
        </w:rPr>
        <w:t>7,4</w:t>
      </w:r>
      <w:r w:rsidR="006E33D0">
        <w:rPr>
          <w:spacing w:val="-2"/>
          <w:szCs w:val="20"/>
        </w:rPr>
        <w:t> %</w:t>
      </w:r>
      <w:r w:rsidRPr="003E362B">
        <w:rPr>
          <w:spacing w:val="-2"/>
          <w:szCs w:val="20"/>
        </w:rPr>
        <w:t xml:space="preserve">). Celková </w:t>
      </w:r>
      <w:r w:rsidRPr="003E362B">
        <w:rPr>
          <w:spacing w:val="-2"/>
          <w:szCs w:val="20"/>
        </w:rPr>
        <w:lastRenderedPageBreak/>
        <w:t>mzdová diferenciace v průmyslu se ve srovnatelné řadě mezi lety 2</w:t>
      </w:r>
      <w:r>
        <w:rPr>
          <w:spacing w:val="-2"/>
          <w:szCs w:val="20"/>
        </w:rPr>
        <w:t xml:space="preserve">012 </w:t>
      </w:r>
      <w:r w:rsidR="00307E77">
        <w:rPr>
          <w:spacing w:val="-2"/>
          <w:szCs w:val="20"/>
        </w:rPr>
        <w:t>a </w:t>
      </w:r>
      <w:r>
        <w:rPr>
          <w:spacing w:val="-2"/>
          <w:szCs w:val="20"/>
        </w:rPr>
        <w:t>2019 plynule snižovala, a</w:t>
      </w:r>
      <w:r w:rsidRPr="003E362B">
        <w:rPr>
          <w:spacing w:val="-2"/>
          <w:szCs w:val="20"/>
        </w:rPr>
        <w:t> </w:t>
      </w:r>
      <w:r>
        <w:rPr>
          <w:spacing w:val="-2"/>
          <w:szCs w:val="20"/>
        </w:rPr>
        <w:t>to</w:t>
      </w:r>
      <w:r w:rsidRPr="003E362B">
        <w:rPr>
          <w:spacing w:val="-2"/>
          <w:szCs w:val="20"/>
        </w:rPr>
        <w:t xml:space="preserve"> </w:t>
      </w:r>
      <w:r w:rsidR="00307E77" w:rsidRPr="003E362B">
        <w:rPr>
          <w:spacing w:val="-2"/>
          <w:szCs w:val="20"/>
        </w:rPr>
        <w:t>s</w:t>
      </w:r>
      <w:r w:rsidR="00307E77">
        <w:rPr>
          <w:spacing w:val="-2"/>
          <w:szCs w:val="20"/>
        </w:rPr>
        <w:t> </w:t>
      </w:r>
      <w:r w:rsidRPr="003E362B">
        <w:rPr>
          <w:spacing w:val="-2"/>
          <w:szCs w:val="20"/>
        </w:rPr>
        <w:t>obdobnou intenzitou jako v celém národním hospodářství</w:t>
      </w:r>
      <w:r w:rsidR="00CF3B58">
        <w:rPr>
          <w:spacing w:val="-2"/>
          <w:szCs w:val="20"/>
        </w:rPr>
        <w:t>.</w:t>
      </w:r>
    </w:p>
    <w:p w14:paraId="4AEB5902" w14:textId="16720C4C" w:rsidR="00AA3E4E" w:rsidRPr="009346B6" w:rsidRDefault="0038642D" w:rsidP="00AA3E4E">
      <w:pPr>
        <w:pStyle w:val="Normalodrka"/>
        <w:spacing w:after="160"/>
        <w:rPr>
          <w:spacing w:val="-4"/>
        </w:rPr>
      </w:pPr>
      <w:r>
        <w:t xml:space="preserve">Zatímco v roce 2019 vzrostly v průmyslu nejvíce mzdy řídících pracovníků, v předchozích letech konjunkturního období posilovaly nejrychleji mzdy </w:t>
      </w:r>
      <w:proofErr w:type="spellStart"/>
      <w:r>
        <w:t>nízkovýdělkových</w:t>
      </w:r>
      <w:proofErr w:type="spellEnd"/>
      <w:r>
        <w:t xml:space="preserve"> manuálních činností.</w:t>
      </w:r>
      <w:r w:rsidR="00AA3E4E" w:rsidRPr="00AA3E4E">
        <w:t xml:space="preserve"> </w:t>
      </w:r>
      <w:r w:rsidR="00AA3E4E">
        <w:t>Pomocní a nekvalifikovaní zaměstnanci</w:t>
      </w:r>
      <w:r w:rsidR="00F01E16">
        <w:t xml:space="preserve"> inkasovali</w:t>
      </w:r>
      <w:r w:rsidR="00AA3E4E">
        <w:t xml:space="preserve"> v roce 2019 v průmyslu </w:t>
      </w:r>
      <w:r w:rsidR="00307E77">
        <w:t>o </w:t>
      </w:r>
      <w:r w:rsidR="00AA3E4E">
        <w:t>15</w:t>
      </w:r>
      <w:r w:rsidR="006E33D0">
        <w:t> %</w:t>
      </w:r>
      <w:r w:rsidR="00AA3E4E">
        <w:t xml:space="preserve"> vyšší mzdu než </w:t>
      </w:r>
      <w:r w:rsidR="004F0CBA">
        <w:t xml:space="preserve">tato kategorie pracovníků </w:t>
      </w:r>
      <w:r w:rsidR="00AA3E4E">
        <w:t xml:space="preserve">v celé ekonomice. Zaměstnanci se základním vzděláním pobírali v rámci průmyslu nejvyšší mzdu v těžbě </w:t>
      </w:r>
      <w:r w:rsidR="00307E77">
        <w:t>a </w:t>
      </w:r>
      <w:r w:rsidR="00AA3E4E">
        <w:t>dobývání, osoby s vyššími stupni vzdělání vždy v energetice.</w:t>
      </w:r>
    </w:p>
    <w:p w14:paraId="77AF774E" w14:textId="6AA33DA0" w:rsidR="00307E77" w:rsidRDefault="00307E77" w:rsidP="001B57B8">
      <w:pPr>
        <w:pStyle w:val="Normalodrka"/>
        <w:rPr>
          <w:spacing w:val="-2"/>
          <w:szCs w:val="20"/>
        </w:rPr>
      </w:pPr>
      <w:r>
        <w:rPr>
          <w:spacing w:val="-2"/>
          <w:szCs w:val="20"/>
        </w:rPr>
        <w:t>V </w:t>
      </w:r>
      <w:r w:rsidR="001B57B8">
        <w:rPr>
          <w:spacing w:val="-2"/>
          <w:szCs w:val="20"/>
        </w:rPr>
        <w:t>roce 2018 činily c</w:t>
      </w:r>
      <w:r w:rsidR="001B57B8" w:rsidRPr="004C7154">
        <w:rPr>
          <w:spacing w:val="-2"/>
          <w:szCs w:val="20"/>
        </w:rPr>
        <w:t>elkové náklady práce na jednoho zaměstnance v</w:t>
      </w:r>
      <w:r w:rsidR="001B57B8">
        <w:rPr>
          <w:spacing w:val="-2"/>
          <w:szCs w:val="20"/>
        </w:rPr>
        <w:t> </w:t>
      </w:r>
      <w:r w:rsidR="001B57B8" w:rsidRPr="004C7154">
        <w:rPr>
          <w:spacing w:val="-2"/>
          <w:szCs w:val="20"/>
        </w:rPr>
        <w:t>průmyslu</w:t>
      </w:r>
      <w:r w:rsidR="006E33D0">
        <w:rPr>
          <w:spacing w:val="-2"/>
          <w:szCs w:val="20"/>
        </w:rPr>
        <w:t xml:space="preserve"> </w:t>
      </w:r>
      <w:r w:rsidR="001B57B8" w:rsidRPr="004C7154">
        <w:rPr>
          <w:spacing w:val="-2"/>
          <w:szCs w:val="20"/>
        </w:rPr>
        <w:t>(p</w:t>
      </w:r>
      <w:r w:rsidR="001B57B8">
        <w:rPr>
          <w:spacing w:val="-2"/>
          <w:szCs w:val="20"/>
        </w:rPr>
        <w:t>o přepočtu na plné úvazky)</w:t>
      </w:r>
      <w:r w:rsidR="008A6B40">
        <w:rPr>
          <w:spacing w:val="-2"/>
          <w:szCs w:val="20"/>
        </w:rPr>
        <w:t xml:space="preserve"> ročně 541</w:t>
      </w:r>
      <w:r w:rsidR="006E33D0">
        <w:rPr>
          <w:spacing w:val="-2"/>
          <w:szCs w:val="20"/>
        </w:rPr>
        <w:t> tis.</w:t>
      </w:r>
      <w:r w:rsidR="001B57B8" w:rsidRPr="004C7154">
        <w:rPr>
          <w:spacing w:val="-2"/>
          <w:szCs w:val="20"/>
        </w:rPr>
        <w:t xml:space="preserve"> korun. To bylo </w:t>
      </w:r>
      <w:r w:rsidRPr="004C7154">
        <w:rPr>
          <w:spacing w:val="-2"/>
          <w:szCs w:val="20"/>
        </w:rPr>
        <w:t>o</w:t>
      </w:r>
      <w:r>
        <w:rPr>
          <w:spacing w:val="-2"/>
          <w:szCs w:val="20"/>
        </w:rPr>
        <w:t> </w:t>
      </w:r>
      <w:r w:rsidR="008A6B40">
        <w:rPr>
          <w:spacing w:val="-2"/>
          <w:szCs w:val="20"/>
        </w:rPr>
        <w:t>7,8</w:t>
      </w:r>
      <w:r w:rsidR="006E33D0">
        <w:rPr>
          <w:spacing w:val="-2"/>
          <w:szCs w:val="20"/>
        </w:rPr>
        <w:t> tis.</w:t>
      </w:r>
      <w:r w:rsidR="001B57B8" w:rsidRPr="004C7154">
        <w:rPr>
          <w:spacing w:val="-2"/>
          <w:szCs w:val="20"/>
        </w:rPr>
        <w:t xml:space="preserve"> korun více než v celé ekonomice.</w:t>
      </w:r>
      <w:r w:rsidR="001B57B8">
        <w:rPr>
          <w:spacing w:val="-2"/>
          <w:szCs w:val="20"/>
        </w:rPr>
        <w:t xml:space="preserve"> Pracovní náklady </w:t>
      </w:r>
      <w:r w:rsidR="001B57B8" w:rsidRPr="004C7154">
        <w:rPr>
          <w:spacing w:val="-2"/>
          <w:szCs w:val="20"/>
        </w:rPr>
        <w:t xml:space="preserve">v průmyslu </w:t>
      </w:r>
      <w:r w:rsidR="001B57B8">
        <w:rPr>
          <w:spacing w:val="-2"/>
          <w:szCs w:val="20"/>
        </w:rPr>
        <w:t xml:space="preserve">se meziročně </w:t>
      </w:r>
      <w:r w:rsidR="00577EE4">
        <w:rPr>
          <w:spacing w:val="-2"/>
          <w:szCs w:val="20"/>
        </w:rPr>
        <w:t xml:space="preserve">nominálně </w:t>
      </w:r>
      <w:r w:rsidR="001B57B8" w:rsidRPr="004C7154">
        <w:rPr>
          <w:spacing w:val="-2"/>
          <w:szCs w:val="20"/>
        </w:rPr>
        <w:t xml:space="preserve">zvýšily </w:t>
      </w:r>
      <w:r w:rsidR="008A6B40">
        <w:rPr>
          <w:spacing w:val="-2"/>
          <w:szCs w:val="20"/>
        </w:rPr>
        <w:t xml:space="preserve">téměř o </w:t>
      </w:r>
      <w:r w:rsidR="001B57B8" w:rsidRPr="004C7154">
        <w:rPr>
          <w:spacing w:val="-2"/>
          <w:szCs w:val="20"/>
        </w:rPr>
        <w:t>8</w:t>
      </w:r>
      <w:r w:rsidR="006E33D0">
        <w:rPr>
          <w:spacing w:val="-2"/>
          <w:szCs w:val="20"/>
        </w:rPr>
        <w:t> %</w:t>
      </w:r>
      <w:r w:rsidR="001B57B8" w:rsidRPr="004C7154">
        <w:rPr>
          <w:spacing w:val="-2"/>
          <w:szCs w:val="20"/>
        </w:rPr>
        <w:t>,</w:t>
      </w:r>
      <w:r w:rsidR="001B57B8">
        <w:rPr>
          <w:spacing w:val="-2"/>
          <w:szCs w:val="20"/>
        </w:rPr>
        <w:t xml:space="preserve"> jejich </w:t>
      </w:r>
      <w:r w:rsidR="00F01E16">
        <w:rPr>
          <w:spacing w:val="-2"/>
          <w:szCs w:val="20"/>
        </w:rPr>
        <w:t xml:space="preserve">růst </w:t>
      </w:r>
      <w:r w:rsidR="001B57B8">
        <w:rPr>
          <w:spacing w:val="-2"/>
          <w:szCs w:val="20"/>
        </w:rPr>
        <w:t xml:space="preserve">v poslední dekádě v roce </w:t>
      </w:r>
      <w:r w:rsidR="00F01E16">
        <w:rPr>
          <w:spacing w:val="-2"/>
          <w:szCs w:val="20"/>
        </w:rPr>
        <w:t>2018 kulminoval</w:t>
      </w:r>
      <w:r w:rsidR="001B57B8">
        <w:rPr>
          <w:spacing w:val="-2"/>
          <w:szCs w:val="20"/>
        </w:rPr>
        <w:t>.</w:t>
      </w:r>
    </w:p>
    <w:p w14:paraId="5B0012E2" w14:textId="4B78E329" w:rsidR="008D664D" w:rsidRPr="009346B6" w:rsidRDefault="001B57B8" w:rsidP="00E453F0">
      <w:pPr>
        <w:pStyle w:val="Normalodrka"/>
        <w:spacing w:after="160"/>
        <w:rPr>
          <w:spacing w:val="-4"/>
        </w:rPr>
      </w:pPr>
      <w:r w:rsidRPr="00710245">
        <w:rPr>
          <w:spacing w:val="-2"/>
          <w:szCs w:val="20"/>
        </w:rPr>
        <w:t xml:space="preserve">Podíl sociálních požitků </w:t>
      </w:r>
      <w:r w:rsidR="00307E77" w:rsidRPr="00710245">
        <w:rPr>
          <w:spacing w:val="-2"/>
          <w:szCs w:val="20"/>
        </w:rPr>
        <w:t>a</w:t>
      </w:r>
      <w:r w:rsidR="00307E77">
        <w:rPr>
          <w:spacing w:val="-2"/>
          <w:szCs w:val="20"/>
        </w:rPr>
        <w:t> </w:t>
      </w:r>
      <w:r w:rsidRPr="00710245">
        <w:rPr>
          <w:spacing w:val="-2"/>
          <w:szCs w:val="20"/>
        </w:rPr>
        <w:t>ostatních sociálních nákladů na celkových nákladech práce v průmysl</w:t>
      </w:r>
      <w:r>
        <w:rPr>
          <w:spacing w:val="-2"/>
          <w:szCs w:val="20"/>
        </w:rPr>
        <w:t xml:space="preserve">u </w:t>
      </w:r>
      <w:r w:rsidRPr="00710245">
        <w:rPr>
          <w:spacing w:val="-2"/>
          <w:szCs w:val="20"/>
        </w:rPr>
        <w:t xml:space="preserve">mezi roky </w:t>
      </w:r>
      <w:r w:rsidR="008E037D">
        <w:rPr>
          <w:spacing w:val="-2"/>
          <w:szCs w:val="20"/>
        </w:rPr>
        <w:t xml:space="preserve">2014 </w:t>
      </w:r>
      <w:r w:rsidR="00307E77">
        <w:rPr>
          <w:spacing w:val="-2"/>
          <w:szCs w:val="20"/>
        </w:rPr>
        <w:t>a </w:t>
      </w:r>
      <w:r w:rsidR="008E037D">
        <w:rPr>
          <w:spacing w:val="-2"/>
          <w:szCs w:val="20"/>
        </w:rPr>
        <w:t>2018 stagnoval (na 2,7</w:t>
      </w:r>
      <w:r w:rsidR="006E33D0">
        <w:rPr>
          <w:spacing w:val="-2"/>
          <w:szCs w:val="20"/>
        </w:rPr>
        <w:t> %</w:t>
      </w:r>
      <w:r w:rsidR="008E037D">
        <w:rPr>
          <w:spacing w:val="-2"/>
          <w:szCs w:val="20"/>
        </w:rPr>
        <w:t>). Šlo však</w:t>
      </w:r>
      <w:r w:rsidRPr="00710245">
        <w:rPr>
          <w:spacing w:val="-2"/>
          <w:szCs w:val="20"/>
        </w:rPr>
        <w:t xml:space="preserve"> </w:t>
      </w:r>
      <w:r w:rsidR="00307E77" w:rsidRPr="00710245">
        <w:rPr>
          <w:spacing w:val="-2"/>
          <w:szCs w:val="20"/>
        </w:rPr>
        <w:t>o</w:t>
      </w:r>
      <w:r w:rsidR="00307E77">
        <w:rPr>
          <w:spacing w:val="-2"/>
          <w:szCs w:val="20"/>
        </w:rPr>
        <w:t> </w:t>
      </w:r>
      <w:r w:rsidRPr="00710245">
        <w:rPr>
          <w:spacing w:val="-2"/>
          <w:szCs w:val="20"/>
        </w:rPr>
        <w:t>příznivější vývoj</w:t>
      </w:r>
      <w:r w:rsidR="008E037D">
        <w:rPr>
          <w:spacing w:val="-2"/>
          <w:szCs w:val="20"/>
        </w:rPr>
        <w:t xml:space="preserve"> než v celé ekonomice, kde obdobný</w:t>
      </w:r>
      <w:r w:rsidRPr="00710245">
        <w:rPr>
          <w:spacing w:val="-2"/>
          <w:szCs w:val="20"/>
        </w:rPr>
        <w:t xml:space="preserve"> podíl mírně klesl (</w:t>
      </w:r>
      <w:proofErr w:type="gramStart"/>
      <w:r w:rsidRPr="00710245">
        <w:rPr>
          <w:spacing w:val="-2"/>
          <w:szCs w:val="20"/>
        </w:rPr>
        <w:t>ze</w:t>
      </w:r>
      <w:proofErr w:type="gramEnd"/>
      <w:r w:rsidRPr="00710245">
        <w:rPr>
          <w:spacing w:val="-2"/>
          <w:szCs w:val="20"/>
        </w:rPr>
        <w:t xml:space="preserve"> 2,4</w:t>
      </w:r>
      <w:r w:rsidR="006E33D0">
        <w:rPr>
          <w:spacing w:val="-2"/>
          <w:szCs w:val="20"/>
        </w:rPr>
        <w:t> %</w:t>
      </w:r>
      <w:r w:rsidRPr="00710245">
        <w:rPr>
          <w:spacing w:val="-2"/>
          <w:szCs w:val="20"/>
        </w:rPr>
        <w:t xml:space="preserve"> na 2,1</w:t>
      </w:r>
      <w:r w:rsidR="006E33D0">
        <w:rPr>
          <w:spacing w:val="-2"/>
          <w:szCs w:val="20"/>
        </w:rPr>
        <w:t> %</w:t>
      </w:r>
      <w:r w:rsidRPr="00710245">
        <w:rPr>
          <w:spacing w:val="-2"/>
          <w:szCs w:val="20"/>
        </w:rPr>
        <w:t xml:space="preserve">). Váha těchto položek se v rámci průmyslu </w:t>
      </w:r>
      <w:r>
        <w:rPr>
          <w:spacing w:val="-2"/>
          <w:szCs w:val="20"/>
        </w:rPr>
        <w:t>výrazně lišila</w:t>
      </w:r>
      <w:r w:rsidRPr="00710245">
        <w:rPr>
          <w:spacing w:val="-2"/>
          <w:szCs w:val="20"/>
        </w:rPr>
        <w:t>. Zatímco ve zpracovatelském průmyslu činila v roce 2018 jen 2,5</w:t>
      </w:r>
      <w:r w:rsidR="006E33D0">
        <w:rPr>
          <w:spacing w:val="-2"/>
          <w:szCs w:val="20"/>
        </w:rPr>
        <w:t> %</w:t>
      </w:r>
      <w:r w:rsidRPr="00710245">
        <w:rPr>
          <w:spacing w:val="-2"/>
          <w:szCs w:val="20"/>
        </w:rPr>
        <w:t xml:space="preserve">, v těžbě </w:t>
      </w:r>
      <w:r>
        <w:rPr>
          <w:spacing w:val="-2"/>
          <w:szCs w:val="20"/>
        </w:rPr>
        <w:t>a</w:t>
      </w:r>
      <w:r w:rsidRPr="00710245">
        <w:rPr>
          <w:spacing w:val="-2"/>
          <w:szCs w:val="20"/>
        </w:rPr>
        <w:t> dobývání, stejně jako v energetice oscilovala kolem 5</w:t>
      </w:r>
      <w:r w:rsidR="006E33D0">
        <w:rPr>
          <w:spacing w:val="-2"/>
          <w:szCs w:val="20"/>
        </w:rPr>
        <w:t> %</w:t>
      </w:r>
      <w:r w:rsidRPr="00710245">
        <w:rPr>
          <w:spacing w:val="-2"/>
          <w:szCs w:val="20"/>
        </w:rPr>
        <w:t xml:space="preserve"> </w:t>
      </w:r>
      <w:r w:rsidR="00307E77" w:rsidRPr="00710245">
        <w:rPr>
          <w:spacing w:val="-2"/>
          <w:szCs w:val="20"/>
        </w:rPr>
        <w:t>a</w:t>
      </w:r>
      <w:r w:rsidR="00307E77">
        <w:rPr>
          <w:spacing w:val="-2"/>
          <w:szCs w:val="20"/>
        </w:rPr>
        <w:t> </w:t>
      </w:r>
      <w:r w:rsidRPr="00710245">
        <w:rPr>
          <w:spacing w:val="-2"/>
          <w:szCs w:val="20"/>
        </w:rPr>
        <w:t>dosahovala nejvyšších hodnot ze všech odvětví ekonomiky.</w:t>
      </w:r>
    </w:p>
    <w:p w14:paraId="678E7943" w14:textId="5C084A92" w:rsidR="00307E77" w:rsidRDefault="005B7E2B" w:rsidP="00CC1EF0">
      <w:pPr>
        <w:pStyle w:val="Normalodrka"/>
        <w:rPr>
          <w:spacing w:val="-2"/>
        </w:rPr>
      </w:pPr>
      <w:r w:rsidRPr="00FD034B">
        <w:rPr>
          <w:spacing w:val="-2"/>
        </w:rPr>
        <w:t xml:space="preserve">Hodinová produktivita práce v průmyslu vzrostla v roce 2019 reálně </w:t>
      </w:r>
      <w:r w:rsidR="00307E77" w:rsidRPr="00FD034B">
        <w:rPr>
          <w:spacing w:val="-2"/>
        </w:rPr>
        <w:t>o</w:t>
      </w:r>
      <w:r w:rsidR="00307E77">
        <w:rPr>
          <w:spacing w:val="-2"/>
        </w:rPr>
        <w:t> </w:t>
      </w:r>
      <w:r w:rsidRPr="00FD034B">
        <w:rPr>
          <w:spacing w:val="-2"/>
        </w:rPr>
        <w:t>2,9</w:t>
      </w:r>
      <w:r w:rsidR="006E33D0">
        <w:rPr>
          <w:spacing w:val="-2"/>
        </w:rPr>
        <w:t> %</w:t>
      </w:r>
      <w:r w:rsidRPr="00FD034B">
        <w:rPr>
          <w:spacing w:val="-2"/>
        </w:rPr>
        <w:t xml:space="preserve">, </w:t>
      </w:r>
      <w:r w:rsidR="006654F4" w:rsidRPr="00FD034B">
        <w:rPr>
          <w:spacing w:val="-2"/>
        </w:rPr>
        <w:t xml:space="preserve">zatímco </w:t>
      </w:r>
      <w:r w:rsidR="00FD034B">
        <w:rPr>
          <w:spacing w:val="-2"/>
        </w:rPr>
        <w:t>v celé ekonomice o</w:t>
      </w:r>
      <w:r w:rsidR="00FD034B" w:rsidRPr="00FD034B">
        <w:rPr>
          <w:spacing w:val="-2"/>
        </w:rPr>
        <w:t> </w:t>
      </w:r>
      <w:r w:rsidRPr="00FD034B">
        <w:rPr>
          <w:spacing w:val="-2"/>
        </w:rPr>
        <w:t>2</w:t>
      </w:r>
      <w:r w:rsidR="006654F4" w:rsidRPr="00FD034B">
        <w:rPr>
          <w:spacing w:val="-2"/>
        </w:rPr>
        <w:t>,0</w:t>
      </w:r>
      <w:r w:rsidR="00FD034B" w:rsidRPr="00FD034B">
        <w:rPr>
          <w:spacing w:val="-2"/>
        </w:rPr>
        <w:t> </w:t>
      </w:r>
      <w:r w:rsidRPr="00FD034B">
        <w:rPr>
          <w:spacing w:val="-2"/>
        </w:rPr>
        <w:t xml:space="preserve">%. </w:t>
      </w:r>
      <w:r w:rsidR="00874F6D" w:rsidRPr="00FD034B">
        <w:rPr>
          <w:spacing w:val="-2"/>
        </w:rPr>
        <w:t>Souhrnný růst za období 2010 až 2019 dosáhl v</w:t>
      </w:r>
      <w:r w:rsidR="00F727F2">
        <w:rPr>
          <w:spacing w:val="-2"/>
        </w:rPr>
        <w:t> </w:t>
      </w:r>
      <w:r w:rsidR="00874F6D" w:rsidRPr="00FD034B">
        <w:rPr>
          <w:spacing w:val="-2"/>
        </w:rPr>
        <w:t>průmysl</w:t>
      </w:r>
      <w:r w:rsidR="008E037D" w:rsidRPr="00FD034B">
        <w:rPr>
          <w:spacing w:val="-2"/>
        </w:rPr>
        <w:t>u</w:t>
      </w:r>
      <w:r w:rsidR="00F727F2">
        <w:rPr>
          <w:spacing w:val="-2"/>
        </w:rPr>
        <w:t xml:space="preserve"> 13 %</w:t>
      </w:r>
      <w:r w:rsidR="00874F6D" w:rsidRPr="00FD034B">
        <w:rPr>
          <w:spacing w:val="-2"/>
        </w:rPr>
        <w:t xml:space="preserve"> </w:t>
      </w:r>
      <w:r w:rsidR="00F727F2">
        <w:rPr>
          <w:spacing w:val="-2"/>
        </w:rPr>
        <w:t>v národním hospodářství</w:t>
      </w:r>
      <w:r w:rsidR="00874F6D" w:rsidRPr="00FD034B">
        <w:rPr>
          <w:spacing w:val="-2"/>
        </w:rPr>
        <w:t xml:space="preserve"> 16</w:t>
      </w:r>
      <w:r w:rsidR="006E33D0">
        <w:rPr>
          <w:spacing w:val="-2"/>
        </w:rPr>
        <w:t> %</w:t>
      </w:r>
      <w:r w:rsidR="00874F6D" w:rsidRPr="00FD034B">
        <w:rPr>
          <w:spacing w:val="-2"/>
        </w:rPr>
        <w:t xml:space="preserve">. </w:t>
      </w:r>
      <w:r w:rsidR="00CC1EF0" w:rsidRPr="00FD034B">
        <w:rPr>
          <w:spacing w:val="-2"/>
        </w:rPr>
        <w:t>Nominální produktivita práce v průmyslu se v poslední dekádě držela mírně nad úrovní celé ekonomiky. V</w:t>
      </w:r>
      <w:r w:rsidR="008E037D" w:rsidRPr="00FD034B">
        <w:rPr>
          <w:spacing w:val="-2"/>
        </w:rPr>
        <w:t> roce 2019 převyšovala</w:t>
      </w:r>
      <w:r w:rsidR="00CC1EF0" w:rsidRPr="00FD034B">
        <w:rPr>
          <w:spacing w:val="-2"/>
        </w:rPr>
        <w:t xml:space="preserve"> ho</w:t>
      </w:r>
      <w:r w:rsidR="008E037D" w:rsidRPr="00FD034B">
        <w:rPr>
          <w:spacing w:val="-2"/>
        </w:rPr>
        <w:t xml:space="preserve">dinová produktivita práce </w:t>
      </w:r>
      <w:r w:rsidR="00307E77" w:rsidRPr="00FD034B">
        <w:rPr>
          <w:spacing w:val="-2"/>
        </w:rPr>
        <w:t>v</w:t>
      </w:r>
      <w:r w:rsidR="00307E77">
        <w:rPr>
          <w:spacing w:val="-2"/>
        </w:rPr>
        <w:t> </w:t>
      </w:r>
      <w:r w:rsidR="008E037D" w:rsidRPr="00FD034B">
        <w:rPr>
          <w:spacing w:val="-2"/>
        </w:rPr>
        <w:t>energetice hladinu celé ekonom</w:t>
      </w:r>
      <w:r w:rsidR="00DD007F">
        <w:rPr>
          <w:spacing w:val="-2"/>
        </w:rPr>
        <w:t>i</w:t>
      </w:r>
      <w:r w:rsidR="008E037D" w:rsidRPr="00FD034B">
        <w:rPr>
          <w:spacing w:val="-2"/>
        </w:rPr>
        <w:t>ky</w:t>
      </w:r>
      <w:r w:rsidR="00846C80" w:rsidRPr="00FD034B">
        <w:rPr>
          <w:spacing w:val="-2"/>
        </w:rPr>
        <w:t xml:space="preserve"> téměř </w:t>
      </w:r>
      <w:bookmarkStart w:id="1" w:name="_GoBack"/>
      <w:bookmarkEnd w:id="1"/>
      <w:r w:rsidR="00846C80" w:rsidRPr="00FD034B">
        <w:rPr>
          <w:spacing w:val="-2"/>
        </w:rPr>
        <w:t>čtyřná</w:t>
      </w:r>
      <w:r w:rsidR="00CC1EF0" w:rsidRPr="00FD034B">
        <w:rPr>
          <w:spacing w:val="-2"/>
        </w:rPr>
        <w:t xml:space="preserve">sobně, v automobilovém průmyslu </w:t>
      </w:r>
      <w:r w:rsidR="00307E77" w:rsidRPr="00FD034B">
        <w:rPr>
          <w:spacing w:val="-2"/>
        </w:rPr>
        <w:t>o</w:t>
      </w:r>
      <w:r w:rsidR="00307E77">
        <w:rPr>
          <w:spacing w:val="-2"/>
        </w:rPr>
        <w:t> </w:t>
      </w:r>
      <w:r w:rsidR="00CC1EF0" w:rsidRPr="00FD034B">
        <w:rPr>
          <w:spacing w:val="-2"/>
        </w:rPr>
        <w:t>polovinu.</w:t>
      </w:r>
    </w:p>
    <w:p w14:paraId="5BC4E887" w14:textId="3B1E468C" w:rsidR="00F161E1" w:rsidRPr="009346B6" w:rsidRDefault="00044059" w:rsidP="00067A82">
      <w:pPr>
        <w:pStyle w:val="Normalodrka"/>
        <w:spacing w:after="160"/>
        <w:rPr>
          <w:spacing w:val="-4"/>
        </w:rPr>
      </w:pPr>
      <w:r>
        <w:rPr>
          <w:spacing w:val="-2"/>
          <w:szCs w:val="20"/>
        </w:rPr>
        <w:t xml:space="preserve">Průměrná </w:t>
      </w:r>
      <w:r w:rsidR="00D77ECD">
        <w:rPr>
          <w:spacing w:val="-2"/>
          <w:szCs w:val="20"/>
        </w:rPr>
        <w:t xml:space="preserve">hrubá </w:t>
      </w:r>
      <w:r>
        <w:rPr>
          <w:spacing w:val="-2"/>
          <w:szCs w:val="20"/>
        </w:rPr>
        <w:t xml:space="preserve">hodinová mzda </w:t>
      </w:r>
      <w:r w:rsidR="00D45C8F">
        <w:rPr>
          <w:spacing w:val="-2"/>
          <w:szCs w:val="20"/>
        </w:rPr>
        <w:t>zamě</w:t>
      </w:r>
      <w:r w:rsidR="00AA1DC6">
        <w:rPr>
          <w:spacing w:val="-2"/>
          <w:szCs w:val="20"/>
        </w:rPr>
        <w:t xml:space="preserve">stnance v průmyslu přepočtená dle </w:t>
      </w:r>
      <w:r w:rsidR="00AA1DC6" w:rsidRPr="00AA1DC6">
        <w:rPr>
          <w:spacing w:val="-2"/>
          <w:szCs w:val="20"/>
        </w:rPr>
        <w:t>standardu</w:t>
      </w:r>
      <w:r w:rsidR="00D45C8F" w:rsidRPr="00AA1DC6">
        <w:rPr>
          <w:spacing w:val="-2"/>
          <w:szCs w:val="20"/>
        </w:rPr>
        <w:t xml:space="preserve"> kupní síly</w:t>
      </w:r>
      <w:r w:rsidR="00D45C8F">
        <w:rPr>
          <w:spacing w:val="-2"/>
          <w:szCs w:val="20"/>
        </w:rPr>
        <w:t xml:space="preserve"> dosahovala v roce 2018 v tuzemsku hodnoty 9,</w:t>
      </w:r>
      <w:r w:rsidR="00307E77">
        <w:rPr>
          <w:spacing w:val="-2"/>
          <w:szCs w:val="20"/>
        </w:rPr>
        <w:t>8</w:t>
      </w:r>
      <w:r w:rsidR="00DD007F">
        <w:rPr>
          <w:spacing w:val="-2"/>
          <w:szCs w:val="20"/>
        </w:rPr>
        <w:t xml:space="preserve"> </w:t>
      </w:r>
      <w:r w:rsidR="00EC1470">
        <w:rPr>
          <w:spacing w:val="-2"/>
          <w:szCs w:val="20"/>
        </w:rPr>
        <w:t xml:space="preserve">PPS </w:t>
      </w:r>
      <w:r w:rsidR="00307E77">
        <w:rPr>
          <w:spacing w:val="-2"/>
          <w:szCs w:val="20"/>
        </w:rPr>
        <w:t>a </w:t>
      </w:r>
      <w:r w:rsidR="00D45C8F">
        <w:rPr>
          <w:spacing w:val="-2"/>
          <w:szCs w:val="20"/>
        </w:rPr>
        <w:t>řadila Česko do poslední třetiny států EU.</w:t>
      </w:r>
      <w:r w:rsidR="00DA7AB5">
        <w:rPr>
          <w:spacing w:val="-2"/>
          <w:szCs w:val="20"/>
        </w:rPr>
        <w:t xml:space="preserve"> Nejvyšší koupěschopností výdělků disponovali průmysloví zaměstnanc</w:t>
      </w:r>
      <w:r w:rsidR="00466CA7">
        <w:rPr>
          <w:spacing w:val="-2"/>
          <w:szCs w:val="20"/>
        </w:rPr>
        <w:t>i v Dánsku (23,9), Německu (21,7</w:t>
      </w:r>
      <w:r w:rsidR="00DA7AB5">
        <w:rPr>
          <w:spacing w:val="-2"/>
          <w:szCs w:val="20"/>
        </w:rPr>
        <w:t xml:space="preserve">) </w:t>
      </w:r>
      <w:r w:rsidR="00307E77">
        <w:rPr>
          <w:spacing w:val="-2"/>
          <w:szCs w:val="20"/>
        </w:rPr>
        <w:t>a </w:t>
      </w:r>
      <w:r w:rsidR="00DA7AB5">
        <w:rPr>
          <w:spacing w:val="-2"/>
          <w:szCs w:val="20"/>
        </w:rPr>
        <w:t xml:space="preserve">Belgii (18,8). Na opačné straně spektra figurovalo Bulharsko (5,8). </w:t>
      </w:r>
      <w:r w:rsidR="00C9571A">
        <w:rPr>
          <w:spacing w:val="-2"/>
          <w:szCs w:val="20"/>
        </w:rPr>
        <w:t>V roce 2018 činila mzdová koupěschopnost zaměstnanc</w:t>
      </w:r>
      <w:r w:rsidR="00B81025">
        <w:rPr>
          <w:spacing w:val="-2"/>
          <w:szCs w:val="20"/>
        </w:rPr>
        <w:t>ů průmyslu v Česku 45</w:t>
      </w:r>
      <w:r w:rsidR="006E33D0">
        <w:rPr>
          <w:spacing w:val="-2"/>
          <w:szCs w:val="20"/>
        </w:rPr>
        <w:t> %</w:t>
      </w:r>
      <w:r w:rsidR="00B81025">
        <w:rPr>
          <w:spacing w:val="-2"/>
          <w:szCs w:val="20"/>
        </w:rPr>
        <w:t xml:space="preserve"> úrovně n</w:t>
      </w:r>
      <w:r w:rsidR="00C9571A">
        <w:rPr>
          <w:spacing w:val="-2"/>
          <w:szCs w:val="20"/>
        </w:rPr>
        <w:t>ěmeckých mezd v </w:t>
      </w:r>
      <w:r w:rsidR="00466CA7">
        <w:rPr>
          <w:spacing w:val="-2"/>
          <w:szCs w:val="20"/>
        </w:rPr>
        <w:t>průmyslu, v roce 2006 to bylo 39</w:t>
      </w:r>
      <w:r w:rsidR="006E33D0">
        <w:rPr>
          <w:spacing w:val="-2"/>
          <w:szCs w:val="20"/>
        </w:rPr>
        <w:t> %</w:t>
      </w:r>
      <w:r w:rsidR="00C9571A">
        <w:rPr>
          <w:spacing w:val="-2"/>
          <w:szCs w:val="20"/>
        </w:rPr>
        <w:t>. K nejslabší konvergenci k německým mzdám došlo mezi novějšími členy Unie ve Slovinsku (</w:t>
      </w:r>
      <w:r w:rsidR="00DD007F">
        <w:rPr>
          <w:spacing w:val="-2"/>
          <w:szCs w:val="20"/>
        </w:rPr>
        <w:t xml:space="preserve">ze </w:t>
      </w:r>
      <w:r w:rsidR="00C9571A">
        <w:rPr>
          <w:spacing w:val="-2"/>
          <w:szCs w:val="20"/>
        </w:rPr>
        <w:t>47</w:t>
      </w:r>
      <w:r w:rsidR="006E33D0">
        <w:rPr>
          <w:spacing w:val="-2"/>
          <w:szCs w:val="20"/>
        </w:rPr>
        <w:t> %</w:t>
      </w:r>
      <w:r w:rsidR="00C9571A">
        <w:rPr>
          <w:spacing w:val="-2"/>
          <w:szCs w:val="20"/>
        </w:rPr>
        <w:t xml:space="preserve"> na 50</w:t>
      </w:r>
      <w:r w:rsidR="006E33D0">
        <w:rPr>
          <w:spacing w:val="-2"/>
          <w:szCs w:val="20"/>
        </w:rPr>
        <w:t> %</w:t>
      </w:r>
      <w:r w:rsidR="00C9571A">
        <w:rPr>
          <w:spacing w:val="-2"/>
          <w:szCs w:val="20"/>
        </w:rPr>
        <w:t xml:space="preserve">). Naproti tomu posun v Rumunsku byl </w:t>
      </w:r>
      <w:r w:rsidR="00B81025">
        <w:rPr>
          <w:spacing w:val="-2"/>
          <w:szCs w:val="20"/>
        </w:rPr>
        <w:t xml:space="preserve">ve stejném období </w:t>
      </w:r>
      <w:r w:rsidR="00C9571A">
        <w:rPr>
          <w:spacing w:val="-2"/>
          <w:szCs w:val="20"/>
        </w:rPr>
        <w:t>silný (ze 17</w:t>
      </w:r>
      <w:r w:rsidR="00994317">
        <w:rPr>
          <w:spacing w:val="-2"/>
          <w:szCs w:val="20"/>
        </w:rPr>
        <w:t> %</w:t>
      </w:r>
      <w:r w:rsidR="00C9571A">
        <w:rPr>
          <w:spacing w:val="-2"/>
          <w:szCs w:val="20"/>
        </w:rPr>
        <w:t xml:space="preserve"> na 38</w:t>
      </w:r>
      <w:r w:rsidR="006E33D0">
        <w:rPr>
          <w:spacing w:val="-2"/>
          <w:szCs w:val="20"/>
        </w:rPr>
        <w:t> %</w:t>
      </w:r>
      <w:r w:rsidR="00C9571A">
        <w:rPr>
          <w:spacing w:val="-2"/>
          <w:szCs w:val="20"/>
        </w:rPr>
        <w:t>).</w:t>
      </w:r>
      <w:r w:rsidR="00D77ECD">
        <w:rPr>
          <w:spacing w:val="-2"/>
          <w:szCs w:val="20"/>
        </w:rPr>
        <w:t xml:space="preserve"> Ve vztahu k průmyslu v celé EU27 činila v roce 2018 koupěschopnost tuzemských hodinových mezd 64 %.</w:t>
      </w:r>
    </w:p>
    <w:p w14:paraId="2C1969EC" w14:textId="77777777" w:rsidR="00C609C9" w:rsidRDefault="009346B6">
      <w:pPr>
        <w:spacing w:after="0" w:line="240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  <w:r>
        <w:rPr>
          <w:rFonts w:eastAsia="MS Gothic"/>
          <w:b/>
          <w:bCs/>
          <w:color w:val="71818C"/>
          <w:sz w:val="32"/>
          <w:szCs w:val="28"/>
        </w:rPr>
        <w:br w:type="page"/>
      </w:r>
    </w:p>
    <w:p w14:paraId="66014545" w14:textId="7F87BA54" w:rsidR="00921A5C" w:rsidRPr="006A5A11" w:rsidRDefault="00307E77" w:rsidP="00921A5C">
      <w:pPr>
        <w:pStyle w:val="Nadpis110"/>
      </w:pPr>
      <w:bookmarkStart w:id="2" w:name="_Toc57061286"/>
      <w:r>
        <w:lastRenderedPageBreak/>
        <w:t>2. </w:t>
      </w:r>
      <w:r w:rsidR="00921A5C" w:rsidRPr="006A5A11">
        <w:t xml:space="preserve">Role průmyslu </w:t>
      </w:r>
      <w:r w:rsidRPr="006A5A11">
        <w:t>v</w:t>
      </w:r>
      <w:r>
        <w:t> </w:t>
      </w:r>
      <w:r w:rsidR="00921A5C" w:rsidRPr="006A5A11">
        <w:t>ekonomice</w:t>
      </w:r>
      <w:bookmarkEnd w:id="2"/>
    </w:p>
    <w:tbl>
      <w:tblPr>
        <w:tblW w:w="964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2"/>
        <w:gridCol w:w="197"/>
        <w:gridCol w:w="7670"/>
      </w:tblGrid>
      <w:tr w:rsidR="00097078" w14:paraId="17495532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B4D4B" w14:textId="77777777" w:rsidR="00097078" w:rsidRDefault="00097078" w:rsidP="00044059">
            <w:pPr>
              <w:pStyle w:val="Marginlie"/>
            </w:pPr>
            <w:r>
              <w:t>Na roli průmyslu v ekonomice lze nazírat z různých hledisek.</w:t>
            </w:r>
          </w:p>
          <w:p w14:paraId="67611F4B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736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A63F5" w14:textId="6CA6F5B1" w:rsidR="00097078" w:rsidRDefault="00097078" w:rsidP="00044059">
            <w:pPr>
              <w:spacing w:after="220"/>
            </w:pPr>
            <w:r>
              <w:t>Průmysl</w:t>
            </w:r>
            <w:r>
              <w:rPr>
                <w:rStyle w:val="Znakapoznpodarou"/>
              </w:rPr>
              <w:footnoteReference w:id="1"/>
            </w:r>
            <w:r>
              <w:t xml:space="preserve"> představuje díky tradičně silnému ukotvení dlouhodobě nejvýznamnější segment tuzemské ekonom</w:t>
            </w:r>
            <w:r w:rsidR="00147081">
              <w:t>i</w:t>
            </w:r>
            <w:r>
              <w:t>ky. Tvoří páteř zahraničního obchodu ČR</w:t>
            </w:r>
            <w:r w:rsidR="00147081">
              <w:t>,</w:t>
            </w:r>
            <w:r>
              <w:t xml:space="preserve"> </w:t>
            </w:r>
            <w:r w:rsidR="00307E77">
              <w:t>a </w:t>
            </w:r>
            <w:r>
              <w:t>zprostředkovává tak nejvýznamnější hospodářské vazby zejména se státy EU. Plní funkci důležitého nositele</w:t>
            </w:r>
            <w:r w:rsidRPr="00F818C1">
              <w:t xml:space="preserve"> roz</w:t>
            </w:r>
            <w:r>
              <w:t xml:space="preserve">voje technologií, znalostí </w:t>
            </w:r>
            <w:r w:rsidR="00307E77">
              <w:t>i </w:t>
            </w:r>
            <w:r>
              <w:t xml:space="preserve">pracovních příležitostí </w:t>
            </w:r>
            <w:r w:rsidR="00307E77">
              <w:t>a </w:t>
            </w:r>
            <w:r>
              <w:t xml:space="preserve">zásadně tak přispívá </w:t>
            </w:r>
            <w:r w:rsidR="00147081">
              <w:t>k </w:t>
            </w:r>
            <w:r>
              <w:t xml:space="preserve">celkovému </w:t>
            </w:r>
            <w:r w:rsidR="00147081">
              <w:t xml:space="preserve">ekonomickému </w:t>
            </w:r>
            <w:r>
              <w:t xml:space="preserve">růstu. Význam průmyslu však překračuje úzce chápanou ekonomickou sféru. Vlivem své vysoké materiálové, resp. energetické náročnosti významně zasahuje </w:t>
            </w:r>
            <w:r w:rsidR="00307E77">
              <w:t>i </w:t>
            </w:r>
            <w:r>
              <w:t xml:space="preserve">do oblasti environmentální. Roli průmyslu v ekonomice lze posuzovat dle různých kritérií. Jedním z nejčastěji používaných, </w:t>
            </w:r>
            <w:r w:rsidR="00307E77">
              <w:t>a </w:t>
            </w:r>
            <w:r>
              <w:t>to nejen na národní úrovni, je podíl na zaměstnanosti či přidané hodnotě.</w:t>
            </w:r>
          </w:p>
        </w:tc>
      </w:tr>
      <w:tr w:rsidR="00097078" w14:paraId="5F4E4878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61290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30F61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1D9D3" w14:textId="4BD9D538" w:rsidR="00097078" w:rsidRPr="00741856" w:rsidRDefault="00097078" w:rsidP="00044059">
            <w:pPr>
              <w:spacing w:after="40"/>
              <w:jc w:val="left"/>
              <w:rPr>
                <w:b/>
              </w:rPr>
            </w:pPr>
            <w:r>
              <w:rPr>
                <w:b/>
              </w:rPr>
              <w:t>Graf</w:t>
            </w:r>
            <w:r w:rsidR="006E33D0">
              <w:rPr>
                <w:b/>
              </w:rPr>
              <w:t xml:space="preserve"> č. </w:t>
            </w:r>
            <w:r w:rsidR="00307E77">
              <w:rPr>
                <w:b/>
              </w:rPr>
              <w:t xml:space="preserve">1  </w:t>
            </w:r>
            <w:r>
              <w:rPr>
                <w:b/>
              </w:rPr>
              <w:t xml:space="preserve">Podíl průmyslu na všech odvětvích ekonomiky ČR z pohledu zaměstnanosti, objemu vyplacených mezd </w:t>
            </w:r>
            <w:r w:rsidR="00307E77">
              <w:rPr>
                <w:b/>
              </w:rPr>
              <w:t>a </w:t>
            </w:r>
            <w:r>
              <w:rPr>
                <w:b/>
              </w:rPr>
              <w:t xml:space="preserve">platů, hrubé přidané hodnoty a investic* </w:t>
            </w:r>
            <w:r w:rsidRPr="00C8155D">
              <w:t>(v</w:t>
            </w:r>
            <w:r w:rsidR="006E33D0">
              <w:t> %</w:t>
            </w:r>
            <w:r w:rsidRPr="00C8155D">
              <w:t>)</w:t>
            </w:r>
          </w:p>
        </w:tc>
      </w:tr>
      <w:tr w:rsidR="00097078" w14:paraId="7316E6D7" w14:textId="77777777" w:rsidTr="001B4422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F151C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9B421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0317A" w14:textId="77777777" w:rsidR="00097078" w:rsidRDefault="00097078" w:rsidP="00044059">
            <w:pPr>
              <w:spacing w:after="40"/>
            </w:pPr>
            <w:r>
              <w:rPr>
                <w:noProof/>
              </w:rPr>
              <w:drawing>
                <wp:inline distT="0" distB="0" distL="0" distR="0" wp14:anchorId="455F2E9A" wp14:editId="2D0D8979">
                  <wp:extent cx="4753842" cy="3343275"/>
                  <wp:effectExtent l="0" t="0" r="8890" b="0"/>
                  <wp:docPr id="1" name="Graf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097078" w14:paraId="570CC78C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2B7EC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6AF48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08C4" w14:textId="3BA89F3F" w:rsidR="00097078" w:rsidRDefault="00097078" w:rsidP="000440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*Investice jsou </w:t>
            </w:r>
            <w:r w:rsidR="00147081">
              <w:rPr>
                <w:sz w:val="16"/>
                <w:szCs w:val="16"/>
              </w:rPr>
              <w:t xml:space="preserve">chápány </w:t>
            </w:r>
            <w:r>
              <w:rPr>
                <w:sz w:val="16"/>
                <w:szCs w:val="16"/>
              </w:rPr>
              <w:t>v užším pojetí, tj.</w:t>
            </w:r>
            <w:r w:rsidR="0014708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jako tvorba hrubého fixního kapitálu.</w:t>
            </w:r>
          </w:p>
          <w:p w14:paraId="3070161B" w14:textId="77777777" w:rsidR="00097078" w:rsidRPr="00DE574B" w:rsidRDefault="00097078" w:rsidP="00044059">
            <w:pPr>
              <w:spacing w:after="220"/>
            </w:pPr>
            <w:r w:rsidRPr="00741856">
              <w:rPr>
                <w:sz w:val="16"/>
                <w:szCs w:val="16"/>
              </w:rPr>
              <w:t>Zdroj</w:t>
            </w:r>
            <w:r>
              <w:rPr>
                <w:sz w:val="16"/>
                <w:szCs w:val="16"/>
              </w:rPr>
              <w:t>: ČSÚ (národní účty)</w:t>
            </w:r>
          </w:p>
        </w:tc>
      </w:tr>
      <w:tr w:rsidR="00097078" w14:paraId="039677DA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0397A" w14:textId="7BA42FF6" w:rsidR="00097078" w:rsidRDefault="00097078" w:rsidP="00044059">
            <w:pPr>
              <w:pStyle w:val="Marginlie"/>
            </w:pPr>
            <w:r>
              <w:t>Průmysl vytvářel v roce 2019 necelých 42</w:t>
            </w:r>
            <w:r w:rsidR="006E33D0">
              <w:t xml:space="preserve"> % </w:t>
            </w:r>
            <w:r>
              <w:t>produkce celé ekonomiky, v případě přidaného hodnoty se podíl nacházel mírně pod 30</w:t>
            </w:r>
            <w:r w:rsidR="006E33D0">
              <w:t> %</w:t>
            </w:r>
            <w:r>
              <w:t>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9BB36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FE1CE" w14:textId="0FEACCEE" w:rsidR="00097078" w:rsidRPr="00291534" w:rsidRDefault="00097078" w:rsidP="00044059">
            <w:pPr>
              <w:spacing w:after="220"/>
              <w:rPr>
                <w:spacing w:val="-2"/>
                <w:szCs w:val="20"/>
              </w:rPr>
            </w:pPr>
            <w:r w:rsidRPr="00291534">
              <w:rPr>
                <w:spacing w:val="-2"/>
                <w:szCs w:val="20"/>
              </w:rPr>
              <w:t>Celková hodnota produkce</w:t>
            </w:r>
            <w:r w:rsidRPr="00291534">
              <w:rPr>
                <w:rStyle w:val="Znakapoznpodarou"/>
                <w:spacing w:val="-2"/>
              </w:rPr>
              <w:footnoteReference w:id="2"/>
            </w:r>
            <w:r w:rsidRPr="00291534">
              <w:rPr>
                <w:spacing w:val="-2"/>
                <w:szCs w:val="20"/>
              </w:rPr>
              <w:t xml:space="preserve"> průmyslu dosáhla v roce 2019 v běžných cenách 5 370</w:t>
            </w:r>
            <w:r w:rsidR="006E33D0">
              <w:rPr>
                <w:spacing w:val="-2"/>
                <w:szCs w:val="20"/>
              </w:rPr>
              <w:t> mld.</w:t>
            </w:r>
            <w:r w:rsidRPr="00291534">
              <w:rPr>
                <w:spacing w:val="-2"/>
                <w:szCs w:val="20"/>
              </w:rPr>
              <w:t xml:space="preserve"> korun. Na úhrnné produkci národního hospodářství se </w:t>
            </w:r>
            <w:r w:rsidR="00147081">
              <w:rPr>
                <w:spacing w:val="-2"/>
                <w:szCs w:val="20"/>
              </w:rPr>
              <w:t xml:space="preserve">průmysl </w:t>
            </w:r>
            <w:r w:rsidRPr="00291534">
              <w:rPr>
                <w:spacing w:val="-2"/>
                <w:szCs w:val="20"/>
              </w:rPr>
              <w:t>podílel 41,7</w:t>
            </w:r>
            <w:r w:rsidR="006E33D0">
              <w:rPr>
                <w:spacing w:val="-2"/>
                <w:szCs w:val="20"/>
              </w:rPr>
              <w:t> %</w:t>
            </w:r>
            <w:r w:rsidRPr="00291534">
              <w:rPr>
                <w:spacing w:val="-2"/>
                <w:szCs w:val="20"/>
              </w:rPr>
              <w:t>. Šlo</w:t>
            </w:r>
            <w:r w:rsidR="00147081">
              <w:rPr>
                <w:spacing w:val="-2"/>
                <w:szCs w:val="20"/>
              </w:rPr>
              <w:t xml:space="preserve"> </w:t>
            </w:r>
            <w:r w:rsidRPr="00291534">
              <w:rPr>
                <w:spacing w:val="-2"/>
                <w:szCs w:val="20"/>
              </w:rPr>
              <w:t>fakticky o obdobnou hodnotu jako v prvním roce existence samostatné ČR. V uplynulém čtvrtstoletí váha průmyslu kolísala mezi extrémy akcentujícími důležité zlomy v hospodářském cyklu (39,3</w:t>
            </w:r>
            <w:r w:rsidR="006E33D0">
              <w:rPr>
                <w:spacing w:val="-2"/>
                <w:szCs w:val="20"/>
              </w:rPr>
              <w:t> %</w:t>
            </w:r>
            <w:r w:rsidRPr="00291534">
              <w:rPr>
                <w:spacing w:val="-2"/>
                <w:szCs w:val="20"/>
              </w:rPr>
              <w:t xml:space="preserve"> </w:t>
            </w:r>
            <w:r w:rsidR="00307E77" w:rsidRPr="00291534">
              <w:rPr>
                <w:spacing w:val="-2"/>
                <w:szCs w:val="20"/>
              </w:rPr>
              <w:t>v</w:t>
            </w:r>
            <w:r w:rsidR="00307E77">
              <w:rPr>
                <w:spacing w:val="-2"/>
                <w:szCs w:val="20"/>
              </w:rPr>
              <w:t> </w:t>
            </w:r>
            <w:r w:rsidRPr="00291534">
              <w:rPr>
                <w:spacing w:val="-2"/>
                <w:szCs w:val="20"/>
              </w:rPr>
              <w:t>roce 2009, resp. 44,5</w:t>
            </w:r>
            <w:r w:rsidR="006E33D0">
              <w:rPr>
                <w:spacing w:val="-2"/>
                <w:szCs w:val="20"/>
              </w:rPr>
              <w:t> %</w:t>
            </w:r>
            <w:r w:rsidRPr="00291534">
              <w:rPr>
                <w:spacing w:val="-2"/>
                <w:szCs w:val="20"/>
              </w:rPr>
              <w:t xml:space="preserve"> </w:t>
            </w:r>
            <w:r w:rsidR="00307E77" w:rsidRPr="00291534">
              <w:rPr>
                <w:spacing w:val="-2"/>
                <w:szCs w:val="20"/>
              </w:rPr>
              <w:t>v</w:t>
            </w:r>
            <w:r w:rsidR="00307E77">
              <w:rPr>
                <w:spacing w:val="-2"/>
                <w:szCs w:val="20"/>
              </w:rPr>
              <w:t> </w:t>
            </w:r>
            <w:r w:rsidRPr="00291534">
              <w:rPr>
                <w:spacing w:val="-2"/>
                <w:szCs w:val="20"/>
              </w:rPr>
              <w:t>roce 2014). Význam průmyslu lze posuzovat rovněž z pohledu přidané hodnoty. V tomto ohledu je váha t</w:t>
            </w:r>
            <w:r>
              <w:rPr>
                <w:spacing w:val="-2"/>
                <w:szCs w:val="20"/>
              </w:rPr>
              <w:t>uzemského průmyslu dlouhodobě o</w:t>
            </w:r>
            <w:r w:rsidRPr="00291534">
              <w:rPr>
                <w:spacing w:val="-2"/>
                <w:szCs w:val="20"/>
              </w:rPr>
              <w:t> více než 10</w:t>
            </w:r>
            <w:r w:rsidR="006E33D0">
              <w:rPr>
                <w:spacing w:val="-2"/>
                <w:szCs w:val="20"/>
              </w:rPr>
              <w:t> p. b.</w:t>
            </w:r>
            <w:r w:rsidRPr="00291534">
              <w:rPr>
                <w:spacing w:val="-2"/>
                <w:szCs w:val="20"/>
              </w:rPr>
              <w:t xml:space="preserve"> </w:t>
            </w:r>
            <w:proofErr w:type="gramStart"/>
            <w:r w:rsidRPr="00291534">
              <w:rPr>
                <w:spacing w:val="-2"/>
                <w:szCs w:val="20"/>
              </w:rPr>
              <w:t>nižší</w:t>
            </w:r>
            <w:proofErr w:type="gramEnd"/>
            <w:r w:rsidRPr="00291534">
              <w:rPr>
                <w:spacing w:val="-2"/>
                <w:szCs w:val="20"/>
              </w:rPr>
              <w:t xml:space="preserve"> nežli </w:t>
            </w:r>
            <w:r w:rsidR="00C25E4B">
              <w:rPr>
                <w:spacing w:val="-2"/>
                <w:szCs w:val="20"/>
              </w:rPr>
              <w:t>v </w:t>
            </w:r>
            <w:r w:rsidRPr="00291534">
              <w:rPr>
                <w:spacing w:val="-2"/>
                <w:szCs w:val="20"/>
              </w:rPr>
              <w:t xml:space="preserve">případě ukazatele produkce. Je tomu tak zejména proto, že průmysl ve srovnání s ostatními odvětvími ekonomiky tradičně vykazuje vyšší podíl </w:t>
            </w:r>
            <w:proofErr w:type="spellStart"/>
            <w:r w:rsidRPr="00291534">
              <w:rPr>
                <w:spacing w:val="-2"/>
                <w:szCs w:val="20"/>
              </w:rPr>
              <w:t>mezispotřeby</w:t>
            </w:r>
            <w:proofErr w:type="spellEnd"/>
            <w:r w:rsidRPr="00291534">
              <w:rPr>
                <w:spacing w:val="-2"/>
                <w:szCs w:val="20"/>
              </w:rPr>
              <w:t xml:space="preserve"> na celkové produkci</w:t>
            </w:r>
            <w:r w:rsidRPr="00291534">
              <w:rPr>
                <w:rStyle w:val="Znakapoznpodarou"/>
                <w:spacing w:val="-2"/>
              </w:rPr>
              <w:footnoteReference w:id="3"/>
            </w:r>
            <w:r w:rsidRPr="00291534">
              <w:rPr>
                <w:spacing w:val="-2"/>
                <w:szCs w:val="20"/>
              </w:rPr>
              <w:t xml:space="preserve">, což souvisí </w:t>
            </w:r>
            <w:r w:rsidR="00C25E4B">
              <w:rPr>
                <w:spacing w:val="-2"/>
                <w:szCs w:val="20"/>
              </w:rPr>
              <w:t>mimo jiné</w:t>
            </w:r>
            <w:r w:rsidRPr="00291534">
              <w:rPr>
                <w:spacing w:val="-2"/>
                <w:szCs w:val="20"/>
              </w:rPr>
              <w:t xml:space="preserve"> </w:t>
            </w:r>
            <w:r w:rsidR="00307E77" w:rsidRPr="00291534">
              <w:rPr>
                <w:spacing w:val="-2"/>
                <w:szCs w:val="20"/>
              </w:rPr>
              <w:t>s</w:t>
            </w:r>
            <w:r w:rsidR="00307E77">
              <w:rPr>
                <w:spacing w:val="-2"/>
                <w:szCs w:val="20"/>
              </w:rPr>
              <w:t> </w:t>
            </w:r>
            <w:r w:rsidRPr="00291534">
              <w:rPr>
                <w:spacing w:val="-2"/>
                <w:szCs w:val="20"/>
              </w:rPr>
              <w:t xml:space="preserve">vyšší </w:t>
            </w:r>
            <w:r w:rsidR="00343A8A" w:rsidRPr="00291534">
              <w:rPr>
                <w:spacing w:val="-2"/>
                <w:szCs w:val="20"/>
              </w:rPr>
              <w:t>materiál</w:t>
            </w:r>
            <w:r w:rsidR="00343A8A">
              <w:rPr>
                <w:spacing w:val="-2"/>
                <w:szCs w:val="20"/>
              </w:rPr>
              <w:t>ovou</w:t>
            </w:r>
            <w:r w:rsidR="00343A8A" w:rsidRPr="00291534">
              <w:rPr>
                <w:spacing w:val="-2"/>
                <w:szCs w:val="20"/>
              </w:rPr>
              <w:t xml:space="preserve"> </w:t>
            </w:r>
            <w:r w:rsidR="00307E77" w:rsidRPr="00291534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Pr="00291534">
              <w:rPr>
                <w:spacing w:val="-2"/>
                <w:szCs w:val="20"/>
              </w:rPr>
              <w:t xml:space="preserve">energetickou náročností řady průmyslových oborů (např. chemie, </w:t>
            </w:r>
            <w:r w:rsidRPr="00291534">
              <w:rPr>
                <w:spacing w:val="-2"/>
                <w:szCs w:val="20"/>
              </w:rPr>
              <w:lastRenderedPageBreak/>
              <w:t>petrochemie, hutnictví</w:t>
            </w:r>
            <w:r>
              <w:rPr>
                <w:spacing w:val="-2"/>
                <w:szCs w:val="20"/>
              </w:rPr>
              <w:t xml:space="preserve">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>slévárenství, potravinářství), ale rovněž s</w:t>
            </w:r>
            <w:r w:rsidRPr="00291534">
              <w:rPr>
                <w:spacing w:val="-2"/>
                <w:szCs w:val="20"/>
              </w:rPr>
              <w:t xml:space="preserve"> náročností z hlediska pracovních nákladů (výroba dopravních prostředků). Na rozdíl od produkce lze </w:t>
            </w:r>
            <w:r w:rsidR="00307E77" w:rsidRPr="00291534">
              <w:rPr>
                <w:spacing w:val="-2"/>
                <w:szCs w:val="20"/>
              </w:rPr>
              <w:t>u</w:t>
            </w:r>
            <w:r w:rsidR="00307E77">
              <w:rPr>
                <w:spacing w:val="-2"/>
                <w:szCs w:val="20"/>
              </w:rPr>
              <w:t> </w:t>
            </w:r>
            <w:r w:rsidRPr="00291534">
              <w:rPr>
                <w:spacing w:val="-2"/>
                <w:szCs w:val="20"/>
              </w:rPr>
              <w:t>přidané hodnoty pozorovat velmi mírně sestupný trend role průmyslu v</w:t>
            </w:r>
            <w:r w:rsidR="00C25E4B">
              <w:rPr>
                <w:spacing w:val="-2"/>
                <w:szCs w:val="20"/>
              </w:rPr>
              <w:t> </w:t>
            </w:r>
            <w:r w:rsidRPr="00291534">
              <w:rPr>
                <w:spacing w:val="-2"/>
                <w:szCs w:val="20"/>
              </w:rPr>
              <w:t>ekonomice</w:t>
            </w:r>
            <w:r w:rsidR="00C25E4B">
              <w:rPr>
                <w:spacing w:val="-2"/>
                <w:szCs w:val="20"/>
              </w:rPr>
              <w:t>,</w:t>
            </w:r>
            <w:r w:rsidRPr="00291534">
              <w:rPr>
                <w:spacing w:val="-2"/>
                <w:szCs w:val="20"/>
              </w:rPr>
              <w:t xml:space="preserve"> patrný např. v posledních čtyřech letech (podíl průmyslu </w:t>
            </w:r>
            <w:r w:rsidRPr="003D0492">
              <w:rPr>
                <w:spacing w:val="-3"/>
                <w:szCs w:val="20"/>
              </w:rPr>
              <w:t>na celkové HPH sestoupil v roce 2019 k 29</w:t>
            </w:r>
            <w:r w:rsidR="006E33D0">
              <w:rPr>
                <w:spacing w:val="-3"/>
                <w:szCs w:val="20"/>
              </w:rPr>
              <w:t> %</w:t>
            </w:r>
            <w:r w:rsidRPr="003D0492">
              <w:rPr>
                <w:spacing w:val="-3"/>
                <w:szCs w:val="20"/>
              </w:rPr>
              <w:t>, zatímco v roce 2015 dosahoval téměř 32</w:t>
            </w:r>
            <w:r w:rsidR="006E33D0">
              <w:rPr>
                <w:spacing w:val="-3"/>
                <w:szCs w:val="20"/>
              </w:rPr>
              <w:t> %</w:t>
            </w:r>
            <w:r w:rsidRPr="003D0492">
              <w:rPr>
                <w:spacing w:val="-3"/>
                <w:szCs w:val="20"/>
              </w:rPr>
              <w:t xml:space="preserve">). </w:t>
            </w:r>
          </w:p>
        </w:tc>
      </w:tr>
      <w:tr w:rsidR="00097078" w14:paraId="2195DAF9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09BC5" w14:textId="376B7AEA" w:rsidR="00097078" w:rsidRDefault="00097078" w:rsidP="00044059">
            <w:pPr>
              <w:pStyle w:val="Marginlie"/>
            </w:pPr>
            <w:r>
              <w:lastRenderedPageBreak/>
              <w:t>Průmysl soustřeďoval 28,5</w:t>
            </w:r>
            <w:r w:rsidR="006E33D0">
              <w:t> %</w:t>
            </w:r>
            <w:r>
              <w:t xml:space="preserve"> pracovníků z celé ekonomiky, u zaměstnaneckého segmentu šlo </w:t>
            </w:r>
            <w:r w:rsidR="00307E77">
              <w:t>o </w:t>
            </w:r>
            <w:r>
              <w:t>30,4</w:t>
            </w:r>
            <w:r w:rsidR="006E33D0">
              <w:t> %</w:t>
            </w:r>
            <w:r>
              <w:t>.</w:t>
            </w:r>
          </w:p>
          <w:p w14:paraId="66E4A988" w14:textId="77777777" w:rsidR="00097078" w:rsidRDefault="00097078" w:rsidP="00044059">
            <w:pPr>
              <w:pStyle w:val="Marginlie"/>
            </w:pPr>
          </w:p>
          <w:p w14:paraId="6D48C5DB" w14:textId="77777777" w:rsidR="00097078" w:rsidRDefault="00097078" w:rsidP="00044059">
            <w:pPr>
              <w:pStyle w:val="Marginlie"/>
            </w:pPr>
          </w:p>
          <w:p w14:paraId="1BDB61A4" w14:textId="77777777" w:rsidR="00097078" w:rsidRDefault="00097078" w:rsidP="00044059">
            <w:pPr>
              <w:pStyle w:val="Marginlie"/>
            </w:pPr>
          </w:p>
          <w:p w14:paraId="4A3D8674" w14:textId="77777777" w:rsidR="00097078" w:rsidRDefault="00097078" w:rsidP="00044059">
            <w:pPr>
              <w:pStyle w:val="Marginlie"/>
            </w:pPr>
          </w:p>
          <w:p w14:paraId="355BDA9F" w14:textId="77777777" w:rsidR="00097078" w:rsidRDefault="00097078" w:rsidP="00044059">
            <w:pPr>
              <w:pStyle w:val="Marginlie"/>
            </w:pPr>
            <w:r>
              <w:t>Po většinu poslední dekády váha průmyslu na celkové zaměstnanosti mírně rostla</w:t>
            </w:r>
          </w:p>
          <w:p w14:paraId="1FDECE5F" w14:textId="6B318902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FC65D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9ABF0" w14:textId="3C96DDE5" w:rsidR="00097078" w:rsidRPr="002A19ED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 xml:space="preserve">Vzhledem k výše uvedenému není překvapivé, že průmysl plní roli jednoho ze stěžejních zaměstnavatelů v celé ekonomice. Přestože v Česku koncentruje v současnosti ve </w:t>
            </w:r>
            <w:r w:rsidR="00EC1470">
              <w:rPr>
                <w:szCs w:val="20"/>
              </w:rPr>
              <w:t>srovnání s terciárním</w:t>
            </w:r>
            <w:r>
              <w:rPr>
                <w:szCs w:val="20"/>
              </w:rPr>
              <w:t xml:space="preserve"> sektorem služeb ani ne polovinu pracovníků, má oproti nim výhodu v poměrně rovnoměrném rozmístění pracovních míst. Zejména v některých vyspělých segmentech tržních služeb (např. IT, finančnictví, profesní</w:t>
            </w:r>
            <w:r w:rsidR="0062148D">
              <w:rPr>
                <w:szCs w:val="20"/>
              </w:rPr>
              <w:t>,</w:t>
            </w:r>
            <w:r>
              <w:rPr>
                <w:szCs w:val="20"/>
              </w:rPr>
              <w:t xml:space="preserve"> vědecké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 xml:space="preserve">technické činnosti) je totiž pracovní síla tradičně soustředěna převážně v oblasti největších městských aglomerací. Celkem bylo v roce 2019 </w:t>
            </w:r>
            <w:r w:rsidR="00307E77">
              <w:rPr>
                <w:szCs w:val="20"/>
              </w:rPr>
              <w:t>v </w:t>
            </w:r>
            <w:r>
              <w:rPr>
                <w:szCs w:val="20"/>
              </w:rPr>
              <w:t>průmyslu zaměstnáno 1 517</w:t>
            </w:r>
            <w:r w:rsidR="006E33D0">
              <w:rPr>
                <w:szCs w:val="20"/>
              </w:rPr>
              <w:t> tis.</w:t>
            </w:r>
            <w:r>
              <w:rPr>
                <w:szCs w:val="20"/>
              </w:rPr>
              <w:t xml:space="preserve"> osob</w:t>
            </w:r>
            <w:r>
              <w:rPr>
                <w:rStyle w:val="Znakapoznpodarou"/>
              </w:rPr>
              <w:footnoteReference w:id="4"/>
            </w:r>
            <w:r>
              <w:rPr>
                <w:szCs w:val="20"/>
              </w:rPr>
              <w:t>, což tvořilo 28,5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z celého národního hospodářství. Zatímco za poslední dekádu váha průmyslu celkově mírně rostla, v předešlých dvou desetiletích docházelo zejména vlivem transformačních změn k jeho mírnému relativnímu oslabování. Vedle významných odvětvových posunů se </w:t>
            </w:r>
            <w:r w:rsidR="00307E77">
              <w:rPr>
                <w:szCs w:val="20"/>
              </w:rPr>
              <w:t>v </w:t>
            </w:r>
            <w:r>
              <w:rPr>
                <w:szCs w:val="20"/>
              </w:rPr>
              <w:t xml:space="preserve">tomto období rovněž měnil poměr mezi počtem zaměstnanců </w:t>
            </w:r>
            <w:r w:rsidR="00307E77">
              <w:rPr>
                <w:szCs w:val="20"/>
              </w:rPr>
              <w:t>a </w:t>
            </w:r>
            <w:proofErr w:type="spellStart"/>
            <w:r>
              <w:rPr>
                <w:szCs w:val="20"/>
              </w:rPr>
              <w:t>sebezaměstnaných</w:t>
            </w:r>
            <w:proofErr w:type="spellEnd"/>
            <w:r>
              <w:rPr>
                <w:szCs w:val="20"/>
              </w:rPr>
              <w:t xml:space="preserve"> (pokles počtu zaměstnanců byl zpravidla jen částečně kompenzován rozvojem drobného podnikání). Navzdory tomu, že podíl </w:t>
            </w:r>
            <w:proofErr w:type="spellStart"/>
            <w:r>
              <w:rPr>
                <w:szCs w:val="20"/>
              </w:rPr>
              <w:t>sebezaměstnaných</w:t>
            </w:r>
            <w:proofErr w:type="spellEnd"/>
            <w:r>
              <w:rPr>
                <w:szCs w:val="20"/>
              </w:rPr>
              <w:t xml:space="preserve"> dlouhodobě narůstal, tvořila tato</w:t>
            </w:r>
            <w:r w:rsidR="0062148D">
              <w:rPr>
                <w:szCs w:val="20"/>
              </w:rPr>
              <w:t xml:space="preserve"> skupina</w:t>
            </w:r>
            <w:r>
              <w:rPr>
                <w:szCs w:val="20"/>
              </w:rPr>
              <w:t xml:space="preserve"> v roce 2019 pouze 8,0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všech pracovníků průmyslu</w:t>
            </w:r>
            <w:r w:rsidR="0062148D">
              <w:rPr>
                <w:szCs w:val="20"/>
              </w:rPr>
              <w:t> </w:t>
            </w:r>
            <w:r>
              <w:rPr>
                <w:szCs w:val="20"/>
              </w:rPr>
              <w:t xml:space="preserve">– téměř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 xml:space="preserve">polovinu méně než </w:t>
            </w:r>
            <w:r w:rsidR="00307E77">
              <w:rPr>
                <w:szCs w:val="20"/>
              </w:rPr>
              <w:t>v </w:t>
            </w:r>
            <w:r>
              <w:rPr>
                <w:szCs w:val="20"/>
              </w:rPr>
              <w:t>celé ekonomice (13,9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). Není tedy překvapivé, že váha průmyslu v ekonomice je zvýrazněna právě v počtu zaměstnanců (30,4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</w:t>
            </w:r>
            <w:r w:rsidR="00307E77">
              <w:rPr>
                <w:szCs w:val="20"/>
              </w:rPr>
              <w:t>v </w:t>
            </w:r>
            <w:r>
              <w:rPr>
                <w:szCs w:val="20"/>
              </w:rPr>
              <w:t>roce 2019).</w:t>
            </w:r>
          </w:p>
        </w:tc>
      </w:tr>
      <w:tr w:rsidR="00097078" w14:paraId="4523AEBA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E528F" w14:textId="4BD20CDA" w:rsidR="00097078" w:rsidRDefault="00097078" w:rsidP="00044059">
            <w:pPr>
              <w:pStyle w:val="Marginlie"/>
            </w:pPr>
            <w:r>
              <w:t xml:space="preserve">Průměrná výše mezd v průmyslu se pohybovala mírně pod úrovní celé ekonomiky. </w:t>
            </w:r>
            <w:r w:rsidR="00642FB8">
              <w:t xml:space="preserve">Obdobně to </w:t>
            </w:r>
            <w:r>
              <w:t xml:space="preserve">platilo v posledních dvou letech </w:t>
            </w:r>
            <w:r w:rsidR="00307E77">
              <w:t>i </w:t>
            </w:r>
            <w:r>
              <w:t>pro mzdovou dynamiku.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1F21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15AC3" w14:textId="75D3F46B" w:rsidR="00097078" w:rsidRDefault="00307E77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>V </w:t>
            </w:r>
            <w:r w:rsidR="00097078">
              <w:rPr>
                <w:szCs w:val="20"/>
              </w:rPr>
              <w:t>roce 2019 připadalo na průmysl 29,7</w:t>
            </w:r>
            <w:r w:rsidR="006E33D0">
              <w:rPr>
                <w:szCs w:val="20"/>
              </w:rPr>
              <w:t> %</w:t>
            </w:r>
            <w:r w:rsidR="00097078">
              <w:rPr>
                <w:szCs w:val="20"/>
              </w:rPr>
              <w:t xml:space="preserve"> objemu mezd </w:t>
            </w:r>
            <w:r>
              <w:rPr>
                <w:szCs w:val="20"/>
              </w:rPr>
              <w:t>a </w:t>
            </w:r>
            <w:r w:rsidR="00097078">
              <w:rPr>
                <w:szCs w:val="20"/>
              </w:rPr>
              <w:t>platů</w:t>
            </w:r>
            <w:r w:rsidR="00097078">
              <w:rPr>
                <w:rStyle w:val="Znakapoznpodarou"/>
              </w:rPr>
              <w:footnoteReference w:id="5"/>
            </w:r>
            <w:r w:rsidR="00097078">
              <w:rPr>
                <w:szCs w:val="20"/>
              </w:rPr>
              <w:t xml:space="preserve"> vyplacených v celém národním hospodářství</w:t>
            </w:r>
            <w:r w:rsidR="00642FB8">
              <w:rPr>
                <w:szCs w:val="20"/>
              </w:rPr>
              <w:t>,</w:t>
            </w:r>
            <w:r w:rsidR="00097078">
              <w:rPr>
                <w:szCs w:val="20"/>
              </w:rPr>
              <w:t xml:space="preserve"> </w:t>
            </w:r>
            <w:r>
              <w:rPr>
                <w:szCs w:val="20"/>
              </w:rPr>
              <w:t>a </w:t>
            </w:r>
            <w:r w:rsidR="00097078">
              <w:rPr>
                <w:szCs w:val="20"/>
              </w:rPr>
              <w:t xml:space="preserve">šlo tedy </w:t>
            </w:r>
            <w:r>
              <w:rPr>
                <w:szCs w:val="20"/>
              </w:rPr>
              <w:t>o </w:t>
            </w:r>
            <w:r w:rsidR="00097078">
              <w:rPr>
                <w:szCs w:val="20"/>
              </w:rPr>
              <w:t>nepatrně nižší podíl než v případě počtu samotných zaměstnanců. Tento vztah platí v historii samostatné ČR dlouhodobě, pouze v </w:t>
            </w:r>
            <w:r w:rsidR="00642FB8">
              <w:rPr>
                <w:szCs w:val="20"/>
              </w:rPr>
              <w:t>letech</w:t>
            </w:r>
            <w:r w:rsidR="00097078">
              <w:rPr>
                <w:szCs w:val="20"/>
              </w:rPr>
              <w:t xml:space="preserve"> 2011 až 2017 byly váhy počtu zaměstnanců </w:t>
            </w:r>
            <w:r>
              <w:rPr>
                <w:szCs w:val="20"/>
              </w:rPr>
              <w:t>s </w:t>
            </w:r>
            <w:r w:rsidR="00097078">
              <w:rPr>
                <w:szCs w:val="20"/>
              </w:rPr>
              <w:t xml:space="preserve">váhami objemu vyplacených mezd v celé ekonomice prakticky totožné. V letech 2018 </w:t>
            </w:r>
            <w:r w:rsidR="00642FB8">
              <w:rPr>
                <w:szCs w:val="20"/>
              </w:rPr>
              <w:t>a </w:t>
            </w:r>
            <w:r w:rsidR="00097078">
              <w:rPr>
                <w:szCs w:val="20"/>
              </w:rPr>
              <w:t xml:space="preserve">2019 je mezi těmito ukazateli patrné jisté rozevírání nůžek, což potvrzují </w:t>
            </w:r>
            <w:r>
              <w:rPr>
                <w:szCs w:val="20"/>
              </w:rPr>
              <w:t>i </w:t>
            </w:r>
            <w:r w:rsidR="00097078">
              <w:rPr>
                <w:szCs w:val="20"/>
              </w:rPr>
              <w:t>údaje z podnikových stati</w:t>
            </w:r>
            <w:r w:rsidR="00642FB8">
              <w:rPr>
                <w:szCs w:val="20"/>
              </w:rPr>
              <w:t>sti</w:t>
            </w:r>
            <w:r w:rsidR="00097078">
              <w:rPr>
                <w:szCs w:val="20"/>
              </w:rPr>
              <w:t>k, neboť růstová tempa průměrných mezd v průmyslu za tempy v celé ekonomice zaostávala. To platilo rovněž pro dosaženou úroveň průměrných výdělků.</w:t>
            </w:r>
          </w:p>
        </w:tc>
      </w:tr>
      <w:tr w:rsidR="00097078" w14:paraId="23251E60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2DEC7" w14:textId="77777777" w:rsidR="00097078" w:rsidRDefault="00097078" w:rsidP="00044059">
            <w:pPr>
              <w:pStyle w:val="Marginlie"/>
            </w:pPr>
            <w:r>
              <w:t>Výdaje na tvorbu hrubého fixního kapitálu v průmyslu představovaly téměř polovinu investiční aktivity sektoru nefinančních podniků.</w:t>
            </w:r>
          </w:p>
          <w:p w14:paraId="74593D86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A3797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363B7" w14:textId="0B5F6FA8" w:rsidR="00097078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>Průmysl je také jedním z nejvýznamnějších odvětví přispívajících k technologickému rozvoji celé ekonomiky. Výdaje na tvorbu hrubého fixního kapitálu, představující v užším slova smyslu investiční aktivitu, čítaly v roce 2019 v průmyslu v běžných cenách 446</w:t>
            </w:r>
            <w:r w:rsidR="006E33D0">
              <w:rPr>
                <w:szCs w:val="20"/>
              </w:rPr>
              <w:t> mld.</w:t>
            </w:r>
            <w:r>
              <w:rPr>
                <w:szCs w:val="20"/>
              </w:rPr>
              <w:t xml:space="preserve"> korun. To představovalo bezmála polovinu objemu investiční aktivity nefinančních podniků </w:t>
            </w:r>
            <w:r w:rsidR="00307E77">
              <w:rPr>
                <w:szCs w:val="20"/>
              </w:rPr>
              <w:t>a o </w:t>
            </w:r>
            <w:r>
              <w:rPr>
                <w:szCs w:val="20"/>
              </w:rPr>
              <w:t>80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vyšší objem investic než v celém sektoru vládních institucí. Průmysl se v roce 2019 podílel na investiční aktivitě národního hospodářství 29,6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, což byla druhá nejnižší hodnota v celé poslední dekádě. Naopak nejvyšší podíl vykázal v této dekádě průmysl v roce 2013 (32,3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), což souviselo s citelným oslabením investiční aktivity ostatních sektorů ekonomiky v době recese</w:t>
            </w:r>
            <w:r w:rsidR="004528F0">
              <w:rPr>
                <w:szCs w:val="20"/>
              </w:rPr>
              <w:t> </w:t>
            </w:r>
            <w:r>
              <w:rPr>
                <w:szCs w:val="20"/>
              </w:rPr>
              <w:t xml:space="preserve">– zejména vládního sektoru (vlivem fiskální konsolidace), zčásti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>sektoru domácností (pokles investic do obydlí). Investiční aktivita je obecně spojena s výraznou cykličností. Při pohledu na dlouhodobý vývoj průmyslu k tomu přistupuje ještě faktor hluboké transformace v 9</w:t>
            </w:r>
            <w:r w:rsidR="00307E77">
              <w:rPr>
                <w:szCs w:val="20"/>
              </w:rPr>
              <w:t>0. </w:t>
            </w:r>
            <w:r>
              <w:rPr>
                <w:szCs w:val="20"/>
              </w:rPr>
              <w:t xml:space="preserve">letech </w:t>
            </w:r>
            <w:r w:rsidR="004528F0">
              <w:rPr>
                <w:szCs w:val="20"/>
              </w:rPr>
              <w:t xml:space="preserve">spojené </w:t>
            </w:r>
            <w:r>
              <w:rPr>
                <w:szCs w:val="20"/>
              </w:rPr>
              <w:t xml:space="preserve">se zásadní proměnou vlastnické struktury podniků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>postupným přílivem zahraničního kapitálu. Průmysl v této dekádě koncentroval až 40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veškerých fixních investic v ekonomice. Míra investic, vyjádřená jako podíl tvorby hrubého fixního kapitálu na vytvořené hrubé přidané hodnotě, převyšovala v průmyslu v letech 1993 až 2000 úroveň celé ekonomiky bezmála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pětinu.</w:t>
            </w:r>
          </w:p>
        </w:tc>
      </w:tr>
      <w:tr w:rsidR="00097078" w14:paraId="1F2BE940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19DF" w14:textId="32CD8C1A" w:rsidR="00097078" w:rsidRDefault="00097078" w:rsidP="00044059">
            <w:pPr>
              <w:pStyle w:val="Marginlie"/>
            </w:pPr>
            <w:r>
              <w:lastRenderedPageBreak/>
              <w:t xml:space="preserve">Silný význam průmyslových investic je dlouhodobě patrný především v oblasti strojů </w:t>
            </w:r>
            <w:r w:rsidR="00307E77">
              <w:t>a </w:t>
            </w:r>
            <w:r>
              <w:t>zařízení, ICT a také ve vědě a výzkumu.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C676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81A76" w14:textId="76DF1D46" w:rsidR="00097078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 xml:space="preserve">Zvláště silný význam nabývá investiční aktivita odvětví průmyslu v oblasti </w:t>
            </w:r>
            <w:r w:rsidRPr="0049682F">
              <w:rPr>
                <w:szCs w:val="20"/>
              </w:rPr>
              <w:t>informační</w:t>
            </w:r>
            <w:r>
              <w:rPr>
                <w:szCs w:val="20"/>
              </w:rPr>
              <w:t>ch</w:t>
            </w:r>
            <w:r w:rsidRPr="0049682F">
              <w:rPr>
                <w:szCs w:val="20"/>
              </w:rPr>
              <w:t xml:space="preserve"> </w:t>
            </w:r>
            <w:r w:rsidR="00307E77" w:rsidRPr="0049682F">
              <w:rPr>
                <w:szCs w:val="20"/>
              </w:rPr>
              <w:t>a</w:t>
            </w:r>
            <w:r w:rsidR="00307E77">
              <w:rPr>
                <w:szCs w:val="20"/>
              </w:rPr>
              <w:t> </w:t>
            </w:r>
            <w:r w:rsidRPr="0049682F">
              <w:rPr>
                <w:szCs w:val="20"/>
              </w:rPr>
              <w:t>komunikační</w:t>
            </w:r>
            <w:r>
              <w:rPr>
                <w:szCs w:val="20"/>
              </w:rPr>
              <w:t xml:space="preserve">ch technologií (ICT), ostatních strojů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zařízení (mimo d</w:t>
            </w:r>
            <w:r w:rsidRPr="0049682F">
              <w:rPr>
                <w:szCs w:val="20"/>
              </w:rPr>
              <w:t xml:space="preserve">opravní prostředky </w:t>
            </w:r>
            <w:r w:rsidR="00307E77" w:rsidRPr="0049682F">
              <w:rPr>
                <w:szCs w:val="20"/>
              </w:rPr>
              <w:t>a</w:t>
            </w:r>
            <w:r w:rsidR="00307E77">
              <w:rPr>
                <w:szCs w:val="20"/>
              </w:rPr>
              <w:t> </w:t>
            </w:r>
            <w:r w:rsidRPr="0049682F">
              <w:rPr>
                <w:szCs w:val="20"/>
              </w:rPr>
              <w:t>zařízení</w:t>
            </w:r>
            <w:r>
              <w:rPr>
                <w:szCs w:val="20"/>
              </w:rPr>
              <w:t xml:space="preserve">)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 xml:space="preserve">také ve sféře vědy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výzkumu. Ve všech těchto oblastech převyšoval v roce 2018 podíl průmyslu na celé ekonom</w:t>
            </w:r>
            <w:r w:rsidR="00642FB8">
              <w:rPr>
                <w:szCs w:val="20"/>
              </w:rPr>
              <w:t>i</w:t>
            </w:r>
            <w:r>
              <w:rPr>
                <w:szCs w:val="20"/>
              </w:rPr>
              <w:t xml:space="preserve">ce 50% úroveň. Na celkových výdajích na vědu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výzkum realizovaných v podnikatelském sektoru se průmysl podílel takřka 55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. Tento podíl zůstává v posledních deseti letech stabilní. Naproti tomu investiční aktivita v oblasti ICT rostla v posledních letech v průmyslových podnicích mnohem dynamičtěji než v ostatních odvětvích, zvláště patrné to bylo v letech 2017 </w:t>
            </w:r>
            <w:r w:rsidR="00D873CC">
              <w:rPr>
                <w:szCs w:val="20"/>
              </w:rPr>
              <w:t>a </w:t>
            </w:r>
            <w:r>
              <w:rPr>
                <w:szCs w:val="20"/>
              </w:rPr>
              <w:t>2018.</w:t>
            </w:r>
          </w:p>
        </w:tc>
      </w:tr>
      <w:tr w:rsidR="00097078" w:rsidRPr="00741856" w14:paraId="65D6CA90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0018E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8A576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089E3" w14:textId="02810E8C" w:rsidR="00097078" w:rsidRPr="00F00A85" w:rsidRDefault="00097078" w:rsidP="00044059">
            <w:pPr>
              <w:spacing w:after="40"/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</w:t>
            </w:r>
            <w:proofErr w:type="gramStart"/>
            <w:r w:rsidR="006E33D0">
              <w:rPr>
                <w:b/>
                <w:szCs w:val="20"/>
              </w:rPr>
              <w:t>č. </w:t>
            </w:r>
            <w:r w:rsidR="00307E77">
              <w:rPr>
                <w:b/>
                <w:szCs w:val="20"/>
              </w:rPr>
              <w:t xml:space="preserve">2  </w:t>
            </w:r>
            <w:r>
              <w:rPr>
                <w:b/>
                <w:szCs w:val="20"/>
              </w:rPr>
              <w:t>H</w:t>
            </w:r>
            <w:r w:rsidRPr="000E201C">
              <w:rPr>
                <w:b/>
                <w:szCs w:val="20"/>
              </w:rPr>
              <w:t>odnota</w:t>
            </w:r>
            <w:proofErr w:type="gramEnd"/>
            <w:r w:rsidRPr="000E201C">
              <w:rPr>
                <w:b/>
                <w:szCs w:val="20"/>
              </w:rPr>
              <w:t xml:space="preserve"> vývozu </w:t>
            </w:r>
            <w:r w:rsidRPr="00653B94">
              <w:rPr>
                <w:b/>
                <w:szCs w:val="20"/>
              </w:rPr>
              <w:t>průmyslovéh</w:t>
            </w:r>
            <w:r>
              <w:rPr>
                <w:b/>
                <w:szCs w:val="20"/>
              </w:rPr>
              <w:t xml:space="preserve">o zboží </w:t>
            </w:r>
            <w:r w:rsidR="006E33D0">
              <w:rPr>
                <w:b/>
                <w:szCs w:val="20"/>
              </w:rPr>
              <w:t xml:space="preserve">včetně </w:t>
            </w:r>
            <w:r>
              <w:rPr>
                <w:b/>
                <w:szCs w:val="20"/>
              </w:rPr>
              <w:t xml:space="preserve">dopravních prostředků* </w:t>
            </w:r>
            <w:r>
              <w:rPr>
                <w:szCs w:val="20"/>
              </w:rPr>
              <w:t>(v</w:t>
            </w:r>
            <w:r w:rsidR="00307E77">
              <w:rPr>
                <w:b/>
              </w:rPr>
              <w:t> </w:t>
            </w:r>
            <w:r w:rsidR="006E33D0">
              <w:rPr>
                <w:szCs w:val="20"/>
              </w:rPr>
              <w:t>mld.</w:t>
            </w:r>
            <w:r w:rsidRPr="000E201C">
              <w:rPr>
                <w:szCs w:val="20"/>
              </w:rPr>
              <w:t xml:space="preserve"> korun)</w:t>
            </w:r>
            <w:r>
              <w:rPr>
                <w:szCs w:val="20"/>
              </w:rPr>
              <w:t xml:space="preserve"> </w:t>
            </w:r>
            <w:r w:rsidR="00307E77" w:rsidRPr="000E201C">
              <w:rPr>
                <w:b/>
                <w:szCs w:val="20"/>
              </w:rPr>
              <w:t>a</w:t>
            </w:r>
            <w:r w:rsidR="00307E77">
              <w:rPr>
                <w:b/>
                <w:szCs w:val="20"/>
              </w:rPr>
              <w:t> </w:t>
            </w:r>
            <w:r w:rsidRPr="00870947">
              <w:rPr>
                <w:b/>
                <w:szCs w:val="20"/>
              </w:rPr>
              <w:t>podíl, resp.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poměr vývozu zboží </w:t>
            </w:r>
            <w:r w:rsidR="00307E77">
              <w:rPr>
                <w:b/>
                <w:szCs w:val="20"/>
              </w:rPr>
              <w:t>a </w:t>
            </w:r>
            <w:r>
              <w:rPr>
                <w:b/>
                <w:szCs w:val="20"/>
              </w:rPr>
              <w:t xml:space="preserve">služeb </w:t>
            </w:r>
            <w:r w:rsidR="00307E77">
              <w:rPr>
                <w:b/>
                <w:szCs w:val="20"/>
              </w:rPr>
              <w:t>k </w:t>
            </w:r>
            <w:r>
              <w:rPr>
                <w:b/>
                <w:szCs w:val="20"/>
              </w:rPr>
              <w:t xml:space="preserve">celkové produkci </w:t>
            </w:r>
            <w:r w:rsidR="00307E77">
              <w:rPr>
                <w:b/>
                <w:szCs w:val="20"/>
              </w:rPr>
              <w:t>a k </w:t>
            </w:r>
            <w:r>
              <w:rPr>
                <w:b/>
                <w:szCs w:val="20"/>
              </w:rPr>
              <w:t xml:space="preserve">HDP </w:t>
            </w:r>
            <w:r w:rsidR="00307E77">
              <w:rPr>
                <w:b/>
                <w:szCs w:val="20"/>
              </w:rPr>
              <w:t>v </w:t>
            </w:r>
            <w:r w:rsidRPr="00653B94">
              <w:rPr>
                <w:b/>
                <w:szCs w:val="20"/>
              </w:rPr>
              <w:t>ČR</w:t>
            </w:r>
            <w:r w:rsidRPr="00653B94">
              <w:rPr>
                <w:szCs w:val="20"/>
              </w:rPr>
              <w:t xml:space="preserve"> (v</w:t>
            </w:r>
            <w:r w:rsidR="006E33D0">
              <w:rPr>
                <w:sz w:val="16"/>
                <w:szCs w:val="16"/>
              </w:rPr>
              <w:t> %</w:t>
            </w:r>
            <w:r w:rsidRPr="00653B94">
              <w:rPr>
                <w:sz w:val="16"/>
                <w:szCs w:val="16"/>
              </w:rPr>
              <w:t>)</w:t>
            </w:r>
          </w:p>
        </w:tc>
      </w:tr>
      <w:tr w:rsidR="00097078" w14:paraId="158EE8AE" w14:textId="77777777" w:rsidTr="001B4422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5F550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0F9B1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7F069" w14:textId="4CE71DDE" w:rsidR="00097078" w:rsidRPr="00F00A85" w:rsidRDefault="00654CAC" w:rsidP="00044059">
            <w:pPr>
              <w:spacing w:after="40"/>
              <w:rPr>
                <w:i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971AB62" wp14:editId="4D927D7F">
                  <wp:extent cx="4696358" cy="3338830"/>
                  <wp:effectExtent l="0" t="0" r="0" b="0"/>
                  <wp:docPr id="14" name="Graf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97078" w:rsidRPr="00DE574B" w14:paraId="1EE12B2F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10A7E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C4ED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9DB30" w14:textId="0EF15823" w:rsidR="00097078" w:rsidRDefault="00097078" w:rsidP="000440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307E77">
              <w:rPr>
                <w:sz w:val="16"/>
                <w:szCs w:val="16"/>
              </w:rPr>
              <w:t>V </w:t>
            </w:r>
            <w:r>
              <w:rPr>
                <w:sz w:val="16"/>
                <w:szCs w:val="16"/>
              </w:rPr>
              <w:t>hodnotách FOB (</w:t>
            </w:r>
            <w:r w:rsidRPr="000E201C">
              <w:rPr>
                <w:sz w:val="16"/>
                <w:szCs w:val="16"/>
              </w:rPr>
              <w:t xml:space="preserve">vlastní hodnota zboží </w:t>
            </w:r>
            <w:r w:rsidR="00307E77" w:rsidRPr="000E201C">
              <w:rPr>
                <w:sz w:val="16"/>
                <w:szCs w:val="16"/>
              </w:rPr>
              <w:t>a</w:t>
            </w:r>
            <w:r w:rsidR="00307E77">
              <w:rPr>
                <w:sz w:val="16"/>
                <w:szCs w:val="16"/>
              </w:rPr>
              <w:t> </w:t>
            </w:r>
            <w:r w:rsidRPr="000E201C">
              <w:rPr>
                <w:sz w:val="16"/>
                <w:szCs w:val="16"/>
              </w:rPr>
              <w:t>přímé obchodní náklady s</w:t>
            </w:r>
            <w:r>
              <w:rPr>
                <w:sz w:val="16"/>
                <w:szCs w:val="16"/>
              </w:rPr>
              <w:t xml:space="preserve">pojené </w:t>
            </w:r>
            <w:r w:rsidR="00307E77">
              <w:rPr>
                <w:sz w:val="16"/>
                <w:szCs w:val="16"/>
              </w:rPr>
              <w:t>s </w:t>
            </w:r>
            <w:r>
              <w:rPr>
                <w:sz w:val="16"/>
                <w:szCs w:val="16"/>
              </w:rPr>
              <w:t>dopravou na hranice ČR).</w:t>
            </w:r>
          </w:p>
          <w:p w14:paraId="0C8A79B0" w14:textId="44AEBDF0" w:rsidR="00097078" w:rsidRDefault="00097078" w:rsidP="000440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Poznámka: </w:t>
            </w:r>
            <w:r w:rsidR="00D873CC">
              <w:rPr>
                <w:sz w:val="16"/>
                <w:szCs w:val="16"/>
              </w:rPr>
              <w:t xml:space="preserve">Čísla </w:t>
            </w:r>
            <w:r w:rsidR="00307E77">
              <w:rPr>
                <w:sz w:val="16"/>
                <w:szCs w:val="16"/>
              </w:rPr>
              <w:t>u </w:t>
            </w:r>
            <w:r>
              <w:rPr>
                <w:sz w:val="16"/>
                <w:szCs w:val="16"/>
              </w:rPr>
              <w:t>sloupců udávají podíl dopravních prostředků na hodnotě vývozu veškerého průmyslového zboží z ČR.</w:t>
            </w:r>
          </w:p>
          <w:p w14:paraId="376AFFB9" w14:textId="77777777" w:rsidR="00097078" w:rsidRPr="000E201C" w:rsidRDefault="00097078" w:rsidP="00044059">
            <w:pPr>
              <w:spacing w:after="220"/>
              <w:rPr>
                <w:sz w:val="16"/>
                <w:szCs w:val="16"/>
              </w:rPr>
            </w:pPr>
            <w:r w:rsidRPr="00741856">
              <w:rPr>
                <w:sz w:val="16"/>
                <w:szCs w:val="16"/>
              </w:rPr>
              <w:t>Zdroj</w:t>
            </w:r>
            <w:r>
              <w:rPr>
                <w:sz w:val="16"/>
                <w:szCs w:val="16"/>
              </w:rPr>
              <w:t>: ČSÚ (národní účty), statistika zahraničního obchodu (vývoz zboží v absolutním vyjádření)</w:t>
            </w:r>
          </w:p>
        </w:tc>
      </w:tr>
      <w:tr w:rsidR="00097078" w:rsidRPr="00F00A85" w14:paraId="19564611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26EC9" w14:textId="3D840829" w:rsidR="00097078" w:rsidRDefault="00097078" w:rsidP="00044059">
            <w:pPr>
              <w:pStyle w:val="Marginlie"/>
            </w:pPr>
            <w:r>
              <w:t>Poměr exportu k HDP v roce 2019 dosáhl v Česku 75</w:t>
            </w:r>
            <w:r w:rsidR="006E33D0">
              <w:t> %</w:t>
            </w:r>
            <w:r>
              <w:t>. Nejvyšší byl před pěti lety v době počínajícího hospodářského oživení.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0DE26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73C70" w14:textId="3D206BE1" w:rsidR="00097078" w:rsidRPr="00F00A85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 xml:space="preserve">Vzhledem </w:t>
            </w:r>
            <w:r w:rsidR="00307E77">
              <w:rPr>
                <w:szCs w:val="20"/>
              </w:rPr>
              <w:t>k </w:t>
            </w:r>
            <w:r>
              <w:rPr>
                <w:szCs w:val="20"/>
              </w:rPr>
              <w:t xml:space="preserve">výhodné geografické poloze Česka vůči významným odbytištím v rámci EU, menší velikosti tuzemského trhu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 xml:space="preserve">silnému zastoupení podniků pod zahraniční kontrolou je přirozené, že průmysl v ČR vykazuje výraznou proexportní orientaci. To ostatně souvisí s celkovou otevřeností celé české ekonomiky. Tu lze jednoduše hrubě vyjádřit např. poměrem hodnoty celkového vývozu zboží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>služeb k vytvořenému HDP. Tato relace činila v roce 2019 necelých 75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v posledních pěti letech se vcelku plynule snižovala. Nejvyšší míry otevřenosti tak bylo dosaženo v roce 2014 (81,9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), což s přehledem představuje absolutní maximum v éře samostatné ČR. Tento vrchol souvisel s poměrně rychlým oživením tuzemského průmyslu (po předchozí recesi) </w:t>
            </w:r>
            <w:r w:rsidR="005367E8">
              <w:rPr>
                <w:szCs w:val="20"/>
              </w:rPr>
              <w:t xml:space="preserve">taženým </w:t>
            </w:r>
            <w:r>
              <w:rPr>
                <w:szCs w:val="20"/>
              </w:rPr>
              <w:t xml:space="preserve">rostoucí zahraniční poptávkou, především v zemích </w:t>
            </w:r>
            <w:r w:rsidR="005367E8">
              <w:rPr>
                <w:szCs w:val="20"/>
              </w:rPr>
              <w:t>eurozóny</w:t>
            </w:r>
            <w:r>
              <w:rPr>
                <w:szCs w:val="20"/>
              </w:rPr>
              <w:t>.</w:t>
            </w:r>
          </w:p>
        </w:tc>
      </w:tr>
      <w:tr w:rsidR="00097078" w:rsidRPr="00F00A85" w14:paraId="577690A7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AC88E" w14:textId="39255EC5" w:rsidR="00097078" w:rsidRDefault="00307E77" w:rsidP="00044059">
            <w:pPr>
              <w:pStyle w:val="Marginlie"/>
            </w:pPr>
            <w:r>
              <w:t>V </w:t>
            </w:r>
            <w:r w:rsidR="00097078">
              <w:t xml:space="preserve">roce 2019 byla k vývozu z ČR určena třetina veškeré domácí produkce. To bylo zhruba </w:t>
            </w:r>
            <w:r>
              <w:t>o </w:t>
            </w:r>
            <w:r w:rsidR="00097078">
              <w:t>6</w:t>
            </w:r>
            <w:r w:rsidR="006E33D0">
              <w:t> p. b.</w:t>
            </w:r>
            <w:r w:rsidR="00097078">
              <w:t xml:space="preserve"> </w:t>
            </w:r>
            <w:proofErr w:type="gramStart"/>
            <w:r w:rsidR="00097078">
              <w:t>více</w:t>
            </w:r>
            <w:proofErr w:type="gramEnd"/>
            <w:r w:rsidR="00097078">
              <w:t xml:space="preserve"> než na vrcholu konjunktury předchozí dekády.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CA2E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2AEBE" w14:textId="0D1065A5" w:rsidR="00097078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>Výše uvedený pohled na otevřenost ekonomiky zároveň omezuje možnosti hlubší interpretace, neboť poměřuje celkovou hodnotu produktu (vývoz) s hodnotu přidanou (jež vystupuje jako klíčová složka HDP). Vhodnější alternativu představuje v tomto ohledu poměření vývozu s celkovou hodnotou vytvořenou v ekonomice neočištěnou o hodnotu vstupů (tedy ukazatelem produkce). Podíl celkového vývozu z ČR k celkové produkci čítal v roce 2019 právě 33,3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, rovná třetina domácí produkce byla tedy </w:t>
            </w:r>
            <w:r>
              <w:rPr>
                <w:szCs w:val="20"/>
              </w:rPr>
              <w:lastRenderedPageBreak/>
              <w:t xml:space="preserve">určena k vývozu. Takto zachycená míra otevřenosti české ekonomiky nedoznala v posledních šesti letech výraznějších změn, byť roky 2018 </w:t>
            </w:r>
            <w:r w:rsidR="00352945">
              <w:rPr>
                <w:szCs w:val="20"/>
              </w:rPr>
              <w:t>a </w:t>
            </w:r>
            <w:r>
              <w:rPr>
                <w:szCs w:val="20"/>
              </w:rPr>
              <w:t>2019 naznačovaly mírný pokles. V jeho pozadí stálo citelné zvolnění růstu tuzemského průmyslu (opět</w:t>
            </w:r>
            <w:r w:rsidR="00352945">
              <w:rPr>
                <w:szCs w:val="20"/>
              </w:rPr>
              <w:t xml:space="preserve"> primárně</w:t>
            </w:r>
            <w:r>
              <w:rPr>
                <w:szCs w:val="20"/>
              </w:rPr>
              <w:t xml:space="preserve"> vázané na ochlazení poptávky v </w:t>
            </w:r>
            <w:r w:rsidR="00352945">
              <w:rPr>
                <w:szCs w:val="20"/>
              </w:rPr>
              <w:t>eurozóně</w:t>
            </w:r>
            <w:r>
              <w:rPr>
                <w:szCs w:val="20"/>
              </w:rPr>
              <w:t xml:space="preserve">).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>přes tuto dílčí korekci zůstala otevřenost ekonomiky ČR poměrně vysoká, neboť např. na vrcholu konju</w:t>
            </w:r>
            <w:r w:rsidR="00352945">
              <w:rPr>
                <w:szCs w:val="20"/>
              </w:rPr>
              <w:t>n</w:t>
            </w:r>
            <w:r>
              <w:rPr>
                <w:szCs w:val="20"/>
              </w:rPr>
              <w:t>kturního období minulé dekády (2005–2007) bylo vyvezeno jen 27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domácí produkce.</w:t>
            </w:r>
          </w:p>
        </w:tc>
      </w:tr>
      <w:tr w:rsidR="00097078" w:rsidRPr="00F00A85" w14:paraId="2CA5545F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84A81" w14:textId="019EA6A7" w:rsidR="00097078" w:rsidRDefault="00307E77" w:rsidP="00044059">
            <w:pPr>
              <w:pStyle w:val="Marginlie"/>
            </w:pPr>
            <w:r>
              <w:lastRenderedPageBreak/>
              <w:t>V </w:t>
            </w:r>
            <w:r w:rsidR="00097078">
              <w:t>posledních šesti letech putovaly na vývoz stabilně dvě třetiny průmyslové produkce ČR. Dlouhodobý růst exportní orientace tuzemského průmyslu se tak zastavil.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F3006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22515" w14:textId="5E0CC0A7" w:rsidR="00097078" w:rsidRDefault="00307E77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>I </w:t>
            </w:r>
            <w:r w:rsidR="00097078">
              <w:rPr>
                <w:szCs w:val="20"/>
              </w:rPr>
              <w:t>přes nezanedbatelnou roli např. příjezdového cestovního ruchu je patrné, že páteří celkového vývozu z ČR je zbožový export (téměř výhradně spojený s produkcí průmyslu</w:t>
            </w:r>
            <w:r w:rsidR="00097078">
              <w:rPr>
                <w:rStyle w:val="Znakapoznpodarou"/>
              </w:rPr>
              <w:footnoteReference w:id="6"/>
            </w:r>
            <w:r w:rsidR="00097078">
              <w:rPr>
                <w:szCs w:val="20"/>
              </w:rPr>
              <w:t>)</w:t>
            </w:r>
            <w:r w:rsidR="00486917">
              <w:rPr>
                <w:szCs w:val="20"/>
              </w:rPr>
              <w:t>,</w:t>
            </w:r>
            <w:r w:rsidR="00097078">
              <w:rPr>
                <w:szCs w:val="20"/>
              </w:rPr>
              <w:t xml:space="preserve"> </w:t>
            </w:r>
            <w:r>
              <w:rPr>
                <w:szCs w:val="20"/>
              </w:rPr>
              <w:t>a </w:t>
            </w:r>
            <w:r w:rsidR="00097078">
              <w:rPr>
                <w:szCs w:val="20"/>
              </w:rPr>
              <w:t>vývoz služeb tak přestavuje spíše jen doplňkovou složku (v roce 2019 činil podíl vývozu služeb na celkovém exportu 16,3</w:t>
            </w:r>
            <w:r w:rsidR="006E33D0">
              <w:rPr>
                <w:szCs w:val="20"/>
              </w:rPr>
              <w:t> %</w:t>
            </w:r>
            <w:r w:rsidR="00097078">
              <w:rPr>
                <w:szCs w:val="20"/>
              </w:rPr>
              <w:t>). Pokud bychom chtěli kvantifikovat exportní orientaci samotného průmyslu, je možné poměřit celkovou hodnotu vývozu zboží s produkcí průmyslu. V tomto případě směřovaly v posledních šesti letech stabilně rovné dvě třetiny tuzemské průmyslové produkce na vývoz. Pro předchozí období</w:t>
            </w:r>
            <w:r w:rsidR="00486917">
              <w:rPr>
                <w:szCs w:val="20"/>
              </w:rPr>
              <w:t>,</w:t>
            </w:r>
            <w:r w:rsidR="00097078">
              <w:rPr>
                <w:szCs w:val="20"/>
              </w:rPr>
              <w:t xml:space="preserve"> ohraničené </w:t>
            </w:r>
            <w:r w:rsidR="00486917">
              <w:rPr>
                <w:szCs w:val="20"/>
              </w:rPr>
              <w:t xml:space="preserve">polovinou </w:t>
            </w:r>
            <w:r w:rsidR="00097078">
              <w:rPr>
                <w:szCs w:val="20"/>
              </w:rPr>
              <w:t>9</w:t>
            </w:r>
            <w:r>
              <w:rPr>
                <w:szCs w:val="20"/>
              </w:rPr>
              <w:t>0. </w:t>
            </w:r>
            <w:r w:rsidR="00097078">
              <w:rPr>
                <w:szCs w:val="20"/>
              </w:rPr>
              <w:t>let</w:t>
            </w:r>
            <w:r w:rsidR="00486917">
              <w:rPr>
                <w:szCs w:val="20"/>
              </w:rPr>
              <w:t>,</w:t>
            </w:r>
            <w:r w:rsidR="00097078">
              <w:rPr>
                <w:szCs w:val="20"/>
              </w:rPr>
              <w:t xml:space="preserve"> platilo, že s výjimkou let 2006 </w:t>
            </w:r>
            <w:r>
              <w:rPr>
                <w:szCs w:val="20"/>
              </w:rPr>
              <w:t>a </w:t>
            </w:r>
            <w:r w:rsidR="00097078">
              <w:rPr>
                <w:szCs w:val="20"/>
              </w:rPr>
              <w:t xml:space="preserve">2008 míra exportní orientace průmyslu ČR setrvale narůstala. Do roku 1997 </w:t>
            </w:r>
            <w:r w:rsidR="00486917">
              <w:rPr>
                <w:szCs w:val="20"/>
              </w:rPr>
              <w:t xml:space="preserve">nepřekračovala </w:t>
            </w:r>
            <w:r w:rsidR="00097078">
              <w:rPr>
                <w:szCs w:val="20"/>
              </w:rPr>
              <w:t>30</w:t>
            </w:r>
            <w:r w:rsidR="006E33D0">
              <w:rPr>
                <w:szCs w:val="20"/>
              </w:rPr>
              <w:t> %</w:t>
            </w:r>
            <w:r w:rsidR="00097078">
              <w:rPr>
                <w:szCs w:val="20"/>
              </w:rPr>
              <w:t xml:space="preserve">. K výrazné akceleraci došlo v období vstupu ČR do EU (mezi roky 2003 </w:t>
            </w:r>
            <w:r>
              <w:rPr>
                <w:szCs w:val="20"/>
              </w:rPr>
              <w:t>a </w:t>
            </w:r>
            <w:r w:rsidR="00097078">
              <w:rPr>
                <w:szCs w:val="20"/>
              </w:rPr>
              <w:t xml:space="preserve">2005 se otevřenost průmyslu zvýšila </w:t>
            </w:r>
            <w:proofErr w:type="gramStart"/>
            <w:r w:rsidR="00097078">
              <w:rPr>
                <w:szCs w:val="20"/>
              </w:rPr>
              <w:t>ze</w:t>
            </w:r>
            <w:proofErr w:type="gramEnd"/>
            <w:r w:rsidR="00486917">
              <w:rPr>
                <w:szCs w:val="20"/>
              </w:rPr>
              <w:t> </w:t>
            </w:r>
            <w:r w:rsidR="00097078">
              <w:rPr>
                <w:szCs w:val="20"/>
              </w:rPr>
              <w:t>38 na 53</w:t>
            </w:r>
            <w:r w:rsidR="006E33D0">
              <w:rPr>
                <w:szCs w:val="20"/>
              </w:rPr>
              <w:t> %</w:t>
            </w:r>
            <w:r w:rsidR="00097078">
              <w:rPr>
                <w:szCs w:val="20"/>
              </w:rPr>
              <w:t>). K dalšímu růstu (</w:t>
            </w:r>
            <w:r>
              <w:rPr>
                <w:szCs w:val="20"/>
              </w:rPr>
              <w:t>o </w:t>
            </w:r>
            <w:r w:rsidR="00097078">
              <w:rPr>
                <w:szCs w:val="20"/>
              </w:rPr>
              <w:t>bezmála 10</w:t>
            </w:r>
            <w:r w:rsidR="006E33D0">
              <w:rPr>
                <w:szCs w:val="20"/>
              </w:rPr>
              <w:t> p. b.</w:t>
            </w:r>
            <w:r w:rsidR="00097078">
              <w:rPr>
                <w:szCs w:val="20"/>
              </w:rPr>
              <w:t xml:space="preserve">) došlo </w:t>
            </w:r>
            <w:r>
              <w:rPr>
                <w:szCs w:val="20"/>
              </w:rPr>
              <w:t>i </w:t>
            </w:r>
            <w:r w:rsidR="00097078">
              <w:rPr>
                <w:szCs w:val="20"/>
              </w:rPr>
              <w:t xml:space="preserve">mezi roky 2010 </w:t>
            </w:r>
            <w:r>
              <w:rPr>
                <w:szCs w:val="20"/>
              </w:rPr>
              <w:t>a </w:t>
            </w:r>
            <w:r w:rsidR="00097078">
              <w:rPr>
                <w:szCs w:val="20"/>
              </w:rPr>
              <w:t xml:space="preserve">2014. Zde se mohl projevit vliv rychlého oživení průmyslu po krizovém roce 2009 </w:t>
            </w:r>
            <w:r>
              <w:rPr>
                <w:szCs w:val="20"/>
              </w:rPr>
              <w:t>i </w:t>
            </w:r>
            <w:r w:rsidR="00097078">
              <w:rPr>
                <w:szCs w:val="20"/>
              </w:rPr>
              <w:t xml:space="preserve">rozšíření společného evropského trhu </w:t>
            </w:r>
            <w:r>
              <w:rPr>
                <w:szCs w:val="20"/>
              </w:rPr>
              <w:t>o </w:t>
            </w:r>
            <w:r w:rsidR="00097078">
              <w:rPr>
                <w:szCs w:val="20"/>
              </w:rPr>
              <w:t>další členské státy.</w:t>
            </w:r>
          </w:p>
        </w:tc>
      </w:tr>
      <w:tr w:rsidR="00097078" w:rsidRPr="00F00A85" w14:paraId="7909ED4A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28DC3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55618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4B1E7" w14:textId="1C78CF43" w:rsidR="00097078" w:rsidRPr="00F00A85" w:rsidRDefault="00097078" w:rsidP="00044059">
            <w:pPr>
              <w:spacing w:after="40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</w:t>
            </w:r>
            <w:proofErr w:type="gramStart"/>
            <w:r w:rsidR="006E33D0">
              <w:rPr>
                <w:b/>
                <w:szCs w:val="20"/>
              </w:rPr>
              <w:t>č. </w:t>
            </w:r>
            <w:r w:rsidR="00307E77">
              <w:rPr>
                <w:b/>
                <w:szCs w:val="20"/>
              </w:rPr>
              <w:t xml:space="preserve">3  </w:t>
            </w:r>
            <w:r w:rsidRPr="00653B94">
              <w:rPr>
                <w:b/>
                <w:szCs w:val="20"/>
              </w:rPr>
              <w:t>Podíl</w:t>
            </w:r>
            <w:proofErr w:type="gramEnd"/>
            <w:r w:rsidRPr="00653B94">
              <w:rPr>
                <w:b/>
                <w:szCs w:val="20"/>
              </w:rPr>
              <w:t xml:space="preserve"> průmyslu na celkové hrubé přidané hodnotě ve vybraných evropských státech</w:t>
            </w:r>
            <w:r w:rsidRPr="00653B94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Pr="00653B94">
              <w:rPr>
                <w:szCs w:val="20"/>
              </w:rPr>
              <w:t>v</w:t>
            </w:r>
            <w:r w:rsidR="006E33D0">
              <w:rPr>
                <w:szCs w:val="20"/>
              </w:rPr>
              <w:t> %</w:t>
            </w:r>
            <w:r w:rsidRPr="00653B94">
              <w:rPr>
                <w:szCs w:val="20"/>
              </w:rPr>
              <w:t xml:space="preserve">, srovnání let 2005, 2013 </w:t>
            </w:r>
            <w:r w:rsidR="00307E77" w:rsidRPr="00653B94">
              <w:rPr>
                <w:szCs w:val="20"/>
              </w:rPr>
              <w:t>a</w:t>
            </w:r>
            <w:r w:rsidR="00307E77">
              <w:rPr>
                <w:szCs w:val="20"/>
              </w:rPr>
              <w:t> </w:t>
            </w:r>
            <w:r w:rsidRPr="00653B94">
              <w:rPr>
                <w:szCs w:val="20"/>
              </w:rPr>
              <w:t>2019)</w:t>
            </w:r>
          </w:p>
        </w:tc>
      </w:tr>
      <w:tr w:rsidR="00097078" w:rsidRPr="00F00A85" w14:paraId="78E58B98" w14:textId="77777777" w:rsidTr="001B4422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13230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F0A1E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400F6" w14:textId="77777777" w:rsidR="00097078" w:rsidRPr="00F00A85" w:rsidRDefault="00097078" w:rsidP="00044059">
            <w:pPr>
              <w:spacing w:after="220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3CB5AD" wp14:editId="6E0BA13E">
                  <wp:extent cx="4761035" cy="3343275"/>
                  <wp:effectExtent l="0" t="0" r="1905" b="0"/>
                  <wp:docPr id="3" name="Graf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097078" w:rsidRPr="00F00A85" w14:paraId="5F1B6185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94932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9CA1F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A25D3" w14:textId="77777777" w:rsidR="00307E77" w:rsidRDefault="00097078" w:rsidP="000440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Poznámka: Členské státy současné EU, které do této organizace vstoupily před rokem</w:t>
            </w:r>
            <w:r w:rsidR="006E33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2000, jsou zvýrazněny sytějším odstínem. Zvýrazněny jsou </w:t>
            </w:r>
            <w:r w:rsidR="00307E77">
              <w:rPr>
                <w:sz w:val="16"/>
                <w:szCs w:val="16"/>
              </w:rPr>
              <w:t>i </w:t>
            </w:r>
            <w:r>
              <w:rPr>
                <w:sz w:val="16"/>
                <w:szCs w:val="16"/>
              </w:rPr>
              <w:t>vybrané nečlenské státy EU, za něž jsou dostupná aktuální data.</w:t>
            </w:r>
          </w:p>
          <w:p w14:paraId="280B9337" w14:textId="5FCEDC66" w:rsidR="00097078" w:rsidRPr="00F00A85" w:rsidRDefault="00097078" w:rsidP="00044059">
            <w:pPr>
              <w:spacing w:after="220"/>
              <w:rPr>
                <w:szCs w:val="20"/>
              </w:rPr>
            </w:pPr>
            <w:r w:rsidRPr="00741856">
              <w:rPr>
                <w:sz w:val="16"/>
                <w:szCs w:val="16"/>
              </w:rPr>
              <w:t>Zdroj</w:t>
            </w:r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Eurostat</w:t>
            </w:r>
            <w:proofErr w:type="spellEnd"/>
            <w:r>
              <w:rPr>
                <w:sz w:val="16"/>
                <w:szCs w:val="16"/>
              </w:rPr>
              <w:t xml:space="preserve"> (národní účty)</w:t>
            </w:r>
          </w:p>
        </w:tc>
      </w:tr>
      <w:tr w:rsidR="00097078" w:rsidRPr="00F00A85" w14:paraId="4390B1A6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EE239" w14:textId="69EB9F48" w:rsidR="00307E77" w:rsidRDefault="00097078" w:rsidP="00044059">
            <w:pPr>
              <w:pStyle w:val="Marginlie"/>
            </w:pPr>
            <w:r>
              <w:t xml:space="preserve">Podíl průmyslu na přidané hodnotě celé ekonomiky byl v Česku </w:t>
            </w:r>
            <w:r w:rsidR="00307E77">
              <w:t>o </w:t>
            </w:r>
            <w:r>
              <w:t xml:space="preserve">polovinu vyšší než </w:t>
            </w:r>
            <w:r w:rsidR="002F1098">
              <w:lastRenderedPageBreak/>
              <w:t>v </w:t>
            </w:r>
            <w:r>
              <w:t>EU. Řadil tak ČR na druhé místo hned za Irsko.</w:t>
            </w:r>
          </w:p>
          <w:p w14:paraId="1A2E6E83" w14:textId="3AB9D14A" w:rsidR="00097078" w:rsidRDefault="00097078" w:rsidP="00044059">
            <w:pPr>
              <w:pStyle w:val="Marginlie"/>
            </w:pPr>
          </w:p>
          <w:p w14:paraId="0252466D" w14:textId="77777777" w:rsidR="00097078" w:rsidRDefault="00097078" w:rsidP="00044059">
            <w:pPr>
              <w:pStyle w:val="Marginlie"/>
            </w:pPr>
          </w:p>
          <w:p w14:paraId="296464DE" w14:textId="77777777" w:rsidR="00097078" w:rsidRDefault="00097078" w:rsidP="00044059">
            <w:pPr>
              <w:pStyle w:val="Marginlie"/>
            </w:pPr>
          </w:p>
          <w:p w14:paraId="0B7E6502" w14:textId="77777777" w:rsidR="00097078" w:rsidRDefault="00097078" w:rsidP="00044059">
            <w:pPr>
              <w:pStyle w:val="Marginlie"/>
            </w:pPr>
          </w:p>
          <w:p w14:paraId="0AF5A55E" w14:textId="77777777" w:rsidR="00097078" w:rsidRDefault="00097078" w:rsidP="00044059">
            <w:pPr>
              <w:pStyle w:val="Marginlie"/>
            </w:pPr>
          </w:p>
          <w:p w14:paraId="0CD5BE00" w14:textId="77777777" w:rsidR="00097078" w:rsidRDefault="00097078" w:rsidP="00044059">
            <w:pPr>
              <w:pStyle w:val="Marginlie"/>
            </w:pPr>
          </w:p>
          <w:p w14:paraId="7EE6B7F9" w14:textId="77777777" w:rsidR="00097078" w:rsidRDefault="00097078" w:rsidP="00044059">
            <w:pPr>
              <w:pStyle w:val="Marginlie"/>
            </w:pPr>
          </w:p>
          <w:p w14:paraId="742CD193" w14:textId="5E2442CD" w:rsidR="00097078" w:rsidRDefault="00097078" w:rsidP="00044059">
            <w:pPr>
              <w:pStyle w:val="Marginlie"/>
            </w:pPr>
            <w:r>
              <w:t>Váha průmyslu v drtivé</w:t>
            </w:r>
            <w:r w:rsidR="006E33D0">
              <w:t xml:space="preserve"> </w:t>
            </w:r>
            <w:r>
              <w:t>většině států Unie dlouhodobě mírně klesá. Od poslední recese ale nedoznala významnějších změn.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0F9FF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3A6BE" w14:textId="78AC34C4" w:rsidR="00097078" w:rsidRPr="00F00A85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>Česko patří v různých aspektech dlouhodobě k </w:t>
            </w:r>
            <w:r w:rsidR="002F1098">
              <w:rPr>
                <w:szCs w:val="20"/>
              </w:rPr>
              <w:t xml:space="preserve">jedněm </w:t>
            </w:r>
            <w:r>
              <w:rPr>
                <w:szCs w:val="20"/>
              </w:rPr>
              <w:t xml:space="preserve">z nejprůmyslovějších zemí Evropy. Z pohledu podílu hrubé přidané hodnoty vytvořené v průmyslu na HDP </w:t>
            </w:r>
            <w:r w:rsidR="006023F5">
              <w:rPr>
                <w:szCs w:val="20"/>
              </w:rPr>
              <w:t xml:space="preserve">výrazně </w:t>
            </w:r>
            <w:r>
              <w:rPr>
                <w:szCs w:val="20"/>
              </w:rPr>
              <w:t>převyšovalo v</w:t>
            </w:r>
            <w:r w:rsidR="006023F5">
              <w:rPr>
                <w:szCs w:val="20"/>
              </w:rPr>
              <w:t xml:space="preserve"> roce 2019 úroveň celé EU </w:t>
            </w:r>
            <w:r>
              <w:rPr>
                <w:szCs w:val="20"/>
              </w:rPr>
              <w:t>(29,2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ku 19,7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). Z jednotlivých členů Unie </w:t>
            </w:r>
            <w:r>
              <w:rPr>
                <w:szCs w:val="20"/>
              </w:rPr>
              <w:lastRenderedPageBreak/>
              <w:t>předčilo ČR pouze Irsko (35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), které je však díky </w:t>
            </w:r>
            <w:r w:rsidR="002F1098">
              <w:rPr>
                <w:szCs w:val="20"/>
              </w:rPr>
              <w:t xml:space="preserve">výrazně </w:t>
            </w:r>
            <w:r>
              <w:rPr>
                <w:szCs w:val="20"/>
              </w:rPr>
              <w:t xml:space="preserve">odlišné skladbě průmyslu (vysoký podíl </w:t>
            </w:r>
            <w:proofErr w:type="spellStart"/>
            <w:r>
              <w:rPr>
                <w:szCs w:val="20"/>
              </w:rPr>
              <w:t>high-tech</w:t>
            </w:r>
            <w:proofErr w:type="spellEnd"/>
            <w:r>
              <w:rPr>
                <w:szCs w:val="20"/>
              </w:rPr>
              <w:t xml:space="preserve"> oborů) </w:t>
            </w:r>
            <w:r w:rsidR="00307E77">
              <w:rPr>
                <w:szCs w:val="20"/>
              </w:rPr>
              <w:t>i </w:t>
            </w:r>
            <w:r w:rsidR="00A0067C">
              <w:rPr>
                <w:szCs w:val="20"/>
              </w:rPr>
              <w:t xml:space="preserve">silné </w:t>
            </w:r>
            <w:proofErr w:type="spellStart"/>
            <w:r w:rsidR="00A0067C">
              <w:rPr>
                <w:szCs w:val="20"/>
              </w:rPr>
              <w:t>koncetraci</w:t>
            </w:r>
            <w:proofErr w:type="spellEnd"/>
            <w:r>
              <w:rPr>
                <w:szCs w:val="20"/>
              </w:rPr>
              <w:t xml:space="preserve"> sídel významných nadnárodních korporací s ostatními členy EU do značné míry nesrovnatelné. Přední místa okupovaly s nevelkým odstupem za Českem i ostatní středoevropské státy, které vstoupily do Unie po roce 2000 (novější členové). Průmyslové zaměření je pro novější členské státy typické, výjimku představuje pouze Lotyšsko (15,2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malé ekonomiky (Malta, Kypr). Naopak ze starších členských států EU vykazovaly nadprůměrnou orientaci ekonomiky na průmysl jen Německo (24,2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), Rakousko (21,9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Finsko (20,5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). Role Německa je přitom zvlášť významná nejen díky tradičně silným obchodním vazbám s ČR, ale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>v absolutní velikosti německého průmyslu (dlouhodobě vytváří více než 30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přidané hodnoty průmyslu celé EU27). Váha průmyslu v ekonomice z pohledu tvorby HPH ve většině států EU dlouhodobě mírně klesala, v poslední dekádě došlo nicméně k určité stabilizaci. Ve srovnání s poslední recesí (rok 2013) nedoznala role průmyslu v roce 2019 významnějších změn. Vedle specifického Irska (+11</w:t>
            </w:r>
            <w:r w:rsidR="006E33D0">
              <w:rPr>
                <w:szCs w:val="20"/>
              </w:rPr>
              <w:t> p. b.</w:t>
            </w:r>
            <w:r>
              <w:rPr>
                <w:szCs w:val="20"/>
              </w:rPr>
              <w:t xml:space="preserve">) stojí za zmínku jen mírný pokles v některých novějších státech EU, zejména </w:t>
            </w:r>
            <w:r w:rsidR="00307E77">
              <w:rPr>
                <w:szCs w:val="20"/>
              </w:rPr>
              <w:t>v </w:t>
            </w:r>
            <w:proofErr w:type="gramStart"/>
            <w:r>
              <w:rPr>
                <w:szCs w:val="20"/>
              </w:rPr>
              <w:t>Rumunsku (–5</w:t>
            </w:r>
            <w:r w:rsidR="006E33D0">
              <w:rPr>
                <w:szCs w:val="20"/>
              </w:rPr>
              <w:t> p.</w:t>
            </w:r>
            <w:proofErr w:type="gramEnd"/>
            <w:r w:rsidR="006E33D0">
              <w:rPr>
                <w:szCs w:val="20"/>
              </w:rPr>
              <w:t> b.</w:t>
            </w:r>
            <w:r>
              <w:rPr>
                <w:szCs w:val="20"/>
              </w:rPr>
              <w:t xml:space="preserve">), </w:t>
            </w:r>
            <w:r w:rsidR="002F1098">
              <w:rPr>
                <w:szCs w:val="20"/>
              </w:rPr>
              <w:t xml:space="preserve">na </w:t>
            </w:r>
            <w:r>
              <w:rPr>
                <w:szCs w:val="20"/>
              </w:rPr>
              <w:t xml:space="preserve">Maltě, </w:t>
            </w:r>
            <w:r w:rsidR="002F1098">
              <w:rPr>
                <w:szCs w:val="20"/>
              </w:rPr>
              <w:t>v </w:t>
            </w:r>
            <w:r>
              <w:rPr>
                <w:szCs w:val="20"/>
              </w:rPr>
              <w:t>Estonsku či Lotyš</w:t>
            </w:r>
            <w:r w:rsidR="002F1098">
              <w:rPr>
                <w:szCs w:val="20"/>
              </w:rPr>
              <w:t>s</w:t>
            </w:r>
            <w:r>
              <w:rPr>
                <w:szCs w:val="20"/>
              </w:rPr>
              <w:t>ku (shodně –3</w:t>
            </w:r>
            <w:r w:rsidR="006E33D0">
              <w:rPr>
                <w:szCs w:val="20"/>
              </w:rPr>
              <w:t> p. b.</w:t>
            </w:r>
            <w:r>
              <w:rPr>
                <w:szCs w:val="20"/>
              </w:rPr>
              <w:t xml:space="preserve">). Průmysl má významnou roli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 xml:space="preserve">v některých </w:t>
            </w:r>
            <w:proofErr w:type="spellStart"/>
            <w:r>
              <w:rPr>
                <w:szCs w:val="20"/>
              </w:rPr>
              <w:t>mimounijních</w:t>
            </w:r>
            <w:proofErr w:type="spellEnd"/>
            <w:r>
              <w:rPr>
                <w:szCs w:val="20"/>
              </w:rPr>
              <w:t xml:space="preserve"> evropských ekonomikách, zejména v Norsku, Srbsku či Turecku. V některých z nich jeho váha v posledních letech rostla (Bosna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Hercegovina, Severní Makedonie).</w:t>
            </w:r>
          </w:p>
        </w:tc>
      </w:tr>
      <w:tr w:rsidR="00097078" w:rsidRPr="00F00A85" w14:paraId="08FD00C8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BF2FD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5AAE6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A3555" w14:textId="519177EC" w:rsidR="00097078" w:rsidRPr="003419D2" w:rsidRDefault="00097078" w:rsidP="00044059">
            <w:pPr>
              <w:spacing w:after="40"/>
              <w:jc w:val="left"/>
            </w:pPr>
            <w:r>
              <w:rPr>
                <w:b/>
              </w:rPr>
              <w:t>Graf</w:t>
            </w:r>
            <w:r w:rsidR="006E33D0">
              <w:rPr>
                <w:b/>
              </w:rPr>
              <w:t xml:space="preserve"> </w:t>
            </w:r>
            <w:proofErr w:type="gramStart"/>
            <w:r w:rsidR="006E33D0">
              <w:rPr>
                <w:b/>
              </w:rPr>
              <w:t>č. </w:t>
            </w:r>
            <w:r w:rsidR="00307E77">
              <w:rPr>
                <w:b/>
              </w:rPr>
              <w:t xml:space="preserve">4  </w:t>
            </w:r>
            <w:r>
              <w:rPr>
                <w:b/>
              </w:rPr>
              <w:t>Podíl</w:t>
            </w:r>
            <w:proofErr w:type="gramEnd"/>
            <w:r w:rsidRPr="00A25438">
              <w:rPr>
                <w:b/>
              </w:rPr>
              <w:t xml:space="preserve"> </w:t>
            </w:r>
            <w:r>
              <w:rPr>
                <w:b/>
              </w:rPr>
              <w:t>průmyslu na celkové zaměstnanosti ve vybraných evropských státech</w:t>
            </w:r>
            <w:r>
              <w:t xml:space="preserve"> (v</w:t>
            </w:r>
            <w:r w:rsidR="006E33D0">
              <w:t> %</w:t>
            </w:r>
            <w:r>
              <w:t xml:space="preserve">, srovnání let 2005, 2013 </w:t>
            </w:r>
            <w:r w:rsidR="00307E77">
              <w:t>a </w:t>
            </w:r>
            <w:r>
              <w:t>2019)</w:t>
            </w:r>
          </w:p>
        </w:tc>
      </w:tr>
      <w:tr w:rsidR="00097078" w:rsidRPr="00F00A85" w14:paraId="782A8A11" w14:textId="77777777" w:rsidTr="001B4422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3B8B8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2504C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F4B59" w14:textId="77777777" w:rsidR="00097078" w:rsidRPr="00F00A85" w:rsidRDefault="00097078" w:rsidP="00044059">
            <w:pPr>
              <w:spacing w:after="40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D1DB52" wp14:editId="6B657C3F">
                  <wp:extent cx="4781551" cy="3343275"/>
                  <wp:effectExtent l="0" t="0" r="0" b="0"/>
                  <wp:docPr id="8" name="Graf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097078" w:rsidRPr="00F00A85" w14:paraId="1A2CC2D6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FAE62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190FB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F3E9" w14:textId="613FAF34" w:rsidR="00097078" w:rsidRDefault="00097078" w:rsidP="00044059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Poznámka: Barevné zvýraznění států – viz graf</w:t>
            </w:r>
            <w:r w:rsidR="006E33D0">
              <w:rPr>
                <w:sz w:val="16"/>
                <w:szCs w:val="16"/>
              </w:rPr>
              <w:t xml:space="preserve"> č. </w:t>
            </w:r>
            <w:r>
              <w:rPr>
                <w:sz w:val="16"/>
                <w:szCs w:val="16"/>
              </w:rPr>
              <w:t>3.</w:t>
            </w:r>
          </w:p>
          <w:p w14:paraId="29A0D589" w14:textId="7767A534" w:rsidR="00097078" w:rsidRPr="00F00A85" w:rsidRDefault="00FD4056" w:rsidP="00044059">
            <w:pPr>
              <w:spacing w:after="220"/>
              <w:rPr>
                <w:szCs w:val="20"/>
              </w:rPr>
            </w:pPr>
            <w:r>
              <w:rPr>
                <w:sz w:val="16"/>
                <w:szCs w:val="16"/>
              </w:rPr>
              <w:t xml:space="preserve">Zdroj: </w:t>
            </w:r>
            <w:proofErr w:type="spellStart"/>
            <w:r w:rsidR="00097078">
              <w:rPr>
                <w:sz w:val="16"/>
                <w:szCs w:val="16"/>
              </w:rPr>
              <w:t>Eurostat</w:t>
            </w:r>
            <w:proofErr w:type="spellEnd"/>
            <w:r w:rsidR="00097078">
              <w:rPr>
                <w:sz w:val="16"/>
                <w:szCs w:val="16"/>
              </w:rPr>
              <w:t xml:space="preserve"> (národní účty)</w:t>
            </w:r>
          </w:p>
        </w:tc>
      </w:tr>
      <w:tr w:rsidR="00097078" w:rsidRPr="00F00A85" w14:paraId="0458514D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A0991" w14:textId="2461A6B4" w:rsidR="00307E77" w:rsidRDefault="00097078" w:rsidP="00044059">
            <w:pPr>
              <w:pStyle w:val="Marginlie"/>
            </w:pPr>
            <w:r>
              <w:t xml:space="preserve">Podílem průmyslu na celkové zaměstnanosti převyšuje Česko všechny státy </w:t>
            </w:r>
            <w:r w:rsidR="008703A1">
              <w:t>náležející v současnosti</w:t>
            </w:r>
            <w:r>
              <w:t xml:space="preserve"> do EU již více než dvacet let.</w:t>
            </w:r>
          </w:p>
          <w:p w14:paraId="77DDC307" w14:textId="3B594C1F" w:rsidR="00097078" w:rsidRDefault="00097078" w:rsidP="00044059">
            <w:pPr>
              <w:pStyle w:val="Marginlie"/>
            </w:pPr>
          </w:p>
          <w:p w14:paraId="118FD942" w14:textId="77777777" w:rsidR="00097078" w:rsidRDefault="00097078" w:rsidP="00044059">
            <w:pPr>
              <w:pStyle w:val="Marginlie"/>
            </w:pPr>
          </w:p>
          <w:p w14:paraId="568E7A3D" w14:textId="77777777" w:rsidR="00097078" w:rsidRDefault="00097078" w:rsidP="00044059">
            <w:pPr>
              <w:pStyle w:val="Marginlie"/>
            </w:pPr>
          </w:p>
          <w:p w14:paraId="32F45805" w14:textId="04254FCE" w:rsidR="00097078" w:rsidRDefault="00097078" w:rsidP="00044059">
            <w:pPr>
              <w:pStyle w:val="Marginlie"/>
            </w:pPr>
            <w:r>
              <w:t xml:space="preserve">Méně než desetina všech pracovníků nacházela </w:t>
            </w:r>
            <w:r>
              <w:lastRenderedPageBreak/>
              <w:t xml:space="preserve">uplatnění </w:t>
            </w:r>
            <w:r w:rsidR="008703A1">
              <w:t>v </w:t>
            </w:r>
            <w:r>
              <w:t xml:space="preserve">průmyslu v Řecku, Franci </w:t>
            </w:r>
            <w:r w:rsidR="00307E77">
              <w:t>i </w:t>
            </w:r>
            <w:r w:rsidR="008703A1">
              <w:t xml:space="preserve">ve </w:t>
            </w:r>
            <w:r>
              <w:t>většině států Beneluxu.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173D5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59F2C" w14:textId="18425859" w:rsidR="00097078" w:rsidRPr="00F00A85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>Strategická role tuzemského průmyslu v evropském kontextu ještě vynikne, budeme-li jako měřítko jeho významu brát rozsah poskytovaných pracovních příležitostí. Z pohledu podílu průmyslu na celkové zaměstnanosti převyšovala ČR v roce 2019 úroveň celé EU téměř dvojnásobně (28,7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ku 16,2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). Česku zároveň patřil primát mezi 27</w:t>
            </w:r>
            <w:r w:rsidR="008703A1">
              <w:rPr>
                <w:szCs w:val="20"/>
              </w:rPr>
              <w:t> </w:t>
            </w:r>
            <w:r>
              <w:rPr>
                <w:szCs w:val="20"/>
              </w:rPr>
              <w:t xml:space="preserve">současnými státy Unie,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 xml:space="preserve">to již nepřetržitě více než dvě dekády. Před rokem 1997 bylo v tomto ohledu nejprůmyslovějším státem současné EU Slovinsko. </w:t>
            </w:r>
            <w:r w:rsidR="00F7746D">
              <w:rPr>
                <w:szCs w:val="20"/>
              </w:rPr>
              <w:t>Do devítky</w:t>
            </w:r>
            <w:r>
              <w:rPr>
                <w:szCs w:val="20"/>
              </w:rPr>
              <w:t xml:space="preserve"> zemí s největší váhou průmyslu (přesahující 20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 patřily v roce 2019 výhradně novější členské státy Unie. S tím kontrastovala situace v Lucembursku, Nizozemsku, Řecku </w:t>
            </w:r>
            <w:r w:rsidR="00F7746D">
              <w:rPr>
                <w:szCs w:val="20"/>
              </w:rPr>
              <w:t>a </w:t>
            </w:r>
            <w:r>
              <w:rPr>
                <w:szCs w:val="20"/>
              </w:rPr>
              <w:t xml:space="preserve">Francii, kde uplatnění v průmyslu nenacházela ani desetina obyvatel. </w:t>
            </w:r>
            <w:r>
              <w:rPr>
                <w:szCs w:val="20"/>
              </w:rPr>
              <w:lastRenderedPageBreak/>
              <w:t xml:space="preserve">Podprůměrnou hodnotu </w:t>
            </w:r>
            <w:r w:rsidR="00F7746D">
              <w:rPr>
                <w:szCs w:val="20"/>
              </w:rPr>
              <w:t xml:space="preserve">vykazovalo </w:t>
            </w:r>
            <w:r>
              <w:rPr>
                <w:szCs w:val="20"/>
              </w:rPr>
              <w:t>rovněž Irsko (11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), které tak na rozdíl od ukazatele HPH </w:t>
            </w:r>
            <w:r w:rsidR="00F7746D">
              <w:rPr>
                <w:szCs w:val="20"/>
              </w:rPr>
              <w:t>z </w:t>
            </w:r>
            <w:r>
              <w:rPr>
                <w:szCs w:val="20"/>
              </w:rPr>
              <w:t xml:space="preserve">jádrových států EU nikterak nevybočovalo. Ve všech sledovaných státech (včetně vybraných </w:t>
            </w:r>
            <w:proofErr w:type="spellStart"/>
            <w:r>
              <w:rPr>
                <w:szCs w:val="20"/>
              </w:rPr>
              <w:t>mimounijních</w:t>
            </w:r>
            <w:proofErr w:type="spellEnd"/>
            <w:r>
              <w:rPr>
                <w:szCs w:val="20"/>
              </w:rPr>
              <w:t xml:space="preserve"> ekonomik) se váha průmyslu mezi roky 2005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2019 snížila (výjimkou bylo Polsko). V samotném období hospodářského růstu (2014 až 2019) již zůstala relativní zaměstnanost v průmyslu bez významných změn.</w:t>
            </w:r>
          </w:p>
        </w:tc>
      </w:tr>
      <w:tr w:rsidR="00097078" w:rsidRPr="00F00A85" w14:paraId="4F845461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3A341" w14:textId="51A12344" w:rsidR="00097078" w:rsidRDefault="00307E77" w:rsidP="00044059">
            <w:pPr>
              <w:pStyle w:val="Marginlie"/>
            </w:pPr>
            <w:r>
              <w:lastRenderedPageBreak/>
              <w:t>V </w:t>
            </w:r>
            <w:r w:rsidR="00097078">
              <w:t>Česku na rozdíl od většiny států EU podíl průmyslu na HPH významně nepřevyšoval obdobný podíl na zaměstnanosti.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ADBDE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192AA" w14:textId="174EEB09" w:rsidR="00097078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>V roce 2019 byl</w:t>
            </w:r>
            <w:r w:rsidR="0041758E">
              <w:rPr>
                <w:szCs w:val="20"/>
              </w:rPr>
              <w:t xml:space="preserve"> vyšší</w:t>
            </w:r>
            <w:r>
              <w:rPr>
                <w:szCs w:val="20"/>
              </w:rPr>
              <w:t xml:space="preserve"> podíl průmyslu na zaměstnanosti než na přidané hodnotě pouze v šesti vesměs velmi malých </w:t>
            </w:r>
            <w:r w:rsidR="00DA7C43">
              <w:rPr>
                <w:szCs w:val="20"/>
              </w:rPr>
              <w:t xml:space="preserve">evropských </w:t>
            </w:r>
            <w:r>
              <w:rPr>
                <w:szCs w:val="20"/>
              </w:rPr>
              <w:t>ekonomikách (Lucembursko, Estonsko, Lotyš</w:t>
            </w:r>
            <w:r w:rsidR="00DA7C43">
              <w:rPr>
                <w:szCs w:val="20"/>
              </w:rPr>
              <w:t>s</w:t>
            </w:r>
            <w:r>
              <w:rPr>
                <w:szCs w:val="20"/>
              </w:rPr>
              <w:t xml:space="preserve">ko, Malta, Kypr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 xml:space="preserve">Chorvatsko). Naopak disproporčně silná role HPH byla nejvíce patrná v Irsku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 xml:space="preserve">Norsku, v menší míře také v Dánsku, Švýcarsku, Finsku, Rakousku, Nizozemsku, Švédsku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Německu. To v těchto státech poukazovalo na celkově vyšší produktivitu práce</w:t>
            </w:r>
            <w:r w:rsidR="00DA7C43">
              <w:rPr>
                <w:szCs w:val="20"/>
              </w:rPr>
              <w:t>,</w:t>
            </w:r>
            <w:r>
              <w:rPr>
                <w:szCs w:val="20"/>
              </w:rPr>
              <w:t xml:space="preserve"> mnohdy podpořenou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>specifickou skladbou průmyslových oborů (</w:t>
            </w:r>
            <w:r w:rsidR="00307E77">
              <w:rPr>
                <w:szCs w:val="20"/>
              </w:rPr>
              <w:t>s </w:t>
            </w:r>
            <w:r>
              <w:rPr>
                <w:szCs w:val="20"/>
              </w:rPr>
              <w:t xml:space="preserve">významnějším zastoupením </w:t>
            </w:r>
            <w:proofErr w:type="spellStart"/>
            <w:r>
              <w:rPr>
                <w:szCs w:val="20"/>
              </w:rPr>
              <w:t>high-tech</w:t>
            </w:r>
            <w:proofErr w:type="spellEnd"/>
            <w:r>
              <w:rPr>
                <w:szCs w:val="20"/>
              </w:rPr>
              <w:t xml:space="preserve"> aktivit). Do této skupiny lze z novějších členských států Unie přiřadit patrně jen Slovinsko, kde v průmyslu podíl HPH převyšoval podíl zaměstnanosti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3,5</w:t>
            </w:r>
            <w:r w:rsidR="006E33D0">
              <w:rPr>
                <w:szCs w:val="20"/>
              </w:rPr>
              <w:t> p. b.</w:t>
            </w:r>
            <w:r>
              <w:rPr>
                <w:szCs w:val="20"/>
              </w:rPr>
              <w:t xml:space="preserve"> (shodně jako v celé EU). V Česku, podobně jako v Polsku, </w:t>
            </w:r>
            <w:r w:rsidR="00DA7C43">
              <w:rPr>
                <w:szCs w:val="20"/>
              </w:rPr>
              <w:t xml:space="preserve">na </w:t>
            </w:r>
            <w:r>
              <w:rPr>
                <w:szCs w:val="20"/>
              </w:rPr>
              <w:t xml:space="preserve">Slovensku či </w:t>
            </w:r>
            <w:r w:rsidR="00DA7C43">
              <w:rPr>
                <w:szCs w:val="20"/>
              </w:rPr>
              <w:t>v </w:t>
            </w:r>
            <w:r>
              <w:rPr>
                <w:szCs w:val="20"/>
              </w:rPr>
              <w:t>Portugalsku byl rozdíl vah mezi oběma ukazateli minimální.</w:t>
            </w:r>
          </w:p>
        </w:tc>
      </w:tr>
      <w:tr w:rsidR="00097078" w:rsidRPr="00F00A85" w14:paraId="7565CD38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5F82A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E1E73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30EA7" w14:textId="5CE24313" w:rsidR="00097078" w:rsidRPr="00F00A85" w:rsidRDefault="00097078" w:rsidP="00044059">
            <w:pPr>
              <w:spacing w:after="40"/>
              <w:jc w:val="left"/>
              <w:rPr>
                <w:szCs w:val="20"/>
              </w:rPr>
            </w:pPr>
            <w:r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č. </w:t>
            </w:r>
            <w:r w:rsidR="00307E77">
              <w:rPr>
                <w:b/>
                <w:szCs w:val="20"/>
              </w:rPr>
              <w:t xml:space="preserve">5  </w:t>
            </w:r>
            <w:r>
              <w:rPr>
                <w:b/>
                <w:szCs w:val="20"/>
              </w:rPr>
              <w:t>Podíl</w:t>
            </w:r>
            <w:r w:rsidRPr="000E201C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hodnoty </w:t>
            </w:r>
            <w:r w:rsidRPr="000E201C">
              <w:rPr>
                <w:b/>
                <w:szCs w:val="20"/>
              </w:rPr>
              <w:t>vývozu</w:t>
            </w:r>
            <w:r>
              <w:rPr>
                <w:b/>
                <w:szCs w:val="20"/>
              </w:rPr>
              <w:t xml:space="preserve"> zboží </w:t>
            </w:r>
            <w:r w:rsidR="00307E77">
              <w:rPr>
                <w:b/>
                <w:szCs w:val="20"/>
              </w:rPr>
              <w:t>a </w:t>
            </w:r>
            <w:r>
              <w:rPr>
                <w:b/>
                <w:szCs w:val="20"/>
              </w:rPr>
              <w:t>služeb na produkci</w:t>
            </w:r>
            <w:r w:rsidRPr="00653B94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v celé ekonomice </w:t>
            </w:r>
            <w:r w:rsidRPr="00653B94">
              <w:rPr>
                <w:b/>
                <w:szCs w:val="20"/>
              </w:rPr>
              <w:t>ve vybraných evropských státech</w:t>
            </w:r>
            <w:r w:rsidRPr="00653B94">
              <w:rPr>
                <w:szCs w:val="20"/>
              </w:rPr>
              <w:t xml:space="preserve"> </w:t>
            </w:r>
            <w:r>
              <w:rPr>
                <w:szCs w:val="20"/>
              </w:rPr>
              <w:t>(</w:t>
            </w:r>
            <w:r w:rsidRPr="00653B94">
              <w:rPr>
                <w:szCs w:val="20"/>
              </w:rPr>
              <w:t>v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, srovnání let 2005, 2012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2018</w:t>
            </w:r>
            <w:r w:rsidRPr="00653B94">
              <w:rPr>
                <w:szCs w:val="20"/>
              </w:rPr>
              <w:t>)</w:t>
            </w:r>
          </w:p>
        </w:tc>
      </w:tr>
      <w:tr w:rsidR="00097078" w:rsidRPr="00F00A85" w14:paraId="6A17BA67" w14:textId="77777777" w:rsidTr="001B4422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ED228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12943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8DC48" w14:textId="08FF4817" w:rsidR="00097078" w:rsidRPr="00F00A85" w:rsidRDefault="00654CAC" w:rsidP="00044059">
            <w:pPr>
              <w:spacing w:after="40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47D4F08" wp14:editId="0DD2860B">
                  <wp:extent cx="4780490" cy="3438525"/>
                  <wp:effectExtent l="0" t="0" r="1270" b="0"/>
                  <wp:docPr id="32" name="Graf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097078" w:rsidRPr="00F00A85" w14:paraId="4AC8F1EF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6F230" w14:textId="77777777" w:rsidR="00097078" w:rsidRDefault="00097078" w:rsidP="00044059">
            <w:pPr>
              <w:pStyle w:val="Marginlie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5DD13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F003D" w14:textId="77777777" w:rsidR="00097078" w:rsidRPr="00F00A85" w:rsidRDefault="00097078" w:rsidP="00044059">
            <w:pPr>
              <w:spacing w:after="220"/>
              <w:rPr>
                <w:szCs w:val="20"/>
              </w:rPr>
            </w:pPr>
            <w:r>
              <w:rPr>
                <w:sz w:val="16"/>
                <w:szCs w:val="16"/>
              </w:rPr>
              <w:t xml:space="preserve">Zdroj: </w:t>
            </w:r>
            <w:proofErr w:type="spellStart"/>
            <w:r>
              <w:rPr>
                <w:sz w:val="16"/>
                <w:szCs w:val="16"/>
              </w:rPr>
              <w:t>Eurostat</w:t>
            </w:r>
            <w:proofErr w:type="spellEnd"/>
            <w:r>
              <w:rPr>
                <w:sz w:val="16"/>
                <w:szCs w:val="16"/>
              </w:rPr>
              <w:t xml:space="preserve"> (národní účty)</w:t>
            </w:r>
          </w:p>
        </w:tc>
      </w:tr>
      <w:tr w:rsidR="00097078" w:rsidRPr="00F00A85" w14:paraId="7AE27ED8" w14:textId="77777777" w:rsidTr="001B4422">
        <w:trPr>
          <w:trHeight w:val="14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F3BE0" w14:textId="77777777" w:rsidR="00307E77" w:rsidRDefault="00097078" w:rsidP="00044059">
            <w:pPr>
              <w:pStyle w:val="Marginlie"/>
            </w:pPr>
            <w:r>
              <w:t>Česko patří v rámci EU k nadprůměrně otevřeným ekonomikám.</w:t>
            </w:r>
          </w:p>
          <w:p w14:paraId="18E1627B" w14:textId="40DDE461" w:rsidR="00097078" w:rsidRDefault="00097078" w:rsidP="00044059">
            <w:pPr>
              <w:pStyle w:val="Marginlie"/>
            </w:pPr>
          </w:p>
          <w:p w14:paraId="198BC0F5" w14:textId="77777777" w:rsidR="00097078" w:rsidRDefault="00097078" w:rsidP="00044059">
            <w:pPr>
              <w:pStyle w:val="Marginlie"/>
            </w:pPr>
          </w:p>
          <w:p w14:paraId="21763A4B" w14:textId="77777777" w:rsidR="00097078" w:rsidRDefault="00097078" w:rsidP="00044059">
            <w:pPr>
              <w:pStyle w:val="Marginlie"/>
            </w:pPr>
          </w:p>
          <w:p w14:paraId="4FA70711" w14:textId="77777777" w:rsidR="00097078" w:rsidRDefault="00097078" w:rsidP="00044059">
            <w:pPr>
              <w:pStyle w:val="Marginlie"/>
            </w:pPr>
          </w:p>
          <w:p w14:paraId="55C6FD61" w14:textId="77777777" w:rsidR="00097078" w:rsidRDefault="00097078" w:rsidP="00044059">
            <w:pPr>
              <w:pStyle w:val="Marginlie"/>
            </w:pPr>
          </w:p>
          <w:p w14:paraId="4DF342C9" w14:textId="6AAA3E71" w:rsidR="00097078" w:rsidRPr="007770C6" w:rsidRDefault="00097078" w:rsidP="00044059">
            <w:pPr>
              <w:pStyle w:val="Marginlie"/>
              <w:rPr>
                <w:spacing w:val="-4"/>
              </w:rPr>
            </w:pPr>
            <w:r w:rsidRPr="007770C6">
              <w:rPr>
                <w:spacing w:val="-4"/>
              </w:rPr>
              <w:t xml:space="preserve">Podíl zbožového exportu na celkové produkci dosáhl v ČR v roce 2018 výše </w:t>
            </w:r>
            <w:r>
              <w:rPr>
                <w:spacing w:val="-4"/>
              </w:rPr>
              <w:t>28,5</w:t>
            </w:r>
            <w:r>
              <w:t> </w:t>
            </w:r>
            <w:r w:rsidRPr="007770C6">
              <w:rPr>
                <w:spacing w:val="-4"/>
              </w:rPr>
              <w:t xml:space="preserve">% </w:t>
            </w:r>
            <w:r w:rsidR="00307E77" w:rsidRPr="007770C6">
              <w:rPr>
                <w:spacing w:val="-4"/>
              </w:rPr>
              <w:t>a</w:t>
            </w:r>
            <w:r w:rsidR="00307E77">
              <w:rPr>
                <w:spacing w:val="-4"/>
              </w:rPr>
              <w:t> </w:t>
            </w:r>
            <w:r w:rsidRPr="007770C6">
              <w:rPr>
                <w:spacing w:val="-4"/>
              </w:rPr>
              <w:t>byl osmý nejvyšší v EU.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5FCFA" w14:textId="77777777" w:rsidR="00097078" w:rsidRPr="00CE354E" w:rsidRDefault="00097078" w:rsidP="00044059">
            <w:pPr>
              <w:pStyle w:val="Textpoznpodarou10"/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6C222" w14:textId="2250501A" w:rsidR="00097078" w:rsidRPr="00CE354E" w:rsidRDefault="00097078" w:rsidP="00044059">
            <w:pPr>
              <w:spacing w:after="0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Nejotevřenějšími ekonomikami EU jsou dlouhodobě Irsko, Lucembursko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>Malta. V roce 2018 v nich více než 55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 vyrobené produkce putovalo na export. V těchto státech se ale společně s Kyprem, Chorvatskem či </w:t>
            </w:r>
            <w:proofErr w:type="spellStart"/>
            <w:r>
              <w:rPr>
                <w:spacing w:val="-2"/>
                <w:szCs w:val="20"/>
              </w:rPr>
              <w:t>mimounjiním</w:t>
            </w:r>
            <w:proofErr w:type="spellEnd"/>
            <w:r>
              <w:rPr>
                <w:spacing w:val="-2"/>
                <w:szCs w:val="20"/>
              </w:rPr>
              <w:t xml:space="preserve"> Islandem </w:t>
            </w:r>
            <w:r w:rsidR="00984C37">
              <w:rPr>
                <w:spacing w:val="-2"/>
                <w:szCs w:val="20"/>
              </w:rPr>
              <w:t xml:space="preserve">nebo </w:t>
            </w:r>
            <w:r>
              <w:rPr>
                <w:spacing w:val="-2"/>
                <w:szCs w:val="20"/>
              </w:rPr>
              <w:t>Černou Horou na vysoké hodnotě celkového exportu podíl</w:t>
            </w:r>
            <w:r w:rsidR="00984C37">
              <w:rPr>
                <w:spacing w:val="-2"/>
                <w:szCs w:val="20"/>
              </w:rPr>
              <w:t>ej</w:t>
            </w:r>
            <w:r>
              <w:rPr>
                <w:spacing w:val="-2"/>
                <w:szCs w:val="20"/>
              </w:rPr>
              <w:t xml:space="preserve">í převážně služby. Tyto státy jsou relativně atraktivními turistickými destinacemi, popř. soustřeďují některé specializované služby (např. finanční). Odhlédneme-li od této skutečnosti, pak nejvyšší relace zbožového exportu </w:t>
            </w:r>
            <w:r w:rsidR="00307E77">
              <w:rPr>
                <w:spacing w:val="-2"/>
                <w:szCs w:val="20"/>
              </w:rPr>
              <w:t>k </w:t>
            </w:r>
            <w:r>
              <w:rPr>
                <w:spacing w:val="-2"/>
                <w:szCs w:val="20"/>
              </w:rPr>
              <w:t>celkové domácí produkci dosáhlo Slovensko (36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>), následované Slovinskem (35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>) a Maďarskem (34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). Hodnota </w:t>
            </w:r>
            <w:r w:rsidR="00307E77">
              <w:rPr>
                <w:spacing w:val="-2"/>
                <w:szCs w:val="20"/>
              </w:rPr>
              <w:t>v </w:t>
            </w:r>
            <w:r>
              <w:rPr>
                <w:spacing w:val="-2"/>
                <w:szCs w:val="20"/>
              </w:rPr>
              <w:t>Česku (28,5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) byla mezi členy Unie osmá nejvyšší. Z populačně srovnatelných států dosáhly vyšší vývozní orientace než ČR jen Belgie, Nizozemsko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 xml:space="preserve">Maďarsko. Spíše jen průměrnou otevřeností </w:t>
            </w:r>
            <w:r w:rsidR="00984C37">
              <w:rPr>
                <w:spacing w:val="-2"/>
                <w:szCs w:val="20"/>
              </w:rPr>
              <w:t>z </w:t>
            </w:r>
            <w:r>
              <w:rPr>
                <w:spacing w:val="-2"/>
                <w:szCs w:val="20"/>
              </w:rPr>
              <w:t xml:space="preserve">hlediska zbožového exportu se v kontextu celé EU vyznačují Polsko </w:t>
            </w:r>
            <w:r w:rsidR="00984C3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>Rakousko (22, resp. 21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). Ta obecně souvisí zejména s velikostí ekonomiky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 xml:space="preserve">geografickou polohou. Určitou roli ale hraje </w:t>
            </w:r>
            <w:r w:rsidR="00307E77">
              <w:rPr>
                <w:spacing w:val="-2"/>
                <w:szCs w:val="20"/>
              </w:rPr>
              <w:lastRenderedPageBreak/>
              <w:t>i </w:t>
            </w:r>
            <w:r>
              <w:rPr>
                <w:spacing w:val="-2"/>
                <w:szCs w:val="20"/>
              </w:rPr>
              <w:t>vnitřní odvětvová skladba průmyslu. Konečně hlubší intepretaci</w:t>
            </w:r>
            <w:r w:rsidR="00984C37">
              <w:rPr>
                <w:spacing w:val="-2"/>
                <w:szCs w:val="20"/>
              </w:rPr>
              <w:t>,</w:t>
            </w:r>
            <w:r>
              <w:rPr>
                <w:spacing w:val="-2"/>
                <w:szCs w:val="20"/>
              </w:rPr>
              <w:t xml:space="preserve"> zejména pokud jde </w:t>
            </w:r>
            <w:r w:rsidR="00307E77">
              <w:rPr>
                <w:spacing w:val="-2"/>
                <w:szCs w:val="20"/>
              </w:rPr>
              <w:t>o </w:t>
            </w:r>
            <w:r>
              <w:rPr>
                <w:spacing w:val="-2"/>
                <w:szCs w:val="20"/>
              </w:rPr>
              <w:t xml:space="preserve">vývojové tendence, omezuje fakt, že srovnatelnost objemu zahraničního obchodu napříč státy má stále svá úskalí (např. </w:t>
            </w:r>
            <w:r w:rsidR="00307E77">
              <w:rPr>
                <w:spacing w:val="-2"/>
                <w:szCs w:val="20"/>
              </w:rPr>
              <w:t>u </w:t>
            </w:r>
            <w:r>
              <w:rPr>
                <w:spacing w:val="-2"/>
                <w:szCs w:val="20"/>
              </w:rPr>
              <w:t xml:space="preserve">zemí, </w:t>
            </w:r>
            <w:r w:rsidR="00984C37">
              <w:rPr>
                <w:spacing w:val="-2"/>
                <w:szCs w:val="20"/>
              </w:rPr>
              <w:t xml:space="preserve">které </w:t>
            </w:r>
            <w:r>
              <w:rPr>
                <w:spacing w:val="-2"/>
                <w:szCs w:val="20"/>
              </w:rPr>
              <w:t>plní funkci významných logistických center v rámci EU).</w:t>
            </w:r>
          </w:p>
        </w:tc>
      </w:tr>
    </w:tbl>
    <w:p w14:paraId="6B87AB32" w14:textId="77777777" w:rsidR="00921A5C" w:rsidRPr="00097078" w:rsidRDefault="00921A5C" w:rsidP="00097078">
      <w:pPr>
        <w:spacing w:after="160" w:line="259" w:lineRule="auto"/>
        <w:jc w:val="left"/>
        <w:rPr>
          <w:rFonts w:eastAsia="MS Gothic"/>
          <w:b/>
          <w:bCs/>
          <w:color w:val="71818C"/>
          <w:sz w:val="32"/>
          <w:szCs w:val="28"/>
        </w:rPr>
      </w:pPr>
      <w:r>
        <w:lastRenderedPageBreak/>
        <w:br w:type="page"/>
      </w:r>
    </w:p>
    <w:p w14:paraId="4EBF82EB" w14:textId="6FFE1CB5" w:rsidR="00097078" w:rsidRDefault="00307E77" w:rsidP="00097078">
      <w:pPr>
        <w:pStyle w:val="Nadpis110"/>
        <w:spacing w:after="220"/>
      </w:pPr>
      <w:bookmarkStart w:id="3" w:name="_Toc57061287"/>
      <w:r>
        <w:lastRenderedPageBreak/>
        <w:t>3</w:t>
      </w:r>
      <w:r w:rsidR="00CF20A4">
        <w:t>.</w:t>
      </w:r>
      <w:r>
        <w:t> </w:t>
      </w:r>
      <w:r w:rsidR="00097078">
        <w:t>Zaměstnanost, mzdy, produktivita</w:t>
      </w:r>
      <w:bookmarkEnd w:id="3"/>
    </w:p>
    <w:p w14:paraId="240E3EA0" w14:textId="2CC9F20D" w:rsidR="00097078" w:rsidRPr="00723AEA" w:rsidRDefault="00097078" w:rsidP="00097078">
      <w:pPr>
        <w:pStyle w:val="Nadpis2"/>
        <w:rPr>
          <w:rFonts w:cs="Arial"/>
          <w:b w:val="0"/>
        </w:rPr>
      </w:pPr>
      <w:bookmarkStart w:id="4" w:name="_Toc57061288"/>
      <w:r>
        <w:rPr>
          <w:rFonts w:cs="Arial"/>
        </w:rPr>
        <w:t>3.</w:t>
      </w:r>
      <w:r w:rsidR="00307E77" w:rsidRPr="00723AEA">
        <w:rPr>
          <w:rFonts w:cs="Arial"/>
        </w:rPr>
        <w:t>1</w:t>
      </w:r>
      <w:r w:rsidR="00307E77">
        <w:rPr>
          <w:rFonts w:cs="Arial"/>
        </w:rPr>
        <w:t> </w:t>
      </w:r>
      <w:r w:rsidRPr="00723AEA">
        <w:rPr>
          <w:rFonts w:cs="Arial"/>
        </w:rPr>
        <w:t>Zaměstnanost v tuzemském průmyslu</w:t>
      </w:r>
      <w:bookmarkEnd w:id="4"/>
    </w:p>
    <w:tbl>
      <w:tblPr>
        <w:tblW w:w="964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84"/>
        <w:gridCol w:w="195"/>
        <w:gridCol w:w="7670"/>
      </w:tblGrid>
      <w:tr w:rsidR="000774EC" w14:paraId="4041FCF4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53E04" w14:textId="77777777" w:rsidR="00097078" w:rsidRDefault="00097078" w:rsidP="00044059">
            <w:pPr>
              <w:pStyle w:val="Marginlie"/>
              <w:rPr>
                <w:spacing w:val="-4"/>
              </w:rPr>
            </w:pPr>
            <w:r w:rsidRPr="0057186E">
              <w:rPr>
                <w:spacing w:val="-4"/>
              </w:rPr>
              <w:t>Zaměstnanost v průmyslu má</w:t>
            </w:r>
            <w:r>
              <w:rPr>
                <w:spacing w:val="-4"/>
              </w:rPr>
              <w:t xml:space="preserve"> výrazně </w:t>
            </w:r>
            <w:proofErr w:type="spellStart"/>
            <w:r>
              <w:rPr>
                <w:spacing w:val="-4"/>
              </w:rPr>
              <w:t>procyklický</w:t>
            </w:r>
            <w:proofErr w:type="spellEnd"/>
            <w:r>
              <w:rPr>
                <w:spacing w:val="-4"/>
              </w:rPr>
              <w:t xml:space="preserve"> charakter.</w:t>
            </w:r>
          </w:p>
          <w:p w14:paraId="7FA8FAA3" w14:textId="77777777" w:rsidR="00097078" w:rsidRDefault="00097078" w:rsidP="00044059">
            <w:pPr>
              <w:pStyle w:val="Marginlie"/>
              <w:rPr>
                <w:spacing w:val="-4"/>
              </w:rPr>
            </w:pPr>
          </w:p>
          <w:p w14:paraId="10A44198" w14:textId="77777777" w:rsidR="00097078" w:rsidRDefault="00097078" w:rsidP="00044059">
            <w:pPr>
              <w:pStyle w:val="Marginlie"/>
              <w:rPr>
                <w:spacing w:val="-4"/>
              </w:rPr>
            </w:pPr>
          </w:p>
          <w:p w14:paraId="087519CC" w14:textId="34551175" w:rsidR="00097078" w:rsidRDefault="00097078" w:rsidP="00044059">
            <w:pPr>
              <w:pStyle w:val="Marginlie"/>
              <w:rPr>
                <w:spacing w:val="-4"/>
              </w:rPr>
            </w:pPr>
          </w:p>
          <w:p w14:paraId="3E8B8AB3" w14:textId="57140C57" w:rsidR="00E517AE" w:rsidRDefault="00E517AE" w:rsidP="00044059">
            <w:pPr>
              <w:pStyle w:val="Marginlie"/>
              <w:rPr>
                <w:spacing w:val="-4"/>
              </w:rPr>
            </w:pPr>
          </w:p>
          <w:p w14:paraId="372A47BA" w14:textId="77777777" w:rsidR="00E517AE" w:rsidRPr="0057186E" w:rsidRDefault="00E517AE" w:rsidP="00044059">
            <w:pPr>
              <w:pStyle w:val="Marginlie"/>
              <w:rPr>
                <w:spacing w:val="-4"/>
              </w:rPr>
            </w:pPr>
          </w:p>
          <w:p w14:paraId="0F6B55B8" w14:textId="77777777" w:rsidR="00097078" w:rsidRPr="0057186E" w:rsidRDefault="00097078" w:rsidP="00044059">
            <w:pPr>
              <w:pStyle w:val="Marginlie"/>
              <w:rPr>
                <w:spacing w:val="-4"/>
              </w:rPr>
            </w:pPr>
          </w:p>
          <w:p w14:paraId="42770894" w14:textId="77777777" w:rsidR="00307E77" w:rsidRDefault="00097078" w:rsidP="00044059">
            <w:pPr>
              <w:pStyle w:val="Marginlie"/>
              <w:rPr>
                <w:spacing w:val="-4"/>
              </w:rPr>
            </w:pPr>
            <w:r>
              <w:rPr>
                <w:spacing w:val="-4"/>
              </w:rPr>
              <w:t>Přispívá k tomu vyšší</w:t>
            </w:r>
            <w:r w:rsidRPr="0057186E">
              <w:rPr>
                <w:spacing w:val="-4"/>
              </w:rPr>
              <w:t xml:space="preserve"> citlivost na změny zahraniční poptávky</w:t>
            </w:r>
            <w:r>
              <w:rPr>
                <w:spacing w:val="-4"/>
              </w:rPr>
              <w:t xml:space="preserve"> po průmyslovém zboží i</w:t>
            </w:r>
            <w:r w:rsidRPr="0057186E">
              <w:rPr>
                <w:spacing w:val="-4"/>
              </w:rPr>
              <w:t> model zaměstnanosti s výraznější rolí agenturních pracovníků.</w:t>
            </w:r>
          </w:p>
          <w:p w14:paraId="370887C1" w14:textId="60F8C3A9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CD35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4EE2C" w14:textId="25653E25" w:rsidR="00097078" w:rsidRPr="00DF514A" w:rsidRDefault="00097078" w:rsidP="002257E8">
            <w:pPr>
              <w:spacing w:after="220"/>
              <w:rPr>
                <w:spacing w:val="-2"/>
              </w:rPr>
            </w:pPr>
            <w:r w:rsidRPr="00DF514A">
              <w:rPr>
                <w:spacing w:val="-2"/>
              </w:rPr>
              <w:t xml:space="preserve">Průmysl představuje jeden z klíčových segmentů na tuzemském pracovním trhu. Svědčí </w:t>
            </w:r>
            <w:r w:rsidR="00307E77" w:rsidRPr="00DF514A">
              <w:rPr>
                <w:spacing w:val="-2"/>
              </w:rPr>
              <w:t>o</w:t>
            </w:r>
            <w:r w:rsidR="00307E77">
              <w:rPr>
                <w:spacing w:val="-2"/>
              </w:rPr>
              <w:t> </w:t>
            </w:r>
            <w:r w:rsidRPr="00DF514A">
              <w:rPr>
                <w:spacing w:val="-2"/>
              </w:rPr>
              <w:t xml:space="preserve">tom </w:t>
            </w:r>
            <w:r w:rsidR="00307E77" w:rsidRPr="00DF514A">
              <w:rPr>
                <w:spacing w:val="-2"/>
              </w:rPr>
              <w:t>i</w:t>
            </w:r>
            <w:r w:rsidR="00307E77">
              <w:rPr>
                <w:spacing w:val="-2"/>
              </w:rPr>
              <w:t> </w:t>
            </w:r>
            <w:r w:rsidRPr="00DF514A">
              <w:rPr>
                <w:spacing w:val="-2"/>
              </w:rPr>
              <w:t>skutečnost, že samotný zpracovatelský průmysl tvoří z hlediska celkové zaměstnanost</w:t>
            </w:r>
            <w:r w:rsidR="00530243">
              <w:rPr>
                <w:spacing w:val="-2"/>
              </w:rPr>
              <w:t>i</w:t>
            </w:r>
            <w:r w:rsidR="002257E8" w:rsidRPr="00DF514A">
              <w:rPr>
                <w:rStyle w:val="Znakapoznpodarou"/>
                <w:spacing w:val="-2"/>
              </w:rPr>
              <w:footnoteReference w:id="7"/>
            </w:r>
            <w:r w:rsidRPr="00DF514A">
              <w:rPr>
                <w:spacing w:val="-2"/>
              </w:rPr>
              <w:t xml:space="preserve"> s přehledem nejsilnější odvětvovou sekci ekonomiky. Ve všech dílčích odvětvích průmyslu pracovalo v roce 2019 celkem 1 561</w:t>
            </w:r>
            <w:r w:rsidR="002257E8">
              <w:rPr>
                <w:spacing w:val="-2"/>
              </w:rPr>
              <w:t xml:space="preserve"> tis. fyzických </w:t>
            </w:r>
            <w:r w:rsidRPr="00DF514A">
              <w:rPr>
                <w:spacing w:val="-2"/>
              </w:rPr>
              <w:t>osob. Vzhledem k tomu, že práce na zkrácené úvazky je zde na rozdíl od některých odvětví tržních služeb spíše okrajovou záležitostí</w:t>
            </w:r>
            <w:r w:rsidRPr="00DF514A">
              <w:rPr>
                <w:rStyle w:val="Znakapoznpodarou"/>
                <w:spacing w:val="-2"/>
              </w:rPr>
              <w:footnoteReference w:id="8"/>
            </w:r>
            <w:r w:rsidRPr="00DF514A">
              <w:rPr>
                <w:spacing w:val="-2"/>
              </w:rPr>
              <w:t>, výše uvedená četnost se tak od tzv. přepočteného počtu zaměstnanců lišila jen minimálně (1</w:t>
            </w:r>
            <w:r w:rsidR="00530243">
              <w:rPr>
                <w:spacing w:val="-2"/>
              </w:rPr>
              <w:t> </w:t>
            </w:r>
            <w:r w:rsidRPr="00DF514A">
              <w:rPr>
                <w:spacing w:val="-2"/>
              </w:rPr>
              <w:t>517</w:t>
            </w:r>
            <w:r w:rsidR="006E33D0">
              <w:rPr>
                <w:spacing w:val="-2"/>
              </w:rPr>
              <w:t> tis.</w:t>
            </w:r>
            <w:r w:rsidRPr="00DF514A">
              <w:rPr>
                <w:spacing w:val="-2"/>
              </w:rPr>
              <w:t xml:space="preserve">). Takto vyjádřený počet pracovníků v průmyslu byl téměř totožný se stavem </w:t>
            </w:r>
            <w:r w:rsidR="00307E77" w:rsidRPr="00DF514A">
              <w:rPr>
                <w:spacing w:val="-2"/>
              </w:rPr>
              <w:t>z</w:t>
            </w:r>
            <w:r w:rsidR="00307E77">
              <w:rPr>
                <w:spacing w:val="-2"/>
              </w:rPr>
              <w:t> </w:t>
            </w:r>
            <w:r w:rsidRPr="00DF514A">
              <w:rPr>
                <w:spacing w:val="-2"/>
              </w:rPr>
              <w:t>vrcholu konjunktury minulé dekády (</w:t>
            </w:r>
            <w:r w:rsidR="00307E77" w:rsidRPr="00DF514A">
              <w:rPr>
                <w:spacing w:val="-2"/>
              </w:rPr>
              <w:t>v</w:t>
            </w:r>
            <w:r w:rsidR="00307E77">
              <w:rPr>
                <w:spacing w:val="-2"/>
              </w:rPr>
              <w:t> </w:t>
            </w:r>
            <w:r w:rsidRPr="00DF514A">
              <w:rPr>
                <w:spacing w:val="-2"/>
              </w:rPr>
              <w:t xml:space="preserve">roce 2008). Dynamika zaměstnanosti v průmyslu se ve srovnání s ostatními odvětvími vyznačuje vyšší citlivostí k hospodářskému cyklu. </w:t>
            </w:r>
            <w:r w:rsidR="002B49B9">
              <w:rPr>
                <w:spacing w:val="-2"/>
              </w:rPr>
              <w:t>M</w:t>
            </w:r>
            <w:r w:rsidRPr="00DF514A">
              <w:rPr>
                <w:spacing w:val="-2"/>
              </w:rPr>
              <w:t>odel zaměstnanosti, v němž hrají stále významnější roli agenturní pracovníci</w:t>
            </w:r>
            <w:r w:rsidRPr="00DF514A">
              <w:rPr>
                <w:rStyle w:val="Znakapoznpodarou"/>
                <w:spacing w:val="-2"/>
              </w:rPr>
              <w:footnoteReference w:id="9"/>
            </w:r>
            <w:r>
              <w:rPr>
                <w:spacing w:val="-2"/>
              </w:rPr>
              <w:t xml:space="preserve"> </w:t>
            </w:r>
            <w:r w:rsidR="00954CE4">
              <w:rPr>
                <w:spacing w:val="-2"/>
              </w:rPr>
              <w:t>(mnohdy pracující na dobu určitou)</w:t>
            </w:r>
            <w:r w:rsidR="008906E1">
              <w:rPr>
                <w:spacing w:val="-2"/>
              </w:rPr>
              <w:t>,</w:t>
            </w:r>
            <w:r w:rsidR="00954CE4" w:rsidRPr="00DF514A">
              <w:rPr>
                <w:spacing w:val="-2"/>
              </w:rPr>
              <w:t xml:space="preserve"> </w:t>
            </w:r>
            <w:r>
              <w:rPr>
                <w:spacing w:val="-2"/>
              </w:rPr>
              <w:t>tvoření obvykle</w:t>
            </w:r>
            <w:r w:rsidRPr="00DF514A">
              <w:rPr>
                <w:spacing w:val="-2"/>
              </w:rPr>
              <w:t xml:space="preserve"> imigranty či </w:t>
            </w:r>
            <w:proofErr w:type="spellStart"/>
            <w:r w:rsidRPr="00DF514A">
              <w:rPr>
                <w:spacing w:val="-2"/>
              </w:rPr>
              <w:t>pendlery</w:t>
            </w:r>
            <w:proofErr w:type="spellEnd"/>
            <w:r w:rsidR="00E517AE">
              <w:rPr>
                <w:spacing w:val="-2"/>
              </w:rPr>
              <w:t xml:space="preserve"> </w:t>
            </w:r>
            <w:r w:rsidRPr="00DF514A">
              <w:rPr>
                <w:spacing w:val="-2"/>
              </w:rPr>
              <w:t>z hospodářsky méně</w:t>
            </w:r>
            <w:r w:rsidR="002B49B9">
              <w:rPr>
                <w:spacing w:val="-2"/>
              </w:rPr>
              <w:t xml:space="preserve"> vyspělých států, </w:t>
            </w:r>
            <w:r w:rsidR="00E517AE">
              <w:rPr>
                <w:spacing w:val="-2"/>
              </w:rPr>
              <w:t>vede k tomu, že průmysl dokáže pružněji reagovat na výkyvy zejména zahraniční poptávky</w:t>
            </w:r>
            <w:r w:rsidRPr="00DF514A">
              <w:rPr>
                <w:spacing w:val="-2"/>
              </w:rPr>
              <w:t xml:space="preserve">. Např. v celé ČR se v letech 2009 až 2010 počet pracovníků meziročně redukoval v průměru </w:t>
            </w:r>
            <w:r w:rsidR="008906E1">
              <w:rPr>
                <w:spacing w:val="-2"/>
              </w:rPr>
              <w:t>o </w:t>
            </w:r>
            <w:r w:rsidRPr="00DF514A">
              <w:rPr>
                <w:spacing w:val="-2"/>
              </w:rPr>
              <w:t>1,4</w:t>
            </w:r>
            <w:r w:rsidR="006E33D0">
              <w:rPr>
                <w:spacing w:val="-2"/>
              </w:rPr>
              <w:t> %</w:t>
            </w:r>
            <w:r w:rsidRPr="00DF514A">
              <w:rPr>
                <w:spacing w:val="-2"/>
              </w:rPr>
              <w:t xml:space="preserve">, v samotném odvětví průmyslu ale </w:t>
            </w:r>
            <w:r w:rsidR="00307E77" w:rsidRPr="00DF514A">
              <w:rPr>
                <w:spacing w:val="-2"/>
              </w:rPr>
              <w:t>o</w:t>
            </w:r>
            <w:r w:rsidR="00307E77">
              <w:rPr>
                <w:spacing w:val="-2"/>
              </w:rPr>
              <w:t> </w:t>
            </w:r>
            <w:r w:rsidRPr="00DF514A">
              <w:rPr>
                <w:spacing w:val="-2"/>
              </w:rPr>
              <w:t>5,3</w:t>
            </w:r>
            <w:r w:rsidR="006E33D0">
              <w:rPr>
                <w:spacing w:val="-2"/>
              </w:rPr>
              <w:t> %</w:t>
            </w:r>
            <w:r w:rsidRPr="00DF514A">
              <w:rPr>
                <w:spacing w:val="-2"/>
              </w:rPr>
              <w:t xml:space="preserve">. Na </w:t>
            </w:r>
            <w:r w:rsidR="008906E1" w:rsidRPr="00DF514A">
              <w:rPr>
                <w:spacing w:val="-2"/>
              </w:rPr>
              <w:t>druh</w:t>
            </w:r>
            <w:r w:rsidR="008906E1">
              <w:rPr>
                <w:spacing w:val="-2"/>
              </w:rPr>
              <w:t>é</w:t>
            </w:r>
            <w:r w:rsidR="008906E1" w:rsidRPr="00DF514A">
              <w:rPr>
                <w:spacing w:val="-2"/>
              </w:rPr>
              <w:t xml:space="preserve"> stran</w:t>
            </w:r>
            <w:r w:rsidR="008906E1">
              <w:rPr>
                <w:spacing w:val="-2"/>
              </w:rPr>
              <w:t>ě</w:t>
            </w:r>
            <w:r w:rsidR="008906E1" w:rsidRPr="00DF514A">
              <w:rPr>
                <w:spacing w:val="-2"/>
              </w:rPr>
              <w:t xml:space="preserve"> </w:t>
            </w:r>
            <w:r w:rsidRPr="00DF514A">
              <w:rPr>
                <w:spacing w:val="-2"/>
              </w:rPr>
              <w:t>v obdobích hospodářské expanze bývá průmysl jedním z nejdynamičtějších segmentů ekonomiky. V období 2014 až 2017 činilo průměrné roční tempo růstu zaměstnanosti v průmyslu 1,8</w:t>
            </w:r>
            <w:r w:rsidR="006E33D0">
              <w:rPr>
                <w:spacing w:val="-2"/>
              </w:rPr>
              <w:t> %</w:t>
            </w:r>
            <w:r w:rsidRPr="00DF514A">
              <w:rPr>
                <w:spacing w:val="-2"/>
              </w:rPr>
              <w:t>, v celé ekonomice pak 1,1</w:t>
            </w:r>
            <w:r w:rsidR="006E33D0">
              <w:rPr>
                <w:spacing w:val="-2"/>
              </w:rPr>
              <w:t> %</w:t>
            </w:r>
            <w:r w:rsidRPr="00DF514A">
              <w:rPr>
                <w:spacing w:val="-2"/>
              </w:rPr>
              <w:t>.</w:t>
            </w:r>
          </w:p>
        </w:tc>
      </w:tr>
      <w:tr w:rsidR="000774EC" w14:paraId="1375B505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1F6DB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7FDB7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CF3E7" w14:textId="50F8A13E" w:rsidR="00097078" w:rsidRPr="00FB7A5C" w:rsidRDefault="004C0391" w:rsidP="00044059">
            <w:pPr>
              <w:spacing w:after="40"/>
              <w:jc w:val="left"/>
              <w:rPr>
                <w:b/>
                <w:spacing w:val="-4"/>
              </w:rPr>
            </w:pPr>
            <w:r w:rsidRPr="00FB7A5C">
              <w:rPr>
                <w:b/>
                <w:spacing w:val="-4"/>
              </w:rPr>
              <w:t>Graf</w:t>
            </w:r>
            <w:r w:rsidR="006E33D0" w:rsidRPr="00FB7A5C">
              <w:rPr>
                <w:b/>
                <w:spacing w:val="-4"/>
              </w:rPr>
              <w:t xml:space="preserve"> č. </w:t>
            </w:r>
            <w:r w:rsidR="00307E77" w:rsidRPr="00FB7A5C">
              <w:rPr>
                <w:b/>
                <w:spacing w:val="-4"/>
              </w:rPr>
              <w:t xml:space="preserve">6  </w:t>
            </w:r>
            <w:r w:rsidR="00097078" w:rsidRPr="00FB7A5C">
              <w:rPr>
                <w:b/>
                <w:spacing w:val="-4"/>
              </w:rPr>
              <w:t xml:space="preserve">Počet zaměstnanců, </w:t>
            </w:r>
            <w:proofErr w:type="spellStart"/>
            <w:r w:rsidR="00097078" w:rsidRPr="00FB7A5C">
              <w:rPr>
                <w:b/>
                <w:spacing w:val="-4"/>
              </w:rPr>
              <w:t>sebezaměstnaných</w:t>
            </w:r>
            <w:proofErr w:type="spellEnd"/>
            <w:r w:rsidR="00097078" w:rsidRPr="00FB7A5C">
              <w:rPr>
                <w:b/>
                <w:spacing w:val="-4"/>
              </w:rPr>
              <w:t xml:space="preserve"> </w:t>
            </w:r>
            <w:r w:rsidR="00097078" w:rsidRPr="00FB7A5C">
              <w:rPr>
                <w:spacing w:val="-4"/>
              </w:rPr>
              <w:t>(úroveň roku 2005</w:t>
            </w:r>
            <w:r w:rsidR="00A92D9F" w:rsidRPr="00FB7A5C">
              <w:rPr>
                <w:spacing w:val="-4"/>
              </w:rPr>
              <w:t> </w:t>
            </w:r>
            <w:r w:rsidR="00097078" w:rsidRPr="00FB7A5C">
              <w:rPr>
                <w:spacing w:val="-4"/>
              </w:rPr>
              <w:t>=</w:t>
            </w:r>
            <w:r w:rsidR="00A92D9F" w:rsidRPr="00FB7A5C">
              <w:rPr>
                <w:spacing w:val="-4"/>
              </w:rPr>
              <w:t> </w:t>
            </w:r>
            <w:r w:rsidR="00097078" w:rsidRPr="00FB7A5C">
              <w:rPr>
                <w:spacing w:val="-4"/>
              </w:rPr>
              <w:t xml:space="preserve">100) </w:t>
            </w:r>
            <w:r w:rsidR="00307E77" w:rsidRPr="00FB7A5C">
              <w:rPr>
                <w:b/>
                <w:spacing w:val="-4"/>
              </w:rPr>
              <w:t>a </w:t>
            </w:r>
            <w:r w:rsidR="00097078" w:rsidRPr="00FB7A5C">
              <w:rPr>
                <w:b/>
                <w:spacing w:val="-4"/>
              </w:rPr>
              <w:t xml:space="preserve">celkový počet pracovníků* v průmyslu </w:t>
            </w:r>
            <w:r w:rsidR="00307E77" w:rsidRPr="00FB7A5C">
              <w:rPr>
                <w:b/>
                <w:spacing w:val="-4"/>
              </w:rPr>
              <w:t>a </w:t>
            </w:r>
            <w:r w:rsidR="00097078" w:rsidRPr="00FB7A5C">
              <w:rPr>
                <w:b/>
                <w:spacing w:val="-4"/>
              </w:rPr>
              <w:t xml:space="preserve">národním hospodářství ČR </w:t>
            </w:r>
            <w:r w:rsidR="00097078" w:rsidRPr="00FB7A5C">
              <w:rPr>
                <w:spacing w:val="-4"/>
              </w:rPr>
              <w:t>(meziroční změna, v</w:t>
            </w:r>
            <w:r w:rsidR="006E33D0" w:rsidRPr="00FB7A5C">
              <w:rPr>
                <w:spacing w:val="-4"/>
              </w:rPr>
              <w:t> %</w:t>
            </w:r>
            <w:r w:rsidR="00097078" w:rsidRPr="00FB7A5C">
              <w:rPr>
                <w:spacing w:val="-4"/>
              </w:rPr>
              <w:t>)</w:t>
            </w:r>
          </w:p>
        </w:tc>
      </w:tr>
      <w:tr w:rsidR="00FB5B26" w14:paraId="2909D23D" w14:textId="77777777" w:rsidTr="0014314C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E4677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2038F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F493E" w14:textId="3A48AB91" w:rsidR="00097078" w:rsidRDefault="00FB7A5C" w:rsidP="00044059">
            <w:pPr>
              <w:spacing w:after="40"/>
            </w:pPr>
            <w:r>
              <w:rPr>
                <w:noProof/>
              </w:rPr>
              <w:drawing>
                <wp:inline distT="0" distB="0" distL="0" distR="0" wp14:anchorId="10EAA3A2" wp14:editId="1FBFD0A4">
                  <wp:extent cx="4688840" cy="3364992"/>
                  <wp:effectExtent l="0" t="0" r="0" b="6985"/>
                  <wp:docPr id="35" name="Graf 3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0774EC" w14:paraId="5A49B466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33005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6230E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BB804" w14:textId="73A453BB" w:rsidR="00097078" w:rsidRPr="00F710D4" w:rsidRDefault="00097078" w:rsidP="00044059">
            <w:pPr>
              <w:spacing w:after="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*Všechny údaje vycház</w:t>
            </w:r>
            <w:r w:rsidR="00A92D9F">
              <w:rPr>
                <w:sz w:val="14"/>
                <w:szCs w:val="14"/>
              </w:rPr>
              <w:t>ej</w:t>
            </w:r>
            <w:r w:rsidRPr="00F710D4">
              <w:rPr>
                <w:sz w:val="14"/>
                <w:szCs w:val="14"/>
              </w:rPr>
              <w:t>í z údajů přepočtených na plné úvazky.</w:t>
            </w:r>
          </w:p>
          <w:p w14:paraId="7B2F2274" w14:textId="77777777" w:rsidR="00097078" w:rsidRPr="00F710D4" w:rsidRDefault="00097078" w:rsidP="00044059">
            <w:pPr>
              <w:spacing w:after="22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Zdroj: ČSÚ (národní účty)</w:t>
            </w:r>
          </w:p>
        </w:tc>
      </w:tr>
      <w:tr w:rsidR="000774EC" w14:paraId="16816FB3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29A5" w14:textId="77777777" w:rsidR="00307E77" w:rsidRDefault="00097078" w:rsidP="00044059">
            <w:pPr>
              <w:pStyle w:val="Marginlie"/>
              <w:rPr>
                <w:spacing w:val="-4"/>
              </w:rPr>
            </w:pPr>
            <w:r w:rsidRPr="008C3C5B">
              <w:rPr>
                <w:spacing w:val="-4"/>
              </w:rPr>
              <w:lastRenderedPageBreak/>
              <w:t xml:space="preserve">Dlouhodobý vývoj počtu </w:t>
            </w:r>
            <w:proofErr w:type="spellStart"/>
            <w:r w:rsidRPr="008C3C5B">
              <w:rPr>
                <w:spacing w:val="-4"/>
              </w:rPr>
              <w:t>sebezaměstnaných</w:t>
            </w:r>
            <w:proofErr w:type="spellEnd"/>
            <w:r w:rsidRPr="008C3C5B">
              <w:rPr>
                <w:spacing w:val="-4"/>
              </w:rPr>
              <w:t xml:space="preserve"> v průmyslu přímou vazbu na hospodářský cyklus nevykazoval.</w:t>
            </w:r>
          </w:p>
          <w:p w14:paraId="2A8D5C9C" w14:textId="77777777" w:rsidR="00307E77" w:rsidRDefault="00307E77" w:rsidP="00044059">
            <w:pPr>
              <w:pStyle w:val="Marginlie"/>
              <w:rPr>
                <w:spacing w:val="-4"/>
              </w:rPr>
            </w:pPr>
          </w:p>
          <w:p w14:paraId="3EE08304" w14:textId="77777777" w:rsidR="00307E77" w:rsidRDefault="00097078" w:rsidP="00044059">
            <w:pPr>
              <w:pStyle w:val="Marginlie"/>
            </w:pPr>
            <w:r w:rsidRPr="00D00890">
              <w:t xml:space="preserve">Zaměstnanců v poslední dekádě vcelku plynule přibývalo, počet </w:t>
            </w:r>
            <w:proofErr w:type="spellStart"/>
            <w:r w:rsidRPr="00D00890">
              <w:t>sebezaměstnaných</w:t>
            </w:r>
            <w:proofErr w:type="spellEnd"/>
            <w:r w:rsidRPr="00D00890">
              <w:t xml:space="preserve"> v průmyslu spíše stagnoval.</w:t>
            </w:r>
          </w:p>
          <w:p w14:paraId="3D019DA2" w14:textId="0C2692F5" w:rsidR="00097078" w:rsidRDefault="00097078" w:rsidP="00044059">
            <w:pPr>
              <w:pStyle w:val="Marginlie"/>
            </w:pPr>
          </w:p>
          <w:p w14:paraId="020915C4" w14:textId="77777777" w:rsidR="00097078" w:rsidRDefault="00097078" w:rsidP="00044059">
            <w:pPr>
              <w:pStyle w:val="Marginlie"/>
            </w:pPr>
          </w:p>
          <w:p w14:paraId="31949F60" w14:textId="77777777" w:rsidR="00097078" w:rsidRDefault="00097078" w:rsidP="00044059">
            <w:pPr>
              <w:pStyle w:val="Marginlie"/>
            </w:pPr>
          </w:p>
          <w:p w14:paraId="2DB2EEEF" w14:textId="77777777" w:rsidR="00097078" w:rsidRDefault="00097078" w:rsidP="00044059">
            <w:pPr>
              <w:pStyle w:val="Marginlie"/>
            </w:pPr>
          </w:p>
          <w:p w14:paraId="44851520" w14:textId="32F8DB9D" w:rsidR="00097078" w:rsidRPr="00D00890" w:rsidRDefault="00097078" w:rsidP="00044059">
            <w:pPr>
              <w:pStyle w:val="Marginlie"/>
            </w:pPr>
            <w:r>
              <w:t>Počet pracovníků v průmyslu se v roce 2019 snížil, nejvíce za poslední</w:t>
            </w:r>
            <w:r w:rsidR="00FD32DB">
              <w:t>ch</w:t>
            </w:r>
            <w:r>
              <w:t xml:space="preserve"> devět let.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83F5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30130" w14:textId="688B19D6" w:rsidR="00097078" w:rsidRPr="005143A4" w:rsidRDefault="00097078" w:rsidP="00BE3331">
            <w:pPr>
              <w:spacing w:after="220"/>
              <w:rPr>
                <w:spacing w:val="-2"/>
                <w:szCs w:val="20"/>
              </w:rPr>
            </w:pPr>
            <w:r>
              <w:rPr>
                <w:spacing w:val="-2"/>
              </w:rPr>
              <w:t>Výše uvedená</w:t>
            </w:r>
            <w:r w:rsidRPr="005143A4">
              <w:rPr>
                <w:spacing w:val="-2"/>
              </w:rPr>
              <w:t xml:space="preserve"> cykličnost se týká primárně zaměstnanců. </w:t>
            </w:r>
            <w:r w:rsidR="00307E77" w:rsidRPr="005143A4">
              <w:rPr>
                <w:spacing w:val="-2"/>
              </w:rPr>
              <w:t>U</w:t>
            </w:r>
            <w:r w:rsidR="00307E77">
              <w:rPr>
                <w:spacing w:val="-2"/>
              </w:rPr>
              <w:t> </w:t>
            </w:r>
            <w:proofErr w:type="spellStart"/>
            <w:r w:rsidRPr="005143A4">
              <w:rPr>
                <w:spacing w:val="-2"/>
              </w:rPr>
              <w:t>sebezaměstnaných</w:t>
            </w:r>
            <w:proofErr w:type="spellEnd"/>
            <w:r w:rsidRPr="005143A4">
              <w:rPr>
                <w:spacing w:val="-2"/>
              </w:rPr>
              <w:t xml:space="preserve"> v průmyslu je vazba </w:t>
            </w:r>
            <w:r w:rsidR="00307E77" w:rsidRPr="005143A4">
              <w:rPr>
                <w:spacing w:val="-2"/>
              </w:rPr>
              <w:t>s</w:t>
            </w:r>
            <w:r w:rsidR="00307E77">
              <w:rPr>
                <w:spacing w:val="-2"/>
              </w:rPr>
              <w:t> </w:t>
            </w:r>
            <w:r w:rsidRPr="005143A4">
              <w:rPr>
                <w:spacing w:val="-2"/>
              </w:rPr>
              <w:t xml:space="preserve">hospodářským vývojem výrazně rozostřená. </w:t>
            </w:r>
            <w:r>
              <w:rPr>
                <w:spacing w:val="-2"/>
              </w:rPr>
              <w:t xml:space="preserve">Počet </w:t>
            </w:r>
            <w:proofErr w:type="spellStart"/>
            <w:r w:rsidRPr="005143A4">
              <w:rPr>
                <w:spacing w:val="-2"/>
              </w:rPr>
              <w:t>sebezaměstnaných</w:t>
            </w:r>
            <w:proofErr w:type="spellEnd"/>
            <w:r>
              <w:rPr>
                <w:spacing w:val="-2"/>
              </w:rPr>
              <w:t xml:space="preserve"> plynule rostl od počátku 9</w:t>
            </w:r>
            <w:r w:rsidR="00307E77">
              <w:rPr>
                <w:spacing w:val="-2"/>
              </w:rPr>
              <w:t>0. </w:t>
            </w:r>
            <w:r>
              <w:rPr>
                <w:spacing w:val="-2"/>
              </w:rPr>
              <w:t xml:space="preserve">let až do roku 2003, tedy </w:t>
            </w:r>
            <w:r w:rsidR="00307E77">
              <w:rPr>
                <w:spacing w:val="-2"/>
              </w:rPr>
              <w:t>i </w:t>
            </w:r>
            <w:r>
              <w:rPr>
                <w:spacing w:val="-2"/>
              </w:rPr>
              <w:t xml:space="preserve">v období finanční krize </w:t>
            </w:r>
            <w:r w:rsidR="00FD32DB">
              <w:rPr>
                <w:spacing w:val="-2"/>
              </w:rPr>
              <w:t xml:space="preserve">na </w:t>
            </w:r>
            <w:r>
              <w:rPr>
                <w:spacing w:val="-2"/>
              </w:rPr>
              <w:t>konci 9</w:t>
            </w:r>
            <w:r w:rsidR="00307E77">
              <w:rPr>
                <w:spacing w:val="-2"/>
              </w:rPr>
              <w:t>0. </w:t>
            </w:r>
            <w:r>
              <w:rPr>
                <w:spacing w:val="-2"/>
              </w:rPr>
              <w:t xml:space="preserve">let. Tento vývoj souvisel se všeobecným rozvojem drobného podnikání </w:t>
            </w:r>
            <w:r w:rsidR="00307E77">
              <w:rPr>
                <w:spacing w:val="-2"/>
              </w:rPr>
              <w:t>a </w:t>
            </w:r>
            <w:r>
              <w:rPr>
                <w:spacing w:val="-2"/>
              </w:rPr>
              <w:t xml:space="preserve">nebyl zdaleka omezen pouze na průmysl. V letech 2004 až 2006, </w:t>
            </w:r>
            <w:r w:rsidR="00FD32DB">
              <w:rPr>
                <w:spacing w:val="-2"/>
              </w:rPr>
              <w:t xml:space="preserve">která byla </w:t>
            </w:r>
            <w:r>
              <w:rPr>
                <w:spacing w:val="-2"/>
              </w:rPr>
              <w:t xml:space="preserve">celkově ve znamení sílící konjunktury, zde </w:t>
            </w:r>
            <w:proofErr w:type="spellStart"/>
            <w:r>
              <w:rPr>
                <w:spacing w:val="-2"/>
              </w:rPr>
              <w:t>sebezaměstnaných</w:t>
            </w:r>
            <w:proofErr w:type="spellEnd"/>
            <w:r>
              <w:rPr>
                <w:spacing w:val="-2"/>
              </w:rPr>
              <w:t xml:space="preserve"> mírně ubývalo (zčásti patrně vlivem přelivu do zaměstnaneckých pozic v průmyslu). V letech 2007 </w:t>
            </w:r>
            <w:r w:rsidR="00FD32DB">
              <w:rPr>
                <w:spacing w:val="-2"/>
              </w:rPr>
              <w:t>a </w:t>
            </w:r>
            <w:r>
              <w:rPr>
                <w:spacing w:val="-2"/>
              </w:rPr>
              <w:t xml:space="preserve">2008 již přispívaly ke svižnému více než 2% růstu zaměstnanosti v průmyslu jak drobní podnikatelé, tak zaměstnanci. Následná hluboká recese vedla v roce </w:t>
            </w:r>
            <w:r w:rsidR="00BE3331">
              <w:rPr>
                <w:spacing w:val="-2"/>
              </w:rPr>
              <w:t xml:space="preserve">2009 </w:t>
            </w:r>
            <w:r>
              <w:rPr>
                <w:spacing w:val="-2"/>
              </w:rPr>
              <w:t>k citelné redukci zaměstnaneckých pozic (</w:t>
            </w:r>
            <w:r w:rsidR="00307E77">
              <w:rPr>
                <w:spacing w:val="-2"/>
              </w:rPr>
              <w:t>o </w:t>
            </w:r>
            <w:r>
              <w:rPr>
                <w:spacing w:val="-2"/>
              </w:rPr>
              <w:t>7,1</w:t>
            </w:r>
            <w:r w:rsidR="006E33D0">
              <w:rPr>
                <w:spacing w:val="-2"/>
              </w:rPr>
              <w:t> %</w:t>
            </w:r>
            <w:r>
              <w:rPr>
                <w:spacing w:val="-2"/>
              </w:rPr>
              <w:t xml:space="preserve"> meziročně), </w:t>
            </w:r>
            <w:proofErr w:type="spellStart"/>
            <w:r>
              <w:rPr>
                <w:spacing w:val="-2"/>
              </w:rPr>
              <w:t>sebezaměstnaných</w:t>
            </w:r>
            <w:proofErr w:type="spellEnd"/>
            <w:r>
              <w:rPr>
                <w:spacing w:val="-2"/>
              </w:rPr>
              <w:t xml:space="preserve"> ubývalo pozvolněji (</w:t>
            </w:r>
            <w:r w:rsidR="00307E77">
              <w:rPr>
                <w:spacing w:val="-2"/>
              </w:rPr>
              <w:t>o </w:t>
            </w:r>
            <w:r>
              <w:rPr>
                <w:spacing w:val="-2"/>
              </w:rPr>
              <w:t>2,2</w:t>
            </w:r>
            <w:r w:rsidR="006E33D0">
              <w:rPr>
                <w:spacing w:val="-2"/>
              </w:rPr>
              <w:t> %</w:t>
            </w:r>
            <w:r>
              <w:rPr>
                <w:spacing w:val="-2"/>
              </w:rPr>
              <w:t xml:space="preserve">). Ti tak dosáhli předkrizové úrovně zaměstnanosti již během roku 2010. </w:t>
            </w:r>
            <w:r w:rsidR="00307E77">
              <w:rPr>
                <w:spacing w:val="-2"/>
              </w:rPr>
              <w:t>U </w:t>
            </w:r>
            <w:r>
              <w:rPr>
                <w:spacing w:val="-2"/>
              </w:rPr>
              <w:t xml:space="preserve">zaměstnanců se tak stalo až v roce 2018, a to navzdory faktu, že počet obsazených pracovních míst v této kategorii po většinu poslední dekády vcelku plynule rostl. </w:t>
            </w:r>
            <w:r>
              <w:rPr>
                <w:szCs w:val="20"/>
              </w:rPr>
              <w:t xml:space="preserve">Cyklický vývoj průmyslu je patrný </w:t>
            </w:r>
            <w:r w:rsidR="00307E77">
              <w:rPr>
                <w:szCs w:val="20"/>
              </w:rPr>
              <w:t>v </w:t>
            </w:r>
            <w:r>
              <w:rPr>
                <w:szCs w:val="20"/>
              </w:rPr>
              <w:t xml:space="preserve">dynamice celkové zaměstnanosti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>v posledních pěti letech. Zatímco v celé ekonomice se meziroční růstové tempo počtu pracovníků v období 2015 až 2018 téměř neměnilo (</w:t>
            </w:r>
            <w:r w:rsidR="00307E77">
              <w:rPr>
                <w:szCs w:val="20"/>
              </w:rPr>
              <w:t>v </w:t>
            </w:r>
            <w:r>
              <w:rPr>
                <w:szCs w:val="20"/>
              </w:rPr>
              <w:t>průměru dosahovalo 1,3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), v průmyslu růst slábl (</w:t>
            </w:r>
            <w:r w:rsidR="00307E77">
              <w:rPr>
                <w:szCs w:val="20"/>
              </w:rPr>
              <w:t>z </w:t>
            </w:r>
            <w:r>
              <w:rPr>
                <w:szCs w:val="20"/>
              </w:rPr>
              <w:t>vysokých 3,1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na 0,8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). V roce 2019 zde zaměstnanost již mírně klesla (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0,8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)</w:t>
            </w:r>
            <w:r w:rsidR="00FD32DB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 xml:space="preserve">zaznamenala tak nejslabší tempo za posledních devět let. Podíleli se na tom podobnou měrou </w:t>
            </w:r>
            <w:proofErr w:type="gramStart"/>
            <w:r>
              <w:rPr>
                <w:szCs w:val="20"/>
              </w:rPr>
              <w:t>zaměstnanci (–7,7</w:t>
            </w:r>
            <w:proofErr w:type="gramEnd"/>
            <w:r w:rsidR="006E33D0">
              <w:rPr>
                <w:szCs w:val="20"/>
              </w:rPr>
              <w:t> tis.</w:t>
            </w:r>
            <w:r>
              <w:rPr>
                <w:szCs w:val="20"/>
              </w:rPr>
              <w:t xml:space="preserve">) </w:t>
            </w:r>
            <w:r w:rsidR="00307E77">
              <w:rPr>
                <w:szCs w:val="20"/>
              </w:rPr>
              <w:t>i </w:t>
            </w:r>
            <w:proofErr w:type="spellStart"/>
            <w:r>
              <w:rPr>
                <w:szCs w:val="20"/>
              </w:rPr>
              <w:t>sebezaměstnaní</w:t>
            </w:r>
            <w:proofErr w:type="spellEnd"/>
            <w:r>
              <w:rPr>
                <w:szCs w:val="20"/>
              </w:rPr>
              <w:t xml:space="preserve"> (–5,2</w:t>
            </w:r>
            <w:r w:rsidR="006E33D0">
              <w:rPr>
                <w:szCs w:val="20"/>
              </w:rPr>
              <w:t> tis.</w:t>
            </w:r>
            <w:r>
              <w:rPr>
                <w:szCs w:val="20"/>
              </w:rPr>
              <w:t>)</w:t>
            </w:r>
            <w:r w:rsidR="00FD32DB">
              <w:rPr>
                <w:szCs w:val="20"/>
              </w:rPr>
              <w:t>.</w:t>
            </w:r>
          </w:p>
        </w:tc>
      </w:tr>
      <w:tr w:rsidR="000774EC" w14:paraId="75824B31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6D0A8" w14:textId="77911BBA" w:rsidR="00097078" w:rsidRDefault="00097078" w:rsidP="00044059">
            <w:pPr>
              <w:pStyle w:val="Marginlie"/>
            </w:pPr>
            <w:r>
              <w:t xml:space="preserve">Absolutně </w:t>
            </w:r>
            <w:r w:rsidR="00307E77">
              <w:t>i </w:t>
            </w:r>
            <w:r>
              <w:t>relativně klesla v roce 2019 zaměstnanost nejvíce ve výrobě počítačů, elektronických a optických přístrojů.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FCACB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3C10F" w14:textId="7D28D3A4" w:rsidR="00097078" w:rsidRPr="00F710D4" w:rsidRDefault="00097078" w:rsidP="00E67E81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 xml:space="preserve">Meziroční redukce zaměstnanosti postihla v roce 2019 dvacet </w:t>
            </w:r>
            <w:r w:rsidR="00A02041">
              <w:rPr>
                <w:szCs w:val="20"/>
              </w:rPr>
              <w:t xml:space="preserve">ze </w:t>
            </w:r>
            <w:r>
              <w:rPr>
                <w:szCs w:val="20"/>
              </w:rPr>
              <w:t xml:space="preserve">čtyřiadvaceti zpracovatelských oborů. Nejintenzivněji </w:t>
            </w:r>
            <w:r w:rsidR="00A02041">
              <w:rPr>
                <w:szCs w:val="20"/>
              </w:rPr>
              <w:t xml:space="preserve">snižovali </w:t>
            </w:r>
            <w:r>
              <w:rPr>
                <w:szCs w:val="20"/>
              </w:rPr>
              <w:t xml:space="preserve">stavy výrobci počítačů, elektronických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optických přístrojů (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9,2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). Toto odvětví také nejvíce </w:t>
            </w:r>
            <w:r w:rsidR="00E67E81">
              <w:rPr>
                <w:szCs w:val="20"/>
              </w:rPr>
              <w:t xml:space="preserve">přispělo </w:t>
            </w:r>
            <w:r>
              <w:rPr>
                <w:szCs w:val="20"/>
              </w:rPr>
              <w:t>k poklesu v celém průmyslu (0,3</w:t>
            </w:r>
            <w:r w:rsidR="006E33D0">
              <w:rPr>
                <w:szCs w:val="20"/>
              </w:rPr>
              <w:t> p. b.</w:t>
            </w:r>
            <w:r>
              <w:rPr>
                <w:szCs w:val="20"/>
              </w:rPr>
              <w:t>). Následovaly při řádově mírnějším relativním úbytku míst váhově významné obory strojírenství (0,17</w:t>
            </w:r>
            <w:r w:rsidR="006E33D0">
              <w:rPr>
                <w:szCs w:val="20"/>
              </w:rPr>
              <w:t> p. b.</w:t>
            </w:r>
            <w:r>
              <w:rPr>
                <w:szCs w:val="20"/>
              </w:rPr>
              <w:t xml:space="preserve">)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kovodělného průmyslu (0,1</w:t>
            </w:r>
            <w:r w:rsidR="006E33D0">
              <w:rPr>
                <w:szCs w:val="20"/>
              </w:rPr>
              <w:t> p. b.</w:t>
            </w:r>
            <w:r>
              <w:rPr>
                <w:szCs w:val="20"/>
              </w:rPr>
              <w:t>), ve kterých v předešlých osmi letech pracovníků nepřetržitě přibývalo.</w:t>
            </w:r>
          </w:p>
        </w:tc>
      </w:tr>
      <w:tr w:rsidR="000774EC" w:rsidRPr="00741856" w14:paraId="7FE4295B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B82A0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EF64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B3746" w14:textId="059DFB19" w:rsidR="00097078" w:rsidRPr="000153F6" w:rsidRDefault="004C0391" w:rsidP="00044059">
            <w:pPr>
              <w:spacing w:after="40"/>
              <w:jc w:val="left"/>
              <w:rPr>
                <w:b/>
                <w:szCs w:val="20"/>
              </w:rPr>
            </w:pPr>
            <w:r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č. </w:t>
            </w:r>
            <w:r w:rsidR="00307E77">
              <w:rPr>
                <w:b/>
                <w:szCs w:val="20"/>
              </w:rPr>
              <w:t xml:space="preserve">7  </w:t>
            </w:r>
            <w:r w:rsidR="00097078">
              <w:rPr>
                <w:b/>
                <w:szCs w:val="20"/>
              </w:rPr>
              <w:t xml:space="preserve">Počet zaměstnanců </w:t>
            </w:r>
            <w:r w:rsidR="00307E77">
              <w:rPr>
                <w:b/>
                <w:szCs w:val="20"/>
              </w:rPr>
              <w:t>a </w:t>
            </w:r>
            <w:proofErr w:type="spellStart"/>
            <w:r w:rsidR="00097078">
              <w:rPr>
                <w:b/>
                <w:szCs w:val="20"/>
              </w:rPr>
              <w:t>sebezaměstnaných</w:t>
            </w:r>
            <w:proofErr w:type="spellEnd"/>
            <w:r w:rsidR="00097078" w:rsidRPr="000153F6">
              <w:rPr>
                <w:szCs w:val="20"/>
              </w:rPr>
              <w:t xml:space="preserve"> (v tis.</w:t>
            </w:r>
            <w:r w:rsidR="00097078">
              <w:rPr>
                <w:szCs w:val="20"/>
              </w:rPr>
              <w:t>, přepočtené osoby</w:t>
            </w:r>
            <w:r w:rsidR="00097078" w:rsidRPr="000153F6">
              <w:rPr>
                <w:szCs w:val="20"/>
              </w:rPr>
              <w:t>)</w:t>
            </w:r>
            <w:r w:rsidR="00097078">
              <w:rPr>
                <w:b/>
                <w:szCs w:val="20"/>
              </w:rPr>
              <w:t xml:space="preserve"> a</w:t>
            </w:r>
            <w:r w:rsidR="00097078" w:rsidRPr="000153F6">
              <w:rPr>
                <w:szCs w:val="20"/>
              </w:rPr>
              <w:t> </w:t>
            </w:r>
            <w:r w:rsidR="00097078">
              <w:rPr>
                <w:b/>
                <w:szCs w:val="20"/>
              </w:rPr>
              <w:t xml:space="preserve">změna celkové zaměstnanosti </w:t>
            </w:r>
            <w:r w:rsidR="00307E77">
              <w:rPr>
                <w:b/>
                <w:szCs w:val="20"/>
              </w:rPr>
              <w:t>v </w:t>
            </w:r>
            <w:r w:rsidR="00097078">
              <w:rPr>
                <w:b/>
                <w:szCs w:val="20"/>
              </w:rPr>
              <w:t xml:space="preserve">dílčích průmyslových odvětvích </w:t>
            </w:r>
            <w:r w:rsidR="00307E77" w:rsidRPr="006D1B98">
              <w:rPr>
                <w:b/>
                <w:szCs w:val="20"/>
              </w:rPr>
              <w:t>v</w:t>
            </w:r>
            <w:r w:rsidR="00307E77">
              <w:rPr>
                <w:b/>
                <w:szCs w:val="20"/>
              </w:rPr>
              <w:t> </w:t>
            </w:r>
            <w:r w:rsidR="00097078" w:rsidRPr="006D1B98">
              <w:rPr>
                <w:b/>
                <w:szCs w:val="20"/>
              </w:rPr>
              <w:t>ČR</w:t>
            </w:r>
            <w:r w:rsidR="00097078">
              <w:rPr>
                <w:szCs w:val="20"/>
              </w:rPr>
              <w:t xml:space="preserve"> (v</w:t>
            </w:r>
            <w:r w:rsidR="006E33D0">
              <w:rPr>
                <w:szCs w:val="20"/>
              </w:rPr>
              <w:t> %</w:t>
            </w:r>
            <w:r w:rsidR="00097078">
              <w:rPr>
                <w:szCs w:val="20"/>
              </w:rPr>
              <w:t>)</w:t>
            </w:r>
          </w:p>
        </w:tc>
      </w:tr>
      <w:tr w:rsidR="00FB5B26" w14:paraId="26ECC46E" w14:textId="77777777" w:rsidTr="0014314C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7959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33DBF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4B050" w14:textId="51BBFDEB" w:rsidR="00097078" w:rsidRPr="000153F6" w:rsidRDefault="00FB5B26" w:rsidP="00044059">
            <w:pPr>
              <w:spacing w:after="4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08FAF6" wp14:editId="30E991ED">
                  <wp:extent cx="4778746" cy="3638049"/>
                  <wp:effectExtent l="0" t="0" r="3175" b="635"/>
                  <wp:docPr id="36" name="Graf 3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0774EC" w:rsidRPr="00DE574B" w14:paraId="4B751D19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881DB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A9CD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03F6B" w14:textId="0994F63E" w:rsidR="00097078" w:rsidRPr="004F0CBA" w:rsidRDefault="00097078" w:rsidP="00044059">
            <w:pPr>
              <w:spacing w:after="0" w:line="240" w:lineRule="auto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 xml:space="preserve">Poznámka: Sekce Vodního </w:t>
            </w:r>
            <w:r w:rsidR="00307E77">
              <w:rPr>
                <w:sz w:val="14"/>
                <w:szCs w:val="14"/>
              </w:rPr>
              <w:t>a </w:t>
            </w:r>
            <w:r>
              <w:rPr>
                <w:sz w:val="14"/>
                <w:szCs w:val="14"/>
              </w:rPr>
              <w:t xml:space="preserve">odpadového </w:t>
            </w:r>
            <w:r w:rsidRPr="00F710D4">
              <w:rPr>
                <w:sz w:val="14"/>
                <w:szCs w:val="14"/>
              </w:rPr>
              <w:t xml:space="preserve">hospodářství zahrnuje dílčí odvětví: Shromažďování, úprava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>rozvod vody</w:t>
            </w:r>
            <w:r w:rsidRPr="004F0CBA">
              <w:rPr>
                <w:sz w:val="14"/>
                <w:szCs w:val="14"/>
              </w:rPr>
              <w:t>;</w:t>
            </w:r>
            <w:r w:rsidRPr="00F710D4">
              <w:rPr>
                <w:sz w:val="14"/>
                <w:szCs w:val="14"/>
              </w:rPr>
              <w:t xml:space="preserve"> Činnosti související s odpadními vodami</w:t>
            </w:r>
            <w:r w:rsidRPr="004F0CBA">
              <w:rPr>
                <w:sz w:val="14"/>
                <w:szCs w:val="14"/>
              </w:rPr>
              <w:t>;</w:t>
            </w:r>
            <w:r w:rsidRPr="00F710D4">
              <w:rPr>
                <w:sz w:val="14"/>
                <w:szCs w:val="14"/>
              </w:rPr>
              <w:t xml:space="preserve"> Shromažďování, sběr, odstraňování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>úprava odpadů</w:t>
            </w:r>
            <w:r w:rsidRPr="004F0CBA">
              <w:rPr>
                <w:sz w:val="14"/>
                <w:szCs w:val="14"/>
              </w:rPr>
              <w:t>;</w:t>
            </w:r>
            <w:r w:rsidRPr="00F710D4">
              <w:rPr>
                <w:sz w:val="14"/>
                <w:szCs w:val="14"/>
              </w:rPr>
              <w:t xml:space="preserve"> Sanace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>jiné činnosti související s odpady.</w:t>
            </w:r>
          </w:p>
          <w:p w14:paraId="494DDF1C" w14:textId="77777777" w:rsidR="00097078" w:rsidRPr="000E201C" w:rsidRDefault="00097078" w:rsidP="003722A4">
            <w:pPr>
              <w:spacing w:after="0"/>
              <w:rPr>
                <w:sz w:val="16"/>
                <w:szCs w:val="16"/>
              </w:rPr>
            </w:pPr>
            <w:r w:rsidRPr="00F710D4">
              <w:rPr>
                <w:sz w:val="14"/>
                <w:szCs w:val="14"/>
              </w:rPr>
              <w:t>Zdroj: ČSÚ (národní účty)</w:t>
            </w:r>
          </w:p>
        </w:tc>
      </w:tr>
      <w:tr w:rsidR="00FB5B26" w:rsidRPr="00F00A85" w14:paraId="5BEDEE84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A1F72" w14:textId="791133AA" w:rsidR="00097078" w:rsidRDefault="00097078" w:rsidP="00E67E81">
            <w:pPr>
              <w:pStyle w:val="Marginlie"/>
            </w:pPr>
            <w:r>
              <w:lastRenderedPageBreak/>
              <w:t xml:space="preserve">Svižný růst zaměstnanosti v energetice kontrastoval v posledních letech </w:t>
            </w:r>
            <w:r w:rsidR="00E67E81">
              <w:t>s</w:t>
            </w:r>
            <w:r>
              <w:t> pokračujícím útlumem těžby uhlí.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550AD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4C4C8" w14:textId="1E44E2B8" w:rsidR="00097078" w:rsidRPr="00723AEA" w:rsidRDefault="00097078" w:rsidP="00E67E81">
            <w:pPr>
              <w:spacing w:after="220"/>
              <w:rPr>
                <w:spacing w:val="-2"/>
                <w:szCs w:val="20"/>
              </w:rPr>
            </w:pPr>
            <w:r w:rsidRPr="00723AEA">
              <w:rPr>
                <w:spacing w:val="-2"/>
                <w:szCs w:val="20"/>
              </w:rPr>
              <w:t>Naproti tomu v jednom z nejmenších oborů</w:t>
            </w:r>
            <w:r w:rsidR="003E4E75">
              <w:rPr>
                <w:spacing w:val="-2"/>
                <w:szCs w:val="20"/>
              </w:rPr>
              <w:t> </w:t>
            </w:r>
            <w:r w:rsidRPr="00723AEA">
              <w:rPr>
                <w:spacing w:val="-2"/>
                <w:szCs w:val="20"/>
              </w:rPr>
              <w:t>– kožedělném průmyslu</w:t>
            </w:r>
            <w:r w:rsidR="003E4E75">
              <w:rPr>
                <w:spacing w:val="-2"/>
                <w:szCs w:val="20"/>
              </w:rPr>
              <w:t> </w:t>
            </w:r>
            <w:r w:rsidRPr="00723AEA">
              <w:rPr>
                <w:spacing w:val="-2"/>
                <w:szCs w:val="20"/>
              </w:rPr>
              <w:t>– je úbytek pracovních míst dlouhodobým jevem (</w:t>
            </w:r>
            <w:r w:rsidR="00307E77" w:rsidRPr="00723AEA">
              <w:rPr>
                <w:spacing w:val="-2"/>
                <w:szCs w:val="20"/>
              </w:rPr>
              <w:t>v</w:t>
            </w:r>
            <w:r w:rsidR="00307E77">
              <w:rPr>
                <w:spacing w:val="-2"/>
                <w:szCs w:val="20"/>
              </w:rPr>
              <w:t> </w:t>
            </w:r>
            <w:r w:rsidRPr="00723AEA">
              <w:rPr>
                <w:spacing w:val="-2"/>
                <w:szCs w:val="20"/>
              </w:rPr>
              <w:t xml:space="preserve">roce 2019 šlo </w:t>
            </w:r>
            <w:r w:rsidR="00307E77" w:rsidRPr="00723AEA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Pr="00723AEA">
              <w:rPr>
                <w:spacing w:val="-2"/>
                <w:szCs w:val="20"/>
              </w:rPr>
              <w:t>6,5</w:t>
            </w:r>
            <w:r w:rsidR="006E33D0">
              <w:rPr>
                <w:spacing w:val="-2"/>
                <w:szCs w:val="20"/>
              </w:rPr>
              <w:t> %</w:t>
            </w:r>
            <w:r w:rsidRPr="00723AEA">
              <w:rPr>
                <w:spacing w:val="-2"/>
                <w:szCs w:val="20"/>
              </w:rPr>
              <w:t>). Po pěti silných růstových letech ubylo pracovníků také v klíčovém zpracovatelském oboru</w:t>
            </w:r>
            <w:r w:rsidR="003E4E75">
              <w:rPr>
                <w:spacing w:val="-2"/>
                <w:szCs w:val="20"/>
              </w:rPr>
              <w:t> </w:t>
            </w:r>
            <w:r w:rsidRPr="00723AEA">
              <w:rPr>
                <w:spacing w:val="-2"/>
                <w:szCs w:val="20"/>
              </w:rPr>
              <w:t xml:space="preserve">– výrobě motorových </w:t>
            </w:r>
            <w:proofErr w:type="gramStart"/>
            <w:r w:rsidRPr="00723AEA">
              <w:rPr>
                <w:spacing w:val="-2"/>
                <w:szCs w:val="20"/>
              </w:rPr>
              <w:t>vozidel (–0,5</w:t>
            </w:r>
            <w:proofErr w:type="gramEnd"/>
            <w:r w:rsidR="006E33D0">
              <w:rPr>
                <w:spacing w:val="-2"/>
                <w:szCs w:val="20"/>
              </w:rPr>
              <w:t> %</w:t>
            </w:r>
            <w:r w:rsidRPr="00723AEA">
              <w:rPr>
                <w:spacing w:val="-2"/>
                <w:szCs w:val="20"/>
              </w:rPr>
              <w:t>). To v elektrotechnickém průmyslu, jenž je jedním z nosných subdodavatelských oborů pro výrobce vozidel, zaměstnanost dále rostla (+2,4</w:t>
            </w:r>
            <w:r w:rsidR="006E33D0">
              <w:rPr>
                <w:spacing w:val="-2"/>
                <w:szCs w:val="20"/>
              </w:rPr>
              <w:t> %</w:t>
            </w:r>
            <w:r w:rsidRPr="00723AEA">
              <w:rPr>
                <w:spacing w:val="-2"/>
                <w:szCs w:val="20"/>
              </w:rPr>
              <w:t xml:space="preserve">). </w:t>
            </w:r>
            <w:r w:rsidR="00307E77" w:rsidRPr="00723AEA">
              <w:rPr>
                <w:spacing w:val="-2"/>
                <w:szCs w:val="20"/>
              </w:rPr>
              <w:t>V</w:t>
            </w:r>
            <w:r w:rsidR="00307E77">
              <w:rPr>
                <w:spacing w:val="-2"/>
                <w:szCs w:val="20"/>
              </w:rPr>
              <w:t> </w:t>
            </w:r>
            <w:r w:rsidRPr="00723AEA">
              <w:rPr>
                <w:spacing w:val="-2"/>
                <w:szCs w:val="20"/>
              </w:rPr>
              <w:t xml:space="preserve">nezpracovatelských průmyslových oborech se v roce 2019 zaměstnanost vyvíjela diferencovaně. V energetice došlo již druhým rokem v řadě k bezmála 7% růstu </w:t>
            </w:r>
            <w:r w:rsidR="00307E77" w:rsidRPr="00723AEA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>
              <w:rPr>
                <w:spacing w:val="-2"/>
                <w:szCs w:val="20"/>
              </w:rPr>
              <w:t>vodní</w:t>
            </w:r>
            <w:r w:rsidRPr="00723AEA">
              <w:rPr>
                <w:spacing w:val="-2"/>
                <w:szCs w:val="20"/>
              </w:rPr>
              <w:t xml:space="preserve"> </w:t>
            </w:r>
            <w:r w:rsidR="00307E77" w:rsidRPr="00723AEA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723AEA">
              <w:rPr>
                <w:spacing w:val="-2"/>
                <w:szCs w:val="20"/>
              </w:rPr>
              <w:t xml:space="preserve">odpadové hospodářství posílilo </w:t>
            </w:r>
            <w:r>
              <w:rPr>
                <w:spacing w:val="-2"/>
                <w:szCs w:val="20"/>
              </w:rPr>
              <w:t>o</w:t>
            </w:r>
            <w:r w:rsidRPr="00723AEA">
              <w:rPr>
                <w:spacing w:val="-2"/>
                <w:szCs w:val="20"/>
              </w:rPr>
              <w:t> </w:t>
            </w:r>
            <w:r>
              <w:rPr>
                <w:spacing w:val="-2"/>
                <w:szCs w:val="20"/>
              </w:rPr>
              <w:t>1</w:t>
            </w:r>
            <w:r w:rsidRPr="00723AEA">
              <w:rPr>
                <w:spacing w:val="-2"/>
                <w:szCs w:val="20"/>
              </w:rPr>
              <w:t xml:space="preserve"> %, na druhé straně </w:t>
            </w:r>
            <w:r w:rsidR="003E4E75">
              <w:rPr>
                <w:spacing w:val="-2"/>
                <w:szCs w:val="20"/>
              </w:rPr>
              <w:t xml:space="preserve">odvětví </w:t>
            </w:r>
            <w:r w:rsidR="003E4E75" w:rsidRPr="00723AEA">
              <w:rPr>
                <w:spacing w:val="-2"/>
                <w:szCs w:val="20"/>
              </w:rPr>
              <w:t>těžb</w:t>
            </w:r>
            <w:r w:rsidR="003E4E75">
              <w:rPr>
                <w:spacing w:val="-2"/>
                <w:szCs w:val="20"/>
              </w:rPr>
              <w:t>y</w:t>
            </w:r>
            <w:r w:rsidR="003E4E75" w:rsidRPr="00723AEA">
              <w:rPr>
                <w:spacing w:val="-2"/>
                <w:szCs w:val="20"/>
              </w:rPr>
              <w:t xml:space="preserve"> </w:t>
            </w:r>
            <w:r w:rsidR="00307E77" w:rsidRPr="00723AEA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723AEA">
              <w:rPr>
                <w:spacing w:val="-2"/>
                <w:szCs w:val="20"/>
              </w:rPr>
              <w:t xml:space="preserve">dobývání si </w:t>
            </w:r>
            <w:r w:rsidR="003E4E75" w:rsidRPr="00723AEA">
              <w:rPr>
                <w:spacing w:val="-2"/>
                <w:szCs w:val="20"/>
              </w:rPr>
              <w:t>při</w:t>
            </w:r>
            <w:r w:rsidR="003E4E75">
              <w:rPr>
                <w:spacing w:val="-2"/>
                <w:szCs w:val="20"/>
              </w:rPr>
              <w:t>ps</w:t>
            </w:r>
            <w:r w:rsidR="003E4E75" w:rsidRPr="00723AEA">
              <w:rPr>
                <w:spacing w:val="-2"/>
                <w:szCs w:val="20"/>
              </w:rPr>
              <w:t>al</w:t>
            </w:r>
            <w:r w:rsidR="003E4E75">
              <w:rPr>
                <w:spacing w:val="-2"/>
                <w:szCs w:val="20"/>
              </w:rPr>
              <w:t>o</w:t>
            </w:r>
            <w:r w:rsidR="003E4E75" w:rsidRPr="00723AEA">
              <w:rPr>
                <w:spacing w:val="-2"/>
                <w:szCs w:val="20"/>
              </w:rPr>
              <w:t xml:space="preserve"> </w:t>
            </w:r>
            <w:r w:rsidRPr="00723AEA">
              <w:rPr>
                <w:spacing w:val="-2"/>
                <w:szCs w:val="20"/>
              </w:rPr>
              <w:t xml:space="preserve">téměř 4% pokles (byť šlo </w:t>
            </w:r>
            <w:r w:rsidR="00307E77" w:rsidRPr="00723AEA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Pr="00723AEA">
              <w:rPr>
                <w:spacing w:val="-2"/>
                <w:szCs w:val="20"/>
              </w:rPr>
              <w:t xml:space="preserve">relativně nejmenší útlum za poslední čtyři roky). Za dlouhodobým poklesem zde stála těžba </w:t>
            </w:r>
            <w:r w:rsidR="00307E77" w:rsidRPr="00723AEA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723AEA">
              <w:rPr>
                <w:spacing w:val="-2"/>
                <w:szCs w:val="20"/>
              </w:rPr>
              <w:t xml:space="preserve">úprava uhlí, naproti tomu v ostatních segmentech těžebního průmyslu, např. </w:t>
            </w:r>
            <w:r w:rsidR="00EC135C">
              <w:rPr>
                <w:spacing w:val="-2"/>
                <w:szCs w:val="20"/>
              </w:rPr>
              <w:t>v </w:t>
            </w:r>
            <w:r w:rsidRPr="00723AEA">
              <w:rPr>
                <w:spacing w:val="-2"/>
                <w:szCs w:val="20"/>
              </w:rPr>
              <w:t>těžbě stavebních materiálů, k významnějším změnám v posledních letech nedocházelo.</w:t>
            </w:r>
          </w:p>
        </w:tc>
      </w:tr>
      <w:tr w:rsidR="00FB5B26" w:rsidRPr="00F00A85" w14:paraId="20977F4E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3131" w14:textId="64D68433" w:rsidR="00097078" w:rsidRDefault="00097078" w:rsidP="00044059">
            <w:pPr>
              <w:pStyle w:val="Marginlie"/>
            </w:pPr>
            <w:r>
              <w:t xml:space="preserve">Průmysl se mezi roky 2013 </w:t>
            </w:r>
            <w:r w:rsidR="00307E77">
              <w:t>a </w:t>
            </w:r>
            <w:r>
              <w:t>2019 podílel na růstu zaměstnanosti v celé ekonomice téměř ze 40</w:t>
            </w:r>
            <w:r w:rsidR="006E33D0">
              <w:t> %</w:t>
            </w:r>
            <w:r>
              <w:t>. Dařilo se hlavně výrobě automobilů,…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00C94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F5332" w14:textId="2FB2F497" w:rsidR="00097078" w:rsidRPr="003E5D9B" w:rsidRDefault="00097078" w:rsidP="00044059">
            <w:pPr>
              <w:spacing w:after="220"/>
              <w:rPr>
                <w:spacing w:val="-4"/>
                <w:szCs w:val="20"/>
              </w:rPr>
            </w:pPr>
            <w:r w:rsidRPr="003E5D9B">
              <w:rPr>
                <w:spacing w:val="-4"/>
                <w:szCs w:val="20"/>
              </w:rPr>
              <w:t xml:space="preserve">Citelné oslabení dynamiky výkonu tuzemského průmyslu patrné od roku 2018, které se postupně promítlo </w:t>
            </w:r>
            <w:r w:rsidR="00307E77" w:rsidRPr="003E5D9B">
              <w:rPr>
                <w:spacing w:val="-4"/>
                <w:szCs w:val="20"/>
              </w:rPr>
              <w:t>i</w:t>
            </w:r>
            <w:r w:rsidR="00307E77">
              <w:rPr>
                <w:spacing w:val="-4"/>
                <w:szCs w:val="20"/>
              </w:rPr>
              <w:t> </w:t>
            </w:r>
            <w:r w:rsidRPr="003E5D9B">
              <w:rPr>
                <w:spacing w:val="-4"/>
                <w:szCs w:val="20"/>
              </w:rPr>
              <w:t>do zaměstnanosti, nemůže ale zastínit fakt, že toto odvětví bylo v úhrnu za celé období od konce poslední recese (</w:t>
            </w:r>
            <w:r>
              <w:rPr>
                <w:spacing w:val="-4"/>
                <w:szCs w:val="20"/>
              </w:rPr>
              <w:t xml:space="preserve">rok </w:t>
            </w:r>
            <w:r w:rsidRPr="003E5D9B">
              <w:rPr>
                <w:spacing w:val="-4"/>
                <w:szCs w:val="20"/>
              </w:rPr>
              <w:t xml:space="preserve">2013) jedním z klíčových generátorů nových pracovních příležitostí </w:t>
            </w:r>
            <w:r w:rsidR="00307E77" w:rsidRPr="003E5D9B">
              <w:rPr>
                <w:spacing w:val="-4"/>
                <w:szCs w:val="20"/>
              </w:rPr>
              <w:t>v</w:t>
            </w:r>
            <w:r w:rsidR="00307E77">
              <w:rPr>
                <w:spacing w:val="-4"/>
                <w:szCs w:val="20"/>
              </w:rPr>
              <w:t> </w:t>
            </w:r>
            <w:r w:rsidRPr="003E5D9B">
              <w:rPr>
                <w:spacing w:val="-4"/>
                <w:szCs w:val="20"/>
              </w:rPr>
              <w:t>celé ekonom</w:t>
            </w:r>
            <w:r w:rsidR="00642FB8">
              <w:rPr>
                <w:spacing w:val="-4"/>
                <w:szCs w:val="20"/>
              </w:rPr>
              <w:t>i</w:t>
            </w:r>
            <w:r w:rsidRPr="003E5D9B">
              <w:rPr>
                <w:spacing w:val="-4"/>
                <w:szCs w:val="20"/>
              </w:rPr>
              <w:t xml:space="preserve">ce. Mezi roky 2013 </w:t>
            </w:r>
            <w:r w:rsidR="00307E77" w:rsidRPr="003E5D9B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3E5D9B">
              <w:rPr>
                <w:spacing w:val="-4"/>
                <w:szCs w:val="20"/>
              </w:rPr>
              <w:t xml:space="preserve">2019 se zde počet pracovníků navýšil </w:t>
            </w:r>
            <w:r w:rsidR="00307E77" w:rsidRPr="003E5D9B">
              <w:rPr>
                <w:spacing w:val="-4"/>
                <w:szCs w:val="20"/>
              </w:rPr>
              <w:t>o</w:t>
            </w:r>
            <w:r w:rsidR="00307E77">
              <w:rPr>
                <w:spacing w:val="-4"/>
                <w:szCs w:val="20"/>
              </w:rPr>
              <w:t> </w:t>
            </w:r>
            <w:r w:rsidRPr="003E5D9B">
              <w:rPr>
                <w:spacing w:val="-4"/>
                <w:szCs w:val="20"/>
              </w:rPr>
              <w:t>112</w:t>
            </w:r>
            <w:r w:rsidR="006E33D0">
              <w:rPr>
                <w:spacing w:val="-4"/>
                <w:szCs w:val="20"/>
              </w:rPr>
              <w:t> tis.</w:t>
            </w:r>
            <w:r w:rsidRPr="003E5D9B">
              <w:rPr>
                <w:spacing w:val="-4"/>
                <w:szCs w:val="20"/>
              </w:rPr>
              <w:t xml:space="preserve"> (resp. </w:t>
            </w:r>
            <w:r w:rsidR="00307E77" w:rsidRPr="003E5D9B">
              <w:rPr>
                <w:spacing w:val="-4"/>
                <w:szCs w:val="20"/>
              </w:rPr>
              <w:t>o</w:t>
            </w:r>
            <w:r w:rsidR="00307E77">
              <w:rPr>
                <w:spacing w:val="-4"/>
                <w:szCs w:val="20"/>
              </w:rPr>
              <w:t> </w:t>
            </w:r>
            <w:r w:rsidRPr="003E5D9B">
              <w:rPr>
                <w:spacing w:val="-4"/>
                <w:szCs w:val="20"/>
              </w:rPr>
              <w:t>8,0</w:t>
            </w:r>
            <w:r w:rsidR="006E33D0">
              <w:rPr>
                <w:spacing w:val="-4"/>
                <w:szCs w:val="20"/>
              </w:rPr>
              <w:t> %</w:t>
            </w:r>
            <w:r w:rsidRPr="003E5D9B">
              <w:rPr>
                <w:spacing w:val="-4"/>
                <w:szCs w:val="20"/>
              </w:rPr>
              <w:t xml:space="preserve">) </w:t>
            </w:r>
            <w:r w:rsidR="00307E77" w:rsidRPr="003E5D9B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3E5D9B">
              <w:rPr>
                <w:spacing w:val="-4"/>
                <w:szCs w:val="20"/>
              </w:rPr>
              <w:t>na růstu zaměstnanosti v národním hospodářství se podílel téměř 40</w:t>
            </w:r>
            <w:r w:rsidR="006E33D0">
              <w:rPr>
                <w:spacing w:val="-4"/>
                <w:szCs w:val="20"/>
              </w:rPr>
              <w:t> %</w:t>
            </w:r>
            <w:r w:rsidRPr="003E5D9B">
              <w:rPr>
                <w:spacing w:val="-4"/>
                <w:szCs w:val="20"/>
              </w:rPr>
              <w:t xml:space="preserve">. Přispěla k tomu především výroba motorových vozidel, kde se </w:t>
            </w:r>
            <w:r w:rsidR="00307E77" w:rsidRPr="003E5D9B">
              <w:rPr>
                <w:spacing w:val="-4"/>
                <w:szCs w:val="20"/>
              </w:rPr>
              <w:t>v</w:t>
            </w:r>
            <w:r w:rsidR="00307E77">
              <w:rPr>
                <w:spacing w:val="-4"/>
                <w:szCs w:val="20"/>
              </w:rPr>
              <w:t> </w:t>
            </w:r>
            <w:r w:rsidRPr="003E5D9B">
              <w:rPr>
                <w:spacing w:val="-4"/>
                <w:szCs w:val="20"/>
              </w:rPr>
              <w:t>tomto období počet zaměstnaných (</w:t>
            </w:r>
            <w:r w:rsidR="006E33D0">
              <w:rPr>
                <w:spacing w:val="-4"/>
                <w:szCs w:val="20"/>
              </w:rPr>
              <w:t xml:space="preserve">včetně </w:t>
            </w:r>
            <w:r w:rsidRPr="003E5D9B">
              <w:rPr>
                <w:spacing w:val="-4"/>
                <w:szCs w:val="20"/>
              </w:rPr>
              <w:t xml:space="preserve">agenturních pracovníků) zvýšil skoro </w:t>
            </w:r>
            <w:r w:rsidR="00307E77" w:rsidRPr="003E5D9B">
              <w:rPr>
                <w:spacing w:val="-4"/>
                <w:szCs w:val="20"/>
              </w:rPr>
              <w:t>o</w:t>
            </w:r>
            <w:r w:rsidR="00307E77">
              <w:rPr>
                <w:spacing w:val="-4"/>
                <w:szCs w:val="20"/>
              </w:rPr>
              <w:t> </w:t>
            </w:r>
            <w:r w:rsidRPr="003E5D9B">
              <w:rPr>
                <w:spacing w:val="-4"/>
                <w:szCs w:val="20"/>
              </w:rPr>
              <w:t>třetinu. Toto odvětví se tak v roce 2019 stalo početně nejsilnějším průmyslovým odvětvím (201</w:t>
            </w:r>
            <w:r w:rsidR="006E33D0">
              <w:rPr>
                <w:spacing w:val="-4"/>
                <w:szCs w:val="20"/>
              </w:rPr>
              <w:t> tis.</w:t>
            </w:r>
            <w:r w:rsidRPr="003E5D9B">
              <w:rPr>
                <w:spacing w:val="-4"/>
                <w:szCs w:val="20"/>
              </w:rPr>
              <w:t xml:space="preserve">) </w:t>
            </w:r>
            <w:r w:rsidR="00307E77" w:rsidRPr="003E5D9B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="00F97A48" w:rsidRPr="003E5D9B">
              <w:rPr>
                <w:spacing w:val="-4"/>
                <w:szCs w:val="20"/>
              </w:rPr>
              <w:t>tě</w:t>
            </w:r>
            <w:r w:rsidR="00F97A48">
              <w:rPr>
                <w:spacing w:val="-4"/>
                <w:szCs w:val="20"/>
              </w:rPr>
              <w:t>s</w:t>
            </w:r>
            <w:r w:rsidR="00F97A48" w:rsidRPr="003E5D9B">
              <w:rPr>
                <w:spacing w:val="-4"/>
                <w:szCs w:val="20"/>
              </w:rPr>
              <w:t xml:space="preserve">ně </w:t>
            </w:r>
            <w:r w:rsidRPr="003E5D9B">
              <w:rPr>
                <w:spacing w:val="-4"/>
                <w:szCs w:val="20"/>
              </w:rPr>
              <w:t>předstihlo do té doby vévodící kovodělný průmysl</w:t>
            </w:r>
            <w:r w:rsidRPr="003E5D9B">
              <w:rPr>
                <w:rStyle w:val="Znakapoznpodarou"/>
                <w:spacing w:val="-4"/>
              </w:rPr>
              <w:footnoteReference w:id="10"/>
            </w:r>
            <w:r w:rsidRPr="003E5D9B">
              <w:rPr>
                <w:spacing w:val="-4"/>
                <w:szCs w:val="20"/>
              </w:rPr>
              <w:t xml:space="preserve">. Takřka </w:t>
            </w:r>
            <w:r w:rsidR="00307E77" w:rsidRPr="003E5D9B">
              <w:rPr>
                <w:spacing w:val="-4"/>
                <w:szCs w:val="20"/>
              </w:rPr>
              <w:t>o</w:t>
            </w:r>
            <w:r w:rsidR="00307E77">
              <w:rPr>
                <w:spacing w:val="-4"/>
                <w:szCs w:val="20"/>
              </w:rPr>
              <w:t> </w:t>
            </w:r>
            <w:r w:rsidRPr="003E5D9B">
              <w:rPr>
                <w:spacing w:val="-4"/>
                <w:szCs w:val="20"/>
              </w:rPr>
              <w:t>pětinu narostly stavy pracovníků ve výrobě ostatních dopravních prostředků</w:t>
            </w:r>
            <w:r w:rsidRPr="003E5D9B">
              <w:rPr>
                <w:rStyle w:val="Znakapoznpodarou"/>
                <w:spacing w:val="-4"/>
              </w:rPr>
              <w:footnoteReference w:id="11"/>
            </w:r>
            <w:r w:rsidRPr="003E5D9B">
              <w:rPr>
                <w:spacing w:val="-4"/>
                <w:szCs w:val="20"/>
              </w:rPr>
              <w:t xml:space="preserve">, zhruba o šestinu pak v hlavních subdodavatelských odvětvích automobilového průmyslu (elektrotechnika, gumárenství). Více než desetinový nárůst registrovala energetika, odpadové hospodářství </w:t>
            </w:r>
            <w:r w:rsidR="00307E77" w:rsidRPr="003E5D9B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3E5D9B">
              <w:rPr>
                <w:spacing w:val="-4"/>
                <w:szCs w:val="20"/>
              </w:rPr>
              <w:t>papírenský průmysl.</w:t>
            </w:r>
          </w:p>
        </w:tc>
      </w:tr>
      <w:tr w:rsidR="00FB5B26" w:rsidRPr="00F00A85" w14:paraId="4342A2DC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9A84" w14:textId="208E647B" w:rsidR="00097078" w:rsidRDefault="00097078" w:rsidP="00044059">
            <w:pPr>
              <w:pStyle w:val="Marginlie"/>
            </w:pPr>
            <w:r>
              <w:t>…</w:t>
            </w:r>
            <w:r w:rsidR="006E33D0">
              <w:t> </w:t>
            </w:r>
            <w:r>
              <w:t xml:space="preserve">naopak </w:t>
            </w:r>
            <w:r w:rsidR="00F97A48">
              <w:t>v </w:t>
            </w:r>
            <w:r>
              <w:t>těžební</w:t>
            </w:r>
            <w:r w:rsidR="00F97A48">
              <w:t>m</w:t>
            </w:r>
            <w:r>
              <w:t xml:space="preserve"> či kožedělném průmyslu pokračoval dlouhodobý útlum.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3A93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FBF82" w14:textId="228D0544" w:rsidR="00097078" w:rsidRPr="003E5D9B" w:rsidRDefault="00097078" w:rsidP="00044059">
            <w:pPr>
              <w:spacing w:after="220"/>
              <w:rPr>
                <w:spacing w:val="-3"/>
                <w:szCs w:val="20"/>
              </w:rPr>
            </w:pPr>
            <w:r w:rsidRPr="003E5D9B">
              <w:rPr>
                <w:spacing w:val="-3"/>
                <w:szCs w:val="20"/>
              </w:rPr>
              <w:t xml:space="preserve">Naopak skoro čtvrtinu míst ztratil za posledních šest let kožedělný průmysl (proti roku 2005 dokonce polovinu), šestinu těžba </w:t>
            </w:r>
            <w:r w:rsidR="00307E77" w:rsidRPr="003E5D9B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3E5D9B">
              <w:rPr>
                <w:spacing w:val="-3"/>
                <w:szCs w:val="20"/>
              </w:rPr>
              <w:t>dobývání a desetinu výrobci nábytku. Jestliže v nábytkářství se na tom podepsal vývoj v poslední dekádě (do roku 2009 zde přetrvával růstový trend zaměstnanos</w:t>
            </w:r>
            <w:r>
              <w:rPr>
                <w:spacing w:val="-3"/>
                <w:szCs w:val="20"/>
              </w:rPr>
              <w:t>ti), ve většině oborů se silným</w:t>
            </w:r>
            <w:r w:rsidRPr="003E5D9B">
              <w:rPr>
                <w:spacing w:val="-3"/>
                <w:szCs w:val="20"/>
              </w:rPr>
              <w:t xml:space="preserve">i úbytky míst k tomu docházelo primárně vlivem náročné transformace průmyslu </w:t>
            </w:r>
            <w:r w:rsidR="00FF6B81">
              <w:rPr>
                <w:spacing w:val="-3"/>
                <w:szCs w:val="20"/>
              </w:rPr>
              <w:t>v </w:t>
            </w:r>
            <w:r w:rsidRPr="003E5D9B">
              <w:rPr>
                <w:spacing w:val="-3"/>
                <w:szCs w:val="20"/>
              </w:rPr>
              <w:t>9</w:t>
            </w:r>
            <w:r w:rsidR="00307E77" w:rsidRPr="003E5D9B">
              <w:rPr>
                <w:spacing w:val="-3"/>
                <w:szCs w:val="20"/>
              </w:rPr>
              <w:t>0</w:t>
            </w:r>
            <w:r w:rsidR="00307E77">
              <w:rPr>
                <w:spacing w:val="-3"/>
                <w:szCs w:val="20"/>
              </w:rPr>
              <w:t>. </w:t>
            </w:r>
            <w:r w:rsidRPr="003E5D9B">
              <w:rPr>
                <w:spacing w:val="-3"/>
                <w:szCs w:val="20"/>
              </w:rPr>
              <w:t>let</w:t>
            </w:r>
            <w:r w:rsidR="00FF6B81">
              <w:rPr>
                <w:spacing w:val="-3"/>
                <w:szCs w:val="20"/>
              </w:rPr>
              <w:t>ech,</w:t>
            </w:r>
            <w:r w:rsidRPr="003E5D9B">
              <w:rPr>
                <w:spacing w:val="-3"/>
                <w:szCs w:val="20"/>
              </w:rPr>
              <w:t xml:space="preserve"> spojené </w:t>
            </w:r>
            <w:r w:rsidR="00F97A48">
              <w:rPr>
                <w:spacing w:val="-3"/>
                <w:szCs w:val="20"/>
              </w:rPr>
              <w:t>s </w:t>
            </w:r>
            <w:r w:rsidRPr="003E5D9B">
              <w:rPr>
                <w:spacing w:val="-3"/>
                <w:szCs w:val="20"/>
              </w:rPr>
              <w:t>lib</w:t>
            </w:r>
            <w:r>
              <w:rPr>
                <w:spacing w:val="-3"/>
                <w:szCs w:val="20"/>
              </w:rPr>
              <w:t xml:space="preserve">eralizací zahraničního obchodu </w:t>
            </w:r>
            <w:r w:rsidR="00307E77">
              <w:rPr>
                <w:spacing w:val="-3"/>
                <w:szCs w:val="20"/>
              </w:rPr>
              <w:t>a </w:t>
            </w:r>
            <w:r w:rsidRPr="003E5D9B">
              <w:rPr>
                <w:spacing w:val="-3"/>
                <w:szCs w:val="20"/>
              </w:rPr>
              <w:t xml:space="preserve">sílícím tlakem na výrobní </w:t>
            </w:r>
            <w:r>
              <w:rPr>
                <w:spacing w:val="-3"/>
                <w:szCs w:val="20"/>
              </w:rPr>
              <w:t>náklady</w:t>
            </w:r>
            <w:r w:rsidRPr="003E5D9B">
              <w:rPr>
                <w:spacing w:val="-3"/>
                <w:szCs w:val="20"/>
              </w:rPr>
              <w:t>. Příklad</w:t>
            </w:r>
            <w:r w:rsidR="00F97A48">
              <w:rPr>
                <w:spacing w:val="-3"/>
                <w:szCs w:val="20"/>
              </w:rPr>
              <w:t>em</w:t>
            </w:r>
            <w:r w:rsidRPr="003E5D9B">
              <w:rPr>
                <w:spacing w:val="-3"/>
                <w:szCs w:val="20"/>
              </w:rPr>
              <w:t xml:space="preserve"> jsou hutnictví </w:t>
            </w:r>
            <w:r w:rsidR="00307E77" w:rsidRPr="003E5D9B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3E5D9B">
              <w:rPr>
                <w:spacing w:val="-3"/>
                <w:szCs w:val="20"/>
              </w:rPr>
              <w:t xml:space="preserve">slévárenství, výroba stavebních materiálů, oděvní či textilní průmysl. Zaměstnanost v těchto oborech se podařilo po roce 2010 stabilizovat, mnohdy </w:t>
            </w:r>
            <w:r w:rsidR="00307E77" w:rsidRPr="003E5D9B">
              <w:rPr>
                <w:spacing w:val="-3"/>
                <w:szCs w:val="20"/>
              </w:rPr>
              <w:t>i</w:t>
            </w:r>
            <w:r w:rsidR="00307E77">
              <w:rPr>
                <w:spacing w:val="-3"/>
                <w:szCs w:val="20"/>
              </w:rPr>
              <w:t> </w:t>
            </w:r>
            <w:r w:rsidRPr="003E5D9B">
              <w:rPr>
                <w:spacing w:val="-3"/>
                <w:szCs w:val="20"/>
              </w:rPr>
              <w:t>díky vhodnější specializaci (např. v textilním průmyslu na produkci umělých vláken užitých ve stavebnictví či posílením vazby např. s výrobci dopravních prostředků).</w:t>
            </w:r>
          </w:p>
        </w:tc>
      </w:tr>
      <w:tr w:rsidR="00FB5B26" w:rsidRPr="00F00A85" w14:paraId="30B315E5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EBA72" w14:textId="24020663" w:rsidR="00097078" w:rsidRDefault="00307E77" w:rsidP="00044059">
            <w:pPr>
              <w:pStyle w:val="Marginlie"/>
            </w:pPr>
            <w:r>
              <w:t>K </w:t>
            </w:r>
            <w:r w:rsidR="00097078">
              <w:t>ne</w:t>
            </w:r>
            <w:r w:rsidR="002E4F60">
              <w:t>j</w:t>
            </w:r>
            <w:r w:rsidR="00097078">
              <w:t xml:space="preserve">průmyslovějším regionům ČR z pohledu zaměstnanosti patří dlouhodobě Liberecký </w:t>
            </w:r>
            <w:r>
              <w:t>a </w:t>
            </w:r>
            <w:r w:rsidR="00097078">
              <w:t>Zlínský kraj a </w:t>
            </w:r>
            <w:r w:rsidR="00CF04A6">
              <w:t xml:space="preserve">Kraj </w:t>
            </w:r>
            <w:r w:rsidR="00097078">
              <w:t>Vysočina.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3902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E72B4" w14:textId="2D23FBF7" w:rsidR="00097078" w:rsidRPr="00C05BC7" w:rsidRDefault="00097078" w:rsidP="00044059">
            <w:pPr>
              <w:spacing w:after="220"/>
              <w:rPr>
                <w:spacing w:val="-4"/>
                <w:szCs w:val="20"/>
              </w:rPr>
            </w:pPr>
            <w:r w:rsidRPr="00C05BC7">
              <w:rPr>
                <w:spacing w:val="-4"/>
                <w:szCs w:val="20"/>
              </w:rPr>
              <w:t>Průmysl hraje výz</w:t>
            </w:r>
            <w:r>
              <w:rPr>
                <w:spacing w:val="-4"/>
                <w:szCs w:val="20"/>
              </w:rPr>
              <w:t xml:space="preserve">namnou roli na pracovním trhu </w:t>
            </w:r>
            <w:r w:rsidR="00307E77">
              <w:rPr>
                <w:spacing w:val="-4"/>
                <w:szCs w:val="20"/>
              </w:rPr>
              <w:t>v </w:t>
            </w:r>
            <w:r w:rsidRPr="00C05BC7">
              <w:rPr>
                <w:spacing w:val="-4"/>
                <w:szCs w:val="20"/>
              </w:rPr>
              <w:t xml:space="preserve">drtivé většině regionů ČR. K nejprůmyslovějším z nich patří dlouhodobě Liberecký </w:t>
            </w:r>
            <w:r w:rsidR="00307E77" w:rsidRPr="00C05BC7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C05BC7">
              <w:rPr>
                <w:spacing w:val="-4"/>
                <w:szCs w:val="20"/>
              </w:rPr>
              <w:t>Zlíns</w:t>
            </w:r>
            <w:r>
              <w:rPr>
                <w:spacing w:val="-4"/>
                <w:szCs w:val="20"/>
              </w:rPr>
              <w:t>ký kraj. V průměru za období 2017 až 2019</w:t>
            </w:r>
            <w:r w:rsidRPr="00C05BC7">
              <w:rPr>
                <w:spacing w:val="-4"/>
                <w:szCs w:val="20"/>
              </w:rPr>
              <w:t xml:space="preserve"> představoval </w:t>
            </w:r>
            <w:r w:rsidR="008834C6">
              <w:rPr>
                <w:spacing w:val="-4"/>
                <w:szCs w:val="20"/>
              </w:rPr>
              <w:t xml:space="preserve">průmysl </w:t>
            </w:r>
            <w:r w:rsidRPr="00C05BC7">
              <w:rPr>
                <w:spacing w:val="-4"/>
                <w:szCs w:val="20"/>
              </w:rPr>
              <w:t>hlavní odvětví pro více než 40</w:t>
            </w:r>
            <w:r w:rsidR="006E33D0">
              <w:rPr>
                <w:spacing w:val="-4"/>
                <w:szCs w:val="20"/>
              </w:rPr>
              <w:t> %</w:t>
            </w:r>
            <w:r w:rsidRPr="00C05BC7">
              <w:rPr>
                <w:spacing w:val="-4"/>
                <w:szCs w:val="20"/>
              </w:rPr>
              <w:t xml:space="preserve"> zaměstnaných obyvatel bydlících v těchto krajích. S těsným odstupem následoval Kraj Vysočina (39</w:t>
            </w:r>
            <w:r w:rsidR="006E33D0">
              <w:rPr>
                <w:spacing w:val="-4"/>
                <w:szCs w:val="20"/>
              </w:rPr>
              <w:t> %</w:t>
            </w:r>
            <w:r w:rsidRPr="00C05BC7">
              <w:rPr>
                <w:spacing w:val="-4"/>
                <w:szCs w:val="20"/>
              </w:rPr>
              <w:t xml:space="preserve">). V dalších osmi krajích přesahoval jeho podíl 30% hranici. Vzhledem k silné roli spádového krajského města se silnou </w:t>
            </w:r>
            <w:r w:rsidR="00307E77" w:rsidRPr="00C05BC7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C05BC7">
              <w:rPr>
                <w:spacing w:val="-4"/>
                <w:szCs w:val="20"/>
              </w:rPr>
              <w:t>pestrou nabídkou pracovních míst ve službách měl průmysl menší význam pro rezidenty v</w:t>
            </w:r>
            <w:r w:rsidR="00CF04A6">
              <w:rPr>
                <w:spacing w:val="-4"/>
                <w:szCs w:val="20"/>
              </w:rPr>
              <w:t xml:space="preserve"> krajích </w:t>
            </w:r>
            <w:r w:rsidRPr="00C05BC7">
              <w:rPr>
                <w:spacing w:val="-4"/>
                <w:szCs w:val="20"/>
              </w:rPr>
              <w:t xml:space="preserve">Jihomoravském </w:t>
            </w:r>
            <w:r>
              <w:rPr>
                <w:spacing w:val="-4"/>
                <w:szCs w:val="20"/>
              </w:rPr>
              <w:t>(28,2</w:t>
            </w:r>
            <w:r w:rsidR="006E33D0">
              <w:rPr>
                <w:spacing w:val="-4"/>
                <w:szCs w:val="20"/>
              </w:rPr>
              <w:t> %</w:t>
            </w:r>
            <w:r>
              <w:rPr>
                <w:spacing w:val="-4"/>
                <w:szCs w:val="20"/>
              </w:rPr>
              <w:t xml:space="preserve">)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>Středočeském (26,6</w:t>
            </w:r>
            <w:r w:rsidR="006E33D0">
              <w:rPr>
                <w:spacing w:val="-4"/>
                <w:szCs w:val="20"/>
              </w:rPr>
              <w:t> %</w:t>
            </w:r>
            <w:r w:rsidRPr="00C05BC7">
              <w:rPr>
                <w:spacing w:val="-4"/>
                <w:szCs w:val="20"/>
              </w:rPr>
              <w:t xml:space="preserve">) </w:t>
            </w:r>
            <w:r w:rsidR="00307E77" w:rsidRPr="00C05BC7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C05BC7">
              <w:rPr>
                <w:spacing w:val="-4"/>
                <w:szCs w:val="20"/>
              </w:rPr>
              <w:t xml:space="preserve">logicky také v Praze </w:t>
            </w:r>
            <w:r>
              <w:rPr>
                <w:spacing w:val="-4"/>
                <w:szCs w:val="20"/>
              </w:rPr>
              <w:t>(10,9</w:t>
            </w:r>
            <w:r w:rsidRPr="00C05BC7">
              <w:rPr>
                <w:spacing w:val="-4"/>
                <w:szCs w:val="20"/>
              </w:rPr>
              <w:t> %)</w:t>
            </w:r>
            <w:r w:rsidRPr="003E5D9B">
              <w:rPr>
                <w:rStyle w:val="Znakapoznpodarou"/>
                <w:spacing w:val="-4"/>
              </w:rPr>
              <w:footnoteReference w:id="12"/>
            </w:r>
            <w:r w:rsidRPr="00C05BC7">
              <w:rPr>
                <w:spacing w:val="-4"/>
                <w:szCs w:val="20"/>
              </w:rPr>
              <w:t>.</w:t>
            </w:r>
            <w:r>
              <w:rPr>
                <w:spacing w:val="-4"/>
                <w:szCs w:val="20"/>
              </w:rPr>
              <w:t xml:space="preserve"> Průmysl jako odvětví svého hlavního zaměstnání uvedlo </w:t>
            </w:r>
            <w:r w:rsidR="007D7668">
              <w:rPr>
                <w:spacing w:val="-4"/>
                <w:szCs w:val="20"/>
              </w:rPr>
              <w:lastRenderedPageBreak/>
              <w:t>ve VŠPS 36</w:t>
            </w:r>
            <w:r w:rsidR="006E33D0">
              <w:rPr>
                <w:spacing w:val="-4"/>
                <w:szCs w:val="20"/>
              </w:rPr>
              <w:t> %</w:t>
            </w:r>
            <w:r>
              <w:rPr>
                <w:spacing w:val="-4"/>
                <w:szCs w:val="20"/>
              </w:rPr>
              <w:t xml:space="preserve"> zaměstnaných mužů </w:t>
            </w:r>
            <w:r w:rsidR="00307E77">
              <w:rPr>
                <w:spacing w:val="-4"/>
                <w:szCs w:val="20"/>
              </w:rPr>
              <w:t>a </w:t>
            </w:r>
            <w:r w:rsidR="007D7668">
              <w:rPr>
                <w:spacing w:val="-4"/>
                <w:szCs w:val="20"/>
              </w:rPr>
              <w:t>23</w:t>
            </w:r>
            <w:r w:rsidR="006E33D0">
              <w:rPr>
                <w:spacing w:val="-4"/>
                <w:szCs w:val="20"/>
              </w:rPr>
              <w:t> %</w:t>
            </w:r>
            <w:r>
              <w:rPr>
                <w:spacing w:val="-4"/>
                <w:szCs w:val="20"/>
              </w:rPr>
              <w:t xml:space="preserve"> žen. Územní rozložení se mezi muži </w:t>
            </w:r>
            <w:r w:rsidR="00CF04A6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ženami moc nelišilo, jen </w:t>
            </w:r>
            <w:r w:rsidR="00307E77">
              <w:rPr>
                <w:spacing w:val="-4"/>
                <w:szCs w:val="20"/>
              </w:rPr>
              <w:t>u </w:t>
            </w:r>
            <w:r>
              <w:rPr>
                <w:spacing w:val="-4"/>
                <w:szCs w:val="20"/>
              </w:rPr>
              <w:t xml:space="preserve">rezidentů Moravskoslezského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>Ústeckého kraje se projevila výrazně častější preference průmyslu u</w:t>
            </w:r>
            <w:r w:rsidRPr="00C05BC7">
              <w:rPr>
                <w:spacing w:val="-4"/>
                <w:szCs w:val="20"/>
              </w:rPr>
              <w:t> </w:t>
            </w:r>
            <w:r>
              <w:rPr>
                <w:spacing w:val="-4"/>
                <w:szCs w:val="20"/>
              </w:rPr>
              <w:t>mužů</w:t>
            </w:r>
            <w:r w:rsidRPr="003E5D9B">
              <w:rPr>
                <w:rStyle w:val="Znakapoznpodarou"/>
                <w:spacing w:val="-4"/>
              </w:rPr>
              <w:footnoteReference w:id="13"/>
            </w:r>
            <w:r>
              <w:rPr>
                <w:spacing w:val="-4"/>
                <w:szCs w:val="20"/>
              </w:rPr>
              <w:t>. To souviselo se skladbou průmyslu v těchto regionech (</w:t>
            </w:r>
            <w:r w:rsidR="00CF04A6">
              <w:rPr>
                <w:spacing w:val="-4"/>
                <w:szCs w:val="20"/>
              </w:rPr>
              <w:t>s </w:t>
            </w:r>
            <w:r>
              <w:rPr>
                <w:spacing w:val="-4"/>
                <w:szCs w:val="20"/>
              </w:rPr>
              <w:t xml:space="preserve">nadprůměrným podílem těžby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dobývání, chemického průmyslu či hutnictví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>slévárenství).</w:t>
            </w:r>
          </w:p>
        </w:tc>
      </w:tr>
      <w:tr w:rsidR="00FB5B26" w:rsidRPr="00F00A85" w14:paraId="35525C25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BB600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2069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0B4D" w14:textId="7E45EBA4" w:rsidR="00097078" w:rsidRPr="00234F4B" w:rsidRDefault="004C0391" w:rsidP="00044059">
            <w:pPr>
              <w:spacing w:after="0"/>
              <w:rPr>
                <w:szCs w:val="20"/>
              </w:rPr>
            </w:pPr>
            <w:r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č. </w:t>
            </w:r>
            <w:r w:rsidR="00307E77">
              <w:rPr>
                <w:b/>
                <w:szCs w:val="20"/>
              </w:rPr>
              <w:t xml:space="preserve">8  </w:t>
            </w:r>
            <w:r w:rsidR="00097078" w:rsidRPr="00234F4B">
              <w:rPr>
                <w:b/>
                <w:szCs w:val="20"/>
              </w:rPr>
              <w:t xml:space="preserve">Podíl průmyslu na celkové zaměstnanosti mužů </w:t>
            </w:r>
            <w:r w:rsidR="00307E77" w:rsidRPr="00234F4B">
              <w:rPr>
                <w:b/>
                <w:szCs w:val="20"/>
              </w:rPr>
              <w:t>a</w:t>
            </w:r>
            <w:r w:rsidR="00307E77">
              <w:rPr>
                <w:b/>
                <w:szCs w:val="20"/>
              </w:rPr>
              <w:t> </w:t>
            </w:r>
            <w:r w:rsidR="00097078" w:rsidRPr="00234F4B">
              <w:rPr>
                <w:b/>
                <w:szCs w:val="20"/>
              </w:rPr>
              <w:t xml:space="preserve">žen </w:t>
            </w:r>
            <w:r w:rsidR="00307E77" w:rsidRPr="00234F4B">
              <w:rPr>
                <w:b/>
                <w:szCs w:val="20"/>
              </w:rPr>
              <w:t>v</w:t>
            </w:r>
            <w:r w:rsidR="00307E77">
              <w:rPr>
                <w:b/>
                <w:szCs w:val="20"/>
              </w:rPr>
              <w:t> </w:t>
            </w:r>
            <w:r w:rsidR="00097078" w:rsidRPr="00234F4B">
              <w:rPr>
                <w:b/>
                <w:szCs w:val="20"/>
              </w:rPr>
              <w:t>krajích ČR* v obdobích 2005</w:t>
            </w:r>
            <w:r w:rsidR="00E123E5">
              <w:rPr>
                <w:b/>
                <w:szCs w:val="20"/>
              </w:rPr>
              <w:t>–</w:t>
            </w:r>
            <w:r w:rsidR="00097078" w:rsidRPr="00234F4B">
              <w:rPr>
                <w:b/>
                <w:szCs w:val="20"/>
              </w:rPr>
              <w:t>2007 a 2017</w:t>
            </w:r>
            <w:r w:rsidR="00E123E5">
              <w:rPr>
                <w:b/>
                <w:szCs w:val="20"/>
              </w:rPr>
              <w:t>–</w:t>
            </w:r>
            <w:r w:rsidR="00097078" w:rsidRPr="00234F4B">
              <w:rPr>
                <w:b/>
                <w:szCs w:val="20"/>
              </w:rPr>
              <w:t>2019</w:t>
            </w:r>
            <w:r w:rsidR="00097078" w:rsidRPr="00234F4B">
              <w:rPr>
                <w:szCs w:val="20"/>
              </w:rPr>
              <w:t xml:space="preserve"> (v</w:t>
            </w:r>
            <w:r w:rsidR="006E33D0">
              <w:rPr>
                <w:szCs w:val="20"/>
              </w:rPr>
              <w:t> %</w:t>
            </w:r>
            <w:r w:rsidR="00097078" w:rsidRPr="00234F4B">
              <w:rPr>
                <w:szCs w:val="20"/>
              </w:rPr>
              <w:t>)</w:t>
            </w:r>
          </w:p>
        </w:tc>
      </w:tr>
      <w:tr w:rsidR="00FB5B26" w:rsidRPr="00F00A85" w14:paraId="426DCABF" w14:textId="77777777" w:rsidTr="0014314C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5C2BF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CE1E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3C79E" w14:textId="0E94E077" w:rsidR="00097078" w:rsidRDefault="000774EC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073F8BF" wp14:editId="70B1C0CC">
                  <wp:extent cx="4754880" cy="3339465"/>
                  <wp:effectExtent l="0" t="0" r="7620" b="0"/>
                  <wp:docPr id="38" name="Graf 3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FB5B26" w:rsidRPr="00F00A85" w14:paraId="1DF040D6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7CCC5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74AB5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9AA84" w14:textId="77777777" w:rsidR="00097078" w:rsidRPr="00F710D4" w:rsidRDefault="00097078" w:rsidP="00044059">
            <w:pPr>
              <w:spacing w:after="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*Pracovníci jsou zařazeni do krajů dle místa svého bydliště.</w:t>
            </w:r>
          </w:p>
          <w:p w14:paraId="12DF5C9A" w14:textId="77777777" w:rsidR="00097078" w:rsidRPr="00F710D4" w:rsidRDefault="00097078" w:rsidP="00044059">
            <w:pPr>
              <w:spacing w:after="22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Zdroj: ČSÚ (VŠPS)</w:t>
            </w:r>
          </w:p>
        </w:tc>
      </w:tr>
      <w:tr w:rsidR="00FB5B26" w:rsidRPr="00F00A85" w14:paraId="1C1554EC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410C2" w14:textId="54452FE5" w:rsidR="00097078" w:rsidRDefault="00097078" w:rsidP="00044059">
            <w:pPr>
              <w:pStyle w:val="Marginlie"/>
            </w:pPr>
            <w:r>
              <w:t xml:space="preserve">Podíl v průmyslu zaměstnaných mužů v poslední dekádě mírně rostl, </w:t>
            </w:r>
            <w:r w:rsidR="00307E77">
              <w:t>u </w:t>
            </w:r>
            <w:r>
              <w:t>žen stagnoval.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3B31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B101" w14:textId="20943CF4" w:rsidR="00097078" w:rsidRPr="001D65B8" w:rsidRDefault="00097078" w:rsidP="00044059">
            <w:pPr>
              <w:spacing w:after="220"/>
              <w:rPr>
                <w:spacing w:val="-4"/>
                <w:szCs w:val="20"/>
              </w:rPr>
            </w:pPr>
            <w:r>
              <w:rPr>
                <w:spacing w:val="-4"/>
                <w:szCs w:val="20"/>
              </w:rPr>
              <w:t xml:space="preserve">V posledních dvaceti letech se váha průmyslu </w:t>
            </w:r>
            <w:r w:rsidR="00307E77">
              <w:rPr>
                <w:spacing w:val="-4"/>
                <w:szCs w:val="20"/>
              </w:rPr>
              <w:t>v </w:t>
            </w:r>
            <w:r>
              <w:rPr>
                <w:spacing w:val="-4"/>
                <w:szCs w:val="20"/>
              </w:rPr>
              <w:t xml:space="preserve">celkové zaměstnanosti mužů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žen v tuzemsku vyvíjela odlišně. Zatímco ve struktuře zaměstnanosti mužů role průmyslu po roce 2003 již mírně posilovala (tento trend byl krátce přerušen pouze v souvislosti s globální finanční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hospodářskou krizí v roce 2009), </w:t>
            </w:r>
            <w:r w:rsidR="00307E77">
              <w:rPr>
                <w:spacing w:val="-4"/>
                <w:szCs w:val="20"/>
              </w:rPr>
              <w:t>u </w:t>
            </w:r>
            <w:r>
              <w:rPr>
                <w:spacing w:val="-4"/>
                <w:szCs w:val="20"/>
              </w:rPr>
              <w:t>žen se pokles spojený s transformačními procesy z 9</w:t>
            </w:r>
            <w:r w:rsidR="00307E77">
              <w:rPr>
                <w:spacing w:val="-4"/>
                <w:szCs w:val="20"/>
              </w:rPr>
              <w:t>0. </w:t>
            </w:r>
            <w:r>
              <w:rPr>
                <w:spacing w:val="-4"/>
                <w:szCs w:val="20"/>
              </w:rPr>
              <w:t xml:space="preserve">let zastavil až v roce 2005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po krátkém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mírném posílení </w:t>
            </w:r>
            <w:r w:rsidR="00307E77">
              <w:rPr>
                <w:spacing w:val="-4"/>
                <w:szCs w:val="20"/>
              </w:rPr>
              <w:t>v </w:t>
            </w:r>
            <w:r>
              <w:rPr>
                <w:spacing w:val="-4"/>
                <w:szCs w:val="20"/>
              </w:rPr>
              <w:t xml:space="preserve">navazujícím období vrcholící konjunktury následoval útlum v letech 2009 </w:t>
            </w:r>
            <w:r w:rsidR="00E315D4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2010 (hlubší než </w:t>
            </w:r>
            <w:r w:rsidR="00307E77">
              <w:rPr>
                <w:spacing w:val="-4"/>
                <w:szCs w:val="20"/>
              </w:rPr>
              <w:t>u </w:t>
            </w:r>
            <w:r>
              <w:rPr>
                <w:spacing w:val="-4"/>
                <w:szCs w:val="20"/>
              </w:rPr>
              <w:t xml:space="preserve">mužů). V poslední dekádě pak podíl průmyslu na celkové zaměstnanosti žen pouze stagnoval. Tento vývoj byl patrný </w:t>
            </w:r>
            <w:r w:rsidR="00307E77">
              <w:rPr>
                <w:spacing w:val="-4"/>
                <w:szCs w:val="20"/>
              </w:rPr>
              <w:t>i v </w:t>
            </w:r>
            <w:r>
              <w:rPr>
                <w:spacing w:val="-4"/>
                <w:szCs w:val="20"/>
              </w:rPr>
              <w:t xml:space="preserve">krajích. Jestliže podíl </w:t>
            </w:r>
            <w:r w:rsidR="00307E77">
              <w:rPr>
                <w:spacing w:val="-4"/>
                <w:szCs w:val="20"/>
              </w:rPr>
              <w:t>v </w:t>
            </w:r>
            <w:r>
              <w:rPr>
                <w:spacing w:val="-4"/>
                <w:szCs w:val="20"/>
              </w:rPr>
              <w:t>průmyslu zaměstnaných mužů se mezi obdobími 2005</w:t>
            </w:r>
            <w:r w:rsidR="00E315D4">
              <w:rPr>
                <w:spacing w:val="-4"/>
                <w:szCs w:val="20"/>
              </w:rPr>
              <w:t>–</w:t>
            </w:r>
            <w:r>
              <w:rPr>
                <w:spacing w:val="-4"/>
                <w:szCs w:val="20"/>
              </w:rPr>
              <w:t xml:space="preserve">2007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>2017</w:t>
            </w:r>
            <w:r w:rsidR="00E315D4">
              <w:rPr>
                <w:spacing w:val="-4"/>
                <w:szCs w:val="20"/>
              </w:rPr>
              <w:t>–</w:t>
            </w:r>
            <w:r>
              <w:rPr>
                <w:spacing w:val="-4"/>
                <w:szCs w:val="20"/>
              </w:rPr>
              <w:t xml:space="preserve">2019 mírně navýšil téměř ve všech krajích (vyjma Středočeského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Libereckého), </w:t>
            </w:r>
            <w:r w:rsidR="00307E77">
              <w:rPr>
                <w:spacing w:val="-4"/>
                <w:szCs w:val="20"/>
              </w:rPr>
              <w:t>u </w:t>
            </w:r>
            <w:r>
              <w:rPr>
                <w:spacing w:val="-4"/>
                <w:szCs w:val="20"/>
              </w:rPr>
              <w:t xml:space="preserve">žen došlo zpravidla ke znatelnému poklesu s výjimkou regionů </w:t>
            </w:r>
            <w:r w:rsidR="00E315D4">
              <w:rPr>
                <w:spacing w:val="-4"/>
                <w:szCs w:val="20"/>
              </w:rPr>
              <w:t xml:space="preserve">na </w:t>
            </w:r>
            <w:r>
              <w:rPr>
                <w:spacing w:val="-4"/>
                <w:szCs w:val="20"/>
              </w:rPr>
              <w:t xml:space="preserve">střední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severní Moravě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také v Praze. </w:t>
            </w:r>
            <w:r w:rsidR="00307E77">
              <w:rPr>
                <w:spacing w:val="-4"/>
                <w:szCs w:val="20"/>
              </w:rPr>
              <w:t>V </w:t>
            </w:r>
            <w:r>
              <w:rPr>
                <w:spacing w:val="-4"/>
                <w:szCs w:val="20"/>
              </w:rPr>
              <w:t xml:space="preserve">rozdílné dynamice zaměstnanosti podle pohlaví se projevil fakt, že řada oborů lehkého průmyslu, </w:t>
            </w:r>
            <w:r w:rsidR="00E315D4">
              <w:rPr>
                <w:spacing w:val="-4"/>
                <w:szCs w:val="20"/>
              </w:rPr>
              <w:t xml:space="preserve">které </w:t>
            </w:r>
            <w:r>
              <w:rPr>
                <w:spacing w:val="-4"/>
                <w:szCs w:val="20"/>
              </w:rPr>
              <w:t>poskytují uplatnění spíše ženám, ve sledovaném období pracovní místa redukovala (potravinářství, textilní a kožedělný průmysl)</w:t>
            </w:r>
            <w:r w:rsidR="007E36EA">
              <w:rPr>
                <w:spacing w:val="-4"/>
                <w:szCs w:val="20"/>
              </w:rPr>
              <w:t>.</w:t>
            </w:r>
          </w:p>
        </w:tc>
      </w:tr>
      <w:tr w:rsidR="00FB5B26" w:rsidRPr="00F00A85" w14:paraId="75E7B199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00F3D" w14:textId="4EFDA488" w:rsidR="00307E77" w:rsidRDefault="00097078" w:rsidP="00044059">
            <w:pPr>
              <w:pStyle w:val="Marginlie"/>
            </w:pPr>
            <w:r>
              <w:t xml:space="preserve">Dvě třetiny zaměstnaných </w:t>
            </w:r>
            <w:r w:rsidR="008B21E6">
              <w:t>v </w:t>
            </w:r>
            <w:r>
              <w:t>průmyslu tvořili manuální pracovníci.</w:t>
            </w:r>
          </w:p>
          <w:p w14:paraId="18AE2971" w14:textId="460F0B44" w:rsidR="00097078" w:rsidRDefault="00097078" w:rsidP="00044059">
            <w:pPr>
              <w:pStyle w:val="Marginlie"/>
            </w:pPr>
          </w:p>
          <w:p w14:paraId="6C78A280" w14:textId="77777777" w:rsidR="00097078" w:rsidRDefault="00097078" w:rsidP="00044059">
            <w:pPr>
              <w:pStyle w:val="Marginlie"/>
            </w:pPr>
          </w:p>
          <w:p w14:paraId="6AFEE928" w14:textId="77777777" w:rsidR="00097078" w:rsidRDefault="00097078" w:rsidP="00044059">
            <w:pPr>
              <w:pStyle w:val="Marginlie"/>
            </w:pPr>
          </w:p>
          <w:p w14:paraId="504389A8" w14:textId="026CCC44" w:rsidR="00097078" w:rsidRDefault="00097078" w:rsidP="00044059">
            <w:pPr>
              <w:pStyle w:val="Marginlie"/>
            </w:pPr>
            <w:r>
              <w:lastRenderedPageBreak/>
              <w:t xml:space="preserve">Váha specialistů na celkové zaměstnanosti </w:t>
            </w:r>
            <w:r w:rsidR="00307E77">
              <w:t>v </w:t>
            </w:r>
            <w:r>
              <w:t>průmyslu rostla.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4E20C" w14:textId="77777777" w:rsidR="00097078" w:rsidRPr="000774EC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0D567" w14:textId="55EBBCF8" w:rsidR="00097078" w:rsidRPr="000774EC" w:rsidRDefault="00097078" w:rsidP="00AC1296">
            <w:pPr>
              <w:spacing w:after="220"/>
              <w:rPr>
                <w:spacing w:val="-4"/>
                <w:szCs w:val="20"/>
              </w:rPr>
            </w:pPr>
            <w:r w:rsidRPr="000774EC">
              <w:rPr>
                <w:spacing w:val="-4"/>
                <w:szCs w:val="20"/>
              </w:rPr>
              <w:t>Vedle celkového počtu zaměstnanců je důležitá také jejich skladba. Z pohledu hlavních tříd klasifikace zaměstnání lze na základě údajů z </w:t>
            </w:r>
            <w:r w:rsidR="00AC1296" w:rsidRPr="000774EC">
              <w:rPr>
                <w:spacing w:val="-4"/>
                <w:szCs w:val="20"/>
              </w:rPr>
              <w:t xml:space="preserve">Výběrového </w:t>
            </w:r>
            <w:r w:rsidRPr="000774EC">
              <w:rPr>
                <w:spacing w:val="-4"/>
                <w:szCs w:val="20"/>
              </w:rPr>
              <w:t>šetření pracovních sil (VŠPS) konstatovat, že v průmyslu si udržují dominantní pozici převážně manuální pracovníci</w:t>
            </w:r>
            <w:r w:rsidRPr="000774EC">
              <w:rPr>
                <w:rStyle w:val="Znakapoznpodarou"/>
                <w:spacing w:val="-4"/>
              </w:rPr>
              <w:footnoteReference w:id="14"/>
            </w:r>
            <w:r w:rsidRPr="000774EC">
              <w:rPr>
                <w:spacing w:val="-4"/>
                <w:szCs w:val="20"/>
              </w:rPr>
              <w:t>, kteří zde v roce 2019 tvořili 65</w:t>
            </w:r>
            <w:r w:rsidR="006E33D0" w:rsidRPr="000774EC">
              <w:rPr>
                <w:spacing w:val="-4"/>
                <w:szCs w:val="20"/>
              </w:rPr>
              <w:t> %</w:t>
            </w:r>
            <w:r w:rsidRPr="000774EC">
              <w:rPr>
                <w:spacing w:val="-4"/>
                <w:szCs w:val="20"/>
              </w:rPr>
              <w:t xml:space="preserve"> všech zaměstnaných (</w:t>
            </w:r>
            <w:r w:rsidR="00307E77" w:rsidRPr="000774EC">
              <w:rPr>
                <w:spacing w:val="-4"/>
                <w:szCs w:val="20"/>
              </w:rPr>
              <w:t>s </w:t>
            </w:r>
            <w:r w:rsidRPr="000774EC">
              <w:rPr>
                <w:spacing w:val="-4"/>
                <w:szCs w:val="20"/>
              </w:rPr>
              <w:t xml:space="preserve">mírně vyšším zastoupením mužů než žen – </w:t>
            </w:r>
            <w:r w:rsidR="00307E77" w:rsidRPr="000774EC">
              <w:rPr>
                <w:spacing w:val="-4"/>
                <w:szCs w:val="20"/>
              </w:rPr>
              <w:t>o </w:t>
            </w:r>
            <w:r w:rsidRPr="000774EC">
              <w:rPr>
                <w:spacing w:val="-4"/>
                <w:szCs w:val="20"/>
              </w:rPr>
              <w:t>5</w:t>
            </w:r>
            <w:r w:rsidR="006E33D0" w:rsidRPr="000774EC">
              <w:rPr>
                <w:spacing w:val="-4"/>
                <w:szCs w:val="20"/>
              </w:rPr>
              <w:t> p. b.</w:t>
            </w:r>
            <w:r w:rsidRPr="000774EC">
              <w:rPr>
                <w:spacing w:val="-4"/>
                <w:szCs w:val="20"/>
              </w:rPr>
              <w:t xml:space="preserve">). Oproti roku 2011, kdy vstoupila v platnost současná klasifikace zaměstnání, nedošlo v tomto ohledu v průmyslu k významnějším strukturálním změnám. </w:t>
            </w:r>
            <w:r w:rsidRPr="000774EC">
              <w:rPr>
                <w:spacing w:val="-4"/>
                <w:szCs w:val="20"/>
              </w:rPr>
              <w:lastRenderedPageBreak/>
              <w:t xml:space="preserve">Podíl pracujících v převážně manuálních činnostech klesl </w:t>
            </w:r>
            <w:r w:rsidR="00307E77" w:rsidRPr="000774EC">
              <w:rPr>
                <w:spacing w:val="-4"/>
                <w:szCs w:val="20"/>
              </w:rPr>
              <w:t>o </w:t>
            </w:r>
            <w:r w:rsidRPr="000774EC">
              <w:rPr>
                <w:spacing w:val="-4"/>
                <w:szCs w:val="20"/>
              </w:rPr>
              <w:t>2</w:t>
            </w:r>
            <w:r w:rsidR="006E33D0" w:rsidRPr="000774EC">
              <w:rPr>
                <w:spacing w:val="-4"/>
                <w:szCs w:val="20"/>
              </w:rPr>
              <w:t> p. b.</w:t>
            </w:r>
            <w:r w:rsidRPr="000774EC">
              <w:rPr>
                <w:spacing w:val="-4"/>
                <w:szCs w:val="20"/>
              </w:rPr>
              <w:t xml:space="preserve"> (při mírném poklesu váhy třídy řemeslníků </w:t>
            </w:r>
            <w:r w:rsidR="00307E77" w:rsidRPr="000774EC">
              <w:rPr>
                <w:spacing w:val="-4"/>
                <w:szCs w:val="20"/>
              </w:rPr>
              <w:t>a </w:t>
            </w:r>
            <w:r w:rsidRPr="000774EC">
              <w:rPr>
                <w:spacing w:val="-4"/>
                <w:szCs w:val="20"/>
              </w:rPr>
              <w:t xml:space="preserve">opravářů </w:t>
            </w:r>
            <w:r w:rsidR="008B21E6" w:rsidRPr="000774EC">
              <w:rPr>
                <w:spacing w:val="-4"/>
                <w:szCs w:val="20"/>
              </w:rPr>
              <w:t>a </w:t>
            </w:r>
            <w:r w:rsidRPr="000774EC">
              <w:rPr>
                <w:spacing w:val="-4"/>
                <w:szCs w:val="20"/>
              </w:rPr>
              <w:t xml:space="preserve">protisměrně působícím nepatrném navýšení </w:t>
            </w:r>
            <w:r w:rsidR="00307E77" w:rsidRPr="000774EC">
              <w:rPr>
                <w:spacing w:val="-4"/>
                <w:szCs w:val="20"/>
              </w:rPr>
              <w:t>u </w:t>
            </w:r>
            <w:r w:rsidRPr="000774EC">
              <w:rPr>
                <w:spacing w:val="-4"/>
                <w:szCs w:val="20"/>
              </w:rPr>
              <w:t xml:space="preserve">třídy pomocných </w:t>
            </w:r>
            <w:r w:rsidR="00307E77" w:rsidRPr="000774EC">
              <w:rPr>
                <w:spacing w:val="-4"/>
                <w:szCs w:val="20"/>
              </w:rPr>
              <w:t>a </w:t>
            </w:r>
            <w:r w:rsidRPr="000774EC">
              <w:rPr>
                <w:spacing w:val="-4"/>
                <w:szCs w:val="20"/>
              </w:rPr>
              <w:t xml:space="preserve">nekvalifikovaných pracovníků). Nárůst nemanuálních pracovníků byl tažen zejména kategorií specialistů, jejichž podíl vzrostl </w:t>
            </w:r>
            <w:proofErr w:type="gramStart"/>
            <w:r w:rsidRPr="000774EC">
              <w:rPr>
                <w:spacing w:val="-4"/>
                <w:szCs w:val="20"/>
              </w:rPr>
              <w:t>ze</w:t>
            </w:r>
            <w:proofErr w:type="gramEnd"/>
            <w:r w:rsidR="008B21E6" w:rsidRPr="000774EC">
              <w:rPr>
                <w:spacing w:val="-4"/>
                <w:szCs w:val="20"/>
              </w:rPr>
              <w:t> </w:t>
            </w:r>
            <w:r w:rsidR="00307E77" w:rsidRPr="000774EC">
              <w:rPr>
                <w:spacing w:val="-4"/>
                <w:szCs w:val="20"/>
              </w:rPr>
              <w:t>3</w:t>
            </w:r>
            <w:r w:rsidR="008B21E6" w:rsidRPr="000774EC">
              <w:rPr>
                <w:spacing w:val="-4"/>
                <w:szCs w:val="20"/>
              </w:rPr>
              <w:t xml:space="preserve"> </w:t>
            </w:r>
            <w:r w:rsidRPr="000774EC">
              <w:rPr>
                <w:spacing w:val="-4"/>
                <w:szCs w:val="20"/>
              </w:rPr>
              <w:t>na</w:t>
            </w:r>
            <w:r w:rsidR="008B21E6" w:rsidRPr="000774EC">
              <w:rPr>
                <w:spacing w:val="-4"/>
                <w:szCs w:val="20"/>
              </w:rPr>
              <w:t> </w:t>
            </w:r>
            <w:r w:rsidRPr="000774EC">
              <w:rPr>
                <w:spacing w:val="-4"/>
                <w:szCs w:val="20"/>
              </w:rPr>
              <w:t>6</w:t>
            </w:r>
            <w:r w:rsidR="006E33D0" w:rsidRPr="000774EC">
              <w:rPr>
                <w:spacing w:val="-4"/>
                <w:szCs w:val="20"/>
              </w:rPr>
              <w:t> %</w:t>
            </w:r>
            <w:r w:rsidRPr="000774EC">
              <w:rPr>
                <w:spacing w:val="-4"/>
                <w:szCs w:val="20"/>
              </w:rPr>
              <w:t>.</w:t>
            </w:r>
          </w:p>
        </w:tc>
      </w:tr>
      <w:tr w:rsidR="00FB5B26" w:rsidRPr="00F00A85" w14:paraId="3AC94EE5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52AF9" w14:textId="0165D050" w:rsidR="00097078" w:rsidRDefault="00097078" w:rsidP="00044059">
            <w:pPr>
              <w:pStyle w:val="Marginlie"/>
            </w:pPr>
            <w:r>
              <w:lastRenderedPageBreak/>
              <w:t xml:space="preserve">Nejlepší kvalifikační skladbu pracovníků vykazuje z hlavních odvětví průmyslu energetika, nejhorší těžba </w:t>
            </w:r>
            <w:r w:rsidR="00307E77">
              <w:t>a </w:t>
            </w:r>
            <w:r>
              <w:t>dobývání.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E7DF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3D2C2" w14:textId="0665B1DE" w:rsidR="00097078" w:rsidRPr="000774EC" w:rsidRDefault="00097078" w:rsidP="00044059">
            <w:pPr>
              <w:spacing w:after="220"/>
              <w:rPr>
                <w:spacing w:val="-2"/>
                <w:szCs w:val="20"/>
              </w:rPr>
            </w:pPr>
            <w:r w:rsidRPr="000774EC">
              <w:rPr>
                <w:spacing w:val="-2"/>
                <w:szCs w:val="20"/>
              </w:rPr>
              <w:t xml:space="preserve">Na rozdíl od výše uvedených vývojových tendencí lze </w:t>
            </w:r>
            <w:r w:rsidR="00307E77" w:rsidRPr="000774EC">
              <w:rPr>
                <w:spacing w:val="-2"/>
                <w:szCs w:val="20"/>
              </w:rPr>
              <w:t>u </w:t>
            </w:r>
            <w:r w:rsidRPr="000774EC">
              <w:rPr>
                <w:spacing w:val="-2"/>
                <w:szCs w:val="20"/>
              </w:rPr>
              <w:t xml:space="preserve">kvalifikační skladby pracovníků </w:t>
            </w:r>
            <w:r w:rsidR="000854CA" w:rsidRPr="000774EC">
              <w:rPr>
                <w:spacing w:val="-2"/>
                <w:szCs w:val="20"/>
              </w:rPr>
              <w:t>v </w:t>
            </w:r>
            <w:r w:rsidRPr="000774EC">
              <w:rPr>
                <w:spacing w:val="-2"/>
                <w:szCs w:val="20"/>
              </w:rPr>
              <w:t xml:space="preserve">průmyslu nalézt významné rozdíly, </w:t>
            </w:r>
            <w:r w:rsidR="00307E77" w:rsidRPr="000774EC">
              <w:rPr>
                <w:spacing w:val="-2"/>
                <w:szCs w:val="20"/>
              </w:rPr>
              <w:t>a </w:t>
            </w:r>
            <w:r w:rsidRPr="000774EC">
              <w:rPr>
                <w:spacing w:val="-2"/>
                <w:szCs w:val="20"/>
              </w:rPr>
              <w:t xml:space="preserve">to v rámci odvětví </w:t>
            </w:r>
            <w:r w:rsidR="00307E77" w:rsidRPr="000774EC">
              <w:rPr>
                <w:spacing w:val="-2"/>
                <w:szCs w:val="20"/>
              </w:rPr>
              <w:t>i </w:t>
            </w:r>
            <w:r w:rsidRPr="000774EC">
              <w:rPr>
                <w:spacing w:val="-2"/>
                <w:szCs w:val="20"/>
              </w:rPr>
              <w:t>pohlaví. V roce 2019 tvořili v dominantní odvětvové sekci</w:t>
            </w:r>
            <w:r w:rsidR="0014314C">
              <w:rPr>
                <w:spacing w:val="-2"/>
                <w:szCs w:val="20"/>
              </w:rPr>
              <w:t xml:space="preserve"> </w:t>
            </w:r>
            <w:r w:rsidRPr="000774EC">
              <w:rPr>
                <w:spacing w:val="-2"/>
                <w:szCs w:val="20"/>
              </w:rPr>
              <w:t>– zpracovatelském průmyslu</w:t>
            </w:r>
            <w:r w:rsidR="0014314C">
              <w:rPr>
                <w:spacing w:val="-2"/>
                <w:szCs w:val="20"/>
              </w:rPr>
              <w:t xml:space="preserve"> </w:t>
            </w:r>
            <w:r w:rsidRPr="000774EC">
              <w:rPr>
                <w:spacing w:val="-2"/>
                <w:szCs w:val="20"/>
              </w:rPr>
              <w:t>– 31</w:t>
            </w:r>
            <w:r w:rsidR="006E33D0" w:rsidRPr="000774EC">
              <w:rPr>
                <w:spacing w:val="-2"/>
                <w:szCs w:val="20"/>
              </w:rPr>
              <w:t> %</w:t>
            </w:r>
            <w:r w:rsidRPr="000774EC">
              <w:rPr>
                <w:spacing w:val="-2"/>
                <w:szCs w:val="20"/>
              </w:rPr>
              <w:t xml:space="preserve"> všech pracovníků řemeslníci a opraváři</w:t>
            </w:r>
            <w:r w:rsidR="000854CA" w:rsidRPr="000774EC">
              <w:rPr>
                <w:spacing w:val="-2"/>
                <w:szCs w:val="20"/>
              </w:rPr>
              <w:t>,</w:t>
            </w:r>
            <w:r w:rsidRPr="000774EC">
              <w:rPr>
                <w:spacing w:val="-2"/>
                <w:szCs w:val="20"/>
              </w:rPr>
              <w:t xml:space="preserve"> následovaní kategorií obsluha strojů </w:t>
            </w:r>
            <w:r w:rsidR="00307E77" w:rsidRPr="000774EC">
              <w:rPr>
                <w:spacing w:val="-2"/>
                <w:szCs w:val="20"/>
              </w:rPr>
              <w:t>a </w:t>
            </w:r>
            <w:r w:rsidRPr="000774EC">
              <w:rPr>
                <w:spacing w:val="-2"/>
                <w:szCs w:val="20"/>
              </w:rPr>
              <w:t>zařízení (27</w:t>
            </w:r>
            <w:r w:rsidR="006E33D0" w:rsidRPr="000774EC">
              <w:rPr>
                <w:spacing w:val="-2"/>
                <w:szCs w:val="20"/>
              </w:rPr>
              <w:t> %</w:t>
            </w:r>
            <w:r w:rsidRPr="000774EC">
              <w:rPr>
                <w:spacing w:val="-2"/>
                <w:szCs w:val="20"/>
              </w:rPr>
              <w:t>)</w:t>
            </w:r>
            <w:r w:rsidR="0009474E" w:rsidRPr="000774EC">
              <w:rPr>
                <w:spacing w:val="-2"/>
                <w:szCs w:val="20"/>
              </w:rPr>
              <w:t xml:space="preserve">. Osoby obsluhující stroje </w:t>
            </w:r>
            <w:r w:rsidR="00307E77" w:rsidRPr="000774EC">
              <w:rPr>
                <w:spacing w:val="-2"/>
                <w:szCs w:val="20"/>
              </w:rPr>
              <w:t>a </w:t>
            </w:r>
            <w:r w:rsidR="0009474E" w:rsidRPr="000774EC">
              <w:rPr>
                <w:spacing w:val="-2"/>
                <w:szCs w:val="20"/>
              </w:rPr>
              <w:t>zařízení</w:t>
            </w:r>
            <w:r w:rsidRPr="000774EC">
              <w:rPr>
                <w:spacing w:val="-2"/>
                <w:szCs w:val="20"/>
              </w:rPr>
              <w:t xml:space="preserve"> </w:t>
            </w:r>
            <w:r w:rsidR="000854CA" w:rsidRPr="000774EC">
              <w:rPr>
                <w:spacing w:val="-2"/>
                <w:szCs w:val="20"/>
              </w:rPr>
              <w:t xml:space="preserve">převažovaly </w:t>
            </w:r>
            <w:r w:rsidRPr="000774EC">
              <w:rPr>
                <w:spacing w:val="-2"/>
                <w:szCs w:val="20"/>
              </w:rPr>
              <w:t xml:space="preserve">mezi pracovníky v odvětví těžby </w:t>
            </w:r>
            <w:r w:rsidR="00307E77" w:rsidRPr="000774EC">
              <w:rPr>
                <w:spacing w:val="-2"/>
                <w:szCs w:val="20"/>
              </w:rPr>
              <w:t>a </w:t>
            </w:r>
            <w:r w:rsidRPr="000774EC">
              <w:rPr>
                <w:spacing w:val="-2"/>
                <w:szCs w:val="20"/>
              </w:rPr>
              <w:t>dobývání (40</w:t>
            </w:r>
            <w:r w:rsidR="006E33D0" w:rsidRPr="000774EC">
              <w:rPr>
                <w:spacing w:val="-2"/>
                <w:szCs w:val="20"/>
              </w:rPr>
              <w:t> %</w:t>
            </w:r>
            <w:r w:rsidRPr="000774EC">
              <w:rPr>
                <w:spacing w:val="-2"/>
                <w:szCs w:val="20"/>
              </w:rPr>
              <w:t xml:space="preserve">) </w:t>
            </w:r>
            <w:r w:rsidR="00307E77" w:rsidRPr="000774EC">
              <w:rPr>
                <w:spacing w:val="-2"/>
                <w:szCs w:val="20"/>
              </w:rPr>
              <w:t>i </w:t>
            </w:r>
            <w:r w:rsidRPr="000774EC">
              <w:rPr>
                <w:spacing w:val="-2"/>
                <w:szCs w:val="20"/>
              </w:rPr>
              <w:t xml:space="preserve">vodního </w:t>
            </w:r>
            <w:r w:rsidR="00307E77" w:rsidRPr="000774EC">
              <w:rPr>
                <w:spacing w:val="-2"/>
                <w:szCs w:val="20"/>
              </w:rPr>
              <w:t>a </w:t>
            </w:r>
            <w:r w:rsidRPr="000774EC">
              <w:rPr>
                <w:spacing w:val="-2"/>
                <w:szCs w:val="20"/>
              </w:rPr>
              <w:t>odpadového hospodářství (27 %). Nejvíce se vymykalo odvětví energetiky, v němž měli největší zastoupení techničtí a odborní pracovníci (35</w:t>
            </w:r>
            <w:r w:rsidR="006E33D0" w:rsidRPr="000774EC">
              <w:rPr>
                <w:spacing w:val="-2"/>
                <w:szCs w:val="20"/>
              </w:rPr>
              <w:t> %</w:t>
            </w:r>
            <w:r w:rsidRPr="000774EC">
              <w:rPr>
                <w:spacing w:val="-2"/>
                <w:szCs w:val="20"/>
              </w:rPr>
              <w:t>), pětinu tvořily osoby s vysokou kvalifikací (řídící pracovníci a specialisté) a naopak váha všech manuálních pracovníků (31</w:t>
            </w:r>
            <w:r w:rsidR="006E33D0" w:rsidRPr="000774EC">
              <w:rPr>
                <w:spacing w:val="-2"/>
                <w:szCs w:val="20"/>
              </w:rPr>
              <w:t> %</w:t>
            </w:r>
            <w:r w:rsidRPr="000774EC">
              <w:rPr>
                <w:spacing w:val="-2"/>
                <w:szCs w:val="20"/>
              </w:rPr>
              <w:t>) zde byla ve srovnání s ostatními odvětvími průmyslu pouze poloviční.</w:t>
            </w:r>
          </w:p>
        </w:tc>
      </w:tr>
      <w:tr w:rsidR="00FB5B26" w:rsidRPr="00F00A85" w14:paraId="4C9A7361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419B4" w14:textId="77777777" w:rsidR="00307E77" w:rsidRDefault="00097078" w:rsidP="00044059">
            <w:pPr>
              <w:pStyle w:val="Marginlie"/>
              <w:rPr>
                <w:spacing w:val="-4"/>
                <w:szCs w:val="20"/>
              </w:rPr>
            </w:pPr>
            <w:r>
              <w:rPr>
                <w:spacing w:val="-4"/>
                <w:szCs w:val="20"/>
              </w:rPr>
              <w:t>Manuálně pracující muži působili v průmyslu nejčastěji jako řemeslníci a opraváři, ženy pak jako obsluha strojů.</w:t>
            </w:r>
          </w:p>
          <w:p w14:paraId="7090AB9B" w14:textId="30C5615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455B0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82EDC" w14:textId="422BE8C2" w:rsidR="00097078" w:rsidRPr="00736EFF" w:rsidRDefault="00097078" w:rsidP="00044059">
            <w:pPr>
              <w:spacing w:after="220"/>
              <w:rPr>
                <w:spacing w:val="-4"/>
                <w:szCs w:val="20"/>
              </w:rPr>
            </w:pPr>
            <w:r w:rsidRPr="00736EFF">
              <w:rPr>
                <w:spacing w:val="-4"/>
                <w:szCs w:val="20"/>
              </w:rPr>
              <w:t xml:space="preserve">Jestliže podíl prvních třech tříd zaměstnání s nejvyšší kvalifikací na celkové zaměstnanosti v průmyslu činil </w:t>
            </w:r>
            <w:r w:rsidR="00307E77" w:rsidRPr="00736EFF">
              <w:rPr>
                <w:spacing w:val="-4"/>
                <w:szCs w:val="20"/>
              </w:rPr>
              <w:t>u</w:t>
            </w:r>
            <w:r w:rsidR="00307E77">
              <w:rPr>
                <w:spacing w:val="-4"/>
                <w:szCs w:val="20"/>
              </w:rPr>
              <w:t> </w:t>
            </w:r>
            <w:r>
              <w:rPr>
                <w:spacing w:val="-4"/>
                <w:szCs w:val="20"/>
              </w:rPr>
              <w:t>mužů 29</w:t>
            </w:r>
            <w:r w:rsidR="006E33D0">
              <w:rPr>
                <w:spacing w:val="-4"/>
                <w:szCs w:val="20"/>
              </w:rPr>
              <w:t> %</w:t>
            </w:r>
            <w:r>
              <w:rPr>
                <w:spacing w:val="-4"/>
                <w:szCs w:val="20"/>
              </w:rPr>
              <w:t xml:space="preserve"> </w:t>
            </w:r>
            <w:r w:rsidR="00307E77">
              <w:rPr>
                <w:spacing w:val="-4"/>
                <w:szCs w:val="20"/>
              </w:rPr>
              <w:t>a </w:t>
            </w:r>
            <w:r w:rsidR="007A67F8">
              <w:rPr>
                <w:spacing w:val="-4"/>
                <w:szCs w:val="20"/>
              </w:rPr>
              <w:t>u </w:t>
            </w:r>
            <w:r>
              <w:rPr>
                <w:spacing w:val="-4"/>
                <w:szCs w:val="20"/>
              </w:rPr>
              <w:t>žen pouze 20</w:t>
            </w:r>
            <w:r w:rsidRPr="00736EFF">
              <w:rPr>
                <w:spacing w:val="-4"/>
                <w:szCs w:val="20"/>
              </w:rPr>
              <w:t xml:space="preserve"> %, pak v úhrnu za </w:t>
            </w:r>
            <w:r w:rsidR="007A67F8" w:rsidRPr="00736EFF">
              <w:rPr>
                <w:spacing w:val="-4"/>
                <w:szCs w:val="20"/>
              </w:rPr>
              <w:t>všechn</w:t>
            </w:r>
            <w:r w:rsidR="007A67F8">
              <w:rPr>
                <w:spacing w:val="-4"/>
                <w:szCs w:val="20"/>
              </w:rPr>
              <w:t>a</w:t>
            </w:r>
            <w:r w:rsidR="007A67F8" w:rsidRPr="00736EFF">
              <w:rPr>
                <w:spacing w:val="-4"/>
                <w:szCs w:val="20"/>
              </w:rPr>
              <w:t xml:space="preserve"> </w:t>
            </w:r>
            <w:r w:rsidRPr="00736EFF">
              <w:rPr>
                <w:spacing w:val="-4"/>
                <w:szCs w:val="20"/>
              </w:rPr>
              <w:t xml:space="preserve">odvětví ekonomiky byly tyto podíly srovnatelné (37 </w:t>
            </w:r>
            <w:r w:rsidR="00307E77" w:rsidRPr="00736EFF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>38</w:t>
            </w:r>
            <w:r w:rsidR="006E33D0">
              <w:rPr>
                <w:spacing w:val="-4"/>
                <w:szCs w:val="20"/>
              </w:rPr>
              <w:t> %</w:t>
            </w:r>
            <w:r w:rsidRPr="00736EFF">
              <w:rPr>
                <w:spacing w:val="-4"/>
                <w:szCs w:val="20"/>
              </w:rPr>
              <w:t xml:space="preserve">). V nižších třídách nemanuálních pracovníků (úředníci, pracovníci ve službách </w:t>
            </w:r>
            <w:r w:rsidR="00307E77" w:rsidRPr="00736EFF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>prodeji), kde výrazně převažují osoby se středoškolským vzděláním, se poměr pohlaví obrací. Do této skupiny spadala téměř pětina žen působících v</w:t>
            </w:r>
            <w:r w:rsidR="007A67F8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>průmyslu</w:t>
            </w:r>
            <w:r w:rsidR="007A67F8">
              <w:rPr>
                <w:spacing w:val="-4"/>
                <w:szCs w:val="20"/>
              </w:rPr>
              <w:t>,</w:t>
            </w:r>
            <w:r w:rsidRPr="00736EFF">
              <w:rPr>
                <w:spacing w:val="-4"/>
                <w:szCs w:val="20"/>
              </w:rPr>
              <w:t xml:space="preserve"> ale jen každý dvacátý muž. Rozdíly lze nalézt </w:t>
            </w:r>
            <w:r>
              <w:rPr>
                <w:spacing w:val="-4"/>
                <w:szCs w:val="20"/>
              </w:rPr>
              <w:t>i</w:t>
            </w:r>
            <w:r w:rsidRPr="00736EFF">
              <w:rPr>
                <w:spacing w:val="-4"/>
                <w:szCs w:val="20"/>
              </w:rPr>
              <w:t> </w:t>
            </w:r>
            <w:r w:rsidR="007A67F8">
              <w:rPr>
                <w:spacing w:val="-4"/>
                <w:szCs w:val="20"/>
              </w:rPr>
              <w:t>u </w:t>
            </w:r>
            <w:r w:rsidRPr="00736EFF">
              <w:rPr>
                <w:spacing w:val="-4"/>
                <w:szCs w:val="20"/>
              </w:rPr>
              <w:t xml:space="preserve">manuálních pracovníků </w:t>
            </w:r>
            <w:r w:rsidR="00307E77" w:rsidRPr="00736EFF">
              <w:rPr>
                <w:spacing w:val="-4"/>
                <w:szCs w:val="20"/>
              </w:rPr>
              <w:t>v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 xml:space="preserve">průmyslu. </w:t>
            </w:r>
            <w:r w:rsidR="00307E77" w:rsidRPr="00736EFF">
              <w:rPr>
                <w:spacing w:val="-4"/>
                <w:szCs w:val="20"/>
              </w:rPr>
              <w:t>U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 xml:space="preserve">mužů mezi nimi převažují řemeslníci </w:t>
            </w:r>
            <w:r w:rsidR="00307E77" w:rsidRPr="00736EFF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>opraváři (</w:t>
            </w:r>
            <w:r w:rsidR="007A67F8">
              <w:rPr>
                <w:spacing w:val="-4"/>
                <w:szCs w:val="20"/>
              </w:rPr>
              <w:t>často se jedná</w:t>
            </w:r>
            <w:r w:rsidRPr="00736EFF">
              <w:rPr>
                <w:spacing w:val="-4"/>
                <w:szCs w:val="20"/>
              </w:rPr>
              <w:t xml:space="preserve"> </w:t>
            </w:r>
            <w:r w:rsidR="00307E77" w:rsidRPr="00736EFF">
              <w:rPr>
                <w:spacing w:val="-4"/>
                <w:szCs w:val="20"/>
              </w:rPr>
              <w:t>o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 xml:space="preserve">drobné podnikatele), </w:t>
            </w:r>
            <w:r w:rsidR="00307E77" w:rsidRPr="00736EFF">
              <w:rPr>
                <w:spacing w:val="-4"/>
                <w:szCs w:val="20"/>
              </w:rPr>
              <w:t>u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 xml:space="preserve">žen osoby v kategorii obsluhy strojů </w:t>
            </w:r>
            <w:r w:rsidR="00307E77" w:rsidRPr="00736EFF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 xml:space="preserve">zařízení (téměř výhradně v zaměstnaneckém postavení). Pomocní </w:t>
            </w:r>
            <w:r w:rsidR="00307E77" w:rsidRPr="00736EFF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>nekvalifik</w:t>
            </w:r>
            <w:r>
              <w:rPr>
                <w:spacing w:val="-4"/>
                <w:szCs w:val="20"/>
              </w:rPr>
              <w:t>ovaní pracovníci soustřeďovali 13</w:t>
            </w:r>
            <w:r w:rsidRPr="00736EFF">
              <w:rPr>
                <w:spacing w:val="-4"/>
                <w:szCs w:val="20"/>
              </w:rPr>
              <w:t>,5</w:t>
            </w:r>
            <w:r w:rsidR="006E33D0">
              <w:rPr>
                <w:spacing w:val="-4"/>
                <w:szCs w:val="20"/>
              </w:rPr>
              <w:t> %</w:t>
            </w:r>
            <w:r w:rsidRPr="00736EFF">
              <w:rPr>
                <w:spacing w:val="-4"/>
                <w:szCs w:val="20"/>
              </w:rPr>
              <w:t xml:space="preserve"> žen působících v průmyslu, me</w:t>
            </w:r>
            <w:r>
              <w:rPr>
                <w:spacing w:val="-4"/>
                <w:szCs w:val="20"/>
              </w:rPr>
              <w:t>zi muži měli podíl jen 5,8</w:t>
            </w:r>
            <w:r w:rsidR="006E33D0">
              <w:rPr>
                <w:spacing w:val="-4"/>
                <w:szCs w:val="20"/>
              </w:rPr>
              <w:t> %</w:t>
            </w:r>
            <w:r w:rsidRPr="00736EFF">
              <w:rPr>
                <w:spacing w:val="-4"/>
                <w:szCs w:val="20"/>
              </w:rPr>
              <w:t xml:space="preserve">. Jestliže mezi ženami byla váha této kategorie ve všech hlavních odvětvích průmyslu podobná, </w:t>
            </w:r>
            <w:r w:rsidR="00307E77" w:rsidRPr="00736EFF">
              <w:rPr>
                <w:spacing w:val="-4"/>
                <w:szCs w:val="20"/>
              </w:rPr>
              <w:t>u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 xml:space="preserve">mužů kontrastovalo odvětví vodního </w:t>
            </w:r>
            <w:r w:rsidR="00307E77" w:rsidRPr="00736EFF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>odpadového hospodářství (20</w:t>
            </w:r>
            <w:r w:rsidR="006E33D0">
              <w:rPr>
                <w:spacing w:val="-4"/>
                <w:szCs w:val="20"/>
              </w:rPr>
              <w:t> %</w:t>
            </w:r>
            <w:r w:rsidRPr="00736EFF">
              <w:rPr>
                <w:spacing w:val="-4"/>
                <w:szCs w:val="20"/>
              </w:rPr>
              <w:t>) s</w:t>
            </w:r>
            <w:r>
              <w:rPr>
                <w:spacing w:val="-4"/>
                <w:szCs w:val="20"/>
              </w:rPr>
              <w:t> </w:t>
            </w:r>
            <w:r w:rsidRPr="00736EFF">
              <w:rPr>
                <w:spacing w:val="-4"/>
                <w:szCs w:val="20"/>
              </w:rPr>
              <w:t>energetikou</w:t>
            </w:r>
            <w:r>
              <w:rPr>
                <w:spacing w:val="-4"/>
                <w:szCs w:val="20"/>
              </w:rPr>
              <w:t>, která pro osoby v této třídě zaměstnání v Česku prakticky žádná pracovní místa nevytvářela.</w:t>
            </w:r>
          </w:p>
        </w:tc>
      </w:tr>
      <w:tr w:rsidR="00FB5B26" w:rsidRPr="00F00A85" w14:paraId="6E17C587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938B0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099B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60342" w14:textId="19712EDD" w:rsidR="00097078" w:rsidRPr="00F00A85" w:rsidRDefault="004C0391" w:rsidP="00044059">
            <w:pPr>
              <w:spacing w:after="40"/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č. </w:t>
            </w:r>
            <w:r w:rsidR="00307E77">
              <w:rPr>
                <w:b/>
                <w:szCs w:val="20"/>
              </w:rPr>
              <w:t xml:space="preserve">9  </w:t>
            </w:r>
            <w:r w:rsidR="00097078">
              <w:rPr>
                <w:b/>
                <w:szCs w:val="20"/>
              </w:rPr>
              <w:t xml:space="preserve">Zaměstnaní muži </w:t>
            </w:r>
            <w:r w:rsidR="00307E77">
              <w:rPr>
                <w:b/>
                <w:szCs w:val="20"/>
              </w:rPr>
              <w:t>a </w:t>
            </w:r>
            <w:r w:rsidR="00097078">
              <w:rPr>
                <w:b/>
                <w:szCs w:val="20"/>
              </w:rPr>
              <w:t xml:space="preserve">ženy v odvětvových sekcích průmyslu </w:t>
            </w:r>
            <w:r w:rsidR="00307E77">
              <w:rPr>
                <w:b/>
                <w:szCs w:val="20"/>
              </w:rPr>
              <w:t>a </w:t>
            </w:r>
            <w:r w:rsidR="00097078">
              <w:rPr>
                <w:b/>
                <w:szCs w:val="20"/>
              </w:rPr>
              <w:t>v celé ekonomice dle tříd klasifikace zaměstnání v ČR v roce 2019</w:t>
            </w:r>
          </w:p>
        </w:tc>
      </w:tr>
      <w:tr w:rsidR="00FB5B26" w:rsidRPr="00F00A85" w14:paraId="36A66D6D" w14:textId="77777777" w:rsidTr="0014314C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1CFA3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770C3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DCCCC" w14:textId="6387F8BC" w:rsidR="00097078" w:rsidRPr="003C2DAD" w:rsidRDefault="000774EC" w:rsidP="00044059">
            <w:pPr>
              <w:spacing w:after="4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25E3B35" wp14:editId="592DA609">
                  <wp:extent cx="4740250" cy="3506470"/>
                  <wp:effectExtent l="0" t="0" r="3810" b="0"/>
                  <wp:docPr id="39" name="Graf 3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FB5B26" w:rsidRPr="00F00A85" w14:paraId="54724076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0B4BB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2445F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5D391" w14:textId="77777777" w:rsidR="00097078" w:rsidRPr="00F710D4" w:rsidRDefault="00097078" w:rsidP="000774EC">
            <w:pPr>
              <w:spacing w:after="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Zdroj: ČSÚ (VŠPS)</w:t>
            </w:r>
          </w:p>
        </w:tc>
      </w:tr>
      <w:tr w:rsidR="00FB5B26" w:rsidRPr="00F00A85" w14:paraId="4F8087D1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FC017" w14:textId="71D31DF2" w:rsidR="00097078" w:rsidRDefault="00097078" w:rsidP="00044059">
            <w:pPr>
              <w:pStyle w:val="Marginlie"/>
            </w:pPr>
            <w:r>
              <w:lastRenderedPageBreak/>
              <w:t xml:space="preserve">Terciárního vzdělání dosáhla čtvrtina zaměstnanců energetiky, v ostatních odvětvích průmyslu to bylo zhruba </w:t>
            </w:r>
            <w:r w:rsidR="00307E77">
              <w:t>o </w:t>
            </w:r>
            <w:r>
              <w:t>polovinu méně.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9084C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0328F" w14:textId="3BB47D84" w:rsidR="00097078" w:rsidRPr="00C623C3" w:rsidRDefault="00097078" w:rsidP="00044059">
            <w:pPr>
              <w:spacing w:after="220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Složení zaměstnaných osob po</w:t>
            </w:r>
            <w:r w:rsidRPr="00C623C3">
              <w:rPr>
                <w:spacing w:val="-2"/>
                <w:szCs w:val="20"/>
              </w:rPr>
              <w:t>dle tříd zaměstnání souvisí se stupněm nejvyššího dokončeného vzdělání. Potvrzuje se vyšší vzdělanost</w:t>
            </w:r>
            <w:r>
              <w:rPr>
                <w:spacing w:val="-2"/>
                <w:szCs w:val="20"/>
              </w:rPr>
              <w:t>n</w:t>
            </w:r>
            <w:r w:rsidRPr="00C623C3">
              <w:rPr>
                <w:spacing w:val="-2"/>
                <w:szCs w:val="20"/>
              </w:rPr>
              <w:t xml:space="preserve">í skladba </w:t>
            </w:r>
            <w:r>
              <w:rPr>
                <w:spacing w:val="-2"/>
                <w:szCs w:val="20"/>
              </w:rPr>
              <w:t>zaměstnanců</w:t>
            </w:r>
            <w:r w:rsidRPr="00C623C3">
              <w:rPr>
                <w:spacing w:val="-2"/>
                <w:szCs w:val="20"/>
              </w:rPr>
              <w:t xml:space="preserve"> v odvětví energetiky. Alespoň maturitním vzděláním zde v roce 2019 disponovalo více </w:t>
            </w:r>
            <w:r w:rsidR="00EB57D0">
              <w:rPr>
                <w:spacing w:val="-2"/>
                <w:szCs w:val="20"/>
              </w:rPr>
              <w:t xml:space="preserve">než </w:t>
            </w:r>
            <w:r w:rsidRPr="00C623C3">
              <w:rPr>
                <w:spacing w:val="-2"/>
                <w:szCs w:val="20"/>
              </w:rPr>
              <w:t>70</w:t>
            </w:r>
            <w:r w:rsidR="006E33D0">
              <w:rPr>
                <w:spacing w:val="-2"/>
                <w:szCs w:val="20"/>
              </w:rPr>
              <w:t> %</w:t>
            </w:r>
            <w:r w:rsidRPr="00C623C3">
              <w:rPr>
                <w:spacing w:val="-2"/>
                <w:szCs w:val="20"/>
              </w:rPr>
              <w:t xml:space="preserve"> z nich. Terciárn</w:t>
            </w:r>
            <w:r>
              <w:rPr>
                <w:spacing w:val="-2"/>
                <w:szCs w:val="20"/>
              </w:rPr>
              <w:t xml:space="preserve">í vzdělání pak </w:t>
            </w:r>
            <w:r w:rsidRPr="00C623C3">
              <w:rPr>
                <w:spacing w:val="-2"/>
                <w:szCs w:val="20"/>
              </w:rPr>
              <w:t>měla</w:t>
            </w:r>
            <w:r>
              <w:rPr>
                <w:spacing w:val="-2"/>
                <w:szCs w:val="20"/>
              </w:rPr>
              <w:t xml:space="preserve"> čtvrtina zaměstnanců</w:t>
            </w:r>
            <w:r w:rsidRPr="00C623C3">
              <w:rPr>
                <w:spacing w:val="-2"/>
                <w:szCs w:val="20"/>
              </w:rPr>
              <w:t>, obdobně jako v celé ekonomice. V ostatních hlavních průmyslových odvětvích se podíl těchto pracovníků poh</w:t>
            </w:r>
            <w:r>
              <w:rPr>
                <w:spacing w:val="-2"/>
                <w:szCs w:val="20"/>
              </w:rPr>
              <w:t>yboval od 9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 (těžba a</w:t>
            </w:r>
            <w:r w:rsidRPr="00C623C3">
              <w:rPr>
                <w:spacing w:val="-2"/>
                <w:szCs w:val="20"/>
              </w:rPr>
              <w:t> dobývání) po 13</w:t>
            </w:r>
            <w:r w:rsidR="006E33D0">
              <w:rPr>
                <w:spacing w:val="-2"/>
                <w:szCs w:val="20"/>
              </w:rPr>
              <w:t> %</w:t>
            </w:r>
            <w:r w:rsidRPr="00C623C3">
              <w:rPr>
                <w:spacing w:val="-2"/>
                <w:szCs w:val="20"/>
              </w:rPr>
              <w:t xml:space="preserve"> (zpraco</w:t>
            </w:r>
            <w:r>
              <w:rPr>
                <w:spacing w:val="-2"/>
                <w:szCs w:val="20"/>
              </w:rPr>
              <w:t>vatelský průmysl), srovnatelné</w:t>
            </w:r>
            <w:r w:rsidRPr="00C623C3">
              <w:rPr>
                <w:spacing w:val="-2"/>
                <w:szCs w:val="20"/>
              </w:rPr>
              <w:t xml:space="preserve"> bylo v těchto odvětví</w:t>
            </w:r>
            <w:r>
              <w:rPr>
                <w:spacing w:val="-2"/>
                <w:szCs w:val="20"/>
              </w:rPr>
              <w:t>ch</w:t>
            </w:r>
            <w:r w:rsidRPr="00C623C3">
              <w:rPr>
                <w:spacing w:val="-2"/>
                <w:szCs w:val="20"/>
              </w:rPr>
              <w:t xml:space="preserve"> </w:t>
            </w:r>
            <w:r w:rsidR="00307E77" w:rsidRPr="00C623C3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Pr="00C623C3">
              <w:rPr>
                <w:spacing w:val="-2"/>
                <w:szCs w:val="20"/>
              </w:rPr>
              <w:t xml:space="preserve">zastoupení nejméně kvalifikovaných osob (se základním vzděláním). V těžbě </w:t>
            </w:r>
            <w:r w:rsidR="00307E77" w:rsidRPr="00C623C3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C623C3">
              <w:rPr>
                <w:spacing w:val="-2"/>
                <w:szCs w:val="20"/>
              </w:rPr>
              <w:t xml:space="preserve">dobývání na rozdíl od zpracovatelského průmyslu výrazně </w:t>
            </w:r>
            <w:r w:rsidR="00EB57D0" w:rsidRPr="00C623C3">
              <w:rPr>
                <w:spacing w:val="-2"/>
                <w:szCs w:val="20"/>
              </w:rPr>
              <w:t>převažoval</w:t>
            </w:r>
            <w:r w:rsidR="00EB57D0">
              <w:rPr>
                <w:spacing w:val="-2"/>
                <w:szCs w:val="20"/>
              </w:rPr>
              <w:t>y</w:t>
            </w:r>
            <w:r w:rsidR="00EB57D0" w:rsidRPr="00C623C3">
              <w:rPr>
                <w:spacing w:val="-2"/>
                <w:szCs w:val="20"/>
              </w:rPr>
              <w:t xml:space="preserve"> </w:t>
            </w:r>
            <w:r w:rsidRPr="00C623C3">
              <w:rPr>
                <w:spacing w:val="-2"/>
                <w:szCs w:val="20"/>
              </w:rPr>
              <w:t xml:space="preserve">mezi osobami se středním vzděláním </w:t>
            </w:r>
            <w:r w:rsidR="00EB57D0" w:rsidRPr="00C623C3">
              <w:rPr>
                <w:spacing w:val="-2"/>
                <w:szCs w:val="20"/>
              </w:rPr>
              <w:t>t</w:t>
            </w:r>
            <w:r w:rsidR="00EB57D0">
              <w:rPr>
                <w:spacing w:val="-2"/>
                <w:szCs w:val="20"/>
              </w:rPr>
              <w:t>y</w:t>
            </w:r>
            <w:r w:rsidR="00EB57D0" w:rsidRPr="00C623C3">
              <w:rPr>
                <w:spacing w:val="-2"/>
                <w:szCs w:val="20"/>
              </w:rPr>
              <w:t xml:space="preserve"> </w:t>
            </w:r>
            <w:r w:rsidRPr="00C623C3">
              <w:rPr>
                <w:spacing w:val="-2"/>
                <w:szCs w:val="20"/>
              </w:rPr>
              <w:t xml:space="preserve">bez maturity, což souviselo </w:t>
            </w:r>
            <w:r w:rsidR="00307E77">
              <w:rPr>
                <w:spacing w:val="-2"/>
                <w:szCs w:val="20"/>
              </w:rPr>
              <w:t>s </w:t>
            </w:r>
            <w:r w:rsidRPr="00C623C3">
              <w:rPr>
                <w:spacing w:val="-2"/>
                <w:szCs w:val="20"/>
              </w:rPr>
              <w:t xml:space="preserve">tradičně velmi vysokou maskulinizací tohoto odvětví (muži zde </w:t>
            </w:r>
            <w:r>
              <w:rPr>
                <w:spacing w:val="-2"/>
                <w:szCs w:val="20"/>
              </w:rPr>
              <w:t>tvoří téměř 90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 všech zaměstnanců</w:t>
            </w:r>
            <w:r w:rsidRPr="00C623C3">
              <w:rPr>
                <w:spacing w:val="-2"/>
                <w:szCs w:val="20"/>
              </w:rPr>
              <w:t>).</w:t>
            </w:r>
          </w:p>
        </w:tc>
      </w:tr>
      <w:tr w:rsidR="00FB5B26" w:rsidRPr="00F00A85" w14:paraId="60F0D118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3E09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3A255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76029" w14:textId="0A63E376" w:rsidR="00097078" w:rsidRPr="008B190A" w:rsidRDefault="004C0391" w:rsidP="00044059">
            <w:pPr>
              <w:spacing w:after="40"/>
              <w:jc w:val="left"/>
              <w:rPr>
                <w:sz w:val="16"/>
                <w:szCs w:val="16"/>
              </w:rPr>
            </w:pPr>
            <w:r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č. </w:t>
            </w:r>
            <w:r>
              <w:rPr>
                <w:b/>
                <w:szCs w:val="20"/>
              </w:rPr>
              <w:t>10</w:t>
            </w:r>
            <w:r w:rsidR="00097078">
              <w:rPr>
                <w:b/>
                <w:szCs w:val="20"/>
              </w:rPr>
              <w:t xml:space="preserve">  Zaměstnanci</w:t>
            </w:r>
            <w:r w:rsidR="00097078" w:rsidRPr="008B190A">
              <w:rPr>
                <w:b/>
                <w:szCs w:val="20"/>
              </w:rPr>
              <w:t xml:space="preserve"> </w:t>
            </w:r>
            <w:r w:rsidR="00307E77" w:rsidRPr="008B190A">
              <w:rPr>
                <w:b/>
                <w:szCs w:val="20"/>
              </w:rPr>
              <w:t>v</w:t>
            </w:r>
            <w:r w:rsidR="00307E77">
              <w:rPr>
                <w:b/>
                <w:szCs w:val="20"/>
              </w:rPr>
              <w:t> </w:t>
            </w:r>
            <w:r w:rsidR="00097078" w:rsidRPr="008B190A">
              <w:rPr>
                <w:b/>
                <w:szCs w:val="20"/>
              </w:rPr>
              <w:t>odvětvových sekcích průmyslu</w:t>
            </w:r>
            <w:r w:rsidR="00097078">
              <w:rPr>
                <w:b/>
                <w:szCs w:val="20"/>
              </w:rPr>
              <w:t xml:space="preserve"> </w:t>
            </w:r>
            <w:r w:rsidR="00307E77">
              <w:rPr>
                <w:b/>
                <w:szCs w:val="20"/>
              </w:rPr>
              <w:t>a </w:t>
            </w:r>
            <w:r w:rsidR="00097078">
              <w:rPr>
                <w:b/>
                <w:szCs w:val="20"/>
              </w:rPr>
              <w:t>v celé ekonomice</w:t>
            </w:r>
            <w:r w:rsidR="00097078" w:rsidRPr="008B190A">
              <w:rPr>
                <w:b/>
                <w:szCs w:val="20"/>
              </w:rPr>
              <w:t xml:space="preserve"> dle </w:t>
            </w:r>
            <w:r w:rsidR="00097078">
              <w:rPr>
                <w:b/>
                <w:szCs w:val="20"/>
              </w:rPr>
              <w:t xml:space="preserve">věku </w:t>
            </w:r>
            <w:r w:rsidR="00307E77">
              <w:rPr>
                <w:b/>
                <w:szCs w:val="20"/>
              </w:rPr>
              <w:t>a </w:t>
            </w:r>
            <w:r w:rsidR="00097078">
              <w:rPr>
                <w:b/>
                <w:szCs w:val="20"/>
              </w:rPr>
              <w:t>nejvyššího stupně dokončeného vzdělání</w:t>
            </w:r>
            <w:r w:rsidR="00097078" w:rsidRPr="008B190A">
              <w:rPr>
                <w:b/>
                <w:szCs w:val="20"/>
              </w:rPr>
              <w:t xml:space="preserve"> v ČR v roce 2019</w:t>
            </w:r>
          </w:p>
        </w:tc>
      </w:tr>
      <w:tr w:rsidR="00FB5B26" w:rsidRPr="003C2DAD" w14:paraId="4DBEAD06" w14:textId="77777777" w:rsidTr="0014314C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27B82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8F262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7705E" w14:textId="29D4ED7D" w:rsidR="00097078" w:rsidRPr="003C2DAD" w:rsidRDefault="0014314C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8A79F09" wp14:editId="7830F0CE">
                  <wp:extent cx="4773968" cy="3406860"/>
                  <wp:effectExtent l="0" t="0" r="7620" b="3175"/>
                  <wp:docPr id="40" name="Graf 4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FB5B26" w:rsidRPr="000E201C" w14:paraId="061269A9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0A828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FCC5D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FF0B7" w14:textId="10B90E20" w:rsidR="00097078" w:rsidRPr="00F710D4" w:rsidRDefault="00097078" w:rsidP="00044059">
            <w:pPr>
              <w:spacing w:after="22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Zdroj: MP</w:t>
            </w:r>
            <w:r w:rsidR="000774EC">
              <w:rPr>
                <w:sz w:val="14"/>
                <w:szCs w:val="14"/>
              </w:rPr>
              <w:t>S</w:t>
            </w:r>
            <w:r w:rsidRPr="00F710D4">
              <w:rPr>
                <w:sz w:val="14"/>
                <w:szCs w:val="14"/>
              </w:rPr>
              <w:t xml:space="preserve">V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>ČSÚ (Strukturální mzdová statistika)</w:t>
            </w:r>
          </w:p>
        </w:tc>
      </w:tr>
      <w:tr w:rsidR="00FB5B26" w14:paraId="5E4FE66E" w14:textId="77777777" w:rsidTr="0014314C">
        <w:trPr>
          <w:trHeight w:val="145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C2F52" w14:textId="77777777" w:rsidR="00097078" w:rsidRPr="00474044" w:rsidRDefault="00097078" w:rsidP="00044059">
            <w:pPr>
              <w:pStyle w:val="Marginlie"/>
              <w:rPr>
                <w:spacing w:val="-3"/>
              </w:rPr>
            </w:pPr>
            <w:r w:rsidRPr="00474044">
              <w:rPr>
                <w:spacing w:val="-3"/>
              </w:rPr>
              <w:t>Ve zpracovatelském průmyslu měli ve s</w:t>
            </w:r>
            <w:r w:rsidR="00EB6637">
              <w:rPr>
                <w:spacing w:val="-3"/>
              </w:rPr>
              <w:t>rovnání s celou ekonomikou nepatrně</w:t>
            </w:r>
            <w:r w:rsidRPr="00474044">
              <w:rPr>
                <w:spacing w:val="-3"/>
              </w:rPr>
              <w:t xml:space="preserve"> vyšší zastoupení mladší zaměstnanci.</w:t>
            </w:r>
          </w:p>
          <w:p w14:paraId="506015BC" w14:textId="77777777" w:rsidR="00097078" w:rsidRPr="00474044" w:rsidRDefault="00097078" w:rsidP="00044059">
            <w:pPr>
              <w:pStyle w:val="Marginlie"/>
              <w:rPr>
                <w:spacing w:val="-3"/>
              </w:rPr>
            </w:pPr>
          </w:p>
          <w:p w14:paraId="112EA8F0" w14:textId="77777777" w:rsidR="00097078" w:rsidRDefault="00097078" w:rsidP="00044059">
            <w:pPr>
              <w:pStyle w:val="Marginlie"/>
              <w:rPr>
                <w:spacing w:val="-3"/>
              </w:rPr>
            </w:pPr>
          </w:p>
          <w:p w14:paraId="4613B848" w14:textId="77777777" w:rsidR="00097078" w:rsidRPr="00474044" w:rsidRDefault="00097078" w:rsidP="00044059">
            <w:pPr>
              <w:pStyle w:val="Marginlie"/>
              <w:rPr>
                <w:spacing w:val="-3"/>
              </w:rPr>
            </w:pPr>
          </w:p>
          <w:p w14:paraId="7D918BBA" w14:textId="77777777" w:rsidR="00097078" w:rsidRPr="00474044" w:rsidRDefault="00097078" w:rsidP="00044059">
            <w:pPr>
              <w:pStyle w:val="Marginlie"/>
              <w:rPr>
                <w:spacing w:val="-3"/>
              </w:rPr>
            </w:pPr>
          </w:p>
          <w:p w14:paraId="53AA5C26" w14:textId="32E04F11" w:rsidR="00097078" w:rsidRPr="00474044" w:rsidRDefault="00097078" w:rsidP="00044059">
            <w:pPr>
              <w:pStyle w:val="Marginlie"/>
              <w:rPr>
                <w:spacing w:val="-3"/>
              </w:rPr>
            </w:pPr>
            <w:r w:rsidRPr="00474044">
              <w:rPr>
                <w:spacing w:val="-3"/>
              </w:rPr>
              <w:t xml:space="preserve">Polovina zaměstnanců v těžbě </w:t>
            </w:r>
            <w:r w:rsidR="00307E77" w:rsidRPr="00474044">
              <w:rPr>
                <w:spacing w:val="-3"/>
              </w:rPr>
              <w:t>a</w:t>
            </w:r>
            <w:r w:rsidR="00307E77">
              <w:rPr>
                <w:spacing w:val="-3"/>
              </w:rPr>
              <w:t> </w:t>
            </w:r>
            <w:r w:rsidRPr="00474044">
              <w:rPr>
                <w:spacing w:val="-3"/>
              </w:rPr>
              <w:t xml:space="preserve">dobývání byla ve věku 50 </w:t>
            </w:r>
            <w:r w:rsidR="00307E77" w:rsidRPr="00474044">
              <w:rPr>
                <w:spacing w:val="-3"/>
              </w:rPr>
              <w:t>a</w:t>
            </w:r>
            <w:r w:rsidR="00307E77">
              <w:rPr>
                <w:spacing w:val="-3"/>
              </w:rPr>
              <w:t> </w:t>
            </w:r>
            <w:r w:rsidRPr="00474044">
              <w:rPr>
                <w:spacing w:val="-3"/>
              </w:rPr>
              <w:t>více let.</w:t>
            </w:r>
          </w:p>
          <w:p w14:paraId="499E0821" w14:textId="77777777" w:rsidR="00097078" w:rsidRDefault="00097078" w:rsidP="00044059">
            <w:pPr>
              <w:pStyle w:val="Marginlie"/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AAA2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ECE60" w14:textId="3E871809" w:rsidR="00097078" w:rsidRPr="006C4F8C" w:rsidRDefault="00097078" w:rsidP="00A170C9">
            <w:pPr>
              <w:spacing w:after="220"/>
              <w:rPr>
                <w:spacing w:val="-2"/>
                <w:szCs w:val="20"/>
              </w:rPr>
            </w:pPr>
            <w:r w:rsidRPr="006C4F8C">
              <w:rPr>
                <w:spacing w:val="-2"/>
                <w:szCs w:val="20"/>
              </w:rPr>
              <w:t>Na skupinu 40 až 49</w:t>
            </w:r>
            <w:r w:rsidR="00AE2A2D">
              <w:rPr>
                <w:spacing w:val="-2"/>
                <w:szCs w:val="20"/>
              </w:rPr>
              <w:t> </w:t>
            </w:r>
            <w:r>
              <w:rPr>
                <w:spacing w:val="-2"/>
                <w:szCs w:val="20"/>
              </w:rPr>
              <w:t xml:space="preserve">let </w:t>
            </w:r>
            <w:r w:rsidRPr="006C4F8C">
              <w:rPr>
                <w:spacing w:val="-2"/>
                <w:szCs w:val="20"/>
              </w:rPr>
              <w:t>připadl největší podíl zaměstnanců v průmyslu (32</w:t>
            </w:r>
            <w:r w:rsidR="006E33D0">
              <w:rPr>
                <w:spacing w:val="-2"/>
                <w:szCs w:val="20"/>
              </w:rPr>
              <w:t> %</w:t>
            </w:r>
            <w:r w:rsidRPr="006C4F8C">
              <w:rPr>
                <w:spacing w:val="-2"/>
                <w:szCs w:val="20"/>
              </w:rPr>
              <w:t xml:space="preserve"> v roce 2019), zastoupení osob nad 49</w:t>
            </w:r>
            <w:r w:rsidR="00AE2A2D">
              <w:rPr>
                <w:spacing w:val="-2"/>
                <w:szCs w:val="20"/>
              </w:rPr>
              <w:t> </w:t>
            </w:r>
            <w:r w:rsidR="00AC1296">
              <w:rPr>
                <w:spacing w:val="-2"/>
                <w:szCs w:val="20"/>
              </w:rPr>
              <w:t xml:space="preserve">let </w:t>
            </w:r>
            <w:r w:rsidRPr="006C4F8C">
              <w:rPr>
                <w:spacing w:val="-2"/>
                <w:szCs w:val="20"/>
              </w:rPr>
              <w:t>se blížilo 30</w:t>
            </w:r>
            <w:r w:rsidR="006E33D0">
              <w:rPr>
                <w:spacing w:val="-2"/>
                <w:szCs w:val="20"/>
              </w:rPr>
              <w:t> %</w:t>
            </w:r>
            <w:r w:rsidRPr="006C4F8C">
              <w:rPr>
                <w:spacing w:val="-2"/>
                <w:szCs w:val="20"/>
              </w:rPr>
              <w:t xml:space="preserve"> </w:t>
            </w:r>
            <w:r w:rsidR="00307E77" w:rsidRPr="006C4F8C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>mladších 30</w:t>
            </w:r>
            <w:r w:rsidR="00AE2A2D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>let byla necelá šestina. Toto rozvrstvení těsně kopírovalo skladbu zaměstnaných v celé ekonomice (podíl osob nad 49</w:t>
            </w:r>
            <w:r w:rsidR="00AE2A2D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 xml:space="preserve">let byl v průmyslu </w:t>
            </w:r>
            <w:r w:rsidR="00307E77" w:rsidRPr="006C4F8C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>necelé 2</w:t>
            </w:r>
            <w:r w:rsidR="006E33D0">
              <w:rPr>
                <w:spacing w:val="-2"/>
                <w:szCs w:val="20"/>
              </w:rPr>
              <w:t> p. b.</w:t>
            </w:r>
            <w:r w:rsidRPr="006C4F8C">
              <w:rPr>
                <w:spacing w:val="-2"/>
                <w:szCs w:val="20"/>
              </w:rPr>
              <w:t xml:space="preserve"> </w:t>
            </w:r>
            <w:proofErr w:type="gramStart"/>
            <w:r w:rsidRPr="006C4F8C">
              <w:rPr>
                <w:spacing w:val="-2"/>
                <w:szCs w:val="20"/>
              </w:rPr>
              <w:t>nižší</w:t>
            </w:r>
            <w:proofErr w:type="gramEnd"/>
            <w:r w:rsidRPr="006C4F8C">
              <w:rPr>
                <w:spacing w:val="-2"/>
                <w:szCs w:val="20"/>
              </w:rPr>
              <w:t>).</w:t>
            </w:r>
            <w:r>
              <w:rPr>
                <w:spacing w:val="-2"/>
                <w:szCs w:val="20"/>
              </w:rPr>
              <w:t xml:space="preserve"> Větší rozdíly panovaly v hlavních odvětvích </w:t>
            </w:r>
            <w:r w:rsidRPr="006C4F8C">
              <w:rPr>
                <w:spacing w:val="-2"/>
                <w:szCs w:val="20"/>
              </w:rPr>
              <w:t>průmyslu. V jeho nezpracovatelských odvětvích měly silnější podíl osoby nad 49</w:t>
            </w:r>
            <w:r w:rsidR="00AE2A2D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 xml:space="preserve">let, např. v těžbě a dobývání šlo bezmála </w:t>
            </w:r>
            <w:r w:rsidR="00307E77" w:rsidRPr="006C4F8C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 xml:space="preserve">polovinu zaměstnanců. Nízká atraktivita tohoto oboru pro mladší pracovníky souvisí kromě fyzické náročnosti práce </w:t>
            </w:r>
            <w:r w:rsidR="00307E77" w:rsidRPr="006C4F8C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>s útlumovým charakterem celého odvětví. Průměrný věk pracovníků těžebního průmyslu</w:t>
            </w:r>
            <w:r w:rsidR="00AE2A2D" w:rsidRPr="006C4F8C">
              <w:rPr>
                <w:spacing w:val="-2"/>
                <w:szCs w:val="20"/>
              </w:rPr>
              <w:t xml:space="preserve"> v roce 2019 činil</w:t>
            </w:r>
            <w:r w:rsidRPr="006C4F8C">
              <w:rPr>
                <w:spacing w:val="-2"/>
                <w:szCs w:val="20"/>
              </w:rPr>
              <w:t xml:space="preserve"> 48</w:t>
            </w:r>
            <w:r w:rsidR="00AE2A2D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>let</w:t>
            </w:r>
            <w:r w:rsidR="00A170C9" w:rsidRPr="006C4F8C">
              <w:rPr>
                <w:spacing w:val="-2"/>
                <w:szCs w:val="20"/>
              </w:rPr>
              <w:t xml:space="preserve"> </w:t>
            </w:r>
            <w:r w:rsidRPr="006C4F8C">
              <w:rPr>
                <w:spacing w:val="-2"/>
                <w:szCs w:val="20"/>
              </w:rPr>
              <w:t xml:space="preserve">a od roku 2012 vzrostl téměř </w:t>
            </w:r>
            <w:r w:rsidR="00307E77" w:rsidRPr="006C4F8C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="00307E77" w:rsidRPr="006C4F8C">
              <w:rPr>
                <w:spacing w:val="-2"/>
                <w:szCs w:val="20"/>
              </w:rPr>
              <w:t>3</w:t>
            </w:r>
            <w:r w:rsidR="00307E77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 xml:space="preserve">roky (více než dvojnásobně než v celé ekonomice). V energetice </w:t>
            </w:r>
            <w:r w:rsidR="00307E77" w:rsidRPr="006C4F8C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>vodním a odpadovém hospodářství přesáhl průměrný věk 46</w:t>
            </w:r>
            <w:r w:rsidR="00AE2A2D">
              <w:rPr>
                <w:spacing w:val="-2"/>
                <w:szCs w:val="20"/>
              </w:rPr>
              <w:t> </w:t>
            </w:r>
            <w:r w:rsidRPr="006C4F8C">
              <w:rPr>
                <w:spacing w:val="-2"/>
                <w:szCs w:val="20"/>
              </w:rPr>
              <w:t>let, avšak v posledních pěti letech se již významně nenavyšoval.</w:t>
            </w:r>
          </w:p>
        </w:tc>
      </w:tr>
    </w:tbl>
    <w:p w14:paraId="3A47F496" w14:textId="312E57DF" w:rsidR="00097078" w:rsidRPr="006C4F8C" w:rsidRDefault="00097078" w:rsidP="00097078">
      <w:pPr>
        <w:pStyle w:val="Nadpis2"/>
        <w:rPr>
          <w:rFonts w:cs="Arial"/>
          <w:b w:val="0"/>
        </w:rPr>
      </w:pPr>
      <w:bookmarkStart w:id="5" w:name="_Toc57061289"/>
      <w:r>
        <w:rPr>
          <w:rFonts w:cs="Arial"/>
        </w:rPr>
        <w:t>3</w:t>
      </w:r>
      <w:r w:rsidRPr="006C4F8C">
        <w:rPr>
          <w:rFonts w:cs="Arial"/>
        </w:rPr>
        <w:t>.</w:t>
      </w:r>
      <w:r w:rsidR="00307E77" w:rsidRPr="006C4F8C">
        <w:rPr>
          <w:rFonts w:cs="Arial"/>
        </w:rPr>
        <w:t>2</w:t>
      </w:r>
      <w:r w:rsidR="00307E77">
        <w:rPr>
          <w:rFonts w:cs="Arial"/>
        </w:rPr>
        <w:t> </w:t>
      </w:r>
      <w:r w:rsidRPr="006C4F8C">
        <w:rPr>
          <w:rFonts w:cs="Arial"/>
        </w:rPr>
        <w:t xml:space="preserve">Mzdy </w:t>
      </w:r>
      <w:r w:rsidR="00307E77" w:rsidRPr="006C4F8C">
        <w:rPr>
          <w:rFonts w:cs="Arial"/>
        </w:rPr>
        <w:t>a</w:t>
      </w:r>
      <w:r w:rsidR="00307E77">
        <w:rPr>
          <w:rFonts w:cs="Arial"/>
        </w:rPr>
        <w:t> </w:t>
      </w:r>
      <w:r w:rsidRPr="006C4F8C">
        <w:rPr>
          <w:rFonts w:cs="Arial"/>
        </w:rPr>
        <w:t>jejich diferenciace v tuzemském průmyslu</w:t>
      </w:r>
      <w:bookmarkEnd w:id="5"/>
    </w:p>
    <w:tbl>
      <w:tblPr>
        <w:tblW w:w="964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76"/>
        <w:gridCol w:w="173"/>
        <w:gridCol w:w="7700"/>
      </w:tblGrid>
      <w:tr w:rsidR="00097078" w14:paraId="068C1697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EE42C" w14:textId="25A4FE69" w:rsidR="00097078" w:rsidRDefault="00097078" w:rsidP="00044059">
            <w:pPr>
              <w:pStyle w:val="Marginlie"/>
            </w:pPr>
            <w:r>
              <w:t>Tempo růstu průměrných mezd v průmyslu v druhé polovině poslední dekády za celou ekonomikou většinou zaostávalo.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46957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A0419" w14:textId="7056820A" w:rsidR="00097078" w:rsidRPr="004521B4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 xml:space="preserve">Dle údajů z podnikových statistik čítala průměrná hrubá měsíční mzda zaměstnance (po přepočtu na plné úvazky) v průmyslu v roce 2019 nominálně </w:t>
            </w:r>
            <w:r w:rsidRPr="00D9365F">
              <w:rPr>
                <w:szCs w:val="20"/>
              </w:rPr>
              <w:t>33</w:t>
            </w:r>
            <w:r w:rsidR="00A341C7">
              <w:rPr>
                <w:szCs w:val="20"/>
              </w:rPr>
              <w:t> </w:t>
            </w:r>
            <w:r w:rsidRPr="00D9365F">
              <w:rPr>
                <w:szCs w:val="20"/>
              </w:rPr>
              <w:t>963</w:t>
            </w:r>
            <w:r w:rsidR="00A341C7">
              <w:rPr>
                <w:szCs w:val="20"/>
              </w:rPr>
              <w:t> </w:t>
            </w:r>
            <w:r>
              <w:rPr>
                <w:szCs w:val="20"/>
              </w:rPr>
              <w:t xml:space="preserve">korun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meziročně se zvýšila o 5,4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. To bylo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 xml:space="preserve">rovný procentní bod méně než v celém národním hospodářství. Dynamika mezd v průmyslu za tempy v celé ekonomice zaostávala prakticky nepřetržitě po dobu posledních pěti let, výjimkou byl rok 2017, kdy byl růst </w:t>
            </w:r>
            <w:r>
              <w:rPr>
                <w:szCs w:val="20"/>
              </w:rPr>
              <w:lastRenderedPageBreak/>
              <w:t>srovnatelný. Není proto překvapivé, že výše průměrných mezd v průmyslu v roce 2019 klesla pod úroveň celé ekonomiky, což se stalo naposledy v roce 2011. Mzdovou dynamiku v národním hospodářství ale v letech 2017 až 2019 výrazně podporoval svižný růst výdělků v odvětvích s převahou veřejného sektoru</w:t>
            </w:r>
            <w:r w:rsidRPr="003E5D9B">
              <w:rPr>
                <w:rStyle w:val="Znakapoznpodarou"/>
                <w:spacing w:val="-4"/>
              </w:rPr>
              <w:footnoteReference w:id="15"/>
            </w:r>
            <w:r>
              <w:rPr>
                <w:szCs w:val="20"/>
              </w:rPr>
              <w:t xml:space="preserve">. </w:t>
            </w:r>
            <w:r w:rsidR="00BA6405">
              <w:rPr>
                <w:szCs w:val="20"/>
              </w:rPr>
              <w:t xml:space="preserve">I ve </w:t>
            </w:r>
            <w:r>
              <w:rPr>
                <w:szCs w:val="20"/>
              </w:rPr>
              <w:t>srovnání s </w:t>
            </w:r>
            <w:r w:rsidR="00A341C7">
              <w:rPr>
                <w:szCs w:val="20"/>
              </w:rPr>
              <w:t xml:space="preserve">částí </w:t>
            </w:r>
            <w:r>
              <w:rPr>
                <w:szCs w:val="20"/>
              </w:rPr>
              <w:t xml:space="preserve">ekonomiky nezahrnující tato odvětví se </w:t>
            </w:r>
            <w:r w:rsidR="00BA6405">
              <w:rPr>
                <w:szCs w:val="20"/>
              </w:rPr>
              <w:t xml:space="preserve">ale </w:t>
            </w:r>
            <w:r>
              <w:rPr>
                <w:szCs w:val="20"/>
              </w:rPr>
              <w:t xml:space="preserve">mzdová úroveň v průmyslu stále nacházela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téměř 2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výše. Tempo růstu mezd v průmyslu kulminovalo v poslední dekádě v roce 2018 (7,7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), kdy se ale výkon tohoto odvětví již nacházel za svým konjunkturním vrcholem. Silný mzdový růst se </w:t>
            </w:r>
            <w:r w:rsidR="00A341C7">
              <w:rPr>
                <w:szCs w:val="20"/>
              </w:rPr>
              <w:t xml:space="preserve">zde </w:t>
            </w:r>
            <w:r>
              <w:rPr>
                <w:szCs w:val="20"/>
              </w:rPr>
              <w:t xml:space="preserve">udržel zejména </w:t>
            </w:r>
            <w:r w:rsidR="00A341C7">
              <w:rPr>
                <w:szCs w:val="20"/>
              </w:rPr>
              <w:t xml:space="preserve">kvůli </w:t>
            </w:r>
            <w:r>
              <w:rPr>
                <w:szCs w:val="20"/>
              </w:rPr>
              <w:t>napjaté situaci na pracovním trhu, neboť hlavní bariérou tuzemského průmyslu zůstal navzdory slábnoucí zahraniční poptávce nedostatek pracovníků (deklarovalo ho po celý rok 2018 více než 40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průmyslových podniků).</w:t>
            </w:r>
          </w:p>
        </w:tc>
      </w:tr>
      <w:tr w:rsidR="00097078" w14:paraId="5C6A55F8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B5AB9" w14:textId="594FFC30" w:rsidR="00097078" w:rsidRDefault="00307E77" w:rsidP="00044059">
            <w:pPr>
              <w:pStyle w:val="Marginlie"/>
            </w:pPr>
            <w:r>
              <w:lastRenderedPageBreak/>
              <w:t>V </w:t>
            </w:r>
            <w:r w:rsidR="00097078">
              <w:t xml:space="preserve">rámci hlavních odvětví průmyslu rostla v roce 2019 mzda nejrychleji v energetice </w:t>
            </w:r>
            <w:r>
              <w:t>a </w:t>
            </w:r>
            <w:r w:rsidR="00097078">
              <w:t xml:space="preserve">vodním </w:t>
            </w:r>
            <w:r w:rsidR="00A341C7">
              <w:t>a </w:t>
            </w:r>
            <w:r w:rsidR="00097078">
              <w:t>odpadovém hospodářství.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44A11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A465E" w14:textId="798110CB" w:rsidR="00097078" w:rsidRPr="004521B4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 xml:space="preserve">Poprvé za posledních sedm let bylo v roce 2019 tempo průměrných mezd ve zpracovatelském průmyslu nižší než v úhrnu za ostatní odvětvové sekce průmyslu. Zatímco v těžbě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 xml:space="preserve">dobývání se tempo ve srovnání s předchozím rokem snížilo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více než polovinu (na 3,3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), v ostatních nezpracovatelských odvětvích (energetice, vodním </w:t>
            </w:r>
            <w:r w:rsidR="00A341C7">
              <w:rPr>
                <w:szCs w:val="20"/>
              </w:rPr>
              <w:t>a </w:t>
            </w:r>
            <w:r>
              <w:rPr>
                <w:szCs w:val="20"/>
              </w:rPr>
              <w:t>odpadovém hospodářství) se svižná více než 6% tempa z roku 2018 udržela.</w:t>
            </w:r>
          </w:p>
        </w:tc>
      </w:tr>
      <w:tr w:rsidR="00097078" w14:paraId="0FE79083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0F26B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0DF37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033FF" w14:textId="35F2FEEB" w:rsidR="00097078" w:rsidRPr="0014314C" w:rsidRDefault="004C0391" w:rsidP="00044059">
            <w:pPr>
              <w:spacing w:after="0"/>
              <w:rPr>
                <w:spacing w:val="-2"/>
                <w:szCs w:val="20"/>
              </w:rPr>
            </w:pPr>
            <w:r w:rsidRPr="0014314C">
              <w:rPr>
                <w:b/>
                <w:spacing w:val="-2"/>
                <w:szCs w:val="20"/>
              </w:rPr>
              <w:t>Graf</w:t>
            </w:r>
            <w:r w:rsidR="006E33D0" w:rsidRPr="0014314C">
              <w:rPr>
                <w:b/>
                <w:spacing w:val="-2"/>
                <w:szCs w:val="20"/>
              </w:rPr>
              <w:t xml:space="preserve"> č. </w:t>
            </w:r>
            <w:r w:rsidRPr="0014314C">
              <w:rPr>
                <w:b/>
                <w:spacing w:val="-2"/>
                <w:szCs w:val="20"/>
              </w:rPr>
              <w:t>11</w:t>
            </w:r>
            <w:r w:rsidR="00097078" w:rsidRPr="0014314C">
              <w:rPr>
                <w:b/>
                <w:spacing w:val="-2"/>
                <w:szCs w:val="20"/>
              </w:rPr>
              <w:t xml:space="preserve">  Vývoj průměrných nominálních hrubých mezd v hlavních průmyslových odvětvích </w:t>
            </w:r>
            <w:r w:rsidR="00307E77" w:rsidRPr="0014314C">
              <w:rPr>
                <w:b/>
                <w:spacing w:val="-2"/>
                <w:szCs w:val="20"/>
              </w:rPr>
              <w:t>a </w:t>
            </w:r>
            <w:r w:rsidR="00097078" w:rsidRPr="0014314C">
              <w:rPr>
                <w:b/>
                <w:spacing w:val="-2"/>
                <w:szCs w:val="20"/>
              </w:rPr>
              <w:t xml:space="preserve">v celé ekonomice ČR v letech 2010 </w:t>
            </w:r>
            <w:r w:rsidR="00307E77" w:rsidRPr="0014314C">
              <w:rPr>
                <w:b/>
                <w:spacing w:val="-2"/>
                <w:szCs w:val="20"/>
              </w:rPr>
              <w:t>a </w:t>
            </w:r>
            <w:r w:rsidR="00097078" w:rsidRPr="0014314C">
              <w:rPr>
                <w:b/>
                <w:spacing w:val="-2"/>
                <w:szCs w:val="20"/>
              </w:rPr>
              <w:t>201</w:t>
            </w:r>
            <w:r w:rsidR="0014314C" w:rsidRPr="0014314C">
              <w:rPr>
                <w:b/>
                <w:spacing w:val="-2"/>
                <w:szCs w:val="20"/>
              </w:rPr>
              <w:t>9</w:t>
            </w:r>
            <w:r w:rsidR="00097078" w:rsidRPr="0014314C">
              <w:rPr>
                <w:spacing w:val="-2"/>
                <w:szCs w:val="20"/>
              </w:rPr>
              <w:t xml:space="preserve"> (meziročně v</w:t>
            </w:r>
            <w:r w:rsidR="006E33D0" w:rsidRPr="0014314C">
              <w:rPr>
                <w:spacing w:val="-2"/>
                <w:szCs w:val="20"/>
              </w:rPr>
              <w:t> %</w:t>
            </w:r>
            <w:r w:rsidR="00097078" w:rsidRPr="0014314C">
              <w:rPr>
                <w:spacing w:val="-2"/>
                <w:szCs w:val="20"/>
              </w:rPr>
              <w:t>)</w:t>
            </w:r>
          </w:p>
        </w:tc>
      </w:tr>
      <w:tr w:rsidR="00097078" w14:paraId="7E2AD1FB" w14:textId="77777777" w:rsidTr="00586874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FA105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115D5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5E1F" w14:textId="62278CEB" w:rsidR="00097078" w:rsidRPr="000153F6" w:rsidRDefault="00E20077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2560C62" wp14:editId="5E520C49">
                  <wp:extent cx="4696359" cy="3299155"/>
                  <wp:effectExtent l="0" t="0" r="0" b="0"/>
                  <wp:docPr id="42" name="Graf 4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097078" w14:paraId="4596720C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67ACD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1E49D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C2237" w14:textId="6E1819A4" w:rsidR="00097078" w:rsidRPr="00F710D4" w:rsidRDefault="00097078" w:rsidP="00044059">
            <w:pPr>
              <w:spacing w:after="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Poznámka</w:t>
            </w:r>
            <w:r w:rsidR="006F2F95">
              <w:rPr>
                <w:sz w:val="14"/>
                <w:szCs w:val="14"/>
              </w:rPr>
              <w:t>:</w:t>
            </w:r>
            <w:r w:rsidR="006F2F95" w:rsidRPr="00F710D4">
              <w:rPr>
                <w:sz w:val="14"/>
                <w:szCs w:val="14"/>
              </w:rPr>
              <w:t xml:space="preserve"> </w:t>
            </w:r>
            <w:r w:rsidRPr="00F710D4">
              <w:rPr>
                <w:sz w:val="14"/>
                <w:szCs w:val="14"/>
              </w:rPr>
              <w:t xml:space="preserve">Mzda je vztažena </w:t>
            </w:r>
            <w:r w:rsidR="00307E77" w:rsidRPr="00F710D4">
              <w:rPr>
                <w:sz w:val="14"/>
                <w:szCs w:val="14"/>
              </w:rPr>
              <w:t>k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>přepočtenému počtu zaměstnanců (na plné úvazky).</w:t>
            </w:r>
          </w:p>
          <w:p w14:paraId="6109873F" w14:textId="77777777" w:rsidR="00097078" w:rsidRPr="000E201C" w:rsidRDefault="00097078" w:rsidP="00044059">
            <w:pPr>
              <w:spacing w:after="220"/>
              <w:rPr>
                <w:sz w:val="16"/>
                <w:szCs w:val="16"/>
              </w:rPr>
            </w:pPr>
            <w:r w:rsidRPr="00F710D4">
              <w:rPr>
                <w:sz w:val="14"/>
                <w:szCs w:val="14"/>
              </w:rPr>
              <w:t>Zdroj: ČSÚ (podniková statistika)</w:t>
            </w:r>
          </w:p>
        </w:tc>
      </w:tr>
      <w:tr w:rsidR="00097078" w14:paraId="1B0D1195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2215C" w14:textId="77777777" w:rsidR="00097078" w:rsidRDefault="00097078" w:rsidP="00044059">
            <w:pPr>
              <w:pStyle w:val="Marginlie"/>
            </w:pPr>
            <w:r>
              <w:t>Ze zpracovatelských odvětví rostly v roce 2019 průměrné mzdy relativně nejvíce v kožedělném průmyslu, nejméně v hutnictví.</w:t>
            </w:r>
          </w:p>
          <w:p w14:paraId="61E68895" w14:textId="77777777" w:rsidR="00097078" w:rsidRDefault="00097078" w:rsidP="00044059">
            <w:pPr>
              <w:pStyle w:val="Marginlie"/>
            </w:pPr>
          </w:p>
          <w:p w14:paraId="6412A4E0" w14:textId="7348E787" w:rsidR="00097078" w:rsidRDefault="00097078" w:rsidP="00044059">
            <w:pPr>
              <w:pStyle w:val="Marginlie"/>
            </w:pPr>
            <w:r>
              <w:t xml:space="preserve">Mezi roky 2012 </w:t>
            </w:r>
            <w:r w:rsidR="00307E77">
              <w:t>a </w:t>
            </w:r>
            <w:r>
              <w:t xml:space="preserve">2019 se relativně nejvíce zvýšila mzda v menších odvětvích, </w:t>
            </w:r>
            <w:r w:rsidR="00071E70">
              <w:t xml:space="preserve">která </w:t>
            </w:r>
            <w:r>
              <w:t xml:space="preserve">zároveň </w:t>
            </w:r>
            <w:r w:rsidR="00071E70">
              <w:t xml:space="preserve">profitovala </w:t>
            </w:r>
            <w:r>
              <w:lastRenderedPageBreak/>
              <w:t>z opakovaného navyšování minimální mzdy.</w:t>
            </w:r>
          </w:p>
          <w:p w14:paraId="3A4C2308" w14:textId="77777777" w:rsidR="00097078" w:rsidRDefault="00097078" w:rsidP="00044059">
            <w:pPr>
              <w:pStyle w:val="Marginlie"/>
            </w:pPr>
          </w:p>
          <w:p w14:paraId="15E8B4D6" w14:textId="77777777" w:rsidR="00097078" w:rsidRDefault="00097078" w:rsidP="00044059">
            <w:pPr>
              <w:pStyle w:val="Marginlie"/>
            </w:pPr>
          </w:p>
          <w:p w14:paraId="1B6E41CC" w14:textId="77777777" w:rsidR="00097078" w:rsidRDefault="00097078" w:rsidP="00044059">
            <w:pPr>
              <w:pStyle w:val="Marginlie"/>
            </w:pPr>
          </w:p>
          <w:p w14:paraId="6FDEF098" w14:textId="77777777" w:rsidR="00097078" w:rsidRDefault="00097078" w:rsidP="00044059">
            <w:pPr>
              <w:pStyle w:val="Marginlie"/>
            </w:pPr>
          </w:p>
          <w:p w14:paraId="56C0EDFB" w14:textId="5F8FD148" w:rsidR="00097078" w:rsidRDefault="00097078" w:rsidP="00044059">
            <w:pPr>
              <w:pStyle w:val="Marginlie"/>
            </w:pPr>
            <w:r>
              <w:t xml:space="preserve">Oděvnictví zůstává dlouhodobě odvětvím s nejnižší mzdovou úrovní </w:t>
            </w:r>
            <w:r w:rsidR="00307E77">
              <w:t>v </w:t>
            </w:r>
            <w:r>
              <w:t>průmyslu.</w:t>
            </w:r>
          </w:p>
          <w:p w14:paraId="42768C47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04E51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9610E" w14:textId="5E8E3B86" w:rsidR="00097078" w:rsidRPr="004A4EC6" w:rsidRDefault="00097078" w:rsidP="00585E02">
            <w:pPr>
              <w:spacing w:after="220"/>
              <w:rPr>
                <w:spacing w:val="-2"/>
                <w:szCs w:val="20"/>
              </w:rPr>
            </w:pPr>
            <w:r w:rsidRPr="004A4EC6">
              <w:rPr>
                <w:spacing w:val="-2"/>
                <w:szCs w:val="20"/>
              </w:rPr>
              <w:t xml:space="preserve">Růst průměrné mzdy zaměstnanců v těžbě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 xml:space="preserve">dobývání </w:t>
            </w:r>
            <w:r>
              <w:rPr>
                <w:spacing w:val="-2"/>
                <w:szCs w:val="20"/>
              </w:rPr>
              <w:t>dosáhl v roce 2019 minima také</w:t>
            </w:r>
            <w:r w:rsidR="00071E70">
              <w:rPr>
                <w:spacing w:val="-2"/>
                <w:szCs w:val="20"/>
              </w:rPr>
              <w:t xml:space="preserve"> </w:t>
            </w:r>
            <w:r w:rsidRPr="004A4EC6">
              <w:rPr>
                <w:spacing w:val="-2"/>
                <w:szCs w:val="20"/>
              </w:rPr>
              <w:t xml:space="preserve">v konkurenci více než dvou desítek sledovaných zpracovatelských odvětví. V rámci této skupiny si relativně nejméně polepšili pracovníci v hutnictví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slévárenství (+3,9</w:t>
            </w:r>
            <w:r w:rsidR="006E33D0">
              <w:rPr>
                <w:spacing w:val="-2"/>
                <w:szCs w:val="20"/>
              </w:rPr>
              <w:t> %</w:t>
            </w:r>
            <w:r w:rsidRPr="004A4EC6">
              <w:rPr>
                <w:spacing w:val="-2"/>
                <w:szCs w:val="20"/>
              </w:rPr>
              <w:t>), což korespondovalo s celkovým zhoršením hospodářských výsledků tohoto oboru. Na opačném konci spektra se nacházel kožedělný průmysl (+8,2</w:t>
            </w:r>
            <w:r w:rsidR="006E33D0">
              <w:rPr>
                <w:spacing w:val="-2"/>
                <w:szCs w:val="20"/>
              </w:rPr>
              <w:t> %</w:t>
            </w:r>
            <w:r w:rsidRPr="004A4EC6">
              <w:rPr>
                <w:spacing w:val="-2"/>
                <w:szCs w:val="20"/>
              </w:rPr>
              <w:t xml:space="preserve">), kde se </w:t>
            </w:r>
            <w:r w:rsidR="00585E02">
              <w:rPr>
                <w:spacing w:val="-2"/>
                <w:szCs w:val="20"/>
              </w:rPr>
              <w:t>na</w:t>
            </w:r>
            <w:r w:rsidR="00585E02" w:rsidRPr="004A4EC6">
              <w:rPr>
                <w:spacing w:val="-2"/>
                <w:szCs w:val="20"/>
              </w:rPr>
              <w:t xml:space="preserve"> </w:t>
            </w:r>
            <w:r w:rsidRPr="004A4EC6">
              <w:rPr>
                <w:spacing w:val="-2"/>
                <w:szCs w:val="20"/>
              </w:rPr>
              <w:t xml:space="preserve">vysokém tempu projevil vliv administrativního zvýšení minimální mzdy. Tento faktor je patrný zejména při srovnání v delší </w:t>
            </w:r>
            <w:r w:rsidR="00071E70">
              <w:rPr>
                <w:spacing w:val="-2"/>
                <w:szCs w:val="20"/>
              </w:rPr>
              <w:t xml:space="preserve">časové </w:t>
            </w:r>
            <w:r w:rsidRPr="004A4EC6">
              <w:rPr>
                <w:spacing w:val="-2"/>
                <w:szCs w:val="20"/>
              </w:rPr>
              <w:t xml:space="preserve">řadě, např. s rokem recese 2012, </w:t>
            </w:r>
            <w:r w:rsidR="00307E77" w:rsidRPr="004A4EC6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v </w:t>
            </w:r>
            <w:r w:rsidR="00071E70">
              <w:rPr>
                <w:spacing w:val="-2"/>
                <w:szCs w:val="20"/>
              </w:rPr>
              <w:t>mnoha</w:t>
            </w:r>
            <w:r w:rsidR="00071E70" w:rsidRPr="004A4EC6">
              <w:rPr>
                <w:spacing w:val="-2"/>
                <w:szCs w:val="20"/>
              </w:rPr>
              <w:t xml:space="preserve"> </w:t>
            </w:r>
            <w:r w:rsidRPr="004A4EC6">
              <w:rPr>
                <w:spacing w:val="-2"/>
                <w:szCs w:val="20"/>
              </w:rPr>
              <w:t xml:space="preserve">dalších </w:t>
            </w:r>
            <w:r w:rsidR="00071E70" w:rsidRPr="004A4EC6">
              <w:rPr>
                <w:spacing w:val="-2"/>
                <w:szCs w:val="20"/>
              </w:rPr>
              <w:t>obor</w:t>
            </w:r>
            <w:r w:rsidR="00071E70">
              <w:rPr>
                <w:spacing w:val="-2"/>
                <w:szCs w:val="20"/>
              </w:rPr>
              <w:t>ech</w:t>
            </w:r>
            <w:r w:rsidR="00071E70" w:rsidRPr="004A4EC6">
              <w:rPr>
                <w:spacing w:val="-2"/>
                <w:szCs w:val="20"/>
              </w:rPr>
              <w:t xml:space="preserve"> </w:t>
            </w:r>
            <w:r w:rsidRPr="004A4EC6">
              <w:rPr>
                <w:spacing w:val="-2"/>
                <w:szCs w:val="20"/>
              </w:rPr>
              <w:t xml:space="preserve">s výrazně podprůměrnou mzdovou úrovní (oděvním, textilním, potravinářském, dřevozpracujícím či nábytkářském průmyslu). Mezi lety 2012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 xml:space="preserve">2019 dosáhla </w:t>
            </w:r>
            <w:r w:rsidRPr="004A4EC6">
              <w:rPr>
                <w:spacing w:val="-2"/>
                <w:szCs w:val="20"/>
              </w:rPr>
              <w:lastRenderedPageBreak/>
              <w:t xml:space="preserve">nadprůměrných růstových temp </w:t>
            </w:r>
            <w:r w:rsidR="00307E77" w:rsidRPr="004A4EC6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některá odvětví s vyšš</w:t>
            </w:r>
            <w:r>
              <w:rPr>
                <w:spacing w:val="-2"/>
                <w:szCs w:val="20"/>
              </w:rPr>
              <w:t>í mzdovou úrovní. Šlo typicky o</w:t>
            </w:r>
            <w:r w:rsidRPr="004A4EC6">
              <w:rPr>
                <w:spacing w:val="-2"/>
                <w:szCs w:val="20"/>
              </w:rPr>
              <w:t> výrobu motorových vozidel (</w:t>
            </w:r>
            <w:r w:rsidR="00307E77" w:rsidRPr="004A4EC6">
              <w:rPr>
                <w:spacing w:val="-2"/>
                <w:szCs w:val="20"/>
              </w:rPr>
              <w:t>s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průměrným ročním mzdovým tempem za výše uvedené období +5,0</w:t>
            </w:r>
            <w:r w:rsidR="006E33D0">
              <w:rPr>
                <w:spacing w:val="-2"/>
                <w:szCs w:val="20"/>
              </w:rPr>
              <w:t> %</w:t>
            </w:r>
            <w:r w:rsidRPr="004A4EC6">
              <w:rPr>
                <w:spacing w:val="-2"/>
                <w:szCs w:val="20"/>
              </w:rPr>
              <w:t xml:space="preserve">)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="00307E77" w:rsidRPr="004A4EC6">
              <w:rPr>
                <w:spacing w:val="-2"/>
                <w:szCs w:val="20"/>
              </w:rPr>
              <w:t>s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ní propojené obory</w:t>
            </w:r>
            <w:r w:rsidR="00071E70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– např. gumárenství a </w:t>
            </w:r>
            <w:proofErr w:type="spellStart"/>
            <w:r w:rsidRPr="004A4EC6">
              <w:rPr>
                <w:spacing w:val="-2"/>
                <w:szCs w:val="20"/>
              </w:rPr>
              <w:t>plastikářství</w:t>
            </w:r>
            <w:proofErr w:type="spellEnd"/>
            <w:r w:rsidRPr="004A4EC6">
              <w:rPr>
                <w:spacing w:val="-2"/>
                <w:szCs w:val="20"/>
              </w:rPr>
              <w:t xml:space="preserve"> (+5,0</w:t>
            </w:r>
            <w:r w:rsidR="006E33D0">
              <w:rPr>
                <w:spacing w:val="-2"/>
                <w:szCs w:val="20"/>
              </w:rPr>
              <w:t> %</w:t>
            </w:r>
            <w:r w:rsidRPr="004A4EC6">
              <w:rPr>
                <w:spacing w:val="-2"/>
                <w:szCs w:val="20"/>
              </w:rPr>
              <w:t>)</w:t>
            </w:r>
            <w:r>
              <w:rPr>
                <w:spacing w:val="-2"/>
                <w:szCs w:val="20"/>
              </w:rPr>
              <w:t xml:space="preserve"> či elektrotechnik</w:t>
            </w:r>
            <w:r w:rsidR="00071E70">
              <w:rPr>
                <w:spacing w:val="-2"/>
                <w:szCs w:val="20"/>
              </w:rPr>
              <w:t>u</w:t>
            </w:r>
            <w:r w:rsidRPr="004A4EC6">
              <w:rPr>
                <w:spacing w:val="-2"/>
                <w:szCs w:val="20"/>
              </w:rPr>
              <w:t>. Silnější růst než v celém průmyslu (+4,4</w:t>
            </w:r>
            <w:r w:rsidR="006E33D0">
              <w:rPr>
                <w:spacing w:val="-2"/>
                <w:szCs w:val="20"/>
              </w:rPr>
              <w:t> %</w:t>
            </w:r>
            <w:r w:rsidRPr="004A4EC6">
              <w:rPr>
                <w:spacing w:val="-2"/>
                <w:szCs w:val="20"/>
              </w:rPr>
              <w:t xml:space="preserve">) se objevil také ve výrobě počítačů, elektronických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 xml:space="preserve">optických přístrojů či ve výrobě ostatních dopravních prostředků. Naopak nejmenší dynamiku měly těžební průmysl (+1,9 %)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energetika (+2,2</w:t>
            </w:r>
            <w:r w:rsidR="006E33D0">
              <w:rPr>
                <w:spacing w:val="-2"/>
                <w:szCs w:val="20"/>
              </w:rPr>
              <w:t> %</w:t>
            </w:r>
            <w:r w:rsidRPr="004A4EC6">
              <w:rPr>
                <w:spacing w:val="-2"/>
                <w:szCs w:val="20"/>
              </w:rPr>
              <w:t xml:space="preserve">). Jde přitom </w:t>
            </w:r>
            <w:r w:rsidR="00307E77" w:rsidRPr="004A4EC6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 xml:space="preserve">obory s odlišnými perspektivami, protisměrným vývojem zaměstnanosti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 xml:space="preserve">konečně </w:t>
            </w:r>
            <w:r w:rsidR="00307E77" w:rsidRPr="004A4EC6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="00071E70">
              <w:rPr>
                <w:spacing w:val="-2"/>
                <w:szCs w:val="20"/>
              </w:rPr>
              <w:t>s </w:t>
            </w:r>
            <w:r w:rsidRPr="004A4EC6">
              <w:rPr>
                <w:spacing w:val="-2"/>
                <w:szCs w:val="20"/>
              </w:rPr>
              <w:t>dosti odlišnou vzdělanost</w:t>
            </w:r>
            <w:r>
              <w:rPr>
                <w:spacing w:val="-2"/>
                <w:szCs w:val="20"/>
              </w:rPr>
              <w:t>n</w:t>
            </w:r>
            <w:r w:rsidRPr="004A4EC6">
              <w:rPr>
                <w:spacing w:val="-2"/>
                <w:szCs w:val="20"/>
              </w:rPr>
              <w:t xml:space="preserve">í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kvalifikační skladb</w:t>
            </w:r>
            <w:r>
              <w:rPr>
                <w:spacing w:val="-2"/>
                <w:szCs w:val="20"/>
              </w:rPr>
              <w:t>ou pracovníků</w:t>
            </w:r>
            <w:r w:rsidRPr="004A4EC6">
              <w:rPr>
                <w:spacing w:val="-2"/>
                <w:szCs w:val="20"/>
              </w:rPr>
              <w:t xml:space="preserve">. Slabší relativní růst průměrných mezd v poslední dekádě byl zaměstnancům částečně kompenzován tradičně vyššími nemzdovými benefity, které jsou pro obě </w:t>
            </w:r>
            <w:r w:rsidR="00071E70" w:rsidRPr="004A4EC6">
              <w:rPr>
                <w:spacing w:val="-2"/>
                <w:szCs w:val="20"/>
              </w:rPr>
              <w:t>t</w:t>
            </w:r>
            <w:r w:rsidR="00071E70">
              <w:rPr>
                <w:spacing w:val="-2"/>
                <w:szCs w:val="20"/>
              </w:rPr>
              <w:t>a</w:t>
            </w:r>
            <w:r w:rsidR="00071E70" w:rsidRPr="004A4EC6">
              <w:rPr>
                <w:spacing w:val="-2"/>
                <w:szCs w:val="20"/>
              </w:rPr>
              <w:t xml:space="preserve">to </w:t>
            </w:r>
            <w:r w:rsidRPr="004A4EC6">
              <w:rPr>
                <w:spacing w:val="-2"/>
                <w:szCs w:val="20"/>
              </w:rPr>
              <w:t>odvětví typické</w:t>
            </w:r>
            <w:r w:rsidRPr="004A4EC6">
              <w:rPr>
                <w:rStyle w:val="Znakapoznpodarou"/>
                <w:spacing w:val="-2"/>
              </w:rPr>
              <w:footnoteReference w:id="16"/>
            </w:r>
            <w:r w:rsidRPr="004A4EC6">
              <w:rPr>
                <w:spacing w:val="-2"/>
                <w:szCs w:val="20"/>
              </w:rPr>
              <w:t xml:space="preserve">. </w:t>
            </w:r>
            <w:r w:rsidR="00307E77" w:rsidRPr="004A4EC6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bez tohoto vlivu přesahoval</w:t>
            </w:r>
            <w:r>
              <w:rPr>
                <w:spacing w:val="-2"/>
                <w:szCs w:val="20"/>
              </w:rPr>
              <w:t>y</w:t>
            </w:r>
            <w:r w:rsidRPr="004A4EC6">
              <w:rPr>
                <w:spacing w:val="-2"/>
                <w:szCs w:val="20"/>
              </w:rPr>
              <w:t xml:space="preserve"> v roce 2019 průměrné mzdy v těžbě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dobý</w:t>
            </w:r>
            <w:r>
              <w:rPr>
                <w:spacing w:val="-2"/>
                <w:szCs w:val="20"/>
              </w:rPr>
              <w:t xml:space="preserve">vání úroveň celé ekonomiky </w:t>
            </w:r>
            <w:r w:rsidR="00307E77">
              <w:rPr>
                <w:spacing w:val="-2"/>
                <w:szCs w:val="20"/>
              </w:rPr>
              <w:t>o </w:t>
            </w:r>
            <w:r>
              <w:rPr>
                <w:spacing w:val="-2"/>
                <w:szCs w:val="20"/>
              </w:rPr>
              <w:t>10</w:t>
            </w:r>
            <w:r w:rsidRPr="004A4EC6">
              <w:rPr>
                <w:spacing w:val="-2"/>
                <w:szCs w:val="20"/>
              </w:rPr>
              <w:t xml:space="preserve"> %, v energetice dokonce </w:t>
            </w:r>
            <w:r w:rsidR="00307E77" w:rsidRPr="004A4EC6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46</w:t>
            </w:r>
            <w:r w:rsidR="006E33D0">
              <w:rPr>
                <w:spacing w:val="-2"/>
                <w:szCs w:val="20"/>
              </w:rPr>
              <w:t> %</w:t>
            </w:r>
            <w:r w:rsidRPr="004A4EC6">
              <w:rPr>
                <w:spacing w:val="-2"/>
                <w:szCs w:val="20"/>
              </w:rPr>
              <w:t xml:space="preserve">. Poměr mezi průmyslovým odvětvím s nejvyšší mzdovou úrovní (energetikou, resp. do roku 2007 petrochemií)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nejnižší hladinou (oděvnictví</w:t>
            </w:r>
            <w:r w:rsidR="00071E70">
              <w:rPr>
                <w:spacing w:val="-2"/>
                <w:szCs w:val="20"/>
              </w:rPr>
              <w:t>m</w:t>
            </w:r>
            <w:r w:rsidRPr="004A4EC6">
              <w:rPr>
                <w:spacing w:val="-2"/>
                <w:szCs w:val="20"/>
              </w:rPr>
              <w:t xml:space="preserve">) mezi roky 2000 </w:t>
            </w:r>
            <w:r w:rsidR="00307E77" w:rsidRPr="004A4EC6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2012 rostl (</w:t>
            </w:r>
            <w:r w:rsidR="00307E77" w:rsidRPr="004A4EC6">
              <w:rPr>
                <w:spacing w:val="-2"/>
                <w:szCs w:val="20"/>
              </w:rPr>
              <w:t>z</w:t>
            </w:r>
            <w:r w:rsidR="00307E77">
              <w:rPr>
                <w:spacing w:val="-2"/>
                <w:szCs w:val="20"/>
              </w:rPr>
              <w:t> </w:t>
            </w:r>
            <w:r w:rsidRPr="004A4EC6">
              <w:rPr>
                <w:spacing w:val="-2"/>
                <w:szCs w:val="20"/>
              </w:rPr>
              <w:t>2,38 na 3,38), následně plynule klesal (na 2,67 v roce 2019).</w:t>
            </w:r>
          </w:p>
        </w:tc>
      </w:tr>
      <w:tr w:rsidR="00097078" w:rsidRPr="000153F6" w14:paraId="340C11BE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83D25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EA13D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C711D" w14:textId="07D0C699" w:rsidR="00097078" w:rsidRPr="00234F4B" w:rsidRDefault="004C0391" w:rsidP="00044059">
            <w:pPr>
              <w:spacing w:after="0"/>
              <w:rPr>
                <w:spacing w:val="-2"/>
                <w:szCs w:val="20"/>
              </w:rPr>
            </w:pPr>
            <w:r>
              <w:rPr>
                <w:b/>
                <w:spacing w:val="-2"/>
                <w:szCs w:val="20"/>
              </w:rPr>
              <w:t>G</w:t>
            </w:r>
            <w:r w:rsidRPr="002665EC">
              <w:rPr>
                <w:b/>
                <w:spacing w:val="-2"/>
                <w:szCs w:val="20"/>
              </w:rPr>
              <w:t>raf</w:t>
            </w:r>
            <w:r w:rsidR="006E33D0" w:rsidRPr="002665EC">
              <w:rPr>
                <w:b/>
                <w:spacing w:val="-2"/>
                <w:szCs w:val="20"/>
              </w:rPr>
              <w:t xml:space="preserve"> č. </w:t>
            </w:r>
            <w:r w:rsidRPr="002665EC">
              <w:rPr>
                <w:b/>
                <w:spacing w:val="-2"/>
                <w:szCs w:val="20"/>
              </w:rPr>
              <w:t>12</w:t>
            </w:r>
            <w:r w:rsidR="00097078" w:rsidRPr="002665EC">
              <w:rPr>
                <w:b/>
                <w:spacing w:val="-2"/>
                <w:szCs w:val="20"/>
              </w:rPr>
              <w:t xml:space="preserve">  Průměrn</w:t>
            </w:r>
            <w:r w:rsidR="00097078" w:rsidRPr="00234F4B">
              <w:rPr>
                <w:b/>
                <w:spacing w:val="-2"/>
                <w:szCs w:val="20"/>
              </w:rPr>
              <w:t xml:space="preserve">á nominální hrubá měsíční mzda v dílčích průmyslových odvětvích </w:t>
            </w:r>
            <w:r w:rsidR="00307E77" w:rsidRPr="00234F4B">
              <w:rPr>
                <w:b/>
                <w:spacing w:val="-2"/>
                <w:szCs w:val="20"/>
              </w:rPr>
              <w:t>a</w:t>
            </w:r>
            <w:r w:rsidR="00307E77">
              <w:rPr>
                <w:b/>
                <w:spacing w:val="-2"/>
                <w:szCs w:val="20"/>
              </w:rPr>
              <w:t> </w:t>
            </w:r>
            <w:r w:rsidR="00097078" w:rsidRPr="00234F4B">
              <w:rPr>
                <w:b/>
                <w:spacing w:val="-2"/>
                <w:szCs w:val="20"/>
              </w:rPr>
              <w:t xml:space="preserve">v celé ekonomice ČR v letech 2005, 2012 </w:t>
            </w:r>
            <w:r w:rsidR="00307E77" w:rsidRPr="00234F4B">
              <w:rPr>
                <w:b/>
                <w:spacing w:val="-2"/>
                <w:szCs w:val="20"/>
              </w:rPr>
              <w:t>a</w:t>
            </w:r>
            <w:r w:rsidR="00307E77">
              <w:rPr>
                <w:b/>
                <w:spacing w:val="-2"/>
                <w:szCs w:val="20"/>
              </w:rPr>
              <w:t> </w:t>
            </w:r>
            <w:r w:rsidR="00097078" w:rsidRPr="00234F4B">
              <w:rPr>
                <w:b/>
                <w:spacing w:val="-2"/>
                <w:szCs w:val="20"/>
              </w:rPr>
              <w:t>2019</w:t>
            </w:r>
            <w:r w:rsidR="00097078" w:rsidRPr="00234F4B">
              <w:rPr>
                <w:spacing w:val="-2"/>
                <w:szCs w:val="20"/>
              </w:rPr>
              <w:t xml:space="preserve"> (v</w:t>
            </w:r>
            <w:r w:rsidR="006E33D0">
              <w:rPr>
                <w:spacing w:val="-2"/>
                <w:szCs w:val="20"/>
              </w:rPr>
              <w:t> tis.</w:t>
            </w:r>
            <w:r w:rsidR="00097078">
              <w:rPr>
                <w:spacing w:val="-2"/>
                <w:szCs w:val="20"/>
              </w:rPr>
              <w:t xml:space="preserve"> korun</w:t>
            </w:r>
            <w:r w:rsidR="00097078" w:rsidRPr="00234F4B">
              <w:rPr>
                <w:spacing w:val="-2"/>
                <w:szCs w:val="20"/>
              </w:rPr>
              <w:t>)</w:t>
            </w:r>
            <w:r w:rsidR="00097078" w:rsidRPr="008E6C3F">
              <w:rPr>
                <w:b/>
                <w:spacing w:val="-2"/>
                <w:szCs w:val="20"/>
              </w:rPr>
              <w:t xml:space="preserve"> </w:t>
            </w:r>
            <w:r w:rsidR="00307E77" w:rsidRPr="008E6C3F">
              <w:rPr>
                <w:b/>
                <w:spacing w:val="-2"/>
                <w:szCs w:val="20"/>
              </w:rPr>
              <w:t>a</w:t>
            </w:r>
            <w:r w:rsidR="00307E77">
              <w:rPr>
                <w:b/>
                <w:spacing w:val="-2"/>
                <w:szCs w:val="20"/>
              </w:rPr>
              <w:t> </w:t>
            </w:r>
            <w:r w:rsidR="00097078" w:rsidRPr="008E6C3F">
              <w:rPr>
                <w:b/>
                <w:spacing w:val="-2"/>
                <w:szCs w:val="20"/>
              </w:rPr>
              <w:t xml:space="preserve">celkový růst mzdy mezi roky 2012 </w:t>
            </w:r>
            <w:r w:rsidR="00307E77" w:rsidRPr="008E6C3F">
              <w:rPr>
                <w:b/>
                <w:spacing w:val="-2"/>
                <w:szCs w:val="20"/>
              </w:rPr>
              <w:t>a</w:t>
            </w:r>
            <w:r w:rsidR="00307E77">
              <w:rPr>
                <w:b/>
                <w:spacing w:val="-2"/>
                <w:szCs w:val="20"/>
              </w:rPr>
              <w:t> </w:t>
            </w:r>
            <w:r w:rsidR="00097078" w:rsidRPr="008E6C3F">
              <w:rPr>
                <w:b/>
                <w:spacing w:val="-2"/>
                <w:szCs w:val="20"/>
              </w:rPr>
              <w:t>2019</w:t>
            </w:r>
            <w:r w:rsidR="00097078">
              <w:rPr>
                <w:spacing w:val="-2"/>
                <w:szCs w:val="20"/>
              </w:rPr>
              <w:t xml:space="preserve"> (v</w:t>
            </w:r>
            <w:r w:rsidR="006E33D0">
              <w:rPr>
                <w:spacing w:val="-2"/>
                <w:szCs w:val="20"/>
              </w:rPr>
              <w:t> %</w:t>
            </w:r>
            <w:r w:rsidR="00097078">
              <w:rPr>
                <w:spacing w:val="-2"/>
                <w:szCs w:val="20"/>
              </w:rPr>
              <w:t>)</w:t>
            </w:r>
          </w:p>
        </w:tc>
      </w:tr>
      <w:tr w:rsidR="00097078" w:rsidRPr="000153F6" w14:paraId="6333545A" w14:textId="77777777" w:rsidTr="00586874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1864E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A47D7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2ACFD" w14:textId="70338A68" w:rsidR="00097078" w:rsidRPr="000153F6" w:rsidRDefault="00844BB1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451A541" wp14:editId="72297662">
                  <wp:extent cx="4670682" cy="3284524"/>
                  <wp:effectExtent l="0" t="0" r="0" b="0"/>
                  <wp:docPr id="43" name="Graf 4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097078" w:rsidRPr="000E201C" w14:paraId="30F8D907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7F6DB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61A8E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5A21C" w14:textId="36DCC82C" w:rsidR="00097078" w:rsidRPr="00F710D4" w:rsidRDefault="00097078" w:rsidP="00044059">
            <w:pPr>
              <w:spacing w:after="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Poznámka</w:t>
            </w:r>
            <w:r w:rsidR="00E157E1">
              <w:rPr>
                <w:sz w:val="14"/>
                <w:szCs w:val="14"/>
              </w:rPr>
              <w:t>:</w:t>
            </w:r>
            <w:r w:rsidR="00E157E1" w:rsidRPr="00F710D4">
              <w:rPr>
                <w:sz w:val="14"/>
                <w:szCs w:val="14"/>
              </w:rPr>
              <w:t xml:space="preserve"> </w:t>
            </w:r>
            <w:r w:rsidRPr="00F710D4">
              <w:rPr>
                <w:sz w:val="14"/>
                <w:szCs w:val="14"/>
              </w:rPr>
              <w:t xml:space="preserve">Mzda je vztažena </w:t>
            </w:r>
            <w:r w:rsidR="00307E77" w:rsidRPr="00F710D4">
              <w:rPr>
                <w:sz w:val="14"/>
                <w:szCs w:val="14"/>
              </w:rPr>
              <w:t>k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 xml:space="preserve">fyzickému počtu zaměstnanců. Za odvětví Opravy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 xml:space="preserve">instalace strojů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 xml:space="preserve">zařízení nebyly údaje za roky 2005 </w:t>
            </w:r>
            <w:r w:rsidR="00E157E1">
              <w:rPr>
                <w:sz w:val="14"/>
                <w:szCs w:val="14"/>
              </w:rPr>
              <w:t>a </w:t>
            </w:r>
            <w:r w:rsidRPr="00F710D4">
              <w:rPr>
                <w:sz w:val="14"/>
                <w:szCs w:val="14"/>
              </w:rPr>
              <w:t>2012 k dispozici.</w:t>
            </w:r>
          </w:p>
          <w:p w14:paraId="3298F4EC" w14:textId="77777777" w:rsidR="00097078" w:rsidRPr="000E201C" w:rsidRDefault="00097078" w:rsidP="00044059">
            <w:pPr>
              <w:spacing w:after="180"/>
              <w:rPr>
                <w:sz w:val="16"/>
                <w:szCs w:val="16"/>
              </w:rPr>
            </w:pPr>
            <w:r w:rsidRPr="00F710D4">
              <w:rPr>
                <w:sz w:val="14"/>
                <w:szCs w:val="14"/>
              </w:rPr>
              <w:t>Zdroj: ČSÚ (podniková statistika)</w:t>
            </w:r>
          </w:p>
        </w:tc>
      </w:tr>
      <w:tr w:rsidR="00097078" w14:paraId="6A9810EB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AAC78" w14:textId="60FF8A16" w:rsidR="00097078" w:rsidRDefault="00097078" w:rsidP="00044059">
            <w:pPr>
              <w:pStyle w:val="Marginlie"/>
            </w:pPr>
            <w:r>
              <w:t xml:space="preserve">Průměrné mzdy v průmyslu byly v roce 2018 v Praze </w:t>
            </w:r>
            <w:r w:rsidR="00307E77">
              <w:t>o </w:t>
            </w:r>
            <w:r>
              <w:t xml:space="preserve">více než třetinu vyšší než </w:t>
            </w:r>
            <w:r>
              <w:lastRenderedPageBreak/>
              <w:t>v Karlovarském či Olomouckém kraji.</w:t>
            </w:r>
          </w:p>
          <w:p w14:paraId="0FA76A03" w14:textId="77777777" w:rsidR="00097078" w:rsidRDefault="00097078" w:rsidP="00044059">
            <w:pPr>
              <w:pStyle w:val="Marginlie"/>
            </w:pPr>
          </w:p>
          <w:p w14:paraId="249AB694" w14:textId="77777777" w:rsidR="00097078" w:rsidRDefault="00097078" w:rsidP="00044059">
            <w:pPr>
              <w:pStyle w:val="Marginlie"/>
            </w:pPr>
          </w:p>
          <w:p w14:paraId="5E5B1C2A" w14:textId="77777777" w:rsidR="00097078" w:rsidRDefault="00097078" w:rsidP="00044059">
            <w:pPr>
              <w:pStyle w:val="Marginlie"/>
            </w:pPr>
          </w:p>
          <w:p w14:paraId="68544D46" w14:textId="77777777" w:rsidR="00097078" w:rsidRDefault="00097078" w:rsidP="00044059">
            <w:pPr>
              <w:pStyle w:val="Marginlie"/>
            </w:pPr>
          </w:p>
          <w:p w14:paraId="0525645A" w14:textId="32906E86" w:rsidR="00097078" w:rsidRDefault="00097078" w:rsidP="00044059">
            <w:pPr>
              <w:pStyle w:val="Marginlie"/>
            </w:pPr>
            <w:r>
              <w:t xml:space="preserve">Mzdy rostly proti roku 2005 v krajích s vyšším zastoupením výroby </w:t>
            </w:r>
            <w:r w:rsidR="00326633">
              <w:t xml:space="preserve">dopravních </w:t>
            </w:r>
            <w:r>
              <w:t>prostředků a návazných oborů.</w:t>
            </w:r>
          </w:p>
          <w:p w14:paraId="06879615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55EC0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0AB49" w14:textId="19889189" w:rsidR="00097078" w:rsidRPr="00EA35DE" w:rsidRDefault="00097078" w:rsidP="00044059">
            <w:pPr>
              <w:spacing w:after="220"/>
              <w:rPr>
                <w:spacing w:val="-3"/>
                <w:szCs w:val="20"/>
              </w:rPr>
            </w:pPr>
            <w:r w:rsidRPr="00EA35DE">
              <w:rPr>
                <w:spacing w:val="-3"/>
                <w:szCs w:val="20"/>
              </w:rPr>
              <w:t>Průmysl, podobně jako všechny ostatní odvětvové sekce ekonomiky</w:t>
            </w:r>
            <w:r w:rsidRPr="00EA35DE">
              <w:rPr>
                <w:rStyle w:val="Znakapoznpodarou"/>
                <w:spacing w:val="-3"/>
              </w:rPr>
              <w:footnoteReference w:id="17"/>
            </w:r>
            <w:r w:rsidRPr="00EA35DE">
              <w:rPr>
                <w:spacing w:val="-3"/>
                <w:szCs w:val="20"/>
              </w:rPr>
              <w:t xml:space="preserve">, vykazuje dlouhodobě nejvyšší průměrné mzdy </w:t>
            </w:r>
            <w:r w:rsidR="00307E77" w:rsidRPr="00EA35DE">
              <w:rPr>
                <w:spacing w:val="-3"/>
                <w:szCs w:val="20"/>
              </w:rPr>
              <w:t>u</w:t>
            </w:r>
            <w:r w:rsidR="00307E77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>zaměstnanců s</w:t>
            </w:r>
            <w:r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>pracovištěm</w:t>
            </w:r>
            <w:r>
              <w:rPr>
                <w:spacing w:val="-3"/>
                <w:szCs w:val="20"/>
              </w:rPr>
              <w:t xml:space="preserve"> v</w:t>
            </w:r>
            <w:r w:rsidRPr="00EA35DE">
              <w:rPr>
                <w:spacing w:val="-3"/>
                <w:szCs w:val="20"/>
              </w:rPr>
              <w:t> Praze. V roce 2018 to bylo měsíčně v hrubém 38,9</w:t>
            </w:r>
            <w:r w:rsidR="006E33D0">
              <w:rPr>
                <w:spacing w:val="-3"/>
                <w:szCs w:val="20"/>
              </w:rPr>
              <w:t> tis.</w:t>
            </w:r>
            <w:r w:rsidRPr="00EA35DE">
              <w:rPr>
                <w:spacing w:val="-3"/>
                <w:szCs w:val="20"/>
              </w:rPr>
              <w:t xml:space="preserve"> korun</w:t>
            </w:r>
            <w:r w:rsidRPr="00EA35DE">
              <w:rPr>
                <w:rStyle w:val="Znakapoznpodarou"/>
                <w:spacing w:val="-3"/>
              </w:rPr>
              <w:footnoteReference w:id="18"/>
            </w:r>
            <w:r w:rsidRPr="00EA35DE">
              <w:rPr>
                <w:spacing w:val="-3"/>
                <w:szCs w:val="20"/>
              </w:rPr>
              <w:t>, tedy 21,5</w:t>
            </w:r>
            <w:r w:rsidR="006E33D0">
              <w:rPr>
                <w:spacing w:val="-3"/>
                <w:szCs w:val="20"/>
              </w:rPr>
              <w:t> %</w:t>
            </w:r>
            <w:r w:rsidRPr="00EA35DE">
              <w:rPr>
                <w:spacing w:val="-3"/>
                <w:szCs w:val="20"/>
              </w:rPr>
              <w:t xml:space="preserve"> nad úrovní průmyslu v celé ČR. Na opačném konci spektra figurují dlouhodobě Karlovarský </w:t>
            </w:r>
            <w:r w:rsidR="00307E77" w:rsidRPr="00EA35DE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 xml:space="preserve">Olomoucký kraj, v roce 2018 </w:t>
            </w:r>
            <w:r w:rsidRPr="00EA35DE">
              <w:rPr>
                <w:spacing w:val="-3"/>
                <w:szCs w:val="20"/>
              </w:rPr>
              <w:lastRenderedPageBreak/>
              <w:t xml:space="preserve">se zde mzdy v průmyslu nacházely </w:t>
            </w:r>
            <w:r w:rsidR="00307E77" w:rsidRPr="00EA35DE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>desetinu pod hladinou ČR. Mezi mimopražskými regiony stále více vyčníval Středočeský kraj (37,6</w:t>
            </w:r>
            <w:r w:rsidR="006E33D0">
              <w:rPr>
                <w:spacing w:val="-3"/>
                <w:szCs w:val="20"/>
              </w:rPr>
              <w:t> tis.</w:t>
            </w:r>
            <w:r w:rsidRPr="00EA35DE">
              <w:rPr>
                <w:spacing w:val="-3"/>
                <w:szCs w:val="20"/>
              </w:rPr>
              <w:t xml:space="preserve"> korun), průměrná mzda v průmyslu zde v roce 2018 př</w:t>
            </w:r>
            <w:r>
              <w:rPr>
                <w:spacing w:val="-3"/>
                <w:szCs w:val="20"/>
              </w:rPr>
              <w:t xml:space="preserve">evyšovala </w:t>
            </w:r>
            <w:r w:rsidR="00326633">
              <w:rPr>
                <w:spacing w:val="-3"/>
                <w:szCs w:val="20"/>
              </w:rPr>
              <w:t xml:space="preserve">celorepublikovou </w:t>
            </w:r>
            <w:r>
              <w:rPr>
                <w:spacing w:val="-3"/>
                <w:szCs w:val="20"/>
              </w:rPr>
              <w:t>hodnotu</w:t>
            </w:r>
            <w:r w:rsidRPr="00EA35DE">
              <w:rPr>
                <w:spacing w:val="-3"/>
                <w:szCs w:val="20"/>
              </w:rPr>
              <w:t xml:space="preserve"> v průmyslu </w:t>
            </w:r>
            <w:r w:rsidR="00307E77" w:rsidRPr="00EA35DE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>17</w:t>
            </w:r>
            <w:r>
              <w:rPr>
                <w:spacing w:val="-3"/>
                <w:szCs w:val="20"/>
              </w:rPr>
              <w:t>,4</w:t>
            </w:r>
            <w:r w:rsidR="006E33D0">
              <w:rPr>
                <w:spacing w:val="-3"/>
                <w:szCs w:val="20"/>
              </w:rPr>
              <w:t> %</w:t>
            </w:r>
            <w:r>
              <w:rPr>
                <w:spacing w:val="-3"/>
                <w:szCs w:val="20"/>
              </w:rPr>
              <w:t>, v roce 2005 „pouze“ o</w:t>
            </w:r>
            <w:r w:rsidRPr="00EA35DE">
              <w:rPr>
                <w:spacing w:val="-3"/>
                <w:szCs w:val="20"/>
              </w:rPr>
              <w:t> </w:t>
            </w:r>
            <w:r>
              <w:rPr>
                <w:spacing w:val="-3"/>
                <w:szCs w:val="20"/>
              </w:rPr>
              <w:t>8,9</w:t>
            </w:r>
            <w:r w:rsidRPr="00EA35DE">
              <w:rPr>
                <w:spacing w:val="-3"/>
                <w:szCs w:val="20"/>
              </w:rPr>
              <w:t xml:space="preserve"> %. Mzdová hladina </w:t>
            </w:r>
            <w:r>
              <w:rPr>
                <w:spacing w:val="-3"/>
                <w:szCs w:val="20"/>
              </w:rPr>
              <w:t xml:space="preserve">v průmyslu </w:t>
            </w:r>
            <w:r w:rsidRPr="00EA35DE">
              <w:rPr>
                <w:spacing w:val="-3"/>
                <w:szCs w:val="20"/>
              </w:rPr>
              <w:t>se v posledních třinácti letech nadprůměrně zvyšoval</w:t>
            </w:r>
            <w:r>
              <w:rPr>
                <w:spacing w:val="-3"/>
                <w:szCs w:val="20"/>
              </w:rPr>
              <w:t>a rovněž</w:t>
            </w:r>
            <w:r w:rsidRPr="00EA35DE">
              <w:rPr>
                <w:spacing w:val="-3"/>
                <w:szCs w:val="20"/>
              </w:rPr>
              <w:t xml:space="preserve"> </w:t>
            </w:r>
            <w:r>
              <w:rPr>
                <w:spacing w:val="-3"/>
                <w:szCs w:val="20"/>
              </w:rPr>
              <w:t>v</w:t>
            </w:r>
            <w:r w:rsidRPr="00EA35DE">
              <w:rPr>
                <w:spacing w:val="-3"/>
                <w:szCs w:val="20"/>
              </w:rPr>
              <w:t xml:space="preserve"> Plzeňském, Libereckém </w:t>
            </w:r>
            <w:r w:rsidR="00307E77" w:rsidRPr="00EA35DE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 xml:space="preserve">Královéhradeckém kraji či </w:t>
            </w:r>
            <w:r w:rsidR="00326633">
              <w:rPr>
                <w:spacing w:val="-3"/>
                <w:szCs w:val="20"/>
              </w:rPr>
              <w:t>v Kraji Vysočina</w:t>
            </w:r>
            <w:r w:rsidRPr="00EA35DE">
              <w:rPr>
                <w:spacing w:val="-3"/>
                <w:szCs w:val="20"/>
              </w:rPr>
              <w:t xml:space="preserve">. Ve všech případech byla stimulována rozvojem výroby dopravních prostředků (včetně subdodavatelských oborů). Na </w:t>
            </w:r>
            <w:r w:rsidR="00326633" w:rsidRPr="00EA35DE">
              <w:rPr>
                <w:spacing w:val="-3"/>
                <w:szCs w:val="20"/>
              </w:rPr>
              <w:t>druh</w:t>
            </w:r>
            <w:r w:rsidR="00326633">
              <w:rPr>
                <w:spacing w:val="-3"/>
                <w:szCs w:val="20"/>
              </w:rPr>
              <w:t>é</w:t>
            </w:r>
            <w:r w:rsidR="00326633" w:rsidRPr="00EA35DE">
              <w:rPr>
                <w:spacing w:val="-3"/>
                <w:szCs w:val="20"/>
              </w:rPr>
              <w:t xml:space="preserve"> stran</w:t>
            </w:r>
            <w:r w:rsidR="00326633">
              <w:rPr>
                <w:spacing w:val="-3"/>
                <w:szCs w:val="20"/>
              </w:rPr>
              <w:t>ě</w:t>
            </w:r>
            <w:r w:rsidR="00326633" w:rsidRPr="00EA35DE">
              <w:rPr>
                <w:spacing w:val="-3"/>
                <w:szCs w:val="20"/>
              </w:rPr>
              <w:t xml:space="preserve"> </w:t>
            </w:r>
            <w:r w:rsidRPr="00EA35DE">
              <w:rPr>
                <w:spacing w:val="-3"/>
                <w:szCs w:val="20"/>
              </w:rPr>
              <w:t>relativní mzdová pozice průmyslových pracovníků se zhoršovala v Praze, Jihočeském a zejména Moravskoslezském kraji (</w:t>
            </w:r>
            <w:r w:rsidR="00307E77" w:rsidRPr="00EA35DE">
              <w:rPr>
                <w:spacing w:val="-3"/>
                <w:szCs w:val="20"/>
              </w:rPr>
              <w:t>v</w:t>
            </w:r>
            <w:r w:rsidR="00307E77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 xml:space="preserve">roce 2005 zde mzdy převyšovaly celorepublikovou úroveň průmyslu </w:t>
            </w:r>
            <w:r w:rsidR="00307E77" w:rsidRPr="00EA35DE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>6,5</w:t>
            </w:r>
            <w:r w:rsidR="006E33D0">
              <w:rPr>
                <w:spacing w:val="-3"/>
                <w:szCs w:val="20"/>
              </w:rPr>
              <w:t> %</w:t>
            </w:r>
            <w:r w:rsidRPr="00EA35DE">
              <w:rPr>
                <w:spacing w:val="-3"/>
                <w:szCs w:val="20"/>
              </w:rPr>
              <w:t>, v</w:t>
            </w:r>
            <w:r w:rsidR="00326633">
              <w:rPr>
                <w:spacing w:val="-3"/>
                <w:szCs w:val="20"/>
              </w:rPr>
              <w:t xml:space="preserve"> roce </w:t>
            </w:r>
            <w:r w:rsidRPr="00EA35DE">
              <w:rPr>
                <w:spacing w:val="-3"/>
                <w:szCs w:val="20"/>
              </w:rPr>
              <w:t>2018 se již nacházely 2,5</w:t>
            </w:r>
            <w:r w:rsidR="006E33D0">
              <w:rPr>
                <w:spacing w:val="-3"/>
                <w:szCs w:val="20"/>
              </w:rPr>
              <w:t> %</w:t>
            </w:r>
            <w:r w:rsidRPr="00EA35DE">
              <w:rPr>
                <w:spacing w:val="-3"/>
                <w:szCs w:val="20"/>
              </w:rPr>
              <w:t xml:space="preserve"> pod ní). Došlo k tomu primárně vlivem slabší mzdové dynamiky ve zpracovatelském průmyslu, projevil se </w:t>
            </w:r>
            <w:r w:rsidR="00326633">
              <w:rPr>
                <w:spacing w:val="-3"/>
                <w:szCs w:val="20"/>
              </w:rPr>
              <w:t>i </w:t>
            </w:r>
            <w:r w:rsidRPr="00EA35DE">
              <w:rPr>
                <w:spacing w:val="-3"/>
                <w:szCs w:val="20"/>
              </w:rPr>
              <w:t xml:space="preserve">vliv citelného poklesu zaměstnanosti v těžbě </w:t>
            </w:r>
            <w:r w:rsidR="00307E77" w:rsidRPr="00EA35DE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>dobývání</w:t>
            </w:r>
            <w:r w:rsidRPr="00EA35DE">
              <w:rPr>
                <w:rStyle w:val="Znakapoznpodarou"/>
                <w:spacing w:val="-3"/>
              </w:rPr>
              <w:footnoteReference w:id="19"/>
            </w:r>
            <w:r w:rsidRPr="00EA35DE">
              <w:rPr>
                <w:spacing w:val="-3"/>
                <w:szCs w:val="20"/>
              </w:rPr>
              <w:t xml:space="preserve"> (odvětví s </w:t>
            </w:r>
            <w:r w:rsidR="00326633" w:rsidRPr="00EA35DE">
              <w:rPr>
                <w:spacing w:val="-3"/>
                <w:szCs w:val="20"/>
              </w:rPr>
              <w:t>tradičn</w:t>
            </w:r>
            <w:r w:rsidR="00326633">
              <w:rPr>
                <w:spacing w:val="-3"/>
                <w:szCs w:val="20"/>
              </w:rPr>
              <w:t>ě</w:t>
            </w:r>
            <w:r w:rsidR="00326633" w:rsidRPr="00EA35DE">
              <w:rPr>
                <w:spacing w:val="-3"/>
                <w:szCs w:val="20"/>
              </w:rPr>
              <w:t xml:space="preserve"> </w:t>
            </w:r>
            <w:r w:rsidRPr="00EA35DE">
              <w:rPr>
                <w:spacing w:val="-3"/>
                <w:szCs w:val="20"/>
              </w:rPr>
              <w:t>nadprůměrnými výdělky). Relativní zhoršení pozice Prahy souvisí se specifickou odvětvovou skladb</w:t>
            </w:r>
            <w:r w:rsidR="00F25EFA">
              <w:rPr>
                <w:spacing w:val="-3"/>
                <w:szCs w:val="20"/>
              </w:rPr>
              <w:t>o</w:t>
            </w:r>
            <w:r w:rsidRPr="00EA35DE">
              <w:rPr>
                <w:spacing w:val="-3"/>
                <w:szCs w:val="20"/>
              </w:rPr>
              <w:t>u zdejšího průmyslu (vyšší váha oborů s nadprůměrnou úrovní mezd, ale slabší dynamikou v poslední dekádě</w:t>
            </w:r>
            <w:r w:rsidR="00326633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 xml:space="preserve">– energetika, farmacie, oprava </w:t>
            </w:r>
            <w:r w:rsidR="00307E77" w:rsidRPr="00EA35DE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 xml:space="preserve">instalace strojů </w:t>
            </w:r>
            <w:r w:rsidR="00307E77" w:rsidRPr="00EA35DE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EA35DE">
              <w:rPr>
                <w:spacing w:val="-3"/>
                <w:szCs w:val="20"/>
              </w:rPr>
              <w:t>zařízení).</w:t>
            </w:r>
          </w:p>
        </w:tc>
      </w:tr>
      <w:tr w:rsidR="00097078" w14:paraId="6DC659D6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DFBE2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4F841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47F58" w14:textId="53EBAE80" w:rsidR="00097078" w:rsidRPr="00A75A69" w:rsidRDefault="004C0391" w:rsidP="00044059">
            <w:pPr>
              <w:spacing w:after="0"/>
              <w:rPr>
                <w:spacing w:val="-4"/>
                <w:szCs w:val="20"/>
              </w:rPr>
            </w:pPr>
            <w:r>
              <w:rPr>
                <w:b/>
                <w:spacing w:val="-4"/>
                <w:szCs w:val="20"/>
              </w:rPr>
              <w:t>Graf</w:t>
            </w:r>
            <w:r w:rsidR="006E33D0">
              <w:rPr>
                <w:b/>
                <w:spacing w:val="-4"/>
                <w:szCs w:val="20"/>
              </w:rPr>
              <w:t xml:space="preserve"> č. </w:t>
            </w:r>
            <w:r>
              <w:rPr>
                <w:b/>
                <w:spacing w:val="-4"/>
                <w:szCs w:val="20"/>
              </w:rPr>
              <w:t>13</w:t>
            </w:r>
            <w:r w:rsidR="00097078" w:rsidRPr="00A75A69">
              <w:rPr>
                <w:b/>
                <w:spacing w:val="-4"/>
                <w:szCs w:val="20"/>
              </w:rPr>
              <w:t xml:space="preserve">  Průměrná nominální hrubá měsíční mzda v krajích ČR v roce 2018</w:t>
            </w:r>
            <w:r w:rsidR="00097078" w:rsidRPr="00A75A69">
              <w:rPr>
                <w:spacing w:val="-4"/>
                <w:szCs w:val="20"/>
              </w:rPr>
              <w:t xml:space="preserve"> (</w:t>
            </w:r>
            <w:r w:rsidR="00307E77" w:rsidRPr="00A75A69">
              <w:rPr>
                <w:spacing w:val="-4"/>
                <w:szCs w:val="20"/>
              </w:rPr>
              <w:t>v</w:t>
            </w:r>
            <w:r w:rsidR="00307E77">
              <w:rPr>
                <w:spacing w:val="-4"/>
                <w:szCs w:val="20"/>
              </w:rPr>
              <w:t> </w:t>
            </w:r>
            <w:r w:rsidR="00844BB1">
              <w:rPr>
                <w:spacing w:val="-4"/>
                <w:szCs w:val="20"/>
              </w:rPr>
              <w:t>tis. korun</w:t>
            </w:r>
            <w:r w:rsidR="00097078" w:rsidRPr="00A75A69">
              <w:rPr>
                <w:spacing w:val="-4"/>
                <w:szCs w:val="20"/>
              </w:rPr>
              <w:t xml:space="preserve">) </w:t>
            </w:r>
            <w:r w:rsidR="00307E77" w:rsidRPr="00A75A69">
              <w:rPr>
                <w:b/>
                <w:spacing w:val="-4"/>
                <w:szCs w:val="20"/>
              </w:rPr>
              <w:t>a</w:t>
            </w:r>
            <w:r w:rsidR="00307E77">
              <w:rPr>
                <w:b/>
                <w:spacing w:val="-4"/>
                <w:szCs w:val="20"/>
              </w:rPr>
              <w:t> </w:t>
            </w:r>
            <w:r w:rsidR="00097078" w:rsidRPr="00A75A69">
              <w:rPr>
                <w:b/>
                <w:spacing w:val="-4"/>
                <w:szCs w:val="20"/>
              </w:rPr>
              <w:t xml:space="preserve">poměr mzdy </w:t>
            </w:r>
            <w:r w:rsidR="00307E77" w:rsidRPr="00A75A69">
              <w:rPr>
                <w:b/>
                <w:spacing w:val="-4"/>
                <w:szCs w:val="20"/>
              </w:rPr>
              <w:t>v</w:t>
            </w:r>
            <w:r w:rsidR="00307E77">
              <w:rPr>
                <w:b/>
                <w:spacing w:val="-4"/>
                <w:szCs w:val="20"/>
              </w:rPr>
              <w:t> </w:t>
            </w:r>
            <w:r w:rsidR="00097078" w:rsidRPr="00A75A69">
              <w:rPr>
                <w:b/>
                <w:spacing w:val="-4"/>
                <w:szCs w:val="20"/>
              </w:rPr>
              <w:t xml:space="preserve">průmyslu v kraji k úrovni </w:t>
            </w:r>
            <w:r w:rsidR="00097078">
              <w:rPr>
                <w:b/>
                <w:spacing w:val="-4"/>
                <w:szCs w:val="20"/>
              </w:rPr>
              <w:t xml:space="preserve">za průmysl </w:t>
            </w:r>
            <w:r w:rsidR="00097078" w:rsidRPr="00A75A69">
              <w:rPr>
                <w:b/>
                <w:spacing w:val="-4"/>
                <w:szCs w:val="20"/>
              </w:rPr>
              <w:t xml:space="preserve">ČR </w:t>
            </w:r>
            <w:r w:rsidR="00097078" w:rsidRPr="00A75A69">
              <w:rPr>
                <w:spacing w:val="-4"/>
                <w:szCs w:val="20"/>
              </w:rPr>
              <w:t>(ČR</w:t>
            </w:r>
            <w:r w:rsidR="00444E83">
              <w:rPr>
                <w:spacing w:val="-4"/>
                <w:szCs w:val="20"/>
              </w:rPr>
              <w:t> </w:t>
            </w:r>
            <w:r w:rsidR="00097078" w:rsidRPr="00A75A69">
              <w:rPr>
                <w:spacing w:val="-4"/>
                <w:szCs w:val="20"/>
              </w:rPr>
              <w:t>=</w:t>
            </w:r>
            <w:r w:rsidR="00444E83">
              <w:rPr>
                <w:spacing w:val="-4"/>
                <w:szCs w:val="20"/>
              </w:rPr>
              <w:t> </w:t>
            </w:r>
            <w:r w:rsidR="00097078" w:rsidRPr="00A75A69">
              <w:rPr>
                <w:spacing w:val="-4"/>
                <w:szCs w:val="20"/>
              </w:rPr>
              <w:t xml:space="preserve">100, srovnání let 2005, 2012 </w:t>
            </w:r>
            <w:r w:rsidR="00307E77" w:rsidRPr="00A75A69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="00097078" w:rsidRPr="00A75A69">
              <w:rPr>
                <w:spacing w:val="-4"/>
                <w:szCs w:val="20"/>
              </w:rPr>
              <w:t>2018)</w:t>
            </w:r>
          </w:p>
        </w:tc>
      </w:tr>
      <w:tr w:rsidR="00097078" w14:paraId="62691338" w14:textId="77777777" w:rsidTr="00586874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16525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226C4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5FD74" w14:textId="19FA442E" w:rsidR="00097078" w:rsidRDefault="00844BB1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11659AD" wp14:editId="2731EDC5">
                  <wp:extent cx="4792266" cy="3472714"/>
                  <wp:effectExtent l="0" t="0" r="8890" b="0"/>
                  <wp:docPr id="44" name="Graf 4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097078" w14:paraId="06C9948E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34181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4DCDD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2F638" w14:textId="77777777" w:rsidR="00307E77" w:rsidRDefault="00097078" w:rsidP="00044059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Poznámka:</w:t>
            </w:r>
            <w:r w:rsidRPr="00F710D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Mzdová úroveň </w:t>
            </w:r>
            <w:r w:rsidR="00307E77">
              <w:rPr>
                <w:sz w:val="14"/>
                <w:szCs w:val="14"/>
              </w:rPr>
              <w:t>v </w:t>
            </w:r>
            <w:r>
              <w:rPr>
                <w:sz w:val="14"/>
                <w:szCs w:val="14"/>
              </w:rPr>
              <w:t xml:space="preserve">roce 2018 </w:t>
            </w:r>
            <w:r w:rsidRPr="00F710D4">
              <w:rPr>
                <w:sz w:val="14"/>
                <w:szCs w:val="14"/>
              </w:rPr>
              <w:t xml:space="preserve">je vztažena </w:t>
            </w:r>
            <w:r w:rsidR="00307E77" w:rsidRPr="00F710D4">
              <w:rPr>
                <w:sz w:val="14"/>
                <w:szCs w:val="14"/>
              </w:rPr>
              <w:t>k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>přepočtenému počtu zaměstnanců (na plné úvazky).</w:t>
            </w:r>
          </w:p>
          <w:p w14:paraId="48051A2A" w14:textId="4D424371" w:rsidR="00097078" w:rsidRPr="00F710D4" w:rsidRDefault="00097078" w:rsidP="00044059">
            <w:pPr>
              <w:spacing w:after="22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Zdroj: ČSÚ (podniková statistika)</w:t>
            </w:r>
            <w:r w:rsidR="007E36EA">
              <w:rPr>
                <w:sz w:val="14"/>
                <w:szCs w:val="14"/>
              </w:rPr>
              <w:t>.</w:t>
            </w:r>
          </w:p>
        </w:tc>
      </w:tr>
      <w:tr w:rsidR="00097078" w14:paraId="2BD4D9CE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4B026" w14:textId="77777777" w:rsidR="00097078" w:rsidRDefault="00097078" w:rsidP="00044059">
            <w:pPr>
              <w:pStyle w:val="Marginlie"/>
            </w:pPr>
            <w:r>
              <w:t>Relativně nejvíce převyšovala mzda v průmyslu výdělky ve všech odvětvích ve Středočeském kraji.</w:t>
            </w:r>
          </w:p>
          <w:p w14:paraId="11F69439" w14:textId="77777777" w:rsidR="00097078" w:rsidRDefault="00097078" w:rsidP="00044059">
            <w:pPr>
              <w:pStyle w:val="Marginlie"/>
            </w:pPr>
          </w:p>
          <w:p w14:paraId="3BA11045" w14:textId="77777777" w:rsidR="00097078" w:rsidRDefault="00097078" w:rsidP="00044059">
            <w:pPr>
              <w:pStyle w:val="Marginlie"/>
            </w:pPr>
          </w:p>
          <w:p w14:paraId="2CF9FE6F" w14:textId="77777777" w:rsidR="00097078" w:rsidRDefault="00097078" w:rsidP="00044059">
            <w:pPr>
              <w:pStyle w:val="Marginlie"/>
            </w:pPr>
          </w:p>
          <w:p w14:paraId="0DA2BA39" w14:textId="77777777" w:rsidR="00097078" w:rsidRDefault="00097078" w:rsidP="00044059">
            <w:pPr>
              <w:pStyle w:val="Marginlie"/>
            </w:pPr>
          </w:p>
          <w:p w14:paraId="36CEE4A4" w14:textId="77777777" w:rsidR="00097078" w:rsidRDefault="00097078" w:rsidP="00044059">
            <w:pPr>
              <w:pStyle w:val="Marginlie"/>
            </w:pPr>
          </w:p>
          <w:p w14:paraId="3A262971" w14:textId="6E3A1105" w:rsidR="00097078" w:rsidRDefault="00097078" w:rsidP="00044059">
            <w:pPr>
              <w:pStyle w:val="Marginlie"/>
            </w:pPr>
            <w:r>
              <w:rPr>
                <w:szCs w:val="20"/>
              </w:rPr>
              <w:lastRenderedPageBreak/>
              <w:t xml:space="preserve">Ve většině regionů vzrostly mezi roky 2010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2018 mzdy v průmyslu více než v ostatních tržních odvětvích</w:t>
            </w:r>
            <w:r w:rsidR="00D87358">
              <w:rPr>
                <w:szCs w:val="20"/>
              </w:rPr>
              <w:t>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0A0ED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A8BE0" w14:textId="0D256255" w:rsidR="00097078" w:rsidRPr="00551E2A" w:rsidRDefault="00307E77" w:rsidP="00044059">
            <w:pPr>
              <w:spacing w:after="220"/>
              <w:rPr>
                <w:spacing w:val="-2"/>
                <w:szCs w:val="20"/>
              </w:rPr>
            </w:pPr>
            <w:r w:rsidRPr="00503748">
              <w:rPr>
                <w:spacing w:val="-3"/>
                <w:szCs w:val="20"/>
              </w:rPr>
              <w:t>V </w:t>
            </w:r>
            <w:r w:rsidR="00097078" w:rsidRPr="00503748">
              <w:rPr>
                <w:spacing w:val="-3"/>
                <w:szCs w:val="20"/>
              </w:rPr>
              <w:t xml:space="preserve">Praze </w:t>
            </w:r>
            <w:r w:rsidRPr="00503748">
              <w:rPr>
                <w:spacing w:val="-3"/>
                <w:szCs w:val="20"/>
              </w:rPr>
              <w:t>a </w:t>
            </w:r>
            <w:r w:rsidR="00097078" w:rsidRPr="00503748">
              <w:rPr>
                <w:spacing w:val="-3"/>
                <w:szCs w:val="20"/>
              </w:rPr>
              <w:t xml:space="preserve">Jihomoravském kraji průměrná mzda zaměstnanců v průmyslu za celkovou krajskou mzdou nepatrně zaostávala. To s ohledem na vysokou rozvinutost sektoru služeb v těchto regionech podpořenou hierarchicky významnou pozicí Prahy </w:t>
            </w:r>
            <w:r w:rsidRPr="00503748">
              <w:rPr>
                <w:spacing w:val="-3"/>
                <w:szCs w:val="20"/>
              </w:rPr>
              <w:t>i </w:t>
            </w:r>
            <w:r w:rsidR="00097078" w:rsidRPr="00503748">
              <w:rPr>
                <w:spacing w:val="-3"/>
                <w:szCs w:val="20"/>
              </w:rPr>
              <w:t xml:space="preserve">Brna v sídelním systému ČR není překvapivé. Opačně na tom byl Středočeský kraj, kde se projevovala silná role automobilového průmyslu </w:t>
            </w:r>
            <w:r w:rsidRPr="00503748">
              <w:rPr>
                <w:spacing w:val="-3"/>
                <w:szCs w:val="20"/>
              </w:rPr>
              <w:t>i </w:t>
            </w:r>
            <w:r w:rsidR="00097078" w:rsidRPr="00503748">
              <w:rPr>
                <w:spacing w:val="-3"/>
                <w:szCs w:val="20"/>
              </w:rPr>
              <w:t xml:space="preserve">slabší rozvinutost služeb (vlivem dojížďky do Prahy). Mzdy v průmyslu zde převyšovaly výdělky všech odvětví </w:t>
            </w:r>
            <w:r w:rsidRPr="00503748">
              <w:rPr>
                <w:spacing w:val="-3"/>
                <w:szCs w:val="20"/>
              </w:rPr>
              <w:t>o </w:t>
            </w:r>
            <w:r w:rsidR="00097078" w:rsidRPr="00503748">
              <w:rPr>
                <w:spacing w:val="-3"/>
                <w:szCs w:val="20"/>
              </w:rPr>
              <w:t>15</w:t>
            </w:r>
            <w:r w:rsidR="006E33D0" w:rsidRPr="00503748">
              <w:rPr>
                <w:spacing w:val="-3"/>
                <w:szCs w:val="20"/>
              </w:rPr>
              <w:t> %</w:t>
            </w:r>
            <w:r w:rsidR="00097078" w:rsidRPr="00503748">
              <w:rPr>
                <w:spacing w:val="-3"/>
                <w:szCs w:val="20"/>
              </w:rPr>
              <w:t>, z toho jen tržních odvětví</w:t>
            </w:r>
            <w:r w:rsidR="00097078" w:rsidRPr="00503748">
              <w:rPr>
                <w:rStyle w:val="Znakapoznpodarou"/>
                <w:spacing w:val="-3"/>
              </w:rPr>
              <w:footnoteReference w:id="20"/>
            </w:r>
            <w:r w:rsidR="00097078" w:rsidRPr="00503748">
              <w:rPr>
                <w:spacing w:val="-3"/>
                <w:szCs w:val="20"/>
              </w:rPr>
              <w:t xml:space="preserve"> bez průmyslu </w:t>
            </w:r>
            <w:r w:rsidRPr="00503748">
              <w:rPr>
                <w:spacing w:val="-3"/>
                <w:szCs w:val="20"/>
              </w:rPr>
              <w:t>o </w:t>
            </w:r>
            <w:r w:rsidR="00097078" w:rsidRPr="00503748">
              <w:rPr>
                <w:spacing w:val="-3"/>
                <w:szCs w:val="20"/>
              </w:rPr>
              <w:t>29</w:t>
            </w:r>
            <w:r w:rsidR="006E33D0" w:rsidRPr="00503748">
              <w:rPr>
                <w:spacing w:val="-3"/>
                <w:szCs w:val="20"/>
              </w:rPr>
              <w:t> %</w:t>
            </w:r>
            <w:r w:rsidR="00097078" w:rsidRPr="00503748">
              <w:rPr>
                <w:spacing w:val="-3"/>
                <w:szCs w:val="20"/>
              </w:rPr>
              <w:t>. Podobně relativně silnou pozicí disponoval</w:t>
            </w:r>
            <w:r w:rsidR="006E33D0" w:rsidRPr="00503748">
              <w:rPr>
                <w:spacing w:val="-3"/>
                <w:szCs w:val="20"/>
              </w:rPr>
              <w:t xml:space="preserve"> </w:t>
            </w:r>
            <w:r w:rsidR="00097078" w:rsidRPr="00503748">
              <w:rPr>
                <w:spacing w:val="-3"/>
                <w:szCs w:val="20"/>
              </w:rPr>
              <w:t xml:space="preserve">průmysl v Ústeckém kraji (28 %), alespoň </w:t>
            </w:r>
            <w:r w:rsidRPr="00503748">
              <w:rPr>
                <w:spacing w:val="-3"/>
                <w:szCs w:val="20"/>
              </w:rPr>
              <w:t>o </w:t>
            </w:r>
            <w:r w:rsidR="00097078" w:rsidRPr="00503748">
              <w:rPr>
                <w:spacing w:val="-3"/>
                <w:szCs w:val="20"/>
              </w:rPr>
              <w:t xml:space="preserve">pětinu nad úrovní tržních odvětví (mimo průmysl) se nacházel v krajích Libereckém, Královéhradeckém </w:t>
            </w:r>
            <w:r w:rsidRPr="00503748">
              <w:rPr>
                <w:spacing w:val="-3"/>
                <w:szCs w:val="20"/>
              </w:rPr>
              <w:t>a </w:t>
            </w:r>
            <w:r w:rsidR="00097078" w:rsidRPr="00503748">
              <w:rPr>
                <w:spacing w:val="-3"/>
                <w:szCs w:val="20"/>
              </w:rPr>
              <w:t xml:space="preserve">Moravskoslezském. Mzdy v průmyslu </w:t>
            </w:r>
            <w:r w:rsidR="00097078" w:rsidRPr="00503748">
              <w:rPr>
                <w:spacing w:val="-3"/>
                <w:szCs w:val="20"/>
              </w:rPr>
              <w:lastRenderedPageBreak/>
              <w:t xml:space="preserve">zaostávaly za výdělky </w:t>
            </w:r>
            <w:r w:rsidRPr="00503748">
              <w:rPr>
                <w:spacing w:val="-3"/>
                <w:szCs w:val="20"/>
              </w:rPr>
              <w:t>v </w:t>
            </w:r>
            <w:r w:rsidR="00097078" w:rsidRPr="00503748">
              <w:rPr>
                <w:spacing w:val="-3"/>
                <w:szCs w:val="20"/>
              </w:rPr>
              <w:t>ostatních tržních odvětvích pouze v Praze (</w:t>
            </w:r>
            <w:r w:rsidRPr="00503748">
              <w:rPr>
                <w:spacing w:val="-3"/>
                <w:szCs w:val="20"/>
              </w:rPr>
              <w:t>o </w:t>
            </w:r>
            <w:r w:rsidR="00097078" w:rsidRPr="00503748">
              <w:rPr>
                <w:spacing w:val="-3"/>
                <w:szCs w:val="20"/>
              </w:rPr>
              <w:t>2</w:t>
            </w:r>
            <w:r w:rsidR="006E33D0" w:rsidRPr="00503748">
              <w:rPr>
                <w:spacing w:val="-3"/>
                <w:szCs w:val="20"/>
              </w:rPr>
              <w:t> %</w:t>
            </w:r>
            <w:r w:rsidR="00097078" w:rsidRPr="00503748">
              <w:rPr>
                <w:spacing w:val="-3"/>
                <w:szCs w:val="20"/>
              </w:rPr>
              <w:t xml:space="preserve">). Ve většině regionů vzrostly mezi roky 2010 </w:t>
            </w:r>
            <w:r w:rsidRPr="00503748">
              <w:rPr>
                <w:spacing w:val="-3"/>
                <w:szCs w:val="20"/>
              </w:rPr>
              <w:t>a </w:t>
            </w:r>
            <w:r w:rsidR="00097078" w:rsidRPr="00503748">
              <w:rPr>
                <w:spacing w:val="-3"/>
                <w:szCs w:val="20"/>
              </w:rPr>
              <w:t>2018 mzdy v průmyslu více než v ostatních tržních odvětvích</w:t>
            </w:r>
            <w:r w:rsidR="00D87358" w:rsidRPr="00503748">
              <w:rPr>
                <w:spacing w:val="-3"/>
                <w:szCs w:val="20"/>
              </w:rPr>
              <w:t> </w:t>
            </w:r>
            <w:r w:rsidR="00097078" w:rsidRPr="00503748">
              <w:rPr>
                <w:spacing w:val="-3"/>
                <w:szCs w:val="20"/>
              </w:rPr>
              <w:t>– to platilo zejména pro střední Čechy (45</w:t>
            </w:r>
            <w:r w:rsidR="006E33D0" w:rsidRPr="00503748">
              <w:rPr>
                <w:spacing w:val="-3"/>
                <w:szCs w:val="20"/>
              </w:rPr>
              <w:t> %</w:t>
            </w:r>
            <w:r w:rsidR="00097078" w:rsidRPr="00503748">
              <w:rPr>
                <w:spacing w:val="-3"/>
                <w:szCs w:val="20"/>
              </w:rPr>
              <w:t xml:space="preserve"> vs. 37</w:t>
            </w:r>
            <w:r w:rsidR="006E33D0" w:rsidRPr="00503748">
              <w:rPr>
                <w:spacing w:val="-3"/>
                <w:szCs w:val="20"/>
              </w:rPr>
              <w:t> %</w:t>
            </w:r>
            <w:r w:rsidR="00097078" w:rsidRPr="00503748">
              <w:rPr>
                <w:spacing w:val="-3"/>
                <w:szCs w:val="20"/>
              </w:rPr>
              <w:t>), opačně na to</w:t>
            </w:r>
            <w:r w:rsidR="00D87358" w:rsidRPr="00503748">
              <w:rPr>
                <w:spacing w:val="-3"/>
                <w:szCs w:val="20"/>
              </w:rPr>
              <w:t>m</w:t>
            </w:r>
            <w:r w:rsidR="00097078" w:rsidRPr="00503748">
              <w:rPr>
                <w:spacing w:val="-3"/>
                <w:szCs w:val="20"/>
              </w:rPr>
              <w:t xml:space="preserve"> byly </w:t>
            </w:r>
            <w:r w:rsidR="00D87358" w:rsidRPr="00503748">
              <w:rPr>
                <w:spacing w:val="-3"/>
                <w:szCs w:val="20"/>
              </w:rPr>
              <w:t xml:space="preserve">Kraj </w:t>
            </w:r>
            <w:r w:rsidR="00097078" w:rsidRPr="00503748">
              <w:rPr>
                <w:spacing w:val="-3"/>
                <w:szCs w:val="20"/>
              </w:rPr>
              <w:t>Vysočina, Liberecký a Moravskoslezský kraj</w:t>
            </w:r>
            <w:r w:rsidR="00097078">
              <w:rPr>
                <w:spacing w:val="-2"/>
                <w:szCs w:val="20"/>
              </w:rPr>
              <w:t>.</w:t>
            </w:r>
          </w:p>
        </w:tc>
      </w:tr>
      <w:tr w:rsidR="00097078" w14:paraId="722B68DD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48DFA" w14:textId="384BE9C1" w:rsidR="00097078" w:rsidRDefault="00097078" w:rsidP="00044059">
            <w:pPr>
              <w:pStyle w:val="Marginlie"/>
            </w:pPr>
            <w:r>
              <w:lastRenderedPageBreak/>
              <w:t>Celkové mzdové diference v průmyslu byly podprůměrné, zejména ve srovnání s ostatními odvětvími s dominancí tržní produkce.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77700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D2A44" w14:textId="34F2A9B9" w:rsidR="00097078" w:rsidRPr="00616535" w:rsidRDefault="00307E77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>Z </w:t>
            </w:r>
            <w:r w:rsidR="00097078">
              <w:rPr>
                <w:szCs w:val="20"/>
              </w:rPr>
              <w:t>podílu zaměstnanců podle pásem</w:t>
            </w:r>
            <w:r w:rsidR="00097078" w:rsidRPr="007E3596">
              <w:rPr>
                <w:szCs w:val="20"/>
              </w:rPr>
              <w:t xml:space="preserve"> hrubých měsíčních mezd</w:t>
            </w:r>
            <w:r w:rsidR="00097078">
              <w:rPr>
                <w:szCs w:val="20"/>
              </w:rPr>
              <w:t xml:space="preserve"> zjištěných v šetření v rámci tzv.</w:t>
            </w:r>
            <w:r w:rsidR="00D87358">
              <w:rPr>
                <w:szCs w:val="20"/>
              </w:rPr>
              <w:t> </w:t>
            </w:r>
            <w:r w:rsidR="00097078">
              <w:rPr>
                <w:szCs w:val="20"/>
              </w:rPr>
              <w:t>strukturální mzdové statistiky</w:t>
            </w:r>
            <w:r w:rsidR="00097078" w:rsidRPr="003E5D9B">
              <w:rPr>
                <w:rStyle w:val="Znakapoznpodarou"/>
                <w:spacing w:val="-4"/>
              </w:rPr>
              <w:footnoteReference w:id="21"/>
            </w:r>
            <w:r w:rsidR="00097078">
              <w:rPr>
                <w:szCs w:val="20"/>
              </w:rPr>
              <w:t xml:space="preserve"> vyplývá, že celkové mzdové diference byly v průmyslu oproti celé ekonomice mírně nižší. Variační koeficient mezd, vypovídající o souhrnné mzdové rozrůzněnosti, zde v roce 2019 činil 63</w:t>
            </w:r>
            <w:r w:rsidR="006E33D0">
              <w:rPr>
                <w:szCs w:val="20"/>
              </w:rPr>
              <w:t> %</w:t>
            </w:r>
            <w:r w:rsidR="00097078">
              <w:rPr>
                <w:szCs w:val="20"/>
              </w:rPr>
              <w:t>, v úhrnu za celé národní hospodářství 69</w:t>
            </w:r>
            <w:r w:rsidR="006E33D0">
              <w:rPr>
                <w:szCs w:val="20"/>
              </w:rPr>
              <w:t> %</w:t>
            </w:r>
            <w:r w:rsidR="00097078">
              <w:rPr>
                <w:szCs w:val="20"/>
              </w:rPr>
              <w:t xml:space="preserve">. Relativně menší mzdové rozdíly v průmyslu vyniknou ještě více v porovnání s pouze tržními odvětvími, neboť zaměstnanecké výdělky v rámci odvětví s převahou veřejného sektoru jsou tradičně relativně málo rozrůzněné. Pozice průmyslu souvisí </w:t>
            </w:r>
            <w:r>
              <w:rPr>
                <w:szCs w:val="20"/>
              </w:rPr>
              <w:t>s </w:t>
            </w:r>
            <w:r w:rsidR="00097078">
              <w:rPr>
                <w:szCs w:val="20"/>
              </w:rPr>
              <w:t xml:space="preserve">tím, že zde jsou relativně méně zastoupeny vysoce kvalifikované pozice (např. řídících pracovníků či specialistů) </w:t>
            </w:r>
            <w:r>
              <w:rPr>
                <w:szCs w:val="20"/>
              </w:rPr>
              <w:t>a </w:t>
            </w:r>
            <w:r w:rsidR="00097078">
              <w:rPr>
                <w:szCs w:val="20"/>
              </w:rPr>
              <w:t xml:space="preserve">zároveň váha pozic s nejnižšími kvalifikačními nároky (pomocné práce, resp. místa pro lidi </w:t>
            </w:r>
            <w:r>
              <w:rPr>
                <w:szCs w:val="20"/>
              </w:rPr>
              <w:t>s </w:t>
            </w:r>
            <w:r w:rsidR="00097078">
              <w:rPr>
                <w:szCs w:val="20"/>
              </w:rPr>
              <w:t>pouze základním vzděláním) je s ostatními odvětvími srovnatelná.</w:t>
            </w:r>
          </w:p>
        </w:tc>
      </w:tr>
      <w:tr w:rsidR="00097078" w:rsidRPr="00234F4B" w14:paraId="69D7BAA8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D149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39FAF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1BEF6" w14:textId="67445DA6" w:rsidR="00097078" w:rsidRPr="00245192" w:rsidRDefault="004C0391" w:rsidP="00044059">
            <w:pPr>
              <w:spacing w:after="0"/>
              <w:rPr>
                <w:szCs w:val="20"/>
              </w:rPr>
            </w:pPr>
            <w:r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č. </w:t>
            </w:r>
            <w:r>
              <w:rPr>
                <w:b/>
                <w:szCs w:val="20"/>
              </w:rPr>
              <w:t>14</w:t>
            </w:r>
            <w:r w:rsidR="00097078" w:rsidRPr="00245192">
              <w:rPr>
                <w:b/>
                <w:szCs w:val="20"/>
              </w:rPr>
              <w:t xml:space="preserve">  Podíly zaměstnanců </w:t>
            </w:r>
            <w:r w:rsidR="00307E77" w:rsidRPr="00245192">
              <w:rPr>
                <w:b/>
                <w:szCs w:val="20"/>
              </w:rPr>
              <w:t>v</w:t>
            </w:r>
            <w:r w:rsidR="00307E77">
              <w:rPr>
                <w:b/>
                <w:szCs w:val="20"/>
              </w:rPr>
              <w:t> </w:t>
            </w:r>
            <w:r w:rsidR="00097078" w:rsidRPr="00245192">
              <w:rPr>
                <w:b/>
                <w:szCs w:val="20"/>
              </w:rPr>
              <w:t xml:space="preserve">pásmech </w:t>
            </w:r>
            <w:r w:rsidR="00097078" w:rsidRPr="00234F4B">
              <w:rPr>
                <w:b/>
                <w:spacing w:val="-2"/>
                <w:szCs w:val="20"/>
              </w:rPr>
              <w:t>nominální</w:t>
            </w:r>
            <w:r w:rsidR="00097078">
              <w:rPr>
                <w:b/>
                <w:spacing w:val="-2"/>
                <w:szCs w:val="20"/>
              </w:rPr>
              <w:t>ch</w:t>
            </w:r>
            <w:r w:rsidR="00097078" w:rsidRPr="00245192">
              <w:rPr>
                <w:b/>
                <w:szCs w:val="20"/>
              </w:rPr>
              <w:t xml:space="preserve"> hrubých měsíčních mezd v průmyslu </w:t>
            </w:r>
            <w:r w:rsidR="00307E77">
              <w:rPr>
                <w:b/>
                <w:szCs w:val="20"/>
              </w:rPr>
              <w:t>a v </w:t>
            </w:r>
            <w:r w:rsidR="00097078" w:rsidRPr="00245192">
              <w:rPr>
                <w:b/>
                <w:szCs w:val="20"/>
              </w:rPr>
              <w:t xml:space="preserve">národním hospodářství v letech 2012 </w:t>
            </w:r>
            <w:r w:rsidR="00307E77" w:rsidRPr="00245192">
              <w:rPr>
                <w:b/>
                <w:szCs w:val="20"/>
              </w:rPr>
              <w:t>a</w:t>
            </w:r>
            <w:r w:rsidR="00307E77">
              <w:rPr>
                <w:b/>
                <w:szCs w:val="20"/>
              </w:rPr>
              <w:t> </w:t>
            </w:r>
            <w:r w:rsidR="00097078" w:rsidRPr="00245192">
              <w:rPr>
                <w:b/>
                <w:szCs w:val="20"/>
              </w:rPr>
              <w:t>2019</w:t>
            </w:r>
            <w:r w:rsidR="00097078" w:rsidRPr="00245192">
              <w:rPr>
                <w:szCs w:val="20"/>
              </w:rPr>
              <w:t xml:space="preserve"> (v</w:t>
            </w:r>
            <w:r w:rsidR="006E33D0">
              <w:rPr>
                <w:szCs w:val="20"/>
              </w:rPr>
              <w:t> %</w:t>
            </w:r>
            <w:r w:rsidR="00097078" w:rsidRPr="00245192">
              <w:rPr>
                <w:szCs w:val="20"/>
              </w:rPr>
              <w:t>)</w:t>
            </w:r>
          </w:p>
        </w:tc>
      </w:tr>
      <w:tr w:rsidR="00097078" w14:paraId="2E597F6C" w14:textId="77777777" w:rsidTr="00586874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0B053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92C34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1AEBD" w14:textId="05D0D929" w:rsidR="00097078" w:rsidRDefault="000A5BA4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8279D69" wp14:editId="015DCFF3">
                  <wp:extent cx="4794250" cy="3295650"/>
                  <wp:effectExtent l="0" t="0" r="6350" b="0"/>
                  <wp:docPr id="5" name="Graf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097078" w14:paraId="7FC045E7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A2854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9ED0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78043" w14:textId="773D3545" w:rsidR="00097078" w:rsidRPr="00F710D4" w:rsidRDefault="00097078" w:rsidP="00044059">
            <w:pPr>
              <w:spacing w:after="16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Zdroj: MP</w:t>
            </w:r>
            <w:r w:rsidR="00AA1DC6">
              <w:rPr>
                <w:sz w:val="14"/>
                <w:szCs w:val="14"/>
              </w:rPr>
              <w:t>S</w:t>
            </w:r>
            <w:r w:rsidRPr="00F710D4">
              <w:rPr>
                <w:sz w:val="14"/>
                <w:szCs w:val="14"/>
              </w:rPr>
              <w:t xml:space="preserve">V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>ČSÚ (Strukturální mzdová statistika)</w:t>
            </w:r>
          </w:p>
        </w:tc>
      </w:tr>
      <w:tr w:rsidR="00097078" w14:paraId="282D8CF6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6BEA2" w14:textId="72C97883" w:rsidR="00097078" w:rsidRDefault="00097078" w:rsidP="00044059">
            <w:pPr>
              <w:pStyle w:val="Marginlie"/>
            </w:pPr>
            <w:r>
              <w:t>Variační koeficient mezd v průmyslu v poslední dekádě klesal, nejvíce v těžbě a dobývání.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C0F50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44E53" w14:textId="0EEDA337" w:rsidR="00097078" w:rsidRPr="00503748" w:rsidRDefault="00097078" w:rsidP="002D3DCF">
            <w:pPr>
              <w:spacing w:after="220"/>
              <w:rPr>
                <w:spacing w:val="-3"/>
                <w:szCs w:val="20"/>
              </w:rPr>
            </w:pPr>
            <w:r w:rsidRPr="00503748">
              <w:rPr>
                <w:spacing w:val="-3"/>
                <w:szCs w:val="20"/>
              </w:rPr>
              <w:t>V roce 2019 pobíralo v průmyslu nominální hrubou měsíční mzdu nižší než 23</w:t>
            </w:r>
            <w:r w:rsidR="006E33D0" w:rsidRPr="00503748">
              <w:rPr>
                <w:spacing w:val="-3"/>
                <w:szCs w:val="20"/>
              </w:rPr>
              <w:t> tis.</w:t>
            </w:r>
            <w:r w:rsidRPr="00503748">
              <w:rPr>
                <w:spacing w:val="-3"/>
                <w:szCs w:val="20"/>
              </w:rPr>
              <w:t xml:space="preserve"> korun jen 17,1</w:t>
            </w:r>
            <w:r w:rsidR="006E33D0" w:rsidRPr="00503748">
              <w:rPr>
                <w:spacing w:val="-3"/>
                <w:szCs w:val="20"/>
              </w:rPr>
              <w:t> %</w:t>
            </w:r>
            <w:r w:rsidRPr="00503748">
              <w:rPr>
                <w:spacing w:val="-3"/>
                <w:szCs w:val="20"/>
              </w:rPr>
              <w:t xml:space="preserve"> zaměstnanců, v celé ekonomice 23,7</w:t>
            </w:r>
            <w:r w:rsidR="006E33D0" w:rsidRPr="00503748">
              <w:rPr>
                <w:spacing w:val="-3"/>
                <w:szCs w:val="20"/>
              </w:rPr>
              <w:t> %</w:t>
            </w:r>
            <w:r w:rsidR="00AA1DC6" w:rsidRPr="00503748">
              <w:rPr>
                <w:spacing w:val="-3"/>
                <w:szCs w:val="20"/>
              </w:rPr>
              <w:t>. Rovněž</w:t>
            </w:r>
            <w:r w:rsidRPr="00503748">
              <w:rPr>
                <w:spacing w:val="-3"/>
                <w:szCs w:val="20"/>
              </w:rPr>
              <w:t xml:space="preserve"> zastoupení </w:t>
            </w:r>
            <w:proofErr w:type="spellStart"/>
            <w:r w:rsidRPr="00503748">
              <w:rPr>
                <w:spacing w:val="-3"/>
                <w:szCs w:val="20"/>
              </w:rPr>
              <w:t>vysokopříjmových</w:t>
            </w:r>
            <w:proofErr w:type="spellEnd"/>
            <w:r w:rsidRPr="00503748">
              <w:rPr>
                <w:spacing w:val="-3"/>
                <w:szCs w:val="20"/>
              </w:rPr>
              <w:t xml:space="preserve"> pracovníků (nad 60</w:t>
            </w:r>
            <w:r w:rsidR="006E33D0" w:rsidRPr="00503748">
              <w:rPr>
                <w:spacing w:val="-3"/>
                <w:szCs w:val="20"/>
              </w:rPr>
              <w:t> tis.</w:t>
            </w:r>
            <w:r w:rsidRPr="00503748">
              <w:rPr>
                <w:spacing w:val="-3"/>
                <w:szCs w:val="20"/>
              </w:rPr>
              <w:t xml:space="preserve"> korun měsíčn</w:t>
            </w:r>
            <w:r w:rsidR="00592284" w:rsidRPr="00503748">
              <w:rPr>
                <w:spacing w:val="-3"/>
                <w:szCs w:val="20"/>
              </w:rPr>
              <w:t>ě) bylo</w:t>
            </w:r>
            <w:r w:rsidRPr="00503748">
              <w:rPr>
                <w:spacing w:val="-3"/>
                <w:szCs w:val="20"/>
              </w:rPr>
              <w:t xml:space="preserve"> vyšší v celé ekonomice (8,3</w:t>
            </w:r>
            <w:r w:rsidR="006E33D0" w:rsidRPr="00503748">
              <w:rPr>
                <w:spacing w:val="-3"/>
                <w:szCs w:val="20"/>
              </w:rPr>
              <w:t> %</w:t>
            </w:r>
            <w:r w:rsidRPr="00503748">
              <w:rPr>
                <w:spacing w:val="-3"/>
                <w:szCs w:val="20"/>
              </w:rPr>
              <w:t xml:space="preserve">) nežli </w:t>
            </w:r>
            <w:r w:rsidR="00307E77" w:rsidRPr="00503748">
              <w:rPr>
                <w:spacing w:val="-3"/>
                <w:szCs w:val="20"/>
              </w:rPr>
              <w:t>v</w:t>
            </w:r>
            <w:r w:rsidR="007B0C39" w:rsidRPr="00503748">
              <w:rPr>
                <w:spacing w:val="-3"/>
                <w:szCs w:val="20"/>
              </w:rPr>
              <w:t> </w:t>
            </w:r>
            <w:r w:rsidRPr="00503748">
              <w:rPr>
                <w:spacing w:val="-3"/>
                <w:szCs w:val="20"/>
              </w:rPr>
              <w:t>rámci</w:t>
            </w:r>
            <w:r w:rsidR="007B0C39" w:rsidRPr="00503748">
              <w:rPr>
                <w:spacing w:val="-3"/>
                <w:szCs w:val="20"/>
              </w:rPr>
              <w:t xml:space="preserve"> </w:t>
            </w:r>
            <w:r w:rsidRPr="00503748">
              <w:rPr>
                <w:spacing w:val="-3"/>
                <w:szCs w:val="20"/>
              </w:rPr>
              <w:t>samotného průmyslu (7,4</w:t>
            </w:r>
            <w:r w:rsidR="006E33D0" w:rsidRPr="00503748">
              <w:rPr>
                <w:spacing w:val="-3"/>
                <w:szCs w:val="20"/>
              </w:rPr>
              <w:t> %</w:t>
            </w:r>
            <w:r w:rsidRPr="00503748">
              <w:rPr>
                <w:spacing w:val="-3"/>
                <w:szCs w:val="20"/>
              </w:rPr>
              <w:t xml:space="preserve">). Celková mzdová diferenciace v průmyslu se ve srovnatelné řadě mezi lety 2012 </w:t>
            </w:r>
            <w:r w:rsidR="00307E77" w:rsidRPr="00503748">
              <w:rPr>
                <w:spacing w:val="-3"/>
                <w:szCs w:val="20"/>
              </w:rPr>
              <w:t>a </w:t>
            </w:r>
            <w:r w:rsidRPr="00503748">
              <w:rPr>
                <w:spacing w:val="-3"/>
                <w:szCs w:val="20"/>
              </w:rPr>
              <w:t xml:space="preserve">2019 plynule snižovala, a sice </w:t>
            </w:r>
            <w:r w:rsidR="00307E77" w:rsidRPr="00503748">
              <w:rPr>
                <w:spacing w:val="-3"/>
                <w:szCs w:val="20"/>
              </w:rPr>
              <w:t>s </w:t>
            </w:r>
            <w:r w:rsidRPr="00503748">
              <w:rPr>
                <w:spacing w:val="-3"/>
                <w:szCs w:val="20"/>
              </w:rPr>
              <w:t xml:space="preserve">obdobnou intenzitou jako v celém národním hospodářství. V průmyslu došlo k největšímu posunu v těžbě </w:t>
            </w:r>
            <w:r w:rsidR="00307E77" w:rsidRPr="00503748">
              <w:rPr>
                <w:spacing w:val="-3"/>
                <w:szCs w:val="20"/>
              </w:rPr>
              <w:t>a </w:t>
            </w:r>
            <w:r w:rsidRPr="00503748">
              <w:rPr>
                <w:spacing w:val="-3"/>
                <w:szCs w:val="20"/>
              </w:rPr>
              <w:t xml:space="preserve">dobývání </w:t>
            </w:r>
            <w:r w:rsidRPr="00503748">
              <w:rPr>
                <w:spacing w:val="-3"/>
                <w:szCs w:val="20"/>
              </w:rPr>
              <w:lastRenderedPageBreak/>
              <w:t xml:space="preserve">(variační koeficient klesl </w:t>
            </w:r>
            <w:proofErr w:type="gramStart"/>
            <w:r w:rsidRPr="00503748">
              <w:rPr>
                <w:spacing w:val="-3"/>
                <w:szCs w:val="20"/>
              </w:rPr>
              <w:t>ze</w:t>
            </w:r>
            <w:proofErr w:type="gramEnd"/>
            <w:r w:rsidRPr="00503748">
              <w:rPr>
                <w:spacing w:val="-3"/>
                <w:szCs w:val="20"/>
              </w:rPr>
              <w:t xml:space="preserve"> 68</w:t>
            </w:r>
            <w:r w:rsidR="006E33D0" w:rsidRPr="00503748">
              <w:rPr>
                <w:spacing w:val="-3"/>
                <w:szCs w:val="20"/>
              </w:rPr>
              <w:t> %</w:t>
            </w:r>
            <w:r w:rsidRPr="00503748">
              <w:rPr>
                <w:spacing w:val="-3"/>
                <w:szCs w:val="20"/>
              </w:rPr>
              <w:t xml:space="preserve"> na 44</w:t>
            </w:r>
            <w:r w:rsidR="006E33D0" w:rsidRPr="00503748">
              <w:rPr>
                <w:spacing w:val="-3"/>
                <w:szCs w:val="20"/>
              </w:rPr>
              <w:t> %</w:t>
            </w:r>
            <w:r w:rsidRPr="00503748">
              <w:rPr>
                <w:spacing w:val="-3"/>
                <w:szCs w:val="20"/>
              </w:rPr>
              <w:t>). Nejvyšší rozrůzněnost vykázaly v roce 2019 mzdy v energetice (66</w:t>
            </w:r>
            <w:r w:rsidR="006E33D0" w:rsidRPr="00503748">
              <w:rPr>
                <w:spacing w:val="-3"/>
                <w:szCs w:val="20"/>
              </w:rPr>
              <w:t> %</w:t>
            </w:r>
            <w:r w:rsidRPr="00503748">
              <w:rPr>
                <w:spacing w:val="-3"/>
                <w:szCs w:val="20"/>
              </w:rPr>
              <w:t>).</w:t>
            </w:r>
          </w:p>
        </w:tc>
      </w:tr>
      <w:tr w:rsidR="00097078" w14:paraId="04204F4A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585CB" w14:textId="33470F6C" w:rsidR="00097078" w:rsidRDefault="00097078" w:rsidP="00044059">
            <w:pPr>
              <w:pStyle w:val="Marginlie"/>
            </w:pPr>
            <w:r>
              <w:lastRenderedPageBreak/>
              <w:t xml:space="preserve">Mzdový medián žen byl v průmyslu </w:t>
            </w:r>
            <w:r w:rsidR="00307E77">
              <w:t>o </w:t>
            </w:r>
            <w:r w:rsidR="00E23D7A">
              <w:t>22</w:t>
            </w:r>
            <w:r w:rsidR="006E33D0">
              <w:t> %</w:t>
            </w:r>
            <w:r>
              <w:t xml:space="preserve"> nižší než </w:t>
            </w:r>
            <w:r w:rsidR="00307E77">
              <w:t>u </w:t>
            </w:r>
            <w:r>
              <w:t xml:space="preserve">mužů. Rozdíl mezi pohlavími se od </w:t>
            </w:r>
            <w:r w:rsidR="005E1B85">
              <w:t xml:space="preserve">roku </w:t>
            </w:r>
            <w:r>
              <w:t>2012 snižoval.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AA112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23822" w14:textId="0FBD9A53" w:rsidR="00097078" w:rsidRPr="009B43E5" w:rsidRDefault="00097078" w:rsidP="002D3DCF">
            <w:pPr>
              <w:spacing w:after="220"/>
              <w:rPr>
                <w:spacing w:val="-3"/>
                <w:szCs w:val="20"/>
              </w:rPr>
            </w:pPr>
            <w:r w:rsidRPr="009B43E5">
              <w:rPr>
                <w:spacing w:val="-3"/>
                <w:szCs w:val="20"/>
              </w:rPr>
              <w:t>Medián mzdy</w:t>
            </w:r>
            <w:r w:rsidRPr="009B43E5">
              <w:rPr>
                <w:rStyle w:val="Znakapoznpodarou"/>
                <w:spacing w:val="-3"/>
                <w:szCs w:val="20"/>
              </w:rPr>
              <w:footnoteReference w:id="22"/>
            </w:r>
            <w:r w:rsidRPr="009B43E5">
              <w:rPr>
                <w:spacing w:val="-3"/>
                <w:szCs w:val="20"/>
              </w:rPr>
              <w:t xml:space="preserve"> mužů pracujících v průmyslu se v roce 2019 rovnal 34,7</w:t>
            </w:r>
            <w:r w:rsidR="006E33D0">
              <w:rPr>
                <w:spacing w:val="-3"/>
                <w:szCs w:val="20"/>
              </w:rPr>
              <w:t> tis.</w:t>
            </w:r>
            <w:r w:rsidRPr="009B43E5">
              <w:rPr>
                <w:spacing w:val="-3"/>
                <w:szCs w:val="20"/>
              </w:rPr>
              <w:t xml:space="preserve"> korun, </w:t>
            </w:r>
            <w:r w:rsidR="00307E77" w:rsidRPr="009B43E5">
              <w:rPr>
                <w:spacing w:val="-3"/>
                <w:szCs w:val="20"/>
              </w:rPr>
              <w:t>u</w:t>
            </w:r>
            <w:r w:rsidR="00307E77">
              <w:rPr>
                <w:spacing w:val="-3"/>
                <w:szCs w:val="20"/>
              </w:rPr>
              <w:t> </w:t>
            </w:r>
            <w:r w:rsidRPr="009B43E5">
              <w:rPr>
                <w:spacing w:val="-3"/>
                <w:szCs w:val="20"/>
              </w:rPr>
              <w:t>žen 27,1</w:t>
            </w:r>
            <w:r w:rsidR="006E33D0">
              <w:rPr>
                <w:spacing w:val="-3"/>
                <w:szCs w:val="20"/>
              </w:rPr>
              <w:t> tis.</w:t>
            </w:r>
            <w:r w:rsidRPr="009B43E5">
              <w:rPr>
                <w:spacing w:val="-3"/>
                <w:szCs w:val="20"/>
              </w:rPr>
              <w:t xml:space="preserve"> Mediánová mzda žen tak dosahovala pouze 78</w:t>
            </w:r>
            <w:r w:rsidR="006E33D0">
              <w:rPr>
                <w:spacing w:val="-3"/>
                <w:szCs w:val="20"/>
              </w:rPr>
              <w:t> %</w:t>
            </w:r>
            <w:r w:rsidRPr="009B43E5">
              <w:rPr>
                <w:spacing w:val="-3"/>
                <w:szCs w:val="20"/>
              </w:rPr>
              <w:t xml:space="preserve"> úrovně mužů. Vyrovnanější poměr mezi výdělky v rámci hlavních průmyslových odvětví signalizovala energetika (85</w:t>
            </w:r>
            <w:r w:rsidR="006E33D0">
              <w:rPr>
                <w:spacing w:val="-3"/>
                <w:szCs w:val="20"/>
              </w:rPr>
              <w:t> %</w:t>
            </w:r>
            <w:r w:rsidRPr="009B43E5">
              <w:rPr>
                <w:spacing w:val="-3"/>
                <w:szCs w:val="20"/>
              </w:rPr>
              <w:t xml:space="preserve">) </w:t>
            </w:r>
            <w:r w:rsidR="00307E77" w:rsidRPr="009B43E5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9B43E5">
              <w:rPr>
                <w:spacing w:val="-3"/>
                <w:szCs w:val="20"/>
              </w:rPr>
              <w:t xml:space="preserve">vodní </w:t>
            </w:r>
            <w:r w:rsidR="00307E77" w:rsidRPr="009B43E5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9B43E5">
              <w:rPr>
                <w:spacing w:val="-3"/>
                <w:szCs w:val="20"/>
              </w:rPr>
              <w:t>odpadové hospodářství (90</w:t>
            </w:r>
            <w:r w:rsidR="006E33D0">
              <w:rPr>
                <w:spacing w:val="-3"/>
                <w:szCs w:val="20"/>
              </w:rPr>
              <w:t> %</w:t>
            </w:r>
            <w:r w:rsidRPr="009B43E5">
              <w:rPr>
                <w:spacing w:val="-3"/>
                <w:szCs w:val="20"/>
              </w:rPr>
              <w:t xml:space="preserve">). Poměr výdělků žen </w:t>
            </w:r>
            <w:r w:rsidR="00307E77" w:rsidRPr="009B43E5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9B43E5">
              <w:rPr>
                <w:spacing w:val="-3"/>
                <w:szCs w:val="20"/>
              </w:rPr>
              <w:t xml:space="preserve">mužů byl </w:t>
            </w:r>
            <w:r w:rsidR="00307E77" w:rsidRPr="009B43E5">
              <w:rPr>
                <w:spacing w:val="-3"/>
                <w:szCs w:val="20"/>
              </w:rPr>
              <w:t>v</w:t>
            </w:r>
            <w:r w:rsidR="00307E77">
              <w:rPr>
                <w:spacing w:val="-3"/>
                <w:szCs w:val="20"/>
              </w:rPr>
              <w:t> </w:t>
            </w:r>
            <w:r w:rsidRPr="009B43E5">
              <w:rPr>
                <w:spacing w:val="-3"/>
                <w:szCs w:val="20"/>
              </w:rPr>
              <w:t>průmyslu nižší než v celé ekonomice (85</w:t>
            </w:r>
            <w:r w:rsidR="006E33D0">
              <w:rPr>
                <w:spacing w:val="-3"/>
                <w:szCs w:val="20"/>
              </w:rPr>
              <w:t> %</w:t>
            </w:r>
            <w:r w:rsidRPr="009B43E5">
              <w:rPr>
                <w:spacing w:val="-3"/>
                <w:szCs w:val="20"/>
              </w:rPr>
              <w:t xml:space="preserve">), odstup průmyslu od národního hospodářství se ale mezi roky 2012 </w:t>
            </w:r>
            <w:r w:rsidR="00307E77" w:rsidRPr="009B43E5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9B43E5">
              <w:rPr>
                <w:spacing w:val="-3"/>
                <w:szCs w:val="20"/>
              </w:rPr>
              <w:t>2019 snížil (</w:t>
            </w:r>
            <w:r w:rsidR="00307E77" w:rsidRPr="009B43E5">
              <w:rPr>
                <w:spacing w:val="-3"/>
                <w:szCs w:val="20"/>
              </w:rPr>
              <w:t>z</w:t>
            </w:r>
            <w:r w:rsidR="00307E77">
              <w:rPr>
                <w:spacing w:val="-3"/>
                <w:szCs w:val="20"/>
              </w:rPr>
              <w:t> </w:t>
            </w:r>
            <w:r w:rsidRPr="009B43E5">
              <w:rPr>
                <w:spacing w:val="-3"/>
                <w:szCs w:val="20"/>
              </w:rPr>
              <w:t>11 na 7</w:t>
            </w:r>
            <w:r w:rsidR="006E33D0">
              <w:rPr>
                <w:spacing w:val="-3"/>
                <w:szCs w:val="20"/>
              </w:rPr>
              <w:t> p. b.</w:t>
            </w:r>
            <w:r w:rsidRPr="009B43E5">
              <w:rPr>
                <w:spacing w:val="-3"/>
                <w:szCs w:val="20"/>
              </w:rPr>
              <w:t>).</w:t>
            </w:r>
          </w:p>
        </w:tc>
      </w:tr>
      <w:tr w:rsidR="00097078" w14:paraId="35E3CCCB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82AD" w14:textId="362140FD" w:rsidR="00097078" w:rsidRDefault="00097078" w:rsidP="00044059">
            <w:pPr>
              <w:pStyle w:val="Marginlie"/>
            </w:pPr>
            <w:r>
              <w:t xml:space="preserve">Zatímco v roce 2019 vzrostly v průmyslu nejvíce mzdy řídících pracovníků, v předchozích letech konjunkturního období posilovaly nejrychleji mzdy </w:t>
            </w:r>
            <w:proofErr w:type="spellStart"/>
            <w:r>
              <w:t>nízkovýdělkových</w:t>
            </w:r>
            <w:proofErr w:type="spellEnd"/>
            <w:r>
              <w:t xml:space="preserve"> manuálních činností.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81AE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D4458" w14:textId="5C386117" w:rsidR="00097078" w:rsidRPr="003E362B" w:rsidRDefault="00097078" w:rsidP="00044059">
            <w:pPr>
              <w:spacing w:after="220"/>
              <w:rPr>
                <w:spacing w:val="-4"/>
                <w:szCs w:val="20"/>
              </w:rPr>
            </w:pPr>
            <w:r w:rsidRPr="003E362B">
              <w:rPr>
                <w:spacing w:val="-4"/>
                <w:szCs w:val="20"/>
              </w:rPr>
              <w:t>Zaměstnanci v průmyslu zařazení do třídy řídících pracovníků pobírali v roce 2019 hrubou měsíční nomináln</w:t>
            </w:r>
            <w:r>
              <w:rPr>
                <w:spacing w:val="-4"/>
                <w:szCs w:val="20"/>
              </w:rPr>
              <w:t>í mzdu v průměrné výši 88,4</w:t>
            </w:r>
            <w:r w:rsidR="006E33D0">
              <w:rPr>
                <w:spacing w:val="-4"/>
                <w:szCs w:val="20"/>
              </w:rPr>
              <w:t> tis.</w:t>
            </w:r>
            <w:r w:rsidRPr="003E362B">
              <w:rPr>
                <w:spacing w:val="-4"/>
                <w:szCs w:val="20"/>
              </w:rPr>
              <w:t xml:space="preserve"> korun, což bylo 3,7</w:t>
            </w:r>
            <w:r>
              <w:rPr>
                <w:spacing w:val="-4"/>
                <w:szCs w:val="20"/>
              </w:rPr>
              <w:t>krát</w:t>
            </w:r>
            <w:r w:rsidRPr="003E362B">
              <w:rPr>
                <w:spacing w:val="-4"/>
                <w:szCs w:val="20"/>
              </w:rPr>
              <w:t xml:space="preserve"> více než </w:t>
            </w:r>
            <w:r>
              <w:rPr>
                <w:spacing w:val="-4"/>
                <w:szCs w:val="20"/>
              </w:rPr>
              <w:t>u</w:t>
            </w:r>
            <w:r w:rsidRPr="003E362B">
              <w:rPr>
                <w:spacing w:val="-4"/>
                <w:szCs w:val="20"/>
              </w:rPr>
              <w:t xml:space="preserve"> pomocných </w:t>
            </w:r>
            <w:r w:rsidR="00307E77" w:rsidRPr="003E362B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3E362B">
              <w:rPr>
                <w:spacing w:val="-4"/>
                <w:szCs w:val="20"/>
              </w:rPr>
              <w:t>nekvalifikovaných praco</w:t>
            </w:r>
            <w:r>
              <w:rPr>
                <w:spacing w:val="-4"/>
                <w:szCs w:val="20"/>
              </w:rPr>
              <w:t xml:space="preserve">vníků (rozpětí mezi těmito třídami bylo obdobné jako v celé ekonomice). Rozpětí se ve srovnání s rokem 2018 zvýšilo, neboť výdělky řídících pracovníků v průmyslu meziročně posílily </w:t>
            </w:r>
            <w:r w:rsidR="00307E77">
              <w:rPr>
                <w:spacing w:val="-4"/>
                <w:szCs w:val="20"/>
              </w:rPr>
              <w:t>o </w:t>
            </w:r>
            <w:r>
              <w:rPr>
                <w:spacing w:val="-4"/>
                <w:szCs w:val="20"/>
              </w:rPr>
              <w:t>14</w:t>
            </w:r>
            <w:r w:rsidR="006E33D0">
              <w:rPr>
                <w:spacing w:val="-4"/>
                <w:szCs w:val="20"/>
              </w:rPr>
              <w:t> %</w:t>
            </w:r>
            <w:r>
              <w:rPr>
                <w:spacing w:val="-4"/>
                <w:szCs w:val="20"/>
              </w:rPr>
              <w:t xml:space="preserve">, zatímco růstové tempo </w:t>
            </w:r>
            <w:r w:rsidR="00307E77">
              <w:rPr>
                <w:spacing w:val="-4"/>
                <w:szCs w:val="20"/>
              </w:rPr>
              <w:t>u </w:t>
            </w:r>
            <w:r>
              <w:rPr>
                <w:spacing w:val="-4"/>
                <w:szCs w:val="20"/>
              </w:rPr>
              <w:t>nejméně kvalifikovaných pracovníků oslabilo na pětileté minimum (4</w:t>
            </w:r>
            <w:r w:rsidR="006E33D0">
              <w:rPr>
                <w:spacing w:val="-4"/>
                <w:szCs w:val="20"/>
              </w:rPr>
              <w:t> %</w:t>
            </w:r>
            <w:r>
              <w:rPr>
                <w:spacing w:val="-4"/>
                <w:szCs w:val="20"/>
              </w:rPr>
              <w:t xml:space="preserve">). V nedávném konjunkturním období převládaly na tuzemském trhu práce faktory, které působily proti prohlubování mzdové diferenciace. Relativně nejvíce tak rostly výdělky zaměstnanců s podprůměrnou výší mezd. Mezi roky 2012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2019 posílily </w:t>
            </w:r>
            <w:r w:rsidR="00307E77">
              <w:rPr>
                <w:spacing w:val="-4"/>
                <w:szCs w:val="20"/>
              </w:rPr>
              <w:t>v </w:t>
            </w:r>
            <w:r>
              <w:rPr>
                <w:spacing w:val="-4"/>
                <w:szCs w:val="20"/>
              </w:rPr>
              <w:t xml:space="preserve">celé ekonomice </w:t>
            </w:r>
            <w:r w:rsidR="00307E77">
              <w:rPr>
                <w:spacing w:val="-4"/>
                <w:szCs w:val="20"/>
              </w:rPr>
              <w:t>i </w:t>
            </w:r>
            <w:r>
              <w:rPr>
                <w:spacing w:val="-4"/>
                <w:szCs w:val="20"/>
              </w:rPr>
              <w:t xml:space="preserve">v průmyslu nejvíce mzdy pracovníků ve službách </w:t>
            </w:r>
            <w:r w:rsidR="00307E77">
              <w:rPr>
                <w:spacing w:val="-4"/>
                <w:szCs w:val="20"/>
              </w:rPr>
              <w:t>a </w:t>
            </w:r>
            <w:r>
              <w:rPr>
                <w:spacing w:val="-4"/>
                <w:szCs w:val="20"/>
              </w:rPr>
              <w:t xml:space="preserve">prodeji (shodně </w:t>
            </w:r>
            <w:r w:rsidR="00307E77">
              <w:rPr>
                <w:spacing w:val="-4"/>
                <w:szCs w:val="20"/>
              </w:rPr>
              <w:t>o </w:t>
            </w:r>
            <w:r>
              <w:rPr>
                <w:spacing w:val="-4"/>
                <w:szCs w:val="20"/>
              </w:rPr>
              <w:t>55</w:t>
            </w:r>
            <w:r w:rsidR="006E33D0">
              <w:rPr>
                <w:spacing w:val="-4"/>
                <w:szCs w:val="20"/>
              </w:rPr>
              <w:t> %</w:t>
            </w:r>
            <w:r>
              <w:rPr>
                <w:spacing w:val="-4"/>
                <w:szCs w:val="20"/>
              </w:rPr>
              <w:t>). Z pohledu průmyslu byl ale mnohem důležitější růst ve váhově významných skupinách manuálních pracovníků</w:t>
            </w:r>
            <w:r w:rsidR="000C5703">
              <w:rPr>
                <w:spacing w:val="-4"/>
                <w:szCs w:val="20"/>
              </w:rPr>
              <w:t> </w:t>
            </w:r>
            <w:r>
              <w:rPr>
                <w:spacing w:val="-4"/>
                <w:szCs w:val="20"/>
              </w:rPr>
              <w:t>– ten se ve všech jejich třídách pohyboval mírně nad 40</w:t>
            </w:r>
            <w:r w:rsidR="006E33D0">
              <w:rPr>
                <w:spacing w:val="-4"/>
                <w:szCs w:val="20"/>
              </w:rPr>
              <w:t> %</w:t>
            </w:r>
            <w:r>
              <w:rPr>
                <w:spacing w:val="-4"/>
                <w:szCs w:val="20"/>
              </w:rPr>
              <w:t xml:space="preserve">. Relativně nejméně si v průmyslu polepšili řídící pracovníci (+33 %), jen </w:t>
            </w:r>
            <w:r w:rsidR="00307E77">
              <w:rPr>
                <w:spacing w:val="-4"/>
                <w:szCs w:val="20"/>
              </w:rPr>
              <w:t>o </w:t>
            </w:r>
            <w:r>
              <w:rPr>
                <w:spacing w:val="-4"/>
                <w:szCs w:val="20"/>
              </w:rPr>
              <w:t xml:space="preserve">málo lépe na tom byli zaměstnanci v ostatních třídách nemanuálních činností. </w:t>
            </w:r>
          </w:p>
        </w:tc>
      </w:tr>
      <w:tr w:rsidR="00097078" w:rsidRPr="00245192" w14:paraId="7AFADF6F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46614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D0168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BBB3C" w14:textId="0AC3C345" w:rsidR="00097078" w:rsidRPr="00245192" w:rsidRDefault="004C0391" w:rsidP="00044059">
            <w:pPr>
              <w:spacing w:after="0"/>
              <w:rPr>
                <w:szCs w:val="20"/>
              </w:rPr>
            </w:pPr>
            <w:r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č. </w:t>
            </w:r>
            <w:r>
              <w:rPr>
                <w:b/>
                <w:szCs w:val="20"/>
              </w:rPr>
              <w:t>15</w:t>
            </w:r>
            <w:r w:rsidR="00097078" w:rsidRPr="00245192">
              <w:rPr>
                <w:b/>
                <w:szCs w:val="20"/>
              </w:rPr>
              <w:t xml:space="preserve">  Průměrná </w:t>
            </w:r>
            <w:r w:rsidR="00097078" w:rsidRPr="00234F4B">
              <w:rPr>
                <w:b/>
                <w:spacing w:val="-2"/>
                <w:szCs w:val="20"/>
              </w:rPr>
              <w:t>nominální</w:t>
            </w:r>
            <w:r w:rsidR="00097078" w:rsidRPr="00245192">
              <w:rPr>
                <w:b/>
                <w:szCs w:val="20"/>
              </w:rPr>
              <w:t xml:space="preserve"> hrubá měsíční mzda dle klasifikace zaměstnání v průmyslu v nár</w:t>
            </w:r>
            <w:r w:rsidR="00097078">
              <w:rPr>
                <w:b/>
                <w:szCs w:val="20"/>
              </w:rPr>
              <w:t>odním hospodářství v letech 2013, 2016</w:t>
            </w:r>
            <w:r w:rsidR="00097078" w:rsidRPr="00245192">
              <w:rPr>
                <w:b/>
                <w:szCs w:val="20"/>
              </w:rPr>
              <w:t xml:space="preserve"> </w:t>
            </w:r>
            <w:r w:rsidR="00307E77" w:rsidRPr="00245192">
              <w:rPr>
                <w:b/>
                <w:szCs w:val="20"/>
              </w:rPr>
              <w:t>a</w:t>
            </w:r>
            <w:r w:rsidR="00307E77">
              <w:rPr>
                <w:b/>
                <w:szCs w:val="20"/>
              </w:rPr>
              <w:t> </w:t>
            </w:r>
            <w:r w:rsidR="00097078" w:rsidRPr="00245192">
              <w:rPr>
                <w:b/>
                <w:szCs w:val="20"/>
              </w:rPr>
              <w:t>2019</w:t>
            </w:r>
            <w:r w:rsidR="00097078" w:rsidRPr="00245192">
              <w:rPr>
                <w:szCs w:val="20"/>
              </w:rPr>
              <w:t xml:space="preserve"> (</w:t>
            </w:r>
            <w:r w:rsidR="00307E77" w:rsidRPr="00245192">
              <w:rPr>
                <w:szCs w:val="20"/>
              </w:rPr>
              <w:t>v</w:t>
            </w:r>
            <w:r w:rsidR="00307E77">
              <w:rPr>
                <w:szCs w:val="20"/>
              </w:rPr>
              <w:t> </w:t>
            </w:r>
            <w:r w:rsidR="00097078" w:rsidRPr="00245192">
              <w:rPr>
                <w:szCs w:val="20"/>
              </w:rPr>
              <w:t>korunách)</w:t>
            </w:r>
            <w:r w:rsidR="00E23D7A">
              <w:rPr>
                <w:szCs w:val="20"/>
              </w:rPr>
              <w:t xml:space="preserve"> </w:t>
            </w:r>
            <w:r w:rsidR="00E23D7A">
              <w:rPr>
                <w:b/>
                <w:szCs w:val="20"/>
              </w:rPr>
              <w:t>a</w:t>
            </w:r>
            <w:r w:rsidR="00E23D7A" w:rsidRPr="00245192">
              <w:rPr>
                <w:b/>
                <w:szCs w:val="20"/>
              </w:rPr>
              <w:t> </w:t>
            </w:r>
            <w:r w:rsidR="00E23D7A" w:rsidRPr="00E23D7A">
              <w:rPr>
                <w:b/>
                <w:szCs w:val="20"/>
              </w:rPr>
              <w:t xml:space="preserve">poměr mzdy v průmyslu ke mzdě v celé ekonomice </w:t>
            </w:r>
            <w:r w:rsidR="00E23D7A">
              <w:rPr>
                <w:szCs w:val="20"/>
              </w:rPr>
              <w:t>(NH v příslušném roce = 100)</w:t>
            </w:r>
          </w:p>
        </w:tc>
      </w:tr>
      <w:tr w:rsidR="00097078" w14:paraId="61B19035" w14:textId="77777777" w:rsidTr="00586874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AA23C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E837C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6DB8E" w14:textId="2E3E3329" w:rsidR="00097078" w:rsidRDefault="00052B65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33D8177" wp14:editId="05E7DCB4">
                  <wp:extent cx="4800600" cy="3352800"/>
                  <wp:effectExtent l="0" t="0" r="0" b="0"/>
                  <wp:docPr id="7" name="Graf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097078" w14:paraId="3D7C13F0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61A61" w14:textId="77777777" w:rsidR="00097078" w:rsidRDefault="00097078" w:rsidP="00044059">
            <w:pPr>
              <w:pStyle w:val="Marginlie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EEA95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A2CF9" w14:textId="22DB9126" w:rsidR="00097078" w:rsidRPr="00F710D4" w:rsidRDefault="00097078" w:rsidP="00044059">
            <w:pPr>
              <w:spacing w:after="22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Zdroj: MP</w:t>
            </w:r>
            <w:r w:rsidR="00AA1DC6">
              <w:rPr>
                <w:sz w:val="14"/>
                <w:szCs w:val="14"/>
              </w:rPr>
              <w:t>S</w:t>
            </w:r>
            <w:r w:rsidRPr="00F710D4">
              <w:rPr>
                <w:sz w:val="14"/>
                <w:szCs w:val="14"/>
              </w:rPr>
              <w:t xml:space="preserve">V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>ČSÚ (Strukturální mzdová statistika)</w:t>
            </w:r>
          </w:p>
        </w:tc>
      </w:tr>
      <w:tr w:rsidR="00097078" w14:paraId="7DAA0956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5C2F7" w14:textId="5B21A731" w:rsidR="00097078" w:rsidRDefault="00097078" w:rsidP="00044059">
            <w:pPr>
              <w:pStyle w:val="Marginlie"/>
            </w:pPr>
            <w:r>
              <w:t xml:space="preserve">Pomocní a nekvalifikovaní zaměstnanci pobírali </w:t>
            </w:r>
            <w:r>
              <w:lastRenderedPageBreak/>
              <w:t xml:space="preserve">v roce 2019 v průmyslu </w:t>
            </w:r>
            <w:r w:rsidR="00307E77">
              <w:t>o </w:t>
            </w:r>
            <w:r>
              <w:t>15</w:t>
            </w:r>
            <w:r w:rsidR="006E33D0">
              <w:t xml:space="preserve"> % </w:t>
            </w:r>
            <w:r>
              <w:t>vyšší mzdu než v celé ekonomice. Jejich postavení se proti roku 2013 mírně zlepšilo.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56355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09969" w14:textId="4DDD1F7E" w:rsidR="00097078" w:rsidRPr="0000439E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 xml:space="preserve">Zaměstnanci v průmyslu si z pohledu výše průměrných mezd v rámci svých tříd stáli lépe než v celém národním hospodářství. Např. pomocní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 xml:space="preserve">nekvalifikovaní pracovníci si </w:t>
            </w:r>
            <w:r w:rsidR="00307E77">
              <w:rPr>
                <w:szCs w:val="20"/>
              </w:rPr>
              <w:t>v </w:t>
            </w:r>
            <w:r>
              <w:rPr>
                <w:szCs w:val="20"/>
              </w:rPr>
              <w:t xml:space="preserve">roce 2019 v průmyslu vydělali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 xml:space="preserve">sedminu více než v průměru v celé ekonomice. Jejich </w:t>
            </w:r>
            <w:r>
              <w:rPr>
                <w:szCs w:val="20"/>
              </w:rPr>
              <w:lastRenderedPageBreak/>
              <w:t xml:space="preserve">relativně výhodné odvětvové postavení se navíc ve srovnání s koncem poslední recese (2013) mírně zlepšilo. Naopak relativní postavení osob působících v průmyslu ve všech třech třídách zaměstnání s nejvyššími kvalifikačními nároky se za stejné období zhoršilo. Např. průměrná měsíční mzda specialistů v průmyslu se mezi roky 2013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>2019 zvýšila ze 43,</w:t>
            </w:r>
            <w:r w:rsidR="00307E77">
              <w:rPr>
                <w:szCs w:val="20"/>
              </w:rPr>
              <w:t>0 </w:t>
            </w:r>
            <w:r>
              <w:rPr>
                <w:szCs w:val="20"/>
              </w:rPr>
              <w:t>tis</w:t>
            </w:r>
            <w:r w:rsidR="00EC6A1C">
              <w:rPr>
                <w:szCs w:val="20"/>
              </w:rPr>
              <w:t>.</w:t>
            </w:r>
            <w:r>
              <w:rPr>
                <w:szCs w:val="20"/>
              </w:rPr>
              <w:t xml:space="preserve"> korun na 57,2</w:t>
            </w:r>
            <w:r w:rsidR="006E33D0">
              <w:rPr>
                <w:szCs w:val="20"/>
              </w:rPr>
              <w:t> tis.</w:t>
            </w:r>
            <w:r>
              <w:rPr>
                <w:szCs w:val="20"/>
              </w:rPr>
              <w:t>, tj.</w:t>
            </w:r>
            <w:r w:rsidR="00EC6A1C">
              <w:rPr>
                <w:szCs w:val="20"/>
              </w:rPr>
              <w:t> 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33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, v ostatních tržních odvětvích ekonomiky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35</w:t>
            </w:r>
            <w:r w:rsidR="006E33D0">
              <w:rPr>
                <w:szCs w:val="20"/>
              </w:rPr>
              <w:t xml:space="preserve"> % </w:t>
            </w:r>
            <w:r>
              <w:rPr>
                <w:szCs w:val="20"/>
              </w:rPr>
              <w:t xml:space="preserve"> (na 59,1</w:t>
            </w:r>
            <w:r w:rsidR="006E33D0">
              <w:rPr>
                <w:szCs w:val="20"/>
              </w:rPr>
              <w:t> tis.</w:t>
            </w:r>
            <w:r>
              <w:rPr>
                <w:szCs w:val="20"/>
              </w:rPr>
              <w:t xml:space="preserve">) </w:t>
            </w:r>
            <w:r w:rsidR="00307E77">
              <w:rPr>
                <w:szCs w:val="20"/>
              </w:rPr>
              <w:t>a v </w:t>
            </w:r>
            <w:r>
              <w:rPr>
                <w:szCs w:val="20"/>
              </w:rPr>
              <w:t xml:space="preserve">odvětvích s převahou veřejného sektoru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43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(na 44,9</w:t>
            </w:r>
            <w:r w:rsidR="006E33D0">
              <w:rPr>
                <w:szCs w:val="20"/>
              </w:rPr>
              <w:t> tis.</w:t>
            </w:r>
            <w:r>
              <w:rPr>
                <w:szCs w:val="20"/>
              </w:rPr>
              <w:t xml:space="preserve">). Nepatrně si pohoršila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>váhově dominantní třída zaměstnanců průmyslu</w:t>
            </w:r>
            <w:r w:rsidR="00EC6A1C">
              <w:rPr>
                <w:szCs w:val="20"/>
              </w:rPr>
              <w:t> </w:t>
            </w:r>
            <w:r>
              <w:rPr>
                <w:szCs w:val="20"/>
              </w:rPr>
              <w:t xml:space="preserve">– obsluha strojů a zařízení.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 xml:space="preserve">tak stále pobírali tito zaměstnanci v průmyslu v roce 2019 vyšší mzdu </w:t>
            </w:r>
            <w:r w:rsidR="00EC6A1C">
              <w:rPr>
                <w:szCs w:val="20"/>
              </w:rPr>
              <w:t>(</w:t>
            </w:r>
            <w:r>
              <w:rPr>
                <w:szCs w:val="20"/>
              </w:rPr>
              <w:t>30,9 tis. korun</w:t>
            </w:r>
            <w:r w:rsidR="00EC6A1C">
              <w:rPr>
                <w:szCs w:val="20"/>
              </w:rPr>
              <w:t>)</w:t>
            </w:r>
            <w:r>
              <w:rPr>
                <w:szCs w:val="20"/>
              </w:rPr>
              <w:t xml:space="preserve"> než v ostatních odvětvích ekonomiky </w:t>
            </w:r>
            <w:r w:rsidR="00EC6A1C">
              <w:rPr>
                <w:szCs w:val="20"/>
              </w:rPr>
              <w:t>(</w:t>
            </w:r>
            <w:r>
              <w:rPr>
                <w:szCs w:val="20"/>
              </w:rPr>
              <w:t>28,4</w:t>
            </w:r>
            <w:r w:rsidR="006E33D0">
              <w:rPr>
                <w:szCs w:val="20"/>
              </w:rPr>
              <w:t> tis.</w:t>
            </w:r>
            <w:r w:rsidR="00EC6A1C">
              <w:rPr>
                <w:szCs w:val="20"/>
              </w:rPr>
              <w:t>).</w:t>
            </w:r>
          </w:p>
        </w:tc>
      </w:tr>
      <w:tr w:rsidR="00097078" w14:paraId="300BC286" w14:textId="77777777" w:rsidTr="00586874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53149" w14:textId="1FBC0356" w:rsidR="00097078" w:rsidRDefault="00097078" w:rsidP="00044059">
            <w:pPr>
              <w:pStyle w:val="Marginlie"/>
            </w:pPr>
            <w:r>
              <w:lastRenderedPageBreak/>
              <w:t xml:space="preserve">Zaměstnanci se základním vzděláním pobírali v rámci průmyslu nejvyšší mzdu v těžbě </w:t>
            </w:r>
            <w:r w:rsidR="00307E77">
              <w:t>a </w:t>
            </w:r>
            <w:r>
              <w:t>dobývání, osoby s vyššími stupni vzdělání vždy v energetice.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0AE4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B0E99" w14:textId="54DFA1A4" w:rsidR="00097078" w:rsidRPr="0000439E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>Zaměstnanci s vysokoškolským vzděláním pracující v průmyslu pobírali v roce 2019 průměrnou měsíční mzdu ve výši 62,3</w:t>
            </w:r>
            <w:r w:rsidR="006E33D0">
              <w:rPr>
                <w:szCs w:val="20"/>
              </w:rPr>
              <w:t> tis.</w:t>
            </w:r>
            <w:r>
              <w:rPr>
                <w:szCs w:val="20"/>
              </w:rPr>
              <w:t xml:space="preserve"> korun. To bylo 2,22krát více než </w:t>
            </w:r>
            <w:r w:rsidR="00307E77">
              <w:rPr>
                <w:szCs w:val="20"/>
              </w:rPr>
              <w:t>u </w:t>
            </w:r>
            <w:r>
              <w:rPr>
                <w:szCs w:val="20"/>
              </w:rPr>
              <w:t xml:space="preserve">osob s nejnižším vzděláním v průmyslu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 xml:space="preserve">zároveň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12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 více než mzdy vysokoškoláků v celé ekonomice (resp. 5 % nad úrovní mezd vysokoškoláků v ostatních tržních odvětvích). V roce 2019 vzrostly v průmyslu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>v celé ekonomice nejvíce mzdy osob se středním vzděláním s maturitou (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7,1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, resp. 7,9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 xml:space="preserve">). Oproti roku 2012 si ale relativně nejvíce polepšili pracovníci s nejnižším stupněm vzdělání. Zaměstnanci se základním a neukončeným vzděláním dosáhli v roce 2019 v rámci hlavních průmyslových odvětví nejvyšší mzdy v těžbě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 xml:space="preserve">dobývání </w:t>
            </w:r>
            <w:r w:rsidR="00EC6A1C">
              <w:rPr>
                <w:szCs w:val="20"/>
              </w:rPr>
              <w:t>(</w:t>
            </w:r>
            <w:r>
              <w:rPr>
                <w:szCs w:val="20"/>
              </w:rPr>
              <w:t>35,0</w:t>
            </w:r>
            <w:r w:rsidR="006E33D0">
              <w:rPr>
                <w:szCs w:val="20"/>
              </w:rPr>
              <w:t> tis.</w:t>
            </w:r>
            <w:r w:rsidR="00EC6A1C">
              <w:rPr>
                <w:szCs w:val="20"/>
              </w:rPr>
              <w:t xml:space="preserve">,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 xml:space="preserve">dvě pětiny více než v celé ekonomice), osoby ve všech ostatních stupních vzdělání shodně v energetice (vždy zhruba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třetinu nad souhrnnou úrovní ve své skupině).</w:t>
            </w:r>
          </w:p>
        </w:tc>
      </w:tr>
    </w:tbl>
    <w:p w14:paraId="4E325855" w14:textId="625A603A" w:rsidR="00097078" w:rsidRPr="005F5CE8" w:rsidRDefault="00097078" w:rsidP="005F5CE8">
      <w:pPr>
        <w:pStyle w:val="Nadpis2"/>
        <w:rPr>
          <w:rFonts w:cs="Arial"/>
        </w:rPr>
      </w:pPr>
      <w:bookmarkStart w:id="6" w:name="_Toc57061290"/>
      <w:r w:rsidRPr="005F5CE8">
        <w:rPr>
          <w:rFonts w:cs="Arial"/>
        </w:rPr>
        <w:t>3.</w:t>
      </w:r>
      <w:r w:rsidR="00307E77" w:rsidRPr="005F5CE8">
        <w:rPr>
          <w:rFonts w:cs="Arial"/>
        </w:rPr>
        <w:t>3</w:t>
      </w:r>
      <w:r w:rsidR="00307E77">
        <w:rPr>
          <w:rFonts w:cs="Arial"/>
        </w:rPr>
        <w:t> </w:t>
      </w:r>
      <w:r w:rsidRPr="005F5CE8">
        <w:rPr>
          <w:rFonts w:cs="Arial"/>
        </w:rPr>
        <w:t xml:space="preserve">Produktivita práce </w:t>
      </w:r>
      <w:r w:rsidR="00307E77" w:rsidRPr="005F5CE8">
        <w:rPr>
          <w:rFonts w:cs="Arial"/>
        </w:rPr>
        <w:t>a</w:t>
      </w:r>
      <w:r w:rsidR="00307E77">
        <w:rPr>
          <w:rFonts w:cs="Arial"/>
        </w:rPr>
        <w:t> </w:t>
      </w:r>
      <w:r w:rsidRPr="005F5CE8">
        <w:rPr>
          <w:rFonts w:cs="Arial"/>
        </w:rPr>
        <w:t>pracovní náklady v tuzemském průmyslu</w:t>
      </w:r>
      <w:bookmarkEnd w:id="6"/>
    </w:p>
    <w:tbl>
      <w:tblPr>
        <w:tblW w:w="964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67"/>
        <w:gridCol w:w="182"/>
        <w:gridCol w:w="7700"/>
      </w:tblGrid>
      <w:tr w:rsidR="00097078" w14:paraId="72F64E85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3A3EB" w14:textId="2E57D5A3" w:rsidR="00097078" w:rsidRDefault="00097078" w:rsidP="00044059">
            <w:pPr>
              <w:pStyle w:val="Marginlie"/>
            </w:pPr>
            <w:r>
              <w:t xml:space="preserve">Mzdy </w:t>
            </w:r>
            <w:r w:rsidR="00307E77">
              <w:t>a </w:t>
            </w:r>
            <w:r>
              <w:t xml:space="preserve">platy doplněné </w:t>
            </w:r>
            <w:r w:rsidR="00307E77">
              <w:t>o </w:t>
            </w:r>
            <w:r>
              <w:t>náhrady mezd tvoří dlouhodobě jen mírně nad 70</w:t>
            </w:r>
            <w:r w:rsidR="006E33D0">
              <w:t> %</w:t>
            </w:r>
            <w:r>
              <w:t xml:space="preserve"> veškerých pracovních nákladů podniků </w:t>
            </w:r>
            <w:r w:rsidR="00307E77">
              <w:t>a </w:t>
            </w:r>
            <w:r>
              <w:t>organizací</w:t>
            </w:r>
            <w:r w:rsidR="007640D0"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475E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C8279" w14:textId="11C0893A" w:rsidR="00097078" w:rsidRPr="004B1F54" w:rsidRDefault="00097078" w:rsidP="00044059">
            <w:pPr>
              <w:spacing w:after="220"/>
              <w:rPr>
                <w:szCs w:val="20"/>
              </w:rPr>
            </w:pPr>
            <w:r>
              <w:rPr>
                <w:szCs w:val="20"/>
              </w:rPr>
              <w:t xml:space="preserve">Průměrné hrubé mzdy </w:t>
            </w:r>
            <w:r w:rsidR="00307E77">
              <w:rPr>
                <w:szCs w:val="20"/>
              </w:rPr>
              <w:t>a </w:t>
            </w:r>
            <w:r>
              <w:rPr>
                <w:szCs w:val="20"/>
              </w:rPr>
              <w:t xml:space="preserve">platy po zohlednění příjmových daní placených zaměstnanci a pohybu spotřebitelských cen přímo ukazují na reálnou kupní sílu zaměstnaneckých výdělků. Z pohledu podniků </w:t>
            </w:r>
            <w:r w:rsidR="00307E77">
              <w:rPr>
                <w:szCs w:val="20"/>
              </w:rPr>
              <w:t>i </w:t>
            </w:r>
            <w:r>
              <w:rPr>
                <w:szCs w:val="20"/>
              </w:rPr>
              <w:t xml:space="preserve">státu (jako zaměstnavatele) jsou ovšem klíčové celkové </w:t>
            </w:r>
            <w:r w:rsidRPr="00DD49ED">
              <w:rPr>
                <w:szCs w:val="20"/>
              </w:rPr>
              <w:t xml:space="preserve">náklady práce. Mzdy </w:t>
            </w:r>
            <w:r w:rsidR="00307E77" w:rsidRPr="00DD49ED">
              <w:rPr>
                <w:szCs w:val="20"/>
              </w:rPr>
              <w:t>a </w:t>
            </w:r>
            <w:r w:rsidRPr="00DD49ED">
              <w:rPr>
                <w:szCs w:val="20"/>
              </w:rPr>
              <w:t>platy za vykonanou práci včetně náhrad mezd placených zaměstnavatelem</w:t>
            </w:r>
            <w:r w:rsidRPr="00DD49ED">
              <w:rPr>
                <w:rStyle w:val="Znakapoznpodarou"/>
                <w:spacing w:val="-2"/>
                <w:szCs w:val="20"/>
              </w:rPr>
              <w:footnoteReference w:id="23"/>
            </w:r>
            <w:r w:rsidRPr="00DD49ED">
              <w:rPr>
                <w:szCs w:val="20"/>
              </w:rPr>
              <w:t xml:space="preserve"> představují tzv.</w:t>
            </w:r>
            <w:r w:rsidR="007640D0" w:rsidRPr="00DD49ED">
              <w:rPr>
                <w:szCs w:val="20"/>
              </w:rPr>
              <w:t> </w:t>
            </w:r>
            <w:r w:rsidRPr="00DD49ED">
              <w:rPr>
                <w:szCs w:val="20"/>
              </w:rPr>
              <w:t xml:space="preserve">přímé náklady práce. Ty tvoří v úhrnu za </w:t>
            </w:r>
            <w:r w:rsidR="007640D0" w:rsidRPr="00DD49ED">
              <w:rPr>
                <w:szCs w:val="20"/>
              </w:rPr>
              <w:t xml:space="preserve">všechna </w:t>
            </w:r>
            <w:r w:rsidRPr="00DD49ED">
              <w:rPr>
                <w:szCs w:val="20"/>
              </w:rPr>
              <w:t xml:space="preserve">odvětví </w:t>
            </w:r>
            <w:r w:rsidR="00307E77" w:rsidRPr="00DD49ED">
              <w:rPr>
                <w:szCs w:val="20"/>
              </w:rPr>
              <w:t>i </w:t>
            </w:r>
            <w:r w:rsidRPr="00DD49ED">
              <w:rPr>
                <w:szCs w:val="20"/>
              </w:rPr>
              <w:t>v samotném průmyslu dlouhodobě méně než tři čtvrtiny všech pracovních nákladů. Mezi nepřímými náklady práce tradičně dominují platby zákonného pojistného, jejichž vývoj je pevně svázán s trendy zaměstnanosti. Podíl těchto plateb na všech nepřímých pracovních nákladech byl v roce 2018 nejnižší v energetice (79</w:t>
            </w:r>
            <w:r w:rsidR="006E33D0" w:rsidRPr="00DD49ED">
              <w:rPr>
                <w:szCs w:val="20"/>
              </w:rPr>
              <w:t> %</w:t>
            </w:r>
            <w:r w:rsidRPr="00DD49ED">
              <w:rPr>
                <w:szCs w:val="20"/>
              </w:rPr>
              <w:t>), naopak více než 95</w:t>
            </w:r>
            <w:r w:rsidR="006E33D0" w:rsidRPr="00DD49ED">
              <w:rPr>
                <w:szCs w:val="20"/>
              </w:rPr>
              <w:t> %</w:t>
            </w:r>
            <w:r w:rsidRPr="00DD49ED">
              <w:rPr>
                <w:szCs w:val="20"/>
              </w:rPr>
              <w:t xml:space="preserve"> dosahoval ve většině odvětví s převahou veřejného sektoru </w:t>
            </w:r>
            <w:r w:rsidR="00307E77" w:rsidRPr="00DD49ED">
              <w:rPr>
                <w:szCs w:val="20"/>
              </w:rPr>
              <w:t>a </w:t>
            </w:r>
            <w:r w:rsidRPr="00DD49ED">
              <w:rPr>
                <w:szCs w:val="20"/>
              </w:rPr>
              <w:t>také v odvětví ostatní činnost</w:t>
            </w:r>
            <w:r w:rsidR="000A1148" w:rsidRPr="00DD49ED">
              <w:rPr>
                <w:szCs w:val="20"/>
              </w:rPr>
              <w:t>i</w:t>
            </w:r>
            <w:r w:rsidRPr="00DD49ED">
              <w:rPr>
                <w:szCs w:val="20"/>
              </w:rPr>
              <w:t xml:space="preserve"> služeb</w:t>
            </w:r>
            <w:r w:rsidRPr="00DD49ED">
              <w:rPr>
                <w:rStyle w:val="Znakapoznpodarou"/>
                <w:spacing w:val="-2"/>
                <w:szCs w:val="20"/>
              </w:rPr>
              <w:footnoteReference w:id="24"/>
            </w:r>
            <w:r w:rsidRPr="00DD49ED">
              <w:rPr>
                <w:szCs w:val="20"/>
              </w:rPr>
              <w:t xml:space="preserve">. </w:t>
            </w:r>
            <w:r w:rsidR="007640D0" w:rsidRPr="00DD49ED">
              <w:rPr>
                <w:szCs w:val="20"/>
              </w:rPr>
              <w:t xml:space="preserve">Zbylá </w:t>
            </w:r>
            <w:r w:rsidRPr="00DD49ED">
              <w:rPr>
                <w:szCs w:val="20"/>
              </w:rPr>
              <w:t xml:space="preserve">část nákladů připadá zejména na sociální požitky </w:t>
            </w:r>
            <w:r w:rsidR="00307E77" w:rsidRPr="00DD49ED">
              <w:rPr>
                <w:szCs w:val="20"/>
              </w:rPr>
              <w:t>a </w:t>
            </w:r>
            <w:r w:rsidRPr="00DD49ED">
              <w:rPr>
                <w:szCs w:val="20"/>
              </w:rPr>
              <w:t>ostatní sociální náklady, které dohromady de</w:t>
            </w:r>
            <w:r w:rsidR="007640D0" w:rsidRPr="00DD49ED">
              <w:rPr>
                <w:szCs w:val="20"/>
              </w:rPr>
              <w:t> </w:t>
            </w:r>
            <w:r w:rsidRPr="00DD49ED">
              <w:rPr>
                <w:szCs w:val="20"/>
              </w:rPr>
              <w:t>facto tvoří jádro zaměstnaneckých benefitů</w:t>
            </w:r>
            <w:r w:rsidRPr="00DD49ED">
              <w:rPr>
                <w:rStyle w:val="Znakapoznpodarou"/>
                <w:spacing w:val="-2"/>
                <w:szCs w:val="20"/>
              </w:rPr>
              <w:footnoteReference w:id="25"/>
            </w:r>
            <w:r w:rsidRPr="00DD49ED">
              <w:rPr>
                <w:szCs w:val="20"/>
              </w:rPr>
              <w:t xml:space="preserve">. Spektrum nepřímých nákladů doplňují personální výdaje (zejména na nábor, školení pracovníků </w:t>
            </w:r>
            <w:r w:rsidR="00307E77" w:rsidRPr="00DD49ED">
              <w:rPr>
                <w:szCs w:val="20"/>
              </w:rPr>
              <w:t>a </w:t>
            </w:r>
            <w:proofErr w:type="spellStart"/>
            <w:r w:rsidRPr="00DD49ED">
              <w:rPr>
                <w:szCs w:val="20"/>
              </w:rPr>
              <w:t>ošatné</w:t>
            </w:r>
            <w:proofErr w:type="spellEnd"/>
            <w:r w:rsidRPr="00DD49ED">
              <w:rPr>
                <w:szCs w:val="20"/>
              </w:rPr>
              <w:t>)</w:t>
            </w:r>
            <w:r w:rsidR="007640D0" w:rsidRPr="00DD49ED">
              <w:rPr>
                <w:szCs w:val="20"/>
              </w:rPr>
              <w:t>,</w:t>
            </w:r>
            <w:r w:rsidRPr="00DD49ED">
              <w:rPr>
                <w:szCs w:val="20"/>
              </w:rPr>
              <w:t xml:space="preserve"> saldo daní (</w:t>
            </w:r>
            <w:r w:rsidR="006E33D0" w:rsidRPr="00DD49ED">
              <w:rPr>
                <w:szCs w:val="20"/>
              </w:rPr>
              <w:t xml:space="preserve">včetně </w:t>
            </w:r>
            <w:r w:rsidRPr="00DD49ED">
              <w:rPr>
                <w:szCs w:val="20"/>
              </w:rPr>
              <w:t>sankcí) souvisejících se zaměstnáváním lidí a dotací na pracovní sílu</w:t>
            </w:r>
            <w:r w:rsidRPr="003E362B">
              <w:rPr>
                <w:rStyle w:val="Znakapoznpodarou"/>
                <w:spacing w:val="-2"/>
                <w:szCs w:val="20"/>
              </w:rPr>
              <w:footnoteReference w:id="26"/>
            </w:r>
            <w:r>
              <w:rPr>
                <w:szCs w:val="20"/>
              </w:rPr>
              <w:t>.</w:t>
            </w:r>
          </w:p>
        </w:tc>
      </w:tr>
      <w:tr w:rsidR="00097078" w14:paraId="55D3CDE2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F3A1A" w14:textId="1CA2CDB5" w:rsidR="00097078" w:rsidRDefault="00097078" w:rsidP="00044059">
            <w:pPr>
              <w:pStyle w:val="Marginlie"/>
            </w:pPr>
            <w:r>
              <w:t>Růst průměrných pracovních nákladů v poslední dekádě kulminoval v roce 2018.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4E5F7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70B93" w14:textId="6C9C5582" w:rsidR="00097078" w:rsidRPr="004C7154" w:rsidRDefault="00307E77" w:rsidP="00044059">
            <w:pPr>
              <w:spacing w:after="220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V </w:t>
            </w:r>
            <w:r w:rsidR="00097078">
              <w:rPr>
                <w:spacing w:val="-2"/>
                <w:szCs w:val="20"/>
              </w:rPr>
              <w:t>roce 2018 činily c</w:t>
            </w:r>
            <w:r w:rsidR="00097078" w:rsidRPr="004C7154">
              <w:rPr>
                <w:spacing w:val="-2"/>
                <w:szCs w:val="20"/>
              </w:rPr>
              <w:t>elkové náklady práce na jednoho zaměstnance v průmyslu (p</w:t>
            </w:r>
            <w:r w:rsidR="00097078">
              <w:rPr>
                <w:spacing w:val="-2"/>
                <w:szCs w:val="20"/>
              </w:rPr>
              <w:t>o přepočtu na plné úvazky)</w:t>
            </w:r>
            <w:r w:rsidR="005F6D11">
              <w:rPr>
                <w:spacing w:val="-2"/>
                <w:szCs w:val="20"/>
              </w:rPr>
              <w:t xml:space="preserve"> ročně 541</w:t>
            </w:r>
            <w:r w:rsidR="006E33D0">
              <w:rPr>
                <w:spacing w:val="-2"/>
                <w:szCs w:val="20"/>
              </w:rPr>
              <w:t> tis.</w:t>
            </w:r>
            <w:r w:rsidR="00097078" w:rsidRPr="004C7154">
              <w:rPr>
                <w:spacing w:val="-2"/>
                <w:szCs w:val="20"/>
              </w:rPr>
              <w:t xml:space="preserve"> korun. To bylo </w:t>
            </w:r>
            <w:r w:rsidRPr="004C7154">
              <w:rPr>
                <w:spacing w:val="-2"/>
                <w:szCs w:val="20"/>
              </w:rPr>
              <w:t>o</w:t>
            </w:r>
            <w:r>
              <w:rPr>
                <w:spacing w:val="-2"/>
                <w:szCs w:val="20"/>
              </w:rPr>
              <w:t> </w:t>
            </w:r>
            <w:r w:rsidR="005F6D11">
              <w:rPr>
                <w:spacing w:val="-2"/>
                <w:szCs w:val="20"/>
              </w:rPr>
              <w:t>7,8</w:t>
            </w:r>
            <w:r w:rsidR="006E33D0">
              <w:rPr>
                <w:spacing w:val="-2"/>
                <w:szCs w:val="20"/>
              </w:rPr>
              <w:t> tis.</w:t>
            </w:r>
            <w:r w:rsidR="00097078" w:rsidRPr="004C7154">
              <w:rPr>
                <w:spacing w:val="-2"/>
                <w:szCs w:val="20"/>
              </w:rPr>
              <w:t xml:space="preserve"> korun více než v celé ekonomice. Z pohledu odvětvových sekcí průmyslu se s nejvyššími jednotkovými náklady museli vyp</w:t>
            </w:r>
            <w:r w:rsidR="00097078">
              <w:rPr>
                <w:spacing w:val="-2"/>
                <w:szCs w:val="20"/>
              </w:rPr>
              <w:t xml:space="preserve">ořádat zaměstnavatelé v energetice (náklady </w:t>
            </w:r>
            <w:r w:rsidR="00097078" w:rsidRPr="004C7154">
              <w:rPr>
                <w:spacing w:val="-2"/>
                <w:szCs w:val="20"/>
              </w:rPr>
              <w:t xml:space="preserve">zde převyšovaly celou ekonomiku </w:t>
            </w:r>
            <w:r w:rsidRPr="004C7154">
              <w:rPr>
                <w:spacing w:val="-2"/>
                <w:szCs w:val="20"/>
              </w:rPr>
              <w:t>o</w:t>
            </w:r>
            <w:r>
              <w:rPr>
                <w:spacing w:val="-2"/>
                <w:szCs w:val="20"/>
              </w:rPr>
              <w:t> </w:t>
            </w:r>
            <w:r w:rsidR="00097078" w:rsidRPr="004C7154">
              <w:rPr>
                <w:spacing w:val="-2"/>
                <w:szCs w:val="20"/>
              </w:rPr>
              <w:t>48</w:t>
            </w:r>
            <w:r w:rsidR="006E33D0">
              <w:rPr>
                <w:spacing w:val="-2"/>
                <w:szCs w:val="20"/>
              </w:rPr>
              <w:t> %</w:t>
            </w:r>
            <w:r w:rsidR="00097078">
              <w:rPr>
                <w:spacing w:val="-2"/>
                <w:szCs w:val="20"/>
              </w:rPr>
              <w:t>)</w:t>
            </w:r>
            <w:r w:rsidR="00097078" w:rsidRPr="004C7154">
              <w:rPr>
                <w:spacing w:val="-2"/>
                <w:szCs w:val="20"/>
              </w:rPr>
              <w:t xml:space="preserve">. Naopak zhruba </w:t>
            </w:r>
            <w:r w:rsidRPr="004C7154">
              <w:rPr>
                <w:spacing w:val="-2"/>
                <w:szCs w:val="20"/>
              </w:rPr>
              <w:t>o</w:t>
            </w:r>
            <w:r>
              <w:rPr>
                <w:spacing w:val="-2"/>
                <w:szCs w:val="20"/>
              </w:rPr>
              <w:t> </w:t>
            </w:r>
            <w:r w:rsidR="00097078" w:rsidRPr="004C7154">
              <w:rPr>
                <w:spacing w:val="-2"/>
                <w:szCs w:val="20"/>
              </w:rPr>
              <w:t xml:space="preserve">osminu pod úrovní národního hospodářství se nacházelo odvětví vodního a odpadového hospodářství. Oproti roku 2017 se </w:t>
            </w:r>
            <w:r w:rsidR="00097078">
              <w:rPr>
                <w:spacing w:val="-2"/>
                <w:szCs w:val="20"/>
              </w:rPr>
              <w:t xml:space="preserve">jednotkové pracovní </w:t>
            </w:r>
            <w:r w:rsidR="00097078">
              <w:rPr>
                <w:spacing w:val="-2"/>
                <w:szCs w:val="20"/>
              </w:rPr>
              <w:lastRenderedPageBreak/>
              <w:t xml:space="preserve">náklady </w:t>
            </w:r>
            <w:r w:rsidR="00097078" w:rsidRPr="004C7154">
              <w:rPr>
                <w:spacing w:val="-2"/>
                <w:szCs w:val="20"/>
              </w:rPr>
              <w:t xml:space="preserve">v průmyslu zvýšily </w:t>
            </w:r>
            <w:r w:rsidRPr="004C7154">
              <w:rPr>
                <w:spacing w:val="-2"/>
                <w:szCs w:val="20"/>
              </w:rPr>
              <w:t>o</w:t>
            </w:r>
            <w:r>
              <w:rPr>
                <w:spacing w:val="-2"/>
                <w:szCs w:val="20"/>
              </w:rPr>
              <w:t> </w:t>
            </w:r>
            <w:r w:rsidR="00097078" w:rsidRPr="004C7154">
              <w:rPr>
                <w:spacing w:val="-2"/>
                <w:szCs w:val="20"/>
              </w:rPr>
              <w:t>7,8</w:t>
            </w:r>
            <w:r w:rsidR="006E33D0">
              <w:rPr>
                <w:spacing w:val="-2"/>
                <w:szCs w:val="20"/>
              </w:rPr>
              <w:t> %</w:t>
            </w:r>
            <w:r w:rsidR="00097078" w:rsidRPr="004C7154">
              <w:rPr>
                <w:spacing w:val="-2"/>
                <w:szCs w:val="20"/>
              </w:rPr>
              <w:t xml:space="preserve">, v celé ekonomice, kde jejich tempo sílilo již pátým rokem v řadě, dokonce </w:t>
            </w:r>
            <w:r w:rsidRPr="004C7154">
              <w:rPr>
                <w:spacing w:val="-2"/>
                <w:szCs w:val="20"/>
              </w:rPr>
              <w:t>o</w:t>
            </w:r>
            <w:r>
              <w:rPr>
                <w:spacing w:val="-2"/>
                <w:szCs w:val="20"/>
              </w:rPr>
              <w:t> </w:t>
            </w:r>
            <w:r w:rsidR="00097078" w:rsidRPr="004C7154">
              <w:rPr>
                <w:spacing w:val="-2"/>
                <w:szCs w:val="20"/>
              </w:rPr>
              <w:t>8,1</w:t>
            </w:r>
            <w:r w:rsidR="006E33D0">
              <w:rPr>
                <w:spacing w:val="-2"/>
                <w:szCs w:val="20"/>
              </w:rPr>
              <w:t> %</w:t>
            </w:r>
            <w:r w:rsidR="00097078" w:rsidRPr="004C7154">
              <w:rPr>
                <w:spacing w:val="-2"/>
                <w:szCs w:val="20"/>
              </w:rPr>
              <w:t>. Výše uvedený vývoj odpovídá faktu, že ekonomika se v roce 2018 nacházela těsně za vrcholem konju</w:t>
            </w:r>
            <w:r w:rsidR="00352945">
              <w:rPr>
                <w:spacing w:val="-2"/>
                <w:szCs w:val="20"/>
              </w:rPr>
              <w:t>n</w:t>
            </w:r>
            <w:r w:rsidR="00097078" w:rsidRPr="004C7154">
              <w:rPr>
                <w:spacing w:val="-2"/>
                <w:szCs w:val="20"/>
              </w:rPr>
              <w:t>ktury</w:t>
            </w:r>
            <w:r w:rsidR="007142BA">
              <w:rPr>
                <w:spacing w:val="-2"/>
                <w:szCs w:val="20"/>
              </w:rPr>
              <w:t>,</w:t>
            </w:r>
            <w:r w:rsidR="00097078" w:rsidRPr="004C7154">
              <w:rPr>
                <w:spacing w:val="-2"/>
                <w:szCs w:val="20"/>
              </w:rPr>
              <w:t xml:space="preserve"> </w:t>
            </w:r>
            <w:r w:rsidRPr="004C7154">
              <w:rPr>
                <w:spacing w:val="-2"/>
                <w:szCs w:val="20"/>
              </w:rPr>
              <w:t>a</w:t>
            </w:r>
            <w:r>
              <w:rPr>
                <w:spacing w:val="-2"/>
                <w:szCs w:val="20"/>
              </w:rPr>
              <w:t> </w:t>
            </w:r>
            <w:r w:rsidR="00097078" w:rsidRPr="004C7154">
              <w:rPr>
                <w:spacing w:val="-2"/>
                <w:szCs w:val="20"/>
              </w:rPr>
              <w:t xml:space="preserve">mzdový růst tak kulminoval. Mezi lety 2013 </w:t>
            </w:r>
            <w:r w:rsidRPr="004C7154">
              <w:rPr>
                <w:spacing w:val="-2"/>
                <w:szCs w:val="20"/>
              </w:rPr>
              <w:t>a</w:t>
            </w:r>
            <w:r>
              <w:rPr>
                <w:spacing w:val="-2"/>
                <w:szCs w:val="20"/>
              </w:rPr>
              <w:t> </w:t>
            </w:r>
            <w:r w:rsidR="00097078" w:rsidRPr="004C7154">
              <w:rPr>
                <w:spacing w:val="-2"/>
                <w:szCs w:val="20"/>
              </w:rPr>
              <w:t>2018 se jednotkové pracovní náklady v průmyslu, podobně jako v celé ekonomice, navýšily o 27 %. Z předchozího období recese se nejrychleji vzpamatoval zpracovat</w:t>
            </w:r>
            <w:r w:rsidR="00097078">
              <w:rPr>
                <w:spacing w:val="-2"/>
                <w:szCs w:val="20"/>
              </w:rPr>
              <w:t>elský průmysl, naopak v těžbě a</w:t>
            </w:r>
            <w:r w:rsidR="00097078">
              <w:rPr>
                <w:szCs w:val="20"/>
              </w:rPr>
              <w:t> </w:t>
            </w:r>
            <w:r w:rsidR="00097078" w:rsidRPr="004C7154">
              <w:rPr>
                <w:spacing w:val="-2"/>
                <w:szCs w:val="20"/>
              </w:rPr>
              <w:t>dobývání se růstový trend pracovních nákladů projevil až v roce 2017.</w:t>
            </w:r>
          </w:p>
        </w:tc>
      </w:tr>
      <w:tr w:rsidR="00097078" w14:paraId="105935EA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E3BE1" w14:textId="77777777" w:rsidR="00097078" w:rsidRDefault="00097078" w:rsidP="00044059">
            <w:pPr>
              <w:pStyle w:val="Marginli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C0C58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24B23" w14:textId="4F55AA3B" w:rsidR="00097078" w:rsidRPr="00980A65" w:rsidRDefault="00097078" w:rsidP="00044059">
            <w:pPr>
              <w:spacing w:after="0"/>
              <w:rPr>
                <w:b/>
                <w:szCs w:val="20"/>
              </w:rPr>
            </w:pPr>
            <w:r w:rsidRPr="00980A65"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č. </w:t>
            </w:r>
            <w:r w:rsidR="004C0391">
              <w:rPr>
                <w:b/>
                <w:szCs w:val="20"/>
              </w:rPr>
              <w:t>16</w:t>
            </w:r>
            <w:r>
              <w:rPr>
                <w:b/>
                <w:szCs w:val="20"/>
              </w:rPr>
              <w:t xml:space="preserve">:  Úplné náklady práce na zaměstnance* v hlavních odvětvích průmyslu </w:t>
            </w:r>
            <w:r w:rsidR="00307E77">
              <w:rPr>
                <w:b/>
                <w:szCs w:val="20"/>
              </w:rPr>
              <w:t>a </w:t>
            </w:r>
            <w:r>
              <w:rPr>
                <w:b/>
                <w:szCs w:val="20"/>
              </w:rPr>
              <w:t xml:space="preserve">v národním hospodářství </w:t>
            </w:r>
            <w:r w:rsidRPr="000F5932">
              <w:rPr>
                <w:szCs w:val="20"/>
              </w:rPr>
              <w:t>(úroveň 2008</w:t>
            </w:r>
            <w:r w:rsidR="007142BA">
              <w:rPr>
                <w:szCs w:val="20"/>
              </w:rPr>
              <w:t> </w:t>
            </w:r>
            <w:r w:rsidRPr="000F5932">
              <w:rPr>
                <w:szCs w:val="20"/>
              </w:rPr>
              <w:t>=</w:t>
            </w:r>
            <w:r w:rsidR="007142BA">
              <w:rPr>
                <w:szCs w:val="20"/>
              </w:rPr>
              <w:t> </w:t>
            </w:r>
            <w:r w:rsidRPr="000F5932">
              <w:rPr>
                <w:szCs w:val="20"/>
              </w:rPr>
              <w:t xml:space="preserve">100), </w:t>
            </w:r>
            <w:r>
              <w:rPr>
                <w:b/>
                <w:szCs w:val="20"/>
              </w:rPr>
              <w:t xml:space="preserve">implicitní deflátor HDP </w:t>
            </w:r>
            <w:r w:rsidRPr="000F5932">
              <w:rPr>
                <w:szCs w:val="20"/>
              </w:rPr>
              <w:t>(2008</w:t>
            </w:r>
            <w:r w:rsidR="007142BA">
              <w:rPr>
                <w:szCs w:val="20"/>
              </w:rPr>
              <w:t> </w:t>
            </w:r>
            <w:r w:rsidRPr="000F5932">
              <w:rPr>
                <w:szCs w:val="20"/>
              </w:rPr>
              <w:t>=</w:t>
            </w:r>
            <w:r w:rsidR="007142BA">
              <w:rPr>
                <w:szCs w:val="20"/>
              </w:rPr>
              <w:t> </w:t>
            </w:r>
            <w:r w:rsidRPr="000F5932">
              <w:rPr>
                <w:szCs w:val="20"/>
              </w:rPr>
              <w:t xml:space="preserve">100) </w:t>
            </w:r>
            <w:r w:rsidR="00307E77">
              <w:rPr>
                <w:b/>
                <w:szCs w:val="20"/>
              </w:rPr>
              <w:t>a </w:t>
            </w:r>
            <w:r>
              <w:rPr>
                <w:b/>
                <w:szCs w:val="20"/>
              </w:rPr>
              <w:t xml:space="preserve">podíl vybraných druhů nákladů na celkových nákladech práce v průmyslu </w:t>
            </w:r>
            <w:r w:rsidRPr="000F5932">
              <w:rPr>
                <w:szCs w:val="20"/>
              </w:rPr>
              <w:t>(v</w:t>
            </w:r>
            <w:r w:rsidR="006E33D0">
              <w:rPr>
                <w:szCs w:val="20"/>
              </w:rPr>
              <w:t> %</w:t>
            </w:r>
            <w:r w:rsidRPr="000F5932">
              <w:rPr>
                <w:szCs w:val="20"/>
              </w:rPr>
              <w:t>)</w:t>
            </w:r>
          </w:p>
        </w:tc>
      </w:tr>
      <w:tr w:rsidR="00097078" w14:paraId="54252EF3" w14:textId="77777777" w:rsidTr="00EC1470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0E53" w14:textId="77777777" w:rsidR="00097078" w:rsidRDefault="00097078" w:rsidP="00044059">
            <w:pPr>
              <w:pStyle w:val="Marginli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06875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43654" w14:textId="3805BD09" w:rsidR="00097078" w:rsidRDefault="00973148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F31E181" wp14:editId="499DF3C8">
                  <wp:extent cx="4790364" cy="3473355"/>
                  <wp:effectExtent l="0" t="0" r="0" b="0"/>
                  <wp:docPr id="11" name="Graf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097078" w14:paraId="6A14724A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6F2A0" w14:textId="77777777" w:rsidR="00097078" w:rsidRDefault="00097078" w:rsidP="00044059">
            <w:pPr>
              <w:pStyle w:val="Marginli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AF81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7B75C" w14:textId="1D09E8ED" w:rsidR="00097078" w:rsidRDefault="00097078" w:rsidP="00044059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Pr="00F710D4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Jde </w:t>
            </w:r>
            <w:r w:rsidR="00307E77">
              <w:rPr>
                <w:sz w:val="14"/>
                <w:szCs w:val="14"/>
              </w:rPr>
              <w:t>o </w:t>
            </w:r>
            <w:r>
              <w:rPr>
                <w:sz w:val="14"/>
                <w:szCs w:val="14"/>
              </w:rPr>
              <w:t xml:space="preserve">počet zaměstnanců </w:t>
            </w:r>
            <w:r w:rsidRPr="00F710D4">
              <w:rPr>
                <w:sz w:val="14"/>
                <w:szCs w:val="14"/>
              </w:rPr>
              <w:t>přepočtených na plné úvazky.</w:t>
            </w:r>
          </w:p>
          <w:p w14:paraId="062239EA" w14:textId="77777777" w:rsidR="00097078" w:rsidRDefault="00097078" w:rsidP="00044059">
            <w:pPr>
              <w:spacing w:after="220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Zdroj: ČSÚ (podniková statistika, národní účty)</w:t>
            </w:r>
          </w:p>
        </w:tc>
      </w:tr>
      <w:tr w:rsidR="00097078" w14:paraId="091B9D83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16823" w14:textId="71F0C0E9" w:rsidR="00097078" w:rsidRDefault="00097078" w:rsidP="00044059">
            <w:pPr>
              <w:pStyle w:val="Marginlie"/>
            </w:pPr>
            <w:r>
              <w:t xml:space="preserve">Mezi roky 2008 </w:t>
            </w:r>
            <w:r w:rsidR="00307E77">
              <w:t>a </w:t>
            </w:r>
            <w:r>
              <w:t xml:space="preserve">2013 vzrostly průměrné pracovní náklady v průmyslu více než dvojnásobným tempem než </w:t>
            </w:r>
            <w:r w:rsidR="007A33A6">
              <w:t>v </w:t>
            </w:r>
            <w:r>
              <w:t>celé ekonomice.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C5BA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2678F" w14:textId="4CE55629" w:rsidR="00097078" w:rsidRPr="00710245" w:rsidRDefault="00307E77" w:rsidP="00044059">
            <w:pPr>
              <w:spacing w:after="220"/>
              <w:rPr>
                <w:spacing w:val="-2"/>
                <w:szCs w:val="20"/>
              </w:rPr>
            </w:pPr>
            <w:r w:rsidRPr="00710245">
              <w:rPr>
                <w:spacing w:val="-2"/>
                <w:szCs w:val="20"/>
              </w:rPr>
              <w:t>V</w:t>
            </w:r>
            <w:r>
              <w:rPr>
                <w:spacing w:val="-2"/>
                <w:szCs w:val="20"/>
              </w:rPr>
              <w:t> </w:t>
            </w:r>
            <w:r w:rsidR="00097078" w:rsidRPr="00710245">
              <w:rPr>
                <w:spacing w:val="-2"/>
                <w:szCs w:val="20"/>
              </w:rPr>
              <w:t xml:space="preserve">období mezi roky 2008 </w:t>
            </w:r>
            <w:r w:rsidRPr="00710245">
              <w:rPr>
                <w:spacing w:val="-2"/>
                <w:szCs w:val="20"/>
              </w:rPr>
              <w:t>a</w:t>
            </w:r>
            <w:r>
              <w:rPr>
                <w:spacing w:val="-2"/>
                <w:szCs w:val="20"/>
              </w:rPr>
              <w:t> </w:t>
            </w:r>
            <w:r w:rsidR="00097078" w:rsidRPr="00710245">
              <w:rPr>
                <w:spacing w:val="-2"/>
                <w:szCs w:val="20"/>
              </w:rPr>
              <w:t xml:space="preserve">2013, vyplněném dvěma hospodářskými recesemi, vzrostly jednotkové pracovní náklady v průmyslu v úhrnu </w:t>
            </w:r>
            <w:r w:rsidRPr="00710245">
              <w:rPr>
                <w:spacing w:val="-2"/>
                <w:szCs w:val="20"/>
              </w:rPr>
              <w:t>o</w:t>
            </w:r>
            <w:r>
              <w:rPr>
                <w:spacing w:val="-2"/>
                <w:szCs w:val="20"/>
              </w:rPr>
              <w:t> </w:t>
            </w:r>
            <w:r w:rsidR="00097078" w:rsidRPr="00710245">
              <w:rPr>
                <w:spacing w:val="-2"/>
                <w:szCs w:val="20"/>
              </w:rPr>
              <w:t>15</w:t>
            </w:r>
            <w:r w:rsidR="006E33D0">
              <w:rPr>
                <w:spacing w:val="-2"/>
                <w:szCs w:val="20"/>
              </w:rPr>
              <w:t> %</w:t>
            </w:r>
            <w:r w:rsidR="00097078" w:rsidRPr="00710245">
              <w:rPr>
                <w:spacing w:val="-2"/>
                <w:szCs w:val="20"/>
              </w:rPr>
              <w:t>, tedy více než dvojnásobným tempem nežli v celém národním hospodářství. Tato diskrepance byla primárně způsobena tím, že průmysl na rozdíl od většiny ostatních odvětví zareagoval na nastupující recesi významným poklesem zaměstnanosti, což dalo při růstu produktivity práce v dalších letech prostor pro dynamičtější vývoj průměrných mezd. To se týkalo zejména zpracovatelského průmyslu.</w:t>
            </w:r>
          </w:p>
        </w:tc>
      </w:tr>
      <w:tr w:rsidR="00097078" w14:paraId="60B8721B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4F2B6" w14:textId="77777777" w:rsidR="00307E77" w:rsidRDefault="00097078" w:rsidP="00044059">
            <w:pPr>
              <w:pStyle w:val="Marginlie"/>
            </w:pPr>
            <w:r>
              <w:t xml:space="preserve">Podíl sociálních požitků </w:t>
            </w:r>
            <w:r w:rsidR="00307E77">
              <w:t>a </w:t>
            </w:r>
            <w:r>
              <w:t>ostatních sociálních nákladů byl v průmyslu dlouhodobě stabilní. To neplatilo jen pro rok 2009, kdy došlo k růstu vlivem vyššího objemu vyplaceného odstupného.</w:t>
            </w:r>
          </w:p>
          <w:p w14:paraId="702B9686" w14:textId="18ACBB95" w:rsidR="00097078" w:rsidRDefault="00097078" w:rsidP="00044059">
            <w:pPr>
              <w:pStyle w:val="Marginlie"/>
            </w:pPr>
          </w:p>
          <w:p w14:paraId="533A8FF5" w14:textId="48D11C85" w:rsidR="00097078" w:rsidRDefault="00097078" w:rsidP="00044059">
            <w:pPr>
              <w:pStyle w:val="Marginlie"/>
            </w:pPr>
            <w:r>
              <w:t xml:space="preserve">Podíl sociálních požitků </w:t>
            </w:r>
            <w:r w:rsidR="00307E77">
              <w:t>a </w:t>
            </w:r>
            <w:r>
              <w:t xml:space="preserve">ostatních sociálních nákladů byl nejvyšší </w:t>
            </w:r>
            <w:r>
              <w:lastRenderedPageBreak/>
              <w:t xml:space="preserve">v energetice </w:t>
            </w:r>
            <w:r w:rsidR="00307E77">
              <w:t>a </w:t>
            </w:r>
            <w:r>
              <w:t>těžební</w:t>
            </w:r>
            <w:r w:rsidR="007A33A6">
              <w:t>m</w:t>
            </w:r>
            <w:r>
              <w:t xml:space="preserve"> průmyslu.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19ED2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9896" w14:textId="57F89224" w:rsidR="00097078" w:rsidRPr="00710245" w:rsidRDefault="00097078" w:rsidP="00044059">
            <w:pPr>
              <w:spacing w:after="220"/>
              <w:rPr>
                <w:spacing w:val="-2"/>
                <w:szCs w:val="20"/>
              </w:rPr>
            </w:pPr>
            <w:r w:rsidRPr="00710245">
              <w:rPr>
                <w:spacing w:val="-2"/>
                <w:szCs w:val="20"/>
              </w:rPr>
              <w:t xml:space="preserve">Vývoj celkových pracovních nákladů nezávisí pouze na dynamice průměrných mezd či legislativních změnách ovlivňujících výši povinných </w:t>
            </w:r>
            <w:r w:rsidR="007A33A6" w:rsidRPr="00710245">
              <w:rPr>
                <w:spacing w:val="-2"/>
                <w:szCs w:val="20"/>
              </w:rPr>
              <w:t>o</w:t>
            </w:r>
            <w:r w:rsidR="007A33A6">
              <w:rPr>
                <w:spacing w:val="-2"/>
                <w:szCs w:val="20"/>
              </w:rPr>
              <w:t>d</w:t>
            </w:r>
            <w:r w:rsidR="007A33A6" w:rsidRPr="00710245">
              <w:rPr>
                <w:spacing w:val="-2"/>
                <w:szCs w:val="20"/>
              </w:rPr>
              <w:t xml:space="preserve">vodů </w:t>
            </w:r>
            <w:r w:rsidRPr="00710245">
              <w:rPr>
                <w:spacing w:val="-2"/>
                <w:szCs w:val="20"/>
              </w:rPr>
              <w:t xml:space="preserve">pojistného za zaměstnance. Je ovlivněn </w:t>
            </w:r>
            <w:r w:rsidR="00307E77" w:rsidRPr="00710245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Pr="00710245">
              <w:rPr>
                <w:spacing w:val="-2"/>
                <w:szCs w:val="20"/>
              </w:rPr>
              <w:t xml:space="preserve">dynamikou zaměstnaneckých benefitů či personálních výdajů. Podíl těchto položek na celkových pracovních nákladech v průmyslu byl však v hodnoceném období překvapivě stabilní. Určitou </w:t>
            </w:r>
            <w:r w:rsidR="007A33A6" w:rsidRPr="00710245">
              <w:rPr>
                <w:spacing w:val="-2"/>
                <w:szCs w:val="20"/>
              </w:rPr>
              <w:t>anomáli</w:t>
            </w:r>
            <w:r w:rsidR="007A33A6">
              <w:rPr>
                <w:spacing w:val="-2"/>
                <w:szCs w:val="20"/>
              </w:rPr>
              <w:t>i</w:t>
            </w:r>
            <w:r w:rsidR="007A33A6" w:rsidRPr="00710245">
              <w:rPr>
                <w:spacing w:val="-2"/>
                <w:szCs w:val="20"/>
              </w:rPr>
              <w:t xml:space="preserve"> </w:t>
            </w:r>
            <w:r w:rsidRPr="00710245">
              <w:rPr>
                <w:spacing w:val="-2"/>
                <w:szCs w:val="20"/>
              </w:rPr>
              <w:t xml:space="preserve">představoval rok 2009, kdy posílení váhy sociálních nákladů souviselo s nárůstem vyplaceného odstupného. Paralelně s tím vlivem nižší poptávky podniků po nových pracovnících klesla váha personálních výdajů. </w:t>
            </w:r>
            <w:r w:rsidR="00307E77" w:rsidRPr="00710245">
              <w:rPr>
                <w:spacing w:val="-2"/>
                <w:szCs w:val="20"/>
              </w:rPr>
              <w:t>V</w:t>
            </w:r>
            <w:r w:rsidR="00307E77">
              <w:rPr>
                <w:spacing w:val="-2"/>
                <w:szCs w:val="20"/>
              </w:rPr>
              <w:t> </w:t>
            </w:r>
            <w:r w:rsidRPr="00710245">
              <w:rPr>
                <w:spacing w:val="-2"/>
                <w:szCs w:val="20"/>
              </w:rPr>
              <w:t>období sílící konjunktury na sklonku poslední dekády podíl personálních nákladů mírně rostl, část nákladů na nábor nových zaměstnanců ale nesly pracovní agentury, jejichž služeb si průmyslové podniky</w:t>
            </w:r>
            <w:r w:rsidR="007A33A6" w:rsidRPr="00710245">
              <w:rPr>
                <w:spacing w:val="-2"/>
                <w:szCs w:val="20"/>
              </w:rPr>
              <w:t xml:space="preserve"> uvykly</w:t>
            </w:r>
            <w:r w:rsidRPr="00710245">
              <w:rPr>
                <w:spacing w:val="-2"/>
                <w:szCs w:val="20"/>
              </w:rPr>
              <w:t xml:space="preserve"> standardně využívat. V období sílícího nedostatku disponibilní pracovní síly (zejména na tuzemském pracovním trhu) byly průmyslové podniky vedle </w:t>
            </w:r>
            <w:r w:rsidRPr="00710245">
              <w:rPr>
                <w:spacing w:val="-2"/>
                <w:szCs w:val="20"/>
              </w:rPr>
              <w:lastRenderedPageBreak/>
              <w:t xml:space="preserve">mzdového růstu nuceny přistoupit </w:t>
            </w:r>
            <w:r w:rsidR="00307E77" w:rsidRPr="00710245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="00307E77" w:rsidRPr="00710245">
              <w:rPr>
                <w:spacing w:val="-2"/>
                <w:szCs w:val="20"/>
              </w:rPr>
              <w:t>k</w:t>
            </w:r>
            <w:r w:rsidR="00307E77">
              <w:rPr>
                <w:spacing w:val="-2"/>
                <w:szCs w:val="20"/>
              </w:rPr>
              <w:t> </w:t>
            </w:r>
            <w:r w:rsidRPr="00710245">
              <w:rPr>
                <w:spacing w:val="-2"/>
                <w:szCs w:val="20"/>
              </w:rPr>
              <w:t xml:space="preserve">posílení zaměstnaneckých benefitů. Podíl sociálních požitků </w:t>
            </w:r>
            <w:r w:rsidR="00307E77" w:rsidRPr="00710245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710245">
              <w:rPr>
                <w:spacing w:val="-2"/>
                <w:szCs w:val="20"/>
              </w:rPr>
              <w:t>ostatních sociálních nákladů na celkových nákladech práce v průmysl</w:t>
            </w:r>
            <w:r>
              <w:rPr>
                <w:spacing w:val="-2"/>
                <w:szCs w:val="20"/>
              </w:rPr>
              <w:t>u</w:t>
            </w:r>
            <w:r w:rsidRPr="00710245">
              <w:rPr>
                <w:spacing w:val="-2"/>
                <w:szCs w:val="20"/>
              </w:rPr>
              <w:t xml:space="preserve"> sice mezi roky 2014 </w:t>
            </w:r>
            <w:r w:rsidR="00307E77" w:rsidRPr="00710245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710245">
              <w:rPr>
                <w:spacing w:val="-2"/>
                <w:szCs w:val="20"/>
              </w:rPr>
              <w:t>2018 stagnoval (na 2,7</w:t>
            </w:r>
            <w:r w:rsidR="006E33D0">
              <w:rPr>
                <w:spacing w:val="-2"/>
                <w:szCs w:val="20"/>
              </w:rPr>
              <w:t> %</w:t>
            </w:r>
            <w:r w:rsidRPr="00710245">
              <w:rPr>
                <w:spacing w:val="-2"/>
                <w:szCs w:val="20"/>
              </w:rPr>
              <w:t xml:space="preserve">), šlo ale </w:t>
            </w:r>
            <w:r w:rsidR="00307E77" w:rsidRPr="00710245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Pr="00710245">
              <w:rPr>
                <w:spacing w:val="-2"/>
                <w:szCs w:val="20"/>
              </w:rPr>
              <w:t>příznivější vývoj než v celé ekonomice, kde tento podíl mírně klesl (</w:t>
            </w:r>
            <w:proofErr w:type="gramStart"/>
            <w:r w:rsidRPr="00710245">
              <w:rPr>
                <w:spacing w:val="-2"/>
                <w:szCs w:val="20"/>
              </w:rPr>
              <w:t>ze</w:t>
            </w:r>
            <w:proofErr w:type="gramEnd"/>
            <w:r w:rsidRPr="00710245">
              <w:rPr>
                <w:spacing w:val="-2"/>
                <w:szCs w:val="20"/>
              </w:rPr>
              <w:t xml:space="preserve"> 2,4</w:t>
            </w:r>
            <w:r w:rsidR="006E33D0">
              <w:rPr>
                <w:spacing w:val="-2"/>
                <w:szCs w:val="20"/>
              </w:rPr>
              <w:t> %</w:t>
            </w:r>
            <w:r w:rsidRPr="00710245">
              <w:rPr>
                <w:spacing w:val="-2"/>
                <w:szCs w:val="20"/>
              </w:rPr>
              <w:t xml:space="preserve"> na 2,1</w:t>
            </w:r>
            <w:r w:rsidR="006E33D0">
              <w:rPr>
                <w:spacing w:val="-2"/>
                <w:szCs w:val="20"/>
              </w:rPr>
              <w:t> %</w:t>
            </w:r>
            <w:r w:rsidRPr="00710245">
              <w:rPr>
                <w:spacing w:val="-2"/>
                <w:szCs w:val="20"/>
              </w:rPr>
              <w:t xml:space="preserve">). Váha těchto položek se v rámci průmyslu </w:t>
            </w:r>
            <w:r>
              <w:rPr>
                <w:spacing w:val="-2"/>
                <w:szCs w:val="20"/>
              </w:rPr>
              <w:t>výrazně lišila</w:t>
            </w:r>
            <w:r w:rsidRPr="00710245">
              <w:rPr>
                <w:spacing w:val="-2"/>
                <w:szCs w:val="20"/>
              </w:rPr>
              <w:t>. Zatímco ve zpracovatelském průmyslu činila v roce 2018 jen 2,5</w:t>
            </w:r>
            <w:r w:rsidR="006E33D0">
              <w:rPr>
                <w:spacing w:val="-2"/>
                <w:szCs w:val="20"/>
              </w:rPr>
              <w:t> %</w:t>
            </w:r>
            <w:r w:rsidRPr="00710245">
              <w:rPr>
                <w:spacing w:val="-2"/>
                <w:szCs w:val="20"/>
              </w:rPr>
              <w:t xml:space="preserve">, v těžbě </w:t>
            </w:r>
            <w:r>
              <w:rPr>
                <w:spacing w:val="-2"/>
                <w:szCs w:val="20"/>
              </w:rPr>
              <w:t>a</w:t>
            </w:r>
            <w:r w:rsidRPr="00710245">
              <w:rPr>
                <w:spacing w:val="-2"/>
                <w:szCs w:val="20"/>
              </w:rPr>
              <w:t> dobývání, stejně jako v energetice oscilovala kolem 5</w:t>
            </w:r>
            <w:r w:rsidR="006E33D0">
              <w:rPr>
                <w:spacing w:val="-2"/>
                <w:szCs w:val="20"/>
              </w:rPr>
              <w:t> %</w:t>
            </w:r>
            <w:r w:rsidRPr="00710245">
              <w:rPr>
                <w:spacing w:val="-2"/>
                <w:szCs w:val="20"/>
              </w:rPr>
              <w:t xml:space="preserve"> </w:t>
            </w:r>
            <w:r w:rsidR="00307E77" w:rsidRPr="00710245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710245">
              <w:rPr>
                <w:spacing w:val="-2"/>
                <w:szCs w:val="20"/>
              </w:rPr>
              <w:t>dosahovala nejvyšších hodnot ze všech odvětví ekonomiky.</w:t>
            </w:r>
          </w:p>
        </w:tc>
      </w:tr>
      <w:tr w:rsidR="00097078" w14:paraId="74AE9FF1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E57D1" w14:textId="77777777" w:rsidR="00097078" w:rsidRDefault="00097078" w:rsidP="00044059">
            <w:pPr>
              <w:pStyle w:val="Marginli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BB6E2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3BA4C" w14:textId="5157FA15" w:rsidR="00097078" w:rsidRPr="00080AA5" w:rsidRDefault="00097078" w:rsidP="00044059">
            <w:pPr>
              <w:spacing w:after="220"/>
              <w:rPr>
                <w:spacing w:val="-2"/>
                <w:szCs w:val="20"/>
              </w:rPr>
            </w:pPr>
            <w:r w:rsidRPr="00080AA5">
              <w:rPr>
                <w:spacing w:val="-2"/>
                <w:szCs w:val="20"/>
              </w:rPr>
              <w:t xml:space="preserve">Celkové nominální náklady práce na zaměstnance vzrostly v nominálním vyjádření mezi roky 2008 </w:t>
            </w:r>
            <w:r w:rsidR="00307E77" w:rsidRPr="00080AA5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080AA5">
              <w:rPr>
                <w:spacing w:val="-2"/>
                <w:szCs w:val="20"/>
              </w:rPr>
              <w:t xml:space="preserve">2018 v celé ekonomice </w:t>
            </w:r>
            <w:r w:rsidR="00307E77" w:rsidRPr="00080AA5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Pr="00080AA5">
              <w:rPr>
                <w:spacing w:val="-2"/>
                <w:szCs w:val="20"/>
              </w:rPr>
              <w:t>37</w:t>
            </w:r>
            <w:r w:rsidR="006E33D0">
              <w:rPr>
                <w:spacing w:val="-2"/>
                <w:szCs w:val="20"/>
              </w:rPr>
              <w:t> %</w:t>
            </w:r>
            <w:r w:rsidRPr="00080AA5">
              <w:rPr>
                <w:spacing w:val="-2"/>
                <w:szCs w:val="20"/>
              </w:rPr>
              <w:t xml:space="preserve">, v průmyslu </w:t>
            </w:r>
            <w:r w:rsidR="00307E77" w:rsidRPr="00080AA5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Pr="00080AA5">
              <w:rPr>
                <w:spacing w:val="-2"/>
                <w:szCs w:val="20"/>
              </w:rPr>
              <w:t>45</w:t>
            </w:r>
            <w:r w:rsidR="006E33D0">
              <w:rPr>
                <w:spacing w:val="-2"/>
                <w:szCs w:val="20"/>
              </w:rPr>
              <w:t> %</w:t>
            </w:r>
            <w:r w:rsidRPr="00080AA5">
              <w:rPr>
                <w:spacing w:val="-2"/>
                <w:szCs w:val="20"/>
              </w:rPr>
              <w:t xml:space="preserve">. Implicitní </w:t>
            </w:r>
            <w:r>
              <w:rPr>
                <w:spacing w:val="-2"/>
                <w:szCs w:val="20"/>
              </w:rPr>
              <w:t>deflátor HDP, zachycující změnu</w:t>
            </w:r>
            <w:r w:rsidRPr="00080AA5">
              <w:rPr>
                <w:spacing w:val="-2"/>
                <w:szCs w:val="20"/>
              </w:rPr>
              <w:t xml:space="preserve"> celkové cenové hladiny v</w:t>
            </w:r>
            <w:r w:rsidR="008657C3">
              <w:rPr>
                <w:spacing w:val="-2"/>
                <w:szCs w:val="20"/>
              </w:rPr>
              <w:t> </w:t>
            </w:r>
            <w:r w:rsidRPr="00080AA5">
              <w:rPr>
                <w:spacing w:val="-2"/>
                <w:szCs w:val="20"/>
              </w:rPr>
              <w:t>ekonomice</w:t>
            </w:r>
            <w:r w:rsidR="008657C3">
              <w:rPr>
                <w:spacing w:val="-2"/>
                <w:szCs w:val="20"/>
              </w:rPr>
              <w:t>,</w:t>
            </w:r>
            <w:r w:rsidRPr="00080AA5">
              <w:rPr>
                <w:spacing w:val="-2"/>
                <w:szCs w:val="20"/>
              </w:rPr>
              <w:t xml:space="preserve"> za</w:t>
            </w:r>
            <w:r>
              <w:rPr>
                <w:spacing w:val="-2"/>
                <w:szCs w:val="20"/>
              </w:rPr>
              <w:t xml:space="preserve"> stejné období posílil jen o</w:t>
            </w:r>
            <w:r w:rsidRPr="00080AA5">
              <w:rPr>
                <w:spacing w:val="-2"/>
                <w:szCs w:val="20"/>
              </w:rPr>
              <w:t> </w:t>
            </w:r>
            <w:r>
              <w:rPr>
                <w:spacing w:val="-2"/>
                <w:szCs w:val="20"/>
              </w:rPr>
              <w:t>13</w:t>
            </w:r>
            <w:r w:rsidRPr="00080AA5">
              <w:rPr>
                <w:spacing w:val="-2"/>
                <w:szCs w:val="20"/>
              </w:rPr>
              <w:t> %. Reálný růst nákladů musely podniky pokrýt, ideálně růstem produktivity práce.</w:t>
            </w:r>
          </w:p>
        </w:tc>
      </w:tr>
      <w:tr w:rsidR="00097078" w:rsidRPr="00245192" w14:paraId="3E0D90CB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AD271" w14:textId="77777777" w:rsidR="00097078" w:rsidRDefault="00097078" w:rsidP="00044059">
            <w:pPr>
              <w:pStyle w:val="Marginli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8167C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2EFA3" w14:textId="77777777" w:rsidR="00A04326" w:rsidRDefault="004C0391" w:rsidP="00A04326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Graf</w:t>
            </w:r>
            <w:r w:rsidR="006E33D0">
              <w:rPr>
                <w:b/>
                <w:szCs w:val="20"/>
              </w:rPr>
              <w:t xml:space="preserve"> č. </w:t>
            </w:r>
            <w:r>
              <w:rPr>
                <w:b/>
                <w:szCs w:val="20"/>
              </w:rPr>
              <w:t>17</w:t>
            </w:r>
            <w:r w:rsidR="00097078" w:rsidRPr="00E23543">
              <w:rPr>
                <w:b/>
                <w:szCs w:val="20"/>
              </w:rPr>
              <w:t xml:space="preserve">  </w:t>
            </w:r>
            <w:r w:rsidR="00097078">
              <w:rPr>
                <w:b/>
                <w:szCs w:val="20"/>
              </w:rPr>
              <w:t>Produktivita práce</w:t>
            </w:r>
            <w:r w:rsidR="003674EB">
              <w:rPr>
                <w:b/>
                <w:szCs w:val="20"/>
              </w:rPr>
              <w:t>*</w:t>
            </w:r>
            <w:r w:rsidR="00A04326">
              <w:rPr>
                <w:b/>
                <w:szCs w:val="20"/>
              </w:rPr>
              <w:t xml:space="preserve">v průmyslu </w:t>
            </w:r>
            <w:r w:rsidR="00307E77">
              <w:rPr>
                <w:b/>
                <w:szCs w:val="20"/>
              </w:rPr>
              <w:t>a </w:t>
            </w:r>
            <w:r w:rsidR="00097078">
              <w:rPr>
                <w:b/>
                <w:szCs w:val="20"/>
              </w:rPr>
              <w:t xml:space="preserve">v národním hospodářství ČR </w:t>
            </w:r>
          </w:p>
          <w:p w14:paraId="6473804A" w14:textId="219A06C8" w:rsidR="00097078" w:rsidRPr="00E23543" w:rsidRDefault="00097078" w:rsidP="00A04326">
            <w:pPr>
              <w:spacing w:after="0"/>
              <w:rPr>
                <w:b/>
                <w:szCs w:val="20"/>
              </w:rPr>
            </w:pPr>
            <w:r>
              <w:rPr>
                <w:szCs w:val="20"/>
              </w:rPr>
              <w:t>(reálně, úroveň roku 2015</w:t>
            </w:r>
            <w:r w:rsidR="008657C3">
              <w:rPr>
                <w:szCs w:val="20"/>
              </w:rPr>
              <w:t> </w:t>
            </w:r>
            <w:r>
              <w:rPr>
                <w:szCs w:val="20"/>
              </w:rPr>
              <w:t>=</w:t>
            </w:r>
            <w:r w:rsidR="008657C3">
              <w:rPr>
                <w:szCs w:val="20"/>
              </w:rPr>
              <w:t> </w:t>
            </w:r>
            <w:r>
              <w:rPr>
                <w:szCs w:val="20"/>
              </w:rPr>
              <w:t>100, meziroční změna v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)</w:t>
            </w:r>
          </w:p>
        </w:tc>
      </w:tr>
      <w:tr w:rsidR="00097078" w14:paraId="122FD6AB" w14:textId="77777777" w:rsidTr="00EC1470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88387" w14:textId="77777777" w:rsidR="00097078" w:rsidRDefault="00097078" w:rsidP="00044059">
            <w:pPr>
              <w:pStyle w:val="Marginli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AAC56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20E00" w14:textId="2AAC9C5F" w:rsidR="00097078" w:rsidRDefault="00A04326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F7A9C6" wp14:editId="6ED4007B">
                  <wp:extent cx="4693627" cy="3548914"/>
                  <wp:effectExtent l="0" t="0" r="0" b="0"/>
                  <wp:docPr id="12" name="Graf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097078" w14:paraId="7CC9127B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B083B" w14:textId="77777777" w:rsidR="00097078" w:rsidRDefault="00097078" w:rsidP="00044059">
            <w:pPr>
              <w:pStyle w:val="Marginli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79C6B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21942" w14:textId="70B4344D" w:rsidR="00307E77" w:rsidRDefault="003674EB" w:rsidP="00345D77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*Hrubá přidaná hodnota vztažená na pracovníka, resp. </w:t>
            </w:r>
            <w:r w:rsidR="008657C3">
              <w:rPr>
                <w:sz w:val="14"/>
                <w:szCs w:val="14"/>
              </w:rPr>
              <w:t xml:space="preserve">na počet </w:t>
            </w:r>
            <w:r>
              <w:rPr>
                <w:sz w:val="14"/>
                <w:szCs w:val="14"/>
              </w:rPr>
              <w:t>odpracovaných hodin.</w:t>
            </w:r>
          </w:p>
          <w:p w14:paraId="1E3BF23F" w14:textId="756D4886" w:rsidR="00097078" w:rsidRPr="00F710D4" w:rsidRDefault="00097078" w:rsidP="00044059">
            <w:pPr>
              <w:spacing w:after="22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Zdroj: ČSÚ (národní účty</w:t>
            </w:r>
            <w:r w:rsidR="008657C3">
              <w:rPr>
                <w:sz w:val="14"/>
                <w:szCs w:val="14"/>
              </w:rPr>
              <w:t>)</w:t>
            </w:r>
          </w:p>
        </w:tc>
      </w:tr>
      <w:tr w:rsidR="00097078" w14:paraId="618A1799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6F058" w14:textId="77777777" w:rsidR="00097078" w:rsidRDefault="00097078" w:rsidP="00044059">
            <w:pPr>
              <w:pStyle w:val="Marginlie"/>
            </w:pPr>
            <w:r>
              <w:t>Produktivita práce v průmyslu svižně rostla zejména po většinu minulé dekády,…</w:t>
            </w:r>
          </w:p>
          <w:p w14:paraId="78CF3CF4" w14:textId="77777777" w:rsidR="00097078" w:rsidRDefault="00097078" w:rsidP="00044059">
            <w:pPr>
              <w:pStyle w:val="Marginlie"/>
            </w:pPr>
          </w:p>
          <w:p w14:paraId="41624671" w14:textId="77777777" w:rsidR="00097078" w:rsidRDefault="00097078" w:rsidP="00044059">
            <w:pPr>
              <w:pStyle w:val="Marginlie"/>
            </w:pPr>
          </w:p>
          <w:p w14:paraId="723522CE" w14:textId="77777777" w:rsidR="00097078" w:rsidRDefault="00097078" w:rsidP="00044059">
            <w:pPr>
              <w:pStyle w:val="Marginlie"/>
            </w:pPr>
          </w:p>
          <w:p w14:paraId="7B853D28" w14:textId="4C8F5410" w:rsidR="00097078" w:rsidRDefault="006E33D0" w:rsidP="00044059">
            <w:pPr>
              <w:pStyle w:val="Marginlie"/>
            </w:pPr>
            <w:r>
              <w:t>… </w:t>
            </w:r>
            <w:r w:rsidR="00097078">
              <w:t>od roku 2010 patřila její dynamika ve srovnání s ostatními odvětvími spíše k průměrným, mj.</w:t>
            </w:r>
            <w:r w:rsidR="009560F8">
              <w:t> </w:t>
            </w:r>
            <w:r w:rsidR="00097078">
              <w:t xml:space="preserve">proto, že růst výkonu průmyslu byl spojen s většími nároky na </w:t>
            </w:r>
            <w:r w:rsidR="009560F8">
              <w:t xml:space="preserve">množství </w:t>
            </w:r>
            <w:r w:rsidR="00097078">
              <w:t>pracovní síly.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81F58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73788" w14:textId="72BBC030" w:rsidR="00097078" w:rsidRPr="00DF5246" w:rsidRDefault="00097078" w:rsidP="00F727F2">
            <w:pPr>
              <w:spacing w:after="220"/>
              <w:rPr>
                <w:spacing w:val="-3"/>
                <w:szCs w:val="20"/>
              </w:rPr>
            </w:pPr>
            <w:r w:rsidRPr="00DF5246">
              <w:rPr>
                <w:spacing w:val="-3"/>
                <w:szCs w:val="20"/>
              </w:rPr>
              <w:t>Reálná výše v průmyslu vytvořené hrubé přidané hodnoty vztažená na hodinu práce</w:t>
            </w:r>
            <w:r w:rsidR="00DD49ED" w:rsidRPr="00DF5246">
              <w:rPr>
                <w:spacing w:val="-3"/>
                <w:szCs w:val="20"/>
              </w:rPr>
              <w:t xml:space="preserve"> vykonanou</w:t>
            </w:r>
            <w:r w:rsidRPr="00DF5246">
              <w:rPr>
                <w:spacing w:val="-3"/>
                <w:szCs w:val="20"/>
              </w:rPr>
              <w:t xml:space="preserve"> v tomto odvětví všemi zaměstnanými osobami vzrostla v roce 2019 </w:t>
            </w:r>
            <w:r w:rsidR="00307E77" w:rsidRPr="00DF5246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DF5246">
              <w:rPr>
                <w:spacing w:val="-3"/>
                <w:szCs w:val="20"/>
              </w:rPr>
              <w:t>2,9</w:t>
            </w:r>
            <w:r w:rsidR="006E33D0">
              <w:rPr>
                <w:spacing w:val="-3"/>
                <w:szCs w:val="20"/>
              </w:rPr>
              <w:t> %</w:t>
            </w:r>
            <w:r w:rsidRPr="00DF5246">
              <w:rPr>
                <w:spacing w:val="-3"/>
                <w:szCs w:val="20"/>
              </w:rPr>
              <w:t xml:space="preserve">, v celé ekonomice </w:t>
            </w:r>
            <w:r w:rsidR="00307E77" w:rsidRPr="00DF5246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DF5246">
              <w:rPr>
                <w:spacing w:val="-3"/>
                <w:szCs w:val="20"/>
              </w:rPr>
              <w:t>rovná 2</w:t>
            </w:r>
            <w:r w:rsidR="006E33D0">
              <w:rPr>
                <w:spacing w:val="-3"/>
                <w:szCs w:val="20"/>
              </w:rPr>
              <w:t> %</w:t>
            </w:r>
            <w:r w:rsidRPr="00DF5246">
              <w:rPr>
                <w:spacing w:val="-3"/>
                <w:szCs w:val="20"/>
              </w:rPr>
              <w:t xml:space="preserve">. S ohledem na fakt, že trh práce reaguje v některých parametrech (např. v zaměstnanosti) na výkon ekonomiky s mírným zpožděním, bývají meziroční tempa produktivity práce občas rozkolísaná, </w:t>
            </w:r>
            <w:r w:rsidR="00307E77" w:rsidRPr="00DF5246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DF5246">
              <w:rPr>
                <w:spacing w:val="-3"/>
                <w:szCs w:val="20"/>
              </w:rPr>
              <w:t xml:space="preserve">to zejména v obdobích zlomů v hospodářském cyklu. Proto je přiléhavější sledovat produktivitu v delších obdobích. Mezi roky 2000 </w:t>
            </w:r>
            <w:r w:rsidR="00307E77" w:rsidRPr="00DF5246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DF5246">
              <w:rPr>
                <w:spacing w:val="-3"/>
                <w:szCs w:val="20"/>
              </w:rPr>
              <w:t xml:space="preserve">2010 se hodinová produktivita práce v průmyslu reálně zvýšila v úhrnu </w:t>
            </w:r>
            <w:r w:rsidR="00307E77" w:rsidRPr="00DF5246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DF5246">
              <w:rPr>
                <w:spacing w:val="-3"/>
                <w:szCs w:val="20"/>
              </w:rPr>
              <w:t>83 %, což bylo více než dvojnásobné tempo oproti celé ekonomice. Dynamika v průmyslu tak patřila v rámci všech odvětví vůbec k nejvyšším. Její</w:t>
            </w:r>
            <w:r>
              <w:rPr>
                <w:spacing w:val="-3"/>
                <w:szCs w:val="20"/>
              </w:rPr>
              <w:t>m</w:t>
            </w:r>
            <w:r w:rsidRPr="00DF5246">
              <w:rPr>
                <w:spacing w:val="-3"/>
                <w:szCs w:val="20"/>
              </w:rPr>
              <w:t xml:space="preserve"> zdrojem byl silný růst výkonu (HPH) průmyslu, což byl pozitivní důsledek provedených investic </w:t>
            </w:r>
            <w:r w:rsidR="00307E77" w:rsidRPr="00DF5246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DF5246">
              <w:rPr>
                <w:spacing w:val="-3"/>
                <w:szCs w:val="20"/>
              </w:rPr>
              <w:t xml:space="preserve">inovací ve výrobě, na kterých se významně podílel zahraniční kapitál směřující </w:t>
            </w:r>
            <w:r w:rsidR="00DD49ED">
              <w:rPr>
                <w:spacing w:val="-3"/>
                <w:szCs w:val="20"/>
              </w:rPr>
              <w:t>především</w:t>
            </w:r>
            <w:r w:rsidR="00DD49ED" w:rsidRPr="00DF5246">
              <w:rPr>
                <w:spacing w:val="-3"/>
                <w:szCs w:val="20"/>
              </w:rPr>
              <w:t xml:space="preserve"> </w:t>
            </w:r>
            <w:r w:rsidRPr="00DF5246">
              <w:rPr>
                <w:spacing w:val="-3"/>
                <w:szCs w:val="20"/>
              </w:rPr>
              <w:t xml:space="preserve">do strojního průmyslu. Zejména exportně </w:t>
            </w:r>
            <w:r w:rsidR="009560F8" w:rsidRPr="00DF5246">
              <w:rPr>
                <w:spacing w:val="-3"/>
                <w:szCs w:val="20"/>
              </w:rPr>
              <w:t>založený</w:t>
            </w:r>
            <w:r w:rsidR="009560F8">
              <w:rPr>
                <w:spacing w:val="-3"/>
                <w:szCs w:val="20"/>
              </w:rPr>
              <w:t>m</w:t>
            </w:r>
            <w:r w:rsidR="009560F8" w:rsidRPr="00DF5246">
              <w:rPr>
                <w:spacing w:val="-3"/>
                <w:szCs w:val="20"/>
              </w:rPr>
              <w:t xml:space="preserve"> </w:t>
            </w:r>
            <w:r w:rsidRPr="00DF5246">
              <w:rPr>
                <w:spacing w:val="-3"/>
                <w:szCs w:val="20"/>
              </w:rPr>
              <w:t xml:space="preserve">oborům průmyslu pomohl </w:t>
            </w:r>
            <w:r w:rsidR="00307E77" w:rsidRPr="00DF5246">
              <w:rPr>
                <w:spacing w:val="-3"/>
                <w:szCs w:val="20"/>
              </w:rPr>
              <w:t>i</w:t>
            </w:r>
            <w:r w:rsidR="00307E77">
              <w:rPr>
                <w:spacing w:val="-3"/>
                <w:szCs w:val="20"/>
              </w:rPr>
              <w:t> </w:t>
            </w:r>
            <w:r w:rsidRPr="00DF5246">
              <w:rPr>
                <w:spacing w:val="-3"/>
                <w:szCs w:val="20"/>
              </w:rPr>
              <w:t>přístup na jednotný evropský trh po vstup</w:t>
            </w:r>
            <w:r w:rsidR="009560F8">
              <w:rPr>
                <w:spacing w:val="-3"/>
                <w:szCs w:val="20"/>
              </w:rPr>
              <w:t>u</w:t>
            </w:r>
            <w:r w:rsidRPr="00DF5246">
              <w:rPr>
                <w:spacing w:val="-3"/>
                <w:szCs w:val="20"/>
              </w:rPr>
              <w:t xml:space="preserve"> ČR do</w:t>
            </w:r>
            <w:r w:rsidR="009560F8">
              <w:rPr>
                <w:spacing w:val="-3"/>
                <w:szCs w:val="20"/>
              </w:rPr>
              <w:t> </w:t>
            </w:r>
            <w:r w:rsidRPr="00DF5246">
              <w:rPr>
                <w:spacing w:val="-3"/>
                <w:szCs w:val="20"/>
              </w:rPr>
              <w:t xml:space="preserve">EU. Produktivitu práce v průmyslu podpořil na rozdíl od většiny ostatních odvětví i nižší počet odpracovaných hodin. Mezi roky 2010 </w:t>
            </w:r>
            <w:r w:rsidR="00307E77" w:rsidRPr="00DF5246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 w:rsidRPr="00DF5246">
              <w:rPr>
                <w:spacing w:val="-3"/>
                <w:szCs w:val="20"/>
              </w:rPr>
              <w:t>2019 hodinová produk</w:t>
            </w:r>
            <w:r w:rsidR="00F727F2">
              <w:rPr>
                <w:spacing w:val="-3"/>
                <w:szCs w:val="20"/>
              </w:rPr>
              <w:t xml:space="preserve">tivita v průmyslu posílila o 13 %, </w:t>
            </w:r>
            <w:r w:rsidRPr="00DF5246">
              <w:rPr>
                <w:spacing w:val="-3"/>
                <w:szCs w:val="20"/>
              </w:rPr>
              <w:t xml:space="preserve">v celé ekonomice </w:t>
            </w:r>
            <w:r w:rsidR="00307E77" w:rsidRPr="00DF5246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DF5246">
              <w:rPr>
                <w:spacing w:val="-3"/>
                <w:szCs w:val="20"/>
              </w:rPr>
              <w:t>16</w:t>
            </w:r>
            <w:r w:rsidR="006E33D0">
              <w:rPr>
                <w:spacing w:val="-3"/>
                <w:szCs w:val="20"/>
              </w:rPr>
              <w:t> %</w:t>
            </w:r>
            <w:r w:rsidRPr="00DF5246">
              <w:rPr>
                <w:spacing w:val="-3"/>
                <w:szCs w:val="20"/>
              </w:rPr>
              <w:t xml:space="preserve">. </w:t>
            </w:r>
            <w:r w:rsidR="00F727F2">
              <w:rPr>
                <w:spacing w:val="-3"/>
                <w:szCs w:val="20"/>
              </w:rPr>
              <w:t xml:space="preserve">Na slabším růstu produktivity </w:t>
            </w:r>
            <w:r w:rsidR="00F727F2">
              <w:rPr>
                <w:spacing w:val="-3"/>
                <w:szCs w:val="20"/>
              </w:rPr>
              <w:lastRenderedPageBreak/>
              <w:t xml:space="preserve">v průmyslu se podílel zejména nepříznivý vývoj v letech 2012 a 2013. Růst výkonu průmyslu v následujícím </w:t>
            </w:r>
            <w:r w:rsidRPr="00DF5246">
              <w:rPr>
                <w:spacing w:val="-3"/>
                <w:szCs w:val="20"/>
              </w:rPr>
              <w:t>období vzestupné fáze hospodářského cyklu (po roce 2013) byl doprovázen posilování</w:t>
            </w:r>
            <w:r w:rsidR="009560F8">
              <w:rPr>
                <w:spacing w:val="-3"/>
                <w:szCs w:val="20"/>
              </w:rPr>
              <w:t>m</w:t>
            </w:r>
            <w:r w:rsidRPr="00DF5246">
              <w:rPr>
                <w:spacing w:val="-3"/>
                <w:szCs w:val="20"/>
              </w:rPr>
              <w:t xml:space="preserve"> zaměstnanost</w:t>
            </w:r>
            <w:r w:rsidR="009560F8">
              <w:rPr>
                <w:spacing w:val="-3"/>
                <w:szCs w:val="20"/>
              </w:rPr>
              <w:t>i</w:t>
            </w:r>
            <w:r w:rsidRPr="00DF5246">
              <w:rPr>
                <w:spacing w:val="-3"/>
                <w:szCs w:val="20"/>
              </w:rPr>
              <w:t>, resp. růstem počtu o</w:t>
            </w:r>
            <w:r w:rsidR="009560F8">
              <w:rPr>
                <w:spacing w:val="-3"/>
                <w:szCs w:val="20"/>
              </w:rPr>
              <w:t>d</w:t>
            </w:r>
            <w:r w:rsidRPr="00DF5246">
              <w:rPr>
                <w:spacing w:val="-3"/>
                <w:szCs w:val="20"/>
              </w:rPr>
              <w:t>pracovaných hodin.</w:t>
            </w:r>
          </w:p>
        </w:tc>
      </w:tr>
      <w:tr w:rsidR="00097078" w14:paraId="1665DB4A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83575" w14:textId="77777777" w:rsidR="00097078" w:rsidRDefault="00097078" w:rsidP="00044059">
            <w:pPr>
              <w:pStyle w:val="Marginli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77A0E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25FE7" w14:textId="3F08B712" w:rsidR="00097078" w:rsidRDefault="004C0391" w:rsidP="00044059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spacing w:val="-4"/>
                <w:szCs w:val="20"/>
              </w:rPr>
              <w:t>Graf</w:t>
            </w:r>
            <w:r w:rsidR="006E33D0">
              <w:rPr>
                <w:b/>
                <w:spacing w:val="-4"/>
                <w:szCs w:val="20"/>
              </w:rPr>
              <w:t xml:space="preserve"> č. </w:t>
            </w:r>
            <w:r>
              <w:rPr>
                <w:b/>
                <w:spacing w:val="-4"/>
                <w:szCs w:val="20"/>
              </w:rPr>
              <w:t>18</w:t>
            </w:r>
            <w:r w:rsidR="00097078" w:rsidRPr="004A5601">
              <w:rPr>
                <w:b/>
                <w:spacing w:val="-4"/>
                <w:szCs w:val="20"/>
              </w:rPr>
              <w:t xml:space="preserve">  Hodinová produktivita práce v dílčích průmyslových odvětvích ČR v letech 2005, 2013 </w:t>
            </w:r>
            <w:r w:rsidR="00307E77" w:rsidRPr="004A5601">
              <w:rPr>
                <w:b/>
                <w:spacing w:val="-4"/>
                <w:szCs w:val="20"/>
              </w:rPr>
              <w:t>a</w:t>
            </w:r>
            <w:r w:rsidR="00307E77">
              <w:rPr>
                <w:b/>
                <w:spacing w:val="-4"/>
                <w:szCs w:val="20"/>
              </w:rPr>
              <w:t> </w:t>
            </w:r>
            <w:r w:rsidR="00097078" w:rsidRPr="004A5601">
              <w:rPr>
                <w:b/>
                <w:spacing w:val="-4"/>
                <w:szCs w:val="20"/>
              </w:rPr>
              <w:t xml:space="preserve">2019 </w:t>
            </w:r>
            <w:r w:rsidR="00097078" w:rsidRPr="004A5601">
              <w:rPr>
                <w:spacing w:val="-4"/>
                <w:szCs w:val="20"/>
              </w:rPr>
              <w:t>(nominální úroveň národního hospodářství v daném roce</w:t>
            </w:r>
            <w:r w:rsidR="00E270E1">
              <w:rPr>
                <w:spacing w:val="-4"/>
                <w:szCs w:val="20"/>
              </w:rPr>
              <w:t> </w:t>
            </w:r>
            <w:r w:rsidR="00097078" w:rsidRPr="004A5601">
              <w:rPr>
                <w:spacing w:val="-4"/>
                <w:szCs w:val="20"/>
              </w:rPr>
              <w:t>=</w:t>
            </w:r>
            <w:r w:rsidR="00E270E1">
              <w:rPr>
                <w:spacing w:val="-4"/>
                <w:szCs w:val="20"/>
              </w:rPr>
              <w:t> </w:t>
            </w:r>
            <w:r w:rsidR="00097078" w:rsidRPr="004A5601">
              <w:rPr>
                <w:spacing w:val="-4"/>
                <w:szCs w:val="20"/>
              </w:rPr>
              <w:t>100)</w:t>
            </w:r>
          </w:p>
        </w:tc>
      </w:tr>
      <w:tr w:rsidR="00097078" w14:paraId="7AD8BE19" w14:textId="77777777" w:rsidTr="00EC1470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A6C77" w14:textId="77777777" w:rsidR="00097078" w:rsidRDefault="00097078" w:rsidP="00044059">
            <w:pPr>
              <w:pStyle w:val="Marginli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EF1E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51C3A" w14:textId="0FBCA4F0" w:rsidR="00097078" w:rsidRDefault="00A04326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53103F09" wp14:editId="37034E9F">
                  <wp:extent cx="4798200" cy="3514249"/>
                  <wp:effectExtent l="0" t="0" r="2540" b="0"/>
                  <wp:docPr id="13" name="Graf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097078" w14:paraId="1F56F921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1CDE6" w14:textId="77777777" w:rsidR="00097078" w:rsidRDefault="00097078" w:rsidP="00044059">
            <w:pPr>
              <w:pStyle w:val="Marginlie"/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4E478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DA95B" w14:textId="402A6D4F" w:rsidR="00097078" w:rsidRPr="00F710D4" w:rsidRDefault="00097078" w:rsidP="00044059">
            <w:pPr>
              <w:spacing w:after="22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Zdroj: ČSÚ (národní účty</w:t>
            </w:r>
            <w:r w:rsidR="00E270E1">
              <w:rPr>
                <w:sz w:val="14"/>
                <w:szCs w:val="14"/>
              </w:rPr>
              <w:t>)</w:t>
            </w:r>
          </w:p>
        </w:tc>
      </w:tr>
      <w:tr w:rsidR="00097078" w14:paraId="74F7620F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01E35" w14:textId="4CC4E763" w:rsidR="00097078" w:rsidRDefault="00097078" w:rsidP="00044059">
            <w:pPr>
              <w:pStyle w:val="Marginlie"/>
            </w:pPr>
            <w:r>
              <w:t>Hodinová produktivita práce v průmyslu převýšila úroveň celé ekonomiky nejvíce v roce 2014.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3D270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CDDD7" w14:textId="5F3E1BEF" w:rsidR="00097078" w:rsidRPr="006F2923" w:rsidRDefault="00097078" w:rsidP="00044059">
            <w:pPr>
              <w:spacing w:after="220"/>
              <w:rPr>
                <w:szCs w:val="20"/>
              </w:rPr>
            </w:pPr>
            <w:r w:rsidRPr="006F2923">
              <w:rPr>
                <w:szCs w:val="20"/>
              </w:rPr>
              <w:t>Nominální hodinová produktivita</w:t>
            </w:r>
            <w:r>
              <w:rPr>
                <w:szCs w:val="20"/>
              </w:rPr>
              <w:t xml:space="preserve"> práce v průmyslu se v Česku dlouhodobě drží nad úrovní celého národního hospodářství. Relativně nejlepší pozici měl průmysl v roce 2014, kdy jeho produktivita převyšovala úroveň celé </w:t>
            </w:r>
            <w:r w:rsidR="00334CC0">
              <w:rPr>
                <w:szCs w:val="20"/>
              </w:rPr>
              <w:t xml:space="preserve">ekonomiky </w:t>
            </w:r>
            <w:r w:rsidR="00307E77">
              <w:rPr>
                <w:szCs w:val="20"/>
              </w:rPr>
              <w:t>o </w:t>
            </w:r>
            <w:r>
              <w:rPr>
                <w:szCs w:val="20"/>
              </w:rPr>
              <w:t>15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. V roce 2019 se jeho předstih snížil již jen na 6</w:t>
            </w:r>
            <w:r w:rsidR="006E33D0">
              <w:rPr>
                <w:szCs w:val="20"/>
              </w:rPr>
              <w:t> %</w:t>
            </w:r>
            <w:r>
              <w:rPr>
                <w:szCs w:val="20"/>
              </w:rPr>
              <w:t>, neboť výkon průmyslu byl negativně ovlivněn cyklickým ochlazením zahraniční poptávky v</w:t>
            </w:r>
            <w:r w:rsidR="002249F4">
              <w:rPr>
                <w:szCs w:val="20"/>
              </w:rPr>
              <w:t> </w:t>
            </w:r>
            <w:r>
              <w:rPr>
                <w:szCs w:val="20"/>
              </w:rPr>
              <w:t>eurozóně</w:t>
            </w:r>
            <w:r w:rsidR="002249F4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r w:rsidR="00334CC0">
              <w:rPr>
                <w:szCs w:val="20"/>
              </w:rPr>
              <w:t xml:space="preserve">patrným </w:t>
            </w:r>
            <w:r>
              <w:rPr>
                <w:szCs w:val="20"/>
              </w:rPr>
              <w:t>již od roku 2018.</w:t>
            </w:r>
          </w:p>
        </w:tc>
      </w:tr>
      <w:tr w:rsidR="00097078" w14:paraId="7E665660" w14:textId="77777777" w:rsidTr="00EC1470">
        <w:trPr>
          <w:trHeight w:val="145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E410E" w14:textId="59EDB710" w:rsidR="00307E77" w:rsidRDefault="00307E77" w:rsidP="00044059">
            <w:pPr>
              <w:pStyle w:val="Marginlie"/>
            </w:pPr>
            <w:r>
              <w:t>V </w:t>
            </w:r>
            <w:r w:rsidR="00097078">
              <w:t>energetice převyšovala hodinová produktivita práce úroveň celé</w:t>
            </w:r>
            <w:r w:rsidR="00846C80">
              <w:t xml:space="preserve"> ekonom</w:t>
            </w:r>
            <w:r w:rsidR="00642FB8">
              <w:t>i</w:t>
            </w:r>
            <w:r w:rsidR="00846C80">
              <w:t>ky v roce 2019 téměř čtyř</w:t>
            </w:r>
            <w:r w:rsidR="00097078">
              <w:t xml:space="preserve">násobně, v automobilovém průmyslu </w:t>
            </w:r>
            <w:r>
              <w:t>o </w:t>
            </w:r>
            <w:r w:rsidR="00097078">
              <w:t>polovinu.</w:t>
            </w:r>
          </w:p>
          <w:p w14:paraId="4ADEEA92" w14:textId="1D4FDA16" w:rsidR="00097078" w:rsidRDefault="00097078" w:rsidP="00044059">
            <w:pPr>
              <w:pStyle w:val="Marginlie"/>
            </w:pPr>
          </w:p>
          <w:p w14:paraId="64D9B575" w14:textId="77777777" w:rsidR="00097078" w:rsidRDefault="00097078" w:rsidP="00044059">
            <w:pPr>
              <w:pStyle w:val="Marginlie"/>
            </w:pPr>
          </w:p>
          <w:p w14:paraId="0F134237" w14:textId="77777777" w:rsidR="00097078" w:rsidRDefault="00097078" w:rsidP="00044059">
            <w:pPr>
              <w:pStyle w:val="Marginlie"/>
            </w:pPr>
          </w:p>
          <w:p w14:paraId="70E0035B" w14:textId="77777777" w:rsidR="00097078" w:rsidRDefault="00097078" w:rsidP="00044059">
            <w:pPr>
              <w:pStyle w:val="Marginlie"/>
            </w:pPr>
          </w:p>
          <w:p w14:paraId="5CEDAFEB" w14:textId="77777777" w:rsidR="00097078" w:rsidRDefault="00097078" w:rsidP="00044059">
            <w:pPr>
              <w:pStyle w:val="Marginlie"/>
            </w:pPr>
          </w:p>
          <w:p w14:paraId="2582BFEF" w14:textId="77777777" w:rsidR="00097078" w:rsidRDefault="00097078" w:rsidP="00044059">
            <w:pPr>
              <w:pStyle w:val="Marginlie"/>
            </w:pPr>
          </w:p>
          <w:p w14:paraId="240A0D71" w14:textId="77777777" w:rsidR="00097078" w:rsidRDefault="00097078" w:rsidP="00044059">
            <w:pPr>
              <w:pStyle w:val="Marginlie"/>
            </w:pPr>
          </w:p>
          <w:p w14:paraId="30B264D2" w14:textId="615CB918" w:rsidR="00097078" w:rsidRDefault="00097078" w:rsidP="00044059">
            <w:pPr>
              <w:pStyle w:val="Marginlie"/>
            </w:pPr>
            <w:r>
              <w:t xml:space="preserve">Nejnižší produktivita zůstává </w:t>
            </w:r>
            <w:r w:rsidR="00307E77">
              <w:t>i </w:t>
            </w:r>
            <w:r>
              <w:t xml:space="preserve">přes mírné zlepšení v oděvním, kožedělném, dřevozpracujícím </w:t>
            </w:r>
            <w:r w:rsidR="00307E77">
              <w:t>a </w:t>
            </w:r>
            <w:r>
              <w:t>nábytkářském průmyslu</w:t>
            </w:r>
            <w:r w:rsidR="00072AEC"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8BAE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55F51" w14:textId="0833F62E" w:rsidR="00097078" w:rsidRPr="004E0166" w:rsidRDefault="00097078" w:rsidP="00044059">
            <w:pPr>
              <w:spacing w:after="0"/>
              <w:rPr>
                <w:spacing w:val="-3"/>
                <w:szCs w:val="20"/>
              </w:rPr>
            </w:pPr>
            <w:r w:rsidRPr="004E0166">
              <w:rPr>
                <w:spacing w:val="-3"/>
                <w:szCs w:val="20"/>
              </w:rPr>
              <w:t>Dosažená nominální úroveň produktivity práce se mezi průmyslovými odvětvími dlouhodobě výrazně liší. Roli zde hraje samotný charakter výrobního procesu, jeho náročnost na různé druhy vstupů (</w:t>
            </w:r>
            <w:proofErr w:type="spellStart"/>
            <w:r w:rsidRPr="004E0166">
              <w:rPr>
                <w:spacing w:val="-3"/>
                <w:szCs w:val="20"/>
              </w:rPr>
              <w:t>mezispotřebu</w:t>
            </w:r>
            <w:proofErr w:type="spellEnd"/>
            <w:r w:rsidRPr="004E0166">
              <w:rPr>
                <w:spacing w:val="-3"/>
                <w:szCs w:val="20"/>
              </w:rPr>
              <w:t xml:space="preserve">), stupeň </w:t>
            </w:r>
            <w:r w:rsidR="00307E77" w:rsidRPr="004E0166">
              <w:rPr>
                <w:spacing w:val="-3"/>
                <w:szCs w:val="20"/>
              </w:rPr>
              <w:t>i</w:t>
            </w:r>
            <w:r w:rsidR="00307E77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>dynamika technologického rozvoje podpořená dlouhodobým růstem investic, který může vést např. k vyšší automatizaci či robotizaci produkce. Hodinová produktivita práce dosahovala v roce 2019 nejvyšší hodnoty v energetice, kde převyšovala úrove</w:t>
            </w:r>
            <w:r w:rsidR="00846C80">
              <w:rPr>
                <w:spacing w:val="-3"/>
                <w:szCs w:val="20"/>
              </w:rPr>
              <w:t>ň celé ekonomiky téměř čtyřnásob</w:t>
            </w:r>
            <w:r w:rsidRPr="004E0166">
              <w:rPr>
                <w:spacing w:val="-3"/>
                <w:szCs w:val="20"/>
              </w:rPr>
              <w:t xml:space="preserve">ně. </w:t>
            </w:r>
            <w:r w:rsidR="00307E77" w:rsidRPr="004E0166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>více než 60</w:t>
            </w:r>
            <w:r w:rsidR="006E33D0">
              <w:rPr>
                <w:spacing w:val="-3"/>
                <w:szCs w:val="20"/>
              </w:rPr>
              <w:t> %</w:t>
            </w:r>
            <w:r w:rsidRPr="004E0166">
              <w:rPr>
                <w:spacing w:val="-3"/>
                <w:szCs w:val="20"/>
              </w:rPr>
              <w:t xml:space="preserve"> nad</w:t>
            </w:r>
            <w:r>
              <w:rPr>
                <w:spacing w:val="-3"/>
                <w:szCs w:val="20"/>
              </w:rPr>
              <w:t xml:space="preserve"> touto hladinou se nacházely </w:t>
            </w:r>
            <w:r w:rsidR="00307E77">
              <w:rPr>
                <w:spacing w:val="-3"/>
                <w:szCs w:val="20"/>
              </w:rPr>
              <w:t>i </w:t>
            </w:r>
            <w:r w:rsidRPr="004E0166">
              <w:rPr>
                <w:spacing w:val="-3"/>
                <w:szCs w:val="20"/>
              </w:rPr>
              <w:t xml:space="preserve">výroba počítačů, elektronických a optických přístrojů, </w:t>
            </w:r>
            <w:r>
              <w:rPr>
                <w:spacing w:val="-3"/>
                <w:szCs w:val="20"/>
              </w:rPr>
              <w:t xml:space="preserve">výroba nápojů </w:t>
            </w:r>
            <w:r w:rsidR="00307E77">
              <w:rPr>
                <w:spacing w:val="-3"/>
                <w:szCs w:val="20"/>
              </w:rPr>
              <w:t>a </w:t>
            </w:r>
            <w:r>
              <w:rPr>
                <w:spacing w:val="-3"/>
                <w:szCs w:val="20"/>
              </w:rPr>
              <w:t xml:space="preserve">též </w:t>
            </w:r>
            <w:r w:rsidRPr="004E0166">
              <w:rPr>
                <w:spacing w:val="-3"/>
                <w:szCs w:val="20"/>
              </w:rPr>
              <w:t>farma</w:t>
            </w:r>
            <w:r>
              <w:rPr>
                <w:spacing w:val="-3"/>
                <w:szCs w:val="20"/>
              </w:rPr>
              <w:t>ceutický, chemický</w:t>
            </w:r>
            <w:r w:rsidRPr="004E0166">
              <w:rPr>
                <w:spacing w:val="-3"/>
                <w:szCs w:val="20"/>
              </w:rPr>
              <w:t xml:space="preserve"> a </w:t>
            </w:r>
            <w:r>
              <w:rPr>
                <w:spacing w:val="-3"/>
                <w:szCs w:val="20"/>
              </w:rPr>
              <w:t>petrochemický</w:t>
            </w:r>
            <w:r w:rsidRPr="004E0166">
              <w:rPr>
                <w:spacing w:val="-3"/>
                <w:szCs w:val="20"/>
              </w:rPr>
              <w:t xml:space="preserve"> průmysl. V klíčovém zpracovatelském oboru</w:t>
            </w:r>
            <w:r w:rsidR="00EA309D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>– výrobě motorových vozidel</w:t>
            </w:r>
            <w:r w:rsidR="00EA309D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 xml:space="preserve">– převyšovala produktivita práce národohospodářskou úroveň </w:t>
            </w:r>
            <w:r w:rsidR="00307E77" w:rsidRPr="004E0166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 xml:space="preserve">polovinu, což platilo </w:t>
            </w:r>
            <w:r w:rsidR="00307E77" w:rsidRPr="004E0166">
              <w:rPr>
                <w:spacing w:val="-3"/>
                <w:szCs w:val="20"/>
              </w:rPr>
              <w:t>i</w:t>
            </w:r>
            <w:r w:rsidR="00307E77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 xml:space="preserve">v dlouhodobějším pohledu (např. </w:t>
            </w:r>
            <w:r w:rsidR="00307E77" w:rsidRPr="004E0166">
              <w:rPr>
                <w:spacing w:val="-3"/>
                <w:szCs w:val="20"/>
              </w:rPr>
              <w:t>i</w:t>
            </w:r>
            <w:r w:rsidR="00307E77">
              <w:rPr>
                <w:spacing w:val="-3"/>
                <w:szCs w:val="20"/>
              </w:rPr>
              <w:t> </w:t>
            </w:r>
            <w:r w:rsidR="00307E77" w:rsidRPr="004E0166">
              <w:rPr>
                <w:spacing w:val="-3"/>
                <w:szCs w:val="20"/>
              </w:rPr>
              <w:t>v</w:t>
            </w:r>
            <w:r w:rsidR="00307E77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>roce 2005). Naopak k výraznější změně došlo v těžeb</w:t>
            </w:r>
            <w:r>
              <w:rPr>
                <w:spacing w:val="-3"/>
                <w:szCs w:val="20"/>
              </w:rPr>
              <w:t>ním průmyslu, kde vlivem silného</w:t>
            </w:r>
            <w:r w:rsidRPr="004E0166">
              <w:rPr>
                <w:spacing w:val="-3"/>
                <w:szCs w:val="20"/>
              </w:rPr>
              <w:t xml:space="preserve"> poklesu výkonu (HPH) docházelo </w:t>
            </w:r>
            <w:r w:rsidR="00307E77" w:rsidRPr="004E0166">
              <w:rPr>
                <w:spacing w:val="-3"/>
                <w:szCs w:val="20"/>
              </w:rPr>
              <w:t>v</w:t>
            </w:r>
            <w:r w:rsidR="00307E77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 xml:space="preserve">poslední dekádě k postupnému zhoršování relativní pozice odvětví. Zatímco ještě </w:t>
            </w:r>
            <w:r w:rsidR="00307E77" w:rsidRPr="004E0166">
              <w:rPr>
                <w:spacing w:val="-3"/>
                <w:szCs w:val="20"/>
              </w:rPr>
              <w:t>v</w:t>
            </w:r>
            <w:r w:rsidR="00307E77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 xml:space="preserve">roce 2011 zde produktivita práce převýšila úroveň celé ekonomiky </w:t>
            </w:r>
            <w:r w:rsidR="00307E77" w:rsidRPr="004E0166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>99</w:t>
            </w:r>
            <w:r w:rsidR="006E33D0">
              <w:rPr>
                <w:spacing w:val="-3"/>
                <w:szCs w:val="20"/>
              </w:rPr>
              <w:t> %</w:t>
            </w:r>
            <w:r w:rsidRPr="004E0166">
              <w:rPr>
                <w:spacing w:val="-3"/>
                <w:szCs w:val="20"/>
              </w:rPr>
              <w:t xml:space="preserve">, v roce 2019 pouze </w:t>
            </w:r>
            <w:r w:rsidR="00307E77" w:rsidRPr="004E0166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>29</w:t>
            </w:r>
            <w:r w:rsidR="006E33D0">
              <w:rPr>
                <w:spacing w:val="-3"/>
                <w:szCs w:val="20"/>
              </w:rPr>
              <w:t> %</w:t>
            </w:r>
            <w:r w:rsidRPr="004E0166">
              <w:rPr>
                <w:spacing w:val="-3"/>
                <w:szCs w:val="20"/>
              </w:rPr>
              <w:t xml:space="preserve">. Ještě výraznější relativní propad postihl hutní průmysl, kde </w:t>
            </w:r>
            <w:r>
              <w:rPr>
                <w:spacing w:val="-3"/>
                <w:szCs w:val="20"/>
              </w:rPr>
              <w:t xml:space="preserve">již </w:t>
            </w:r>
            <w:r w:rsidRPr="004E0166">
              <w:rPr>
                <w:spacing w:val="-3"/>
                <w:szCs w:val="20"/>
              </w:rPr>
              <w:t>došlo k pokles</w:t>
            </w:r>
            <w:r>
              <w:rPr>
                <w:spacing w:val="-3"/>
                <w:szCs w:val="20"/>
              </w:rPr>
              <w:t xml:space="preserve">u pod národohospodářskou úroveň, </w:t>
            </w:r>
            <w:r w:rsidR="00307E77">
              <w:rPr>
                <w:spacing w:val="-3"/>
                <w:szCs w:val="20"/>
              </w:rPr>
              <w:t>a </w:t>
            </w:r>
            <w:r>
              <w:rPr>
                <w:spacing w:val="-3"/>
                <w:szCs w:val="20"/>
              </w:rPr>
              <w:t xml:space="preserve">to </w:t>
            </w:r>
            <w:r w:rsidRPr="004E0166">
              <w:rPr>
                <w:spacing w:val="-3"/>
                <w:szCs w:val="20"/>
              </w:rPr>
              <w:t xml:space="preserve">v roce 2009. K odvětvím s dlouhodobě výrazně podprůměrnou produktivitou práce patří dřevozpracující, nábytkářský, kožedělný </w:t>
            </w:r>
            <w:r w:rsidR="00307E77" w:rsidRPr="004E0166">
              <w:rPr>
                <w:spacing w:val="-3"/>
                <w:szCs w:val="20"/>
              </w:rPr>
              <w:t>a</w:t>
            </w:r>
            <w:r w:rsidR="00307E77">
              <w:rPr>
                <w:spacing w:val="-3"/>
                <w:szCs w:val="20"/>
              </w:rPr>
              <w:t> </w:t>
            </w:r>
            <w:r>
              <w:rPr>
                <w:spacing w:val="-3"/>
                <w:szCs w:val="20"/>
              </w:rPr>
              <w:t>zejména</w:t>
            </w:r>
            <w:r w:rsidRPr="004E0166">
              <w:rPr>
                <w:spacing w:val="-3"/>
                <w:szCs w:val="20"/>
              </w:rPr>
              <w:t xml:space="preserve"> oděvní průmysl. Přestože se jejich relativní postavení ve srovnání s rokem 2013 mírně zlepšilo, za národohospodářskou úrovní produktivity </w:t>
            </w:r>
            <w:r w:rsidR="00EA309D">
              <w:rPr>
                <w:spacing w:val="-3"/>
                <w:szCs w:val="20"/>
              </w:rPr>
              <w:t xml:space="preserve">tyto obory </w:t>
            </w:r>
            <w:r w:rsidRPr="004E0166">
              <w:rPr>
                <w:spacing w:val="-3"/>
                <w:szCs w:val="20"/>
              </w:rPr>
              <w:t xml:space="preserve">stále </w:t>
            </w:r>
            <w:r w:rsidR="00307E77" w:rsidRPr="004E0166">
              <w:rPr>
                <w:spacing w:val="-3"/>
                <w:szCs w:val="20"/>
              </w:rPr>
              <w:t>o</w:t>
            </w:r>
            <w:r w:rsidR="00307E77">
              <w:rPr>
                <w:spacing w:val="-3"/>
                <w:szCs w:val="20"/>
              </w:rPr>
              <w:t> </w:t>
            </w:r>
            <w:r w:rsidRPr="004E0166">
              <w:rPr>
                <w:spacing w:val="-3"/>
                <w:szCs w:val="20"/>
              </w:rPr>
              <w:t>více</w:t>
            </w:r>
            <w:r>
              <w:rPr>
                <w:spacing w:val="-3"/>
                <w:szCs w:val="20"/>
              </w:rPr>
              <w:t xml:space="preserve"> než 40</w:t>
            </w:r>
            <w:r w:rsidR="006E33D0">
              <w:rPr>
                <w:spacing w:val="-3"/>
                <w:szCs w:val="20"/>
              </w:rPr>
              <w:t> %</w:t>
            </w:r>
            <w:r w:rsidRPr="004E0166">
              <w:rPr>
                <w:spacing w:val="-3"/>
                <w:szCs w:val="20"/>
              </w:rPr>
              <w:t xml:space="preserve"> zaostávaly.</w:t>
            </w:r>
          </w:p>
        </w:tc>
      </w:tr>
    </w:tbl>
    <w:p w14:paraId="370CAAAB" w14:textId="77777777" w:rsidR="00097078" w:rsidRPr="002C154B" w:rsidRDefault="00097078" w:rsidP="00097078">
      <w:pPr>
        <w:rPr>
          <w:sz w:val="2"/>
          <w:szCs w:val="2"/>
        </w:rPr>
      </w:pPr>
    </w:p>
    <w:p w14:paraId="7BFC3D75" w14:textId="3D35A948" w:rsidR="00097078" w:rsidRDefault="00097078" w:rsidP="005F5CE8">
      <w:pPr>
        <w:pStyle w:val="Nadpis2"/>
        <w:rPr>
          <w:szCs w:val="20"/>
        </w:rPr>
      </w:pPr>
      <w:bookmarkStart w:id="7" w:name="_Toc57061291"/>
      <w:r w:rsidRPr="005F5CE8">
        <w:rPr>
          <w:rFonts w:cs="Arial"/>
        </w:rPr>
        <w:lastRenderedPageBreak/>
        <w:t>3.</w:t>
      </w:r>
      <w:r w:rsidR="00307E77" w:rsidRPr="005F5CE8">
        <w:rPr>
          <w:rFonts w:cs="Arial"/>
        </w:rPr>
        <w:t>4</w:t>
      </w:r>
      <w:r w:rsidR="00307E77">
        <w:rPr>
          <w:rFonts w:cs="Arial"/>
        </w:rPr>
        <w:t> </w:t>
      </w:r>
      <w:r w:rsidRPr="005F5CE8">
        <w:rPr>
          <w:rFonts w:cs="Arial"/>
        </w:rPr>
        <w:t>Průmysl na pracovním trhu v evropských státech</w:t>
      </w:r>
      <w:bookmarkEnd w:id="7"/>
    </w:p>
    <w:tbl>
      <w:tblPr>
        <w:tblW w:w="964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3"/>
        <w:gridCol w:w="176"/>
        <w:gridCol w:w="7730"/>
      </w:tblGrid>
      <w:tr w:rsidR="00097078" w:rsidRPr="002C074F" w14:paraId="403EE3B2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E9B75" w14:textId="0574ED1D" w:rsidR="00097078" w:rsidRDefault="00097078" w:rsidP="00044059">
            <w:pPr>
              <w:pStyle w:val="Marginlie"/>
            </w:pPr>
            <w:r>
              <w:t xml:space="preserve">Z pohledu podílu průmyslu na celkové zaměstnanosti panují zejména mezi novějšími </w:t>
            </w:r>
            <w:r w:rsidR="00307E77">
              <w:t>a </w:t>
            </w:r>
            <w:r>
              <w:t>staršími členskými státy EU významné rozdíly.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E84FD" w14:textId="77777777" w:rsidR="00097078" w:rsidRPr="00CE2577" w:rsidRDefault="00097078" w:rsidP="00044059">
            <w:pPr>
              <w:pStyle w:val="Textpoznpodarou10"/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09B35" w14:textId="459737FE" w:rsidR="00097078" w:rsidRPr="00CE2577" w:rsidRDefault="00097078" w:rsidP="00044059">
            <w:pPr>
              <w:spacing w:after="200"/>
              <w:rPr>
                <w:spacing w:val="-2"/>
                <w:szCs w:val="20"/>
              </w:rPr>
            </w:pPr>
            <w:r w:rsidRPr="00CE2577">
              <w:rPr>
                <w:spacing w:val="-2"/>
                <w:szCs w:val="20"/>
              </w:rPr>
              <w:t xml:space="preserve">Jak již bylo uvedeno v kapitole pojednávající </w:t>
            </w:r>
            <w:r w:rsidR="00307E77" w:rsidRPr="00CE2577">
              <w:rPr>
                <w:spacing w:val="-2"/>
                <w:szCs w:val="20"/>
              </w:rPr>
              <w:t>o</w:t>
            </w:r>
            <w:r w:rsidR="00307E77">
              <w:rPr>
                <w:spacing w:val="-2"/>
                <w:szCs w:val="20"/>
              </w:rPr>
              <w:t> </w:t>
            </w:r>
            <w:r w:rsidRPr="00CE2577">
              <w:rPr>
                <w:spacing w:val="-2"/>
                <w:szCs w:val="20"/>
              </w:rPr>
              <w:t>roli průmyslu v evropských ekonomikách v širším kontextu, je Česko z pohledu zaměstnanosti nejprůmyslovějším státem EU. Mezi členy Un</w:t>
            </w:r>
            <w:r w:rsidR="009C19B4">
              <w:rPr>
                <w:spacing w:val="-2"/>
                <w:szCs w:val="20"/>
              </w:rPr>
              <w:t xml:space="preserve">ie </w:t>
            </w:r>
            <w:r w:rsidRPr="00CE2577">
              <w:rPr>
                <w:spacing w:val="-2"/>
                <w:szCs w:val="20"/>
              </w:rPr>
              <w:t xml:space="preserve">panují velké rozdíly, které se zejména v poslední dekádě mírně prohloubily. V mnohých novějších členských státech EU podíl pracovníků v průmyslu na celkové zaměstnanosti mírně posiloval, zatímco </w:t>
            </w:r>
            <w:r w:rsidR="00307E77" w:rsidRPr="00CE2577">
              <w:rPr>
                <w:spacing w:val="-2"/>
                <w:szCs w:val="20"/>
              </w:rPr>
              <w:t>u</w:t>
            </w:r>
            <w:r w:rsidR="00307E77">
              <w:rPr>
                <w:spacing w:val="-2"/>
                <w:szCs w:val="20"/>
              </w:rPr>
              <w:t> </w:t>
            </w:r>
            <w:r w:rsidRPr="00CE2577">
              <w:rPr>
                <w:spacing w:val="-2"/>
                <w:szCs w:val="20"/>
              </w:rPr>
              <w:t xml:space="preserve">drtivé většiny starších členů tomu bylo naopak </w:t>
            </w:r>
            <w:r w:rsidR="00307E77" w:rsidRPr="00CE2577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CE2577">
              <w:rPr>
                <w:spacing w:val="-2"/>
                <w:szCs w:val="20"/>
              </w:rPr>
              <w:t xml:space="preserve">pracovní místa se </w:t>
            </w:r>
            <w:r w:rsidR="000C365C">
              <w:rPr>
                <w:spacing w:val="-2"/>
                <w:szCs w:val="20"/>
              </w:rPr>
              <w:t xml:space="preserve">zde </w:t>
            </w:r>
            <w:r w:rsidRPr="00CE2577">
              <w:rPr>
                <w:spacing w:val="-2"/>
                <w:szCs w:val="20"/>
              </w:rPr>
              <w:t xml:space="preserve">dále přesouvala do terciární sféry služeb. Protože role průmyslu </w:t>
            </w:r>
            <w:r w:rsidR="00307E77">
              <w:rPr>
                <w:spacing w:val="-2"/>
                <w:szCs w:val="20"/>
              </w:rPr>
              <w:t>z </w:t>
            </w:r>
            <w:r w:rsidRPr="00CE2577">
              <w:rPr>
                <w:spacing w:val="-2"/>
                <w:szCs w:val="20"/>
              </w:rPr>
              <w:t xml:space="preserve">hlediska zaměstnanosti v zemích EU byla již obšírněji popsána výše, je následující část zacílena </w:t>
            </w:r>
            <w:r w:rsidR="00072AEC">
              <w:rPr>
                <w:spacing w:val="-2"/>
                <w:szCs w:val="20"/>
              </w:rPr>
              <w:t>na srovnání</w:t>
            </w:r>
            <w:r w:rsidRPr="00CE2577">
              <w:rPr>
                <w:spacing w:val="-2"/>
                <w:szCs w:val="20"/>
              </w:rPr>
              <w:t xml:space="preserve"> v oblasti mezd, celkových </w:t>
            </w:r>
            <w:r w:rsidR="000C365C">
              <w:rPr>
                <w:spacing w:val="-2"/>
                <w:szCs w:val="20"/>
              </w:rPr>
              <w:t xml:space="preserve">pracovních nákladů </w:t>
            </w:r>
            <w:r w:rsidR="00307E77">
              <w:rPr>
                <w:spacing w:val="-2"/>
                <w:szCs w:val="20"/>
              </w:rPr>
              <w:t>a </w:t>
            </w:r>
            <w:r w:rsidR="000C365C">
              <w:rPr>
                <w:spacing w:val="-2"/>
                <w:szCs w:val="20"/>
              </w:rPr>
              <w:t>produktivity</w:t>
            </w:r>
            <w:r w:rsidRPr="00CE2577">
              <w:rPr>
                <w:spacing w:val="-2"/>
                <w:szCs w:val="20"/>
              </w:rPr>
              <w:t xml:space="preserve"> práce.</w:t>
            </w:r>
          </w:p>
        </w:tc>
      </w:tr>
      <w:tr w:rsidR="00097078" w:rsidRPr="002C074F" w14:paraId="3A357E67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1FA48" w14:textId="77777777" w:rsidR="00097078" w:rsidRDefault="00097078" w:rsidP="00044059">
            <w:pPr>
              <w:pStyle w:val="Marginlie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B751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80ADD" w14:textId="0468ED8F" w:rsidR="00097078" w:rsidRPr="002C074F" w:rsidRDefault="004C0391" w:rsidP="00044059">
            <w:pPr>
              <w:spacing w:after="0"/>
              <w:rPr>
                <w:b/>
                <w:spacing w:val="2"/>
                <w:szCs w:val="20"/>
              </w:rPr>
            </w:pPr>
            <w:r>
              <w:rPr>
                <w:b/>
                <w:spacing w:val="2"/>
                <w:szCs w:val="20"/>
              </w:rPr>
              <w:t>Graf</w:t>
            </w:r>
            <w:r w:rsidR="006E33D0">
              <w:rPr>
                <w:b/>
                <w:spacing w:val="2"/>
                <w:szCs w:val="20"/>
              </w:rPr>
              <w:t xml:space="preserve"> č. </w:t>
            </w:r>
            <w:r>
              <w:rPr>
                <w:b/>
                <w:spacing w:val="2"/>
                <w:szCs w:val="20"/>
              </w:rPr>
              <w:t>19</w:t>
            </w:r>
            <w:r w:rsidR="00097078" w:rsidRPr="002C074F">
              <w:rPr>
                <w:b/>
                <w:spacing w:val="2"/>
                <w:szCs w:val="20"/>
              </w:rPr>
              <w:t xml:space="preserve">  Průměrná hrubá hodinová mzda</w:t>
            </w:r>
            <w:r w:rsidR="00097078">
              <w:rPr>
                <w:b/>
                <w:spacing w:val="2"/>
                <w:szCs w:val="20"/>
              </w:rPr>
              <w:t>*</w:t>
            </w:r>
            <w:r w:rsidR="00097078" w:rsidRPr="002C074F">
              <w:rPr>
                <w:b/>
                <w:spacing w:val="2"/>
                <w:szCs w:val="20"/>
              </w:rPr>
              <w:t xml:space="preserve"> zaměstnanců </w:t>
            </w:r>
            <w:r w:rsidR="00097078">
              <w:rPr>
                <w:b/>
                <w:spacing w:val="2"/>
                <w:szCs w:val="20"/>
              </w:rPr>
              <w:t xml:space="preserve">v průmyslu </w:t>
            </w:r>
            <w:r w:rsidR="00097078" w:rsidRPr="002C074F">
              <w:rPr>
                <w:b/>
                <w:spacing w:val="2"/>
                <w:szCs w:val="20"/>
              </w:rPr>
              <w:t xml:space="preserve">dle pohlaví </w:t>
            </w:r>
            <w:r w:rsidR="00097078">
              <w:rPr>
                <w:b/>
                <w:spacing w:val="2"/>
                <w:szCs w:val="20"/>
              </w:rPr>
              <w:t xml:space="preserve">v roce 2018 </w:t>
            </w:r>
            <w:r w:rsidR="00307E77">
              <w:rPr>
                <w:b/>
                <w:spacing w:val="2"/>
                <w:szCs w:val="20"/>
              </w:rPr>
              <w:t>a </w:t>
            </w:r>
            <w:r w:rsidR="00097078">
              <w:rPr>
                <w:b/>
                <w:spacing w:val="2"/>
                <w:szCs w:val="20"/>
              </w:rPr>
              <w:t>srovnání celkové mzdy</w:t>
            </w:r>
            <w:r w:rsidR="00097078" w:rsidRPr="002C074F">
              <w:rPr>
                <w:b/>
                <w:spacing w:val="2"/>
                <w:szCs w:val="20"/>
              </w:rPr>
              <w:t xml:space="preserve"> </w:t>
            </w:r>
            <w:r w:rsidR="00097078">
              <w:rPr>
                <w:b/>
                <w:spacing w:val="2"/>
                <w:szCs w:val="20"/>
              </w:rPr>
              <w:t xml:space="preserve">v průmyslu v letech 2006, 2010 </w:t>
            </w:r>
            <w:r w:rsidR="00307E77">
              <w:rPr>
                <w:b/>
                <w:spacing w:val="2"/>
                <w:szCs w:val="20"/>
              </w:rPr>
              <w:t>a </w:t>
            </w:r>
            <w:r w:rsidR="00097078">
              <w:rPr>
                <w:b/>
                <w:spacing w:val="2"/>
                <w:szCs w:val="20"/>
              </w:rPr>
              <w:t>2014</w:t>
            </w:r>
            <w:r w:rsidR="00097078" w:rsidRPr="002C074F">
              <w:rPr>
                <w:b/>
                <w:spacing w:val="2"/>
                <w:szCs w:val="20"/>
              </w:rPr>
              <w:t xml:space="preserve"> ve vybraných evropských státech </w:t>
            </w:r>
            <w:r w:rsidR="00097078" w:rsidRPr="002C074F">
              <w:rPr>
                <w:spacing w:val="2"/>
                <w:szCs w:val="20"/>
              </w:rPr>
              <w:t>(v</w:t>
            </w:r>
            <w:r w:rsidR="009728D1" w:rsidRPr="009728D1">
              <w:rPr>
                <w:szCs w:val="20"/>
              </w:rPr>
              <w:t>e standardu</w:t>
            </w:r>
            <w:r w:rsidR="00097078" w:rsidRPr="002C074F">
              <w:rPr>
                <w:spacing w:val="2"/>
                <w:szCs w:val="20"/>
              </w:rPr>
              <w:t xml:space="preserve"> kupní síly</w:t>
            </w:r>
            <w:r w:rsidR="00097078">
              <w:rPr>
                <w:spacing w:val="2"/>
                <w:szCs w:val="20"/>
              </w:rPr>
              <w:t xml:space="preserve"> </w:t>
            </w:r>
            <w:r w:rsidR="00307E77">
              <w:rPr>
                <w:spacing w:val="2"/>
                <w:szCs w:val="20"/>
              </w:rPr>
              <w:t>–</w:t>
            </w:r>
            <w:r w:rsidR="00097078">
              <w:rPr>
                <w:spacing w:val="2"/>
                <w:szCs w:val="20"/>
              </w:rPr>
              <w:t xml:space="preserve"> PPS</w:t>
            </w:r>
            <w:r w:rsidR="00097078" w:rsidRPr="002C074F">
              <w:rPr>
                <w:spacing w:val="2"/>
                <w:szCs w:val="20"/>
              </w:rPr>
              <w:t>)</w:t>
            </w:r>
          </w:p>
        </w:tc>
      </w:tr>
      <w:tr w:rsidR="00097078" w14:paraId="76A2BC4B" w14:textId="77777777" w:rsidTr="00BA35B6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EFF26" w14:textId="77777777" w:rsidR="00097078" w:rsidRDefault="00097078" w:rsidP="00044059">
            <w:pPr>
              <w:pStyle w:val="Marginlie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F2474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65334" w14:textId="64DAF2F6" w:rsidR="00097078" w:rsidRDefault="00BA35B6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A7AE9E" wp14:editId="0ACCF2B2">
                  <wp:extent cx="4735774" cy="3493827"/>
                  <wp:effectExtent l="0" t="0" r="8255" b="0"/>
                  <wp:docPr id="16" name="Graf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097078" w14:paraId="58B53DB1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E713F" w14:textId="77777777" w:rsidR="00097078" w:rsidRDefault="00097078" w:rsidP="00044059">
            <w:pPr>
              <w:pStyle w:val="Marginlie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B5C3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DC47B" w14:textId="005CC7A3" w:rsidR="00097078" w:rsidRPr="00975236" w:rsidRDefault="00097078" w:rsidP="00044059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 Zahrnuje podniky s 10 </w:t>
            </w:r>
            <w:r w:rsidR="00307E77">
              <w:rPr>
                <w:sz w:val="14"/>
                <w:szCs w:val="14"/>
              </w:rPr>
              <w:t>a </w:t>
            </w:r>
            <w:r>
              <w:rPr>
                <w:sz w:val="14"/>
                <w:szCs w:val="14"/>
              </w:rPr>
              <w:t>více zaměstnanci.</w:t>
            </w:r>
          </w:p>
          <w:p w14:paraId="71800E65" w14:textId="6FC0F1B3" w:rsidR="00097078" w:rsidRPr="00D364FE" w:rsidRDefault="00097078" w:rsidP="00D364FE">
            <w:pPr>
              <w:spacing w:after="22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>Pozn</w:t>
            </w:r>
            <w:r w:rsidR="00BA35B6">
              <w:rPr>
                <w:sz w:val="14"/>
                <w:szCs w:val="14"/>
              </w:rPr>
              <w:t xml:space="preserve">ámka: Za </w:t>
            </w:r>
            <w:r w:rsidRPr="00F710D4">
              <w:rPr>
                <w:sz w:val="14"/>
                <w:szCs w:val="14"/>
              </w:rPr>
              <w:t>Řecko</w:t>
            </w:r>
            <w:r w:rsidR="00BA35B6">
              <w:rPr>
                <w:sz w:val="14"/>
                <w:szCs w:val="14"/>
              </w:rPr>
              <w:t xml:space="preserve"> </w:t>
            </w:r>
            <w:r w:rsidRPr="00F710D4">
              <w:rPr>
                <w:sz w:val="14"/>
                <w:szCs w:val="14"/>
              </w:rPr>
              <w:t>nebyly údaje za rok 2018 dostupné.</w:t>
            </w:r>
            <w:r>
              <w:rPr>
                <w:sz w:val="14"/>
                <w:szCs w:val="14"/>
              </w:rPr>
              <w:t xml:space="preserve"> </w:t>
            </w:r>
            <w:r w:rsidR="00D364FE">
              <w:rPr>
                <w:sz w:val="14"/>
                <w:szCs w:val="14"/>
              </w:rPr>
              <w:t xml:space="preserve">Za některé další státy nebyly rovněž dostupné starší údaje (zejména z roku 2006). </w:t>
            </w:r>
            <w:r w:rsidRPr="00F710D4">
              <w:rPr>
                <w:sz w:val="14"/>
                <w:szCs w:val="14"/>
              </w:rPr>
              <w:t xml:space="preserve">Státy jsou seřazeny dle výše celkové hodinové mzdy (za obě pohlaví) v roce 2018 (zvlášť členské státy EU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>zvlášť ostatní vybrané státy).</w:t>
            </w:r>
            <w:r w:rsidR="00D364FE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   </w:t>
            </w:r>
            <w:r w:rsidRPr="00F710D4">
              <w:rPr>
                <w:sz w:val="14"/>
                <w:szCs w:val="14"/>
              </w:rPr>
              <w:t xml:space="preserve">Zdroj: </w:t>
            </w:r>
            <w:proofErr w:type="spellStart"/>
            <w:r w:rsidRPr="00F710D4">
              <w:rPr>
                <w:sz w:val="14"/>
                <w:szCs w:val="14"/>
              </w:rPr>
              <w:t>Eurostat</w:t>
            </w:r>
            <w:proofErr w:type="spellEnd"/>
          </w:p>
        </w:tc>
      </w:tr>
      <w:tr w:rsidR="00097078" w14:paraId="1A05EA86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C8997" w14:textId="5322A629" w:rsidR="00097078" w:rsidRDefault="00097078" w:rsidP="007964CF">
            <w:pPr>
              <w:pStyle w:val="Marginlie"/>
            </w:pPr>
            <w:r>
              <w:t xml:space="preserve">Pro objektivnější srovnání úrovně výdělků mezi státy je vhodné její </w:t>
            </w:r>
            <w:r w:rsidRPr="007964CF">
              <w:t>vyjádření v</w:t>
            </w:r>
            <w:r w:rsidR="007964CF" w:rsidRPr="007964CF">
              <w:t>e standardu</w:t>
            </w:r>
            <w:r w:rsidRPr="007964CF">
              <w:t xml:space="preserve"> kupní síly.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73AF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E497B" w14:textId="6FB5C6BB" w:rsidR="00097078" w:rsidRDefault="00097078" w:rsidP="00F25EFA">
            <w:pPr>
              <w:spacing w:after="220"/>
              <w:rPr>
                <w:sz w:val="16"/>
                <w:szCs w:val="16"/>
              </w:rPr>
            </w:pPr>
            <w:r>
              <w:rPr>
                <w:spacing w:val="-2"/>
                <w:szCs w:val="20"/>
              </w:rPr>
              <w:t xml:space="preserve">Průměrná hodinová mzda vycházející ze strukturální mzdové statistiky </w:t>
            </w:r>
            <w:r w:rsidR="00307E77">
              <w:rPr>
                <w:spacing w:val="-2"/>
                <w:szCs w:val="20"/>
              </w:rPr>
              <w:t>u </w:t>
            </w:r>
            <w:r>
              <w:rPr>
                <w:spacing w:val="-2"/>
                <w:szCs w:val="20"/>
              </w:rPr>
              <w:t xml:space="preserve">podniků vyjadřuje celkové hrubé výdělky zaměstnanců ve sledovaném období (např. rok) vztažené na příslušný počet odpracovaných hodin. Podrobnější údaje </w:t>
            </w:r>
            <w:r w:rsidR="00307E77">
              <w:rPr>
                <w:spacing w:val="-2"/>
                <w:szCs w:val="20"/>
              </w:rPr>
              <w:t>v </w:t>
            </w:r>
            <w:r w:rsidR="00F25EFA">
              <w:rPr>
                <w:spacing w:val="-2"/>
                <w:szCs w:val="20"/>
              </w:rPr>
              <w:t>této struktuře</w:t>
            </w:r>
            <w:r>
              <w:rPr>
                <w:spacing w:val="-2"/>
                <w:szCs w:val="20"/>
              </w:rPr>
              <w:t xml:space="preserve"> (např. dle odvětví, velikosti podniku či sociodemografických skupin pracovníků) jsou v evropském srovnání k dispozici ve čtyřletých intervalech. Protože v této části nahlížíme na problematiku z pozice zaměstnance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 xml:space="preserve">jeho mzdové koupěschopnosti, pracujeme </w:t>
            </w:r>
            <w:r w:rsidR="00482DE9">
              <w:rPr>
                <w:spacing w:val="-2"/>
                <w:szCs w:val="20"/>
              </w:rPr>
              <w:t>s </w:t>
            </w:r>
            <w:r>
              <w:rPr>
                <w:spacing w:val="-2"/>
                <w:szCs w:val="20"/>
              </w:rPr>
              <w:t xml:space="preserve">údaji </w:t>
            </w:r>
            <w:r w:rsidR="00307E77">
              <w:rPr>
                <w:spacing w:val="-2"/>
                <w:szCs w:val="20"/>
              </w:rPr>
              <w:t>o </w:t>
            </w:r>
            <w:r>
              <w:rPr>
                <w:spacing w:val="-2"/>
                <w:szCs w:val="20"/>
              </w:rPr>
              <w:t xml:space="preserve">výdělcích přepočtených dle standardu kupní síly. Některé státy neposkytují údaje za úplný soubor podniků, proto byly použity hodnoty jen za podniky </w:t>
            </w:r>
            <w:r w:rsidR="00307E77">
              <w:rPr>
                <w:spacing w:val="-2"/>
                <w:szCs w:val="20"/>
              </w:rPr>
              <w:t>s </w:t>
            </w:r>
            <w:r>
              <w:rPr>
                <w:spacing w:val="-2"/>
                <w:szCs w:val="20"/>
              </w:rPr>
              <w:t xml:space="preserve">10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 xml:space="preserve">více zaměstnanci. Toto omezení by ale nemělo mít významnější dopad </w:t>
            </w:r>
            <w:r w:rsidR="00482DE9">
              <w:rPr>
                <w:spacing w:val="-2"/>
                <w:szCs w:val="20"/>
              </w:rPr>
              <w:t xml:space="preserve">na </w:t>
            </w:r>
            <w:r>
              <w:rPr>
                <w:spacing w:val="-2"/>
                <w:szCs w:val="20"/>
              </w:rPr>
              <w:t>inte</w:t>
            </w:r>
            <w:r w:rsidR="00482DE9">
              <w:rPr>
                <w:spacing w:val="-2"/>
                <w:szCs w:val="20"/>
              </w:rPr>
              <w:t>r</w:t>
            </w:r>
            <w:r>
              <w:rPr>
                <w:spacing w:val="-2"/>
                <w:szCs w:val="20"/>
              </w:rPr>
              <w:t xml:space="preserve">pretaci dat, neboť srovnání je primárně zacíleno na průmysl, </w:t>
            </w:r>
            <w:r w:rsidR="00307E77">
              <w:rPr>
                <w:spacing w:val="-2"/>
                <w:szCs w:val="20"/>
              </w:rPr>
              <w:t>u </w:t>
            </w:r>
            <w:r>
              <w:rPr>
                <w:spacing w:val="-2"/>
                <w:szCs w:val="20"/>
              </w:rPr>
              <w:t xml:space="preserve">něhož je role </w:t>
            </w:r>
            <w:proofErr w:type="spellStart"/>
            <w:r>
              <w:rPr>
                <w:spacing w:val="-2"/>
                <w:szCs w:val="20"/>
              </w:rPr>
              <w:t>mikropodniků</w:t>
            </w:r>
            <w:proofErr w:type="spellEnd"/>
            <w:r>
              <w:rPr>
                <w:spacing w:val="-2"/>
                <w:szCs w:val="20"/>
              </w:rPr>
              <w:t xml:space="preserve"> relativně okrajová (na rozdíl od stavebnictví či celého sektoru služeb).</w:t>
            </w:r>
          </w:p>
        </w:tc>
      </w:tr>
      <w:tr w:rsidR="00097078" w14:paraId="3DA796E6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CD4D" w14:textId="4C4BCC74" w:rsidR="00097078" w:rsidRPr="007964CF" w:rsidRDefault="00097078" w:rsidP="00044059">
            <w:pPr>
              <w:pStyle w:val="Marginlie"/>
            </w:pPr>
            <w:r w:rsidRPr="007964CF">
              <w:t xml:space="preserve">Hodinová mzda v průmyslu vyjádřená </w:t>
            </w:r>
            <w:r w:rsidRPr="007964CF">
              <w:lastRenderedPageBreak/>
              <w:t>v PPS řadila Česko v roce 2018 do poslední třetiny států EU.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AECC6" w14:textId="77777777" w:rsidR="00097078" w:rsidRPr="007964CF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2DB1" w14:textId="3B57467C" w:rsidR="00097078" w:rsidRPr="007964CF" w:rsidRDefault="00097078" w:rsidP="00466CA7">
            <w:pPr>
              <w:spacing w:after="220"/>
              <w:rPr>
                <w:spacing w:val="-2"/>
                <w:szCs w:val="20"/>
              </w:rPr>
            </w:pPr>
            <w:r w:rsidRPr="007964CF">
              <w:rPr>
                <w:spacing w:val="-2"/>
                <w:szCs w:val="20"/>
              </w:rPr>
              <w:t>Hodinová mzda zaměstnance v průmyslu dosahovala v roce 2018 v ČR 9,77 j</w:t>
            </w:r>
            <w:r w:rsidR="00BA35B6">
              <w:rPr>
                <w:spacing w:val="-2"/>
                <w:szCs w:val="20"/>
              </w:rPr>
              <w:t>ednotek PPS, což ji řadilo na 17</w:t>
            </w:r>
            <w:r w:rsidR="00A33767" w:rsidRPr="007964CF">
              <w:rPr>
                <w:spacing w:val="-2"/>
                <w:szCs w:val="20"/>
              </w:rPr>
              <w:t>. </w:t>
            </w:r>
            <w:r w:rsidR="00BA35B6">
              <w:rPr>
                <w:spacing w:val="-2"/>
                <w:szCs w:val="20"/>
              </w:rPr>
              <w:t>místo mezi státy</w:t>
            </w:r>
            <w:r w:rsidRPr="007964CF">
              <w:rPr>
                <w:spacing w:val="-2"/>
                <w:szCs w:val="20"/>
              </w:rPr>
              <w:t xml:space="preserve"> EU</w:t>
            </w:r>
            <w:r w:rsidR="00BA35B6">
              <w:rPr>
                <w:rStyle w:val="Znakapoznpodarou"/>
                <w:spacing w:val="-2"/>
                <w:szCs w:val="20"/>
              </w:rPr>
              <w:footnoteReference w:id="27"/>
            </w:r>
            <w:r w:rsidRPr="007964CF">
              <w:rPr>
                <w:spacing w:val="-2"/>
                <w:szCs w:val="20"/>
              </w:rPr>
              <w:t xml:space="preserve">. Nejvyšší koupěschopností výdělků </w:t>
            </w:r>
            <w:r w:rsidRPr="007964CF">
              <w:rPr>
                <w:spacing w:val="-2"/>
                <w:szCs w:val="20"/>
              </w:rPr>
              <w:lastRenderedPageBreak/>
              <w:t xml:space="preserve">disponovali průmysloví zaměstnanci v Dánsku (23,9), což je zčásti dáno </w:t>
            </w:r>
            <w:r w:rsidR="00307E77" w:rsidRPr="007964CF">
              <w:rPr>
                <w:spacing w:val="-2"/>
                <w:szCs w:val="20"/>
              </w:rPr>
              <w:t>i </w:t>
            </w:r>
            <w:r w:rsidRPr="007964CF">
              <w:rPr>
                <w:spacing w:val="-2"/>
                <w:szCs w:val="20"/>
              </w:rPr>
              <w:t xml:space="preserve">vyšší specializací tamějšího průmyslu na </w:t>
            </w:r>
            <w:proofErr w:type="spellStart"/>
            <w:r w:rsidRPr="007964CF">
              <w:rPr>
                <w:spacing w:val="-2"/>
                <w:szCs w:val="20"/>
              </w:rPr>
              <w:t>high-tech</w:t>
            </w:r>
            <w:proofErr w:type="spellEnd"/>
            <w:r w:rsidRPr="007964CF">
              <w:rPr>
                <w:spacing w:val="-2"/>
                <w:szCs w:val="20"/>
              </w:rPr>
              <w:t xml:space="preserve"> obory</w:t>
            </w:r>
            <w:r w:rsidRPr="007964CF">
              <w:rPr>
                <w:rStyle w:val="Znakapoznpodarou"/>
                <w:spacing w:val="-2"/>
                <w:szCs w:val="20"/>
              </w:rPr>
              <w:footnoteReference w:id="28"/>
            </w:r>
            <w:r w:rsidRPr="007964CF">
              <w:rPr>
                <w:spacing w:val="-2"/>
                <w:szCs w:val="20"/>
              </w:rPr>
              <w:t>. Následoval</w:t>
            </w:r>
            <w:r w:rsidR="00466CA7">
              <w:rPr>
                <w:spacing w:val="-2"/>
                <w:szCs w:val="20"/>
              </w:rPr>
              <w:t>o silně průmyslové Německo (21,7</w:t>
            </w:r>
            <w:r w:rsidRPr="007964CF">
              <w:rPr>
                <w:spacing w:val="-2"/>
                <w:szCs w:val="20"/>
              </w:rPr>
              <w:t xml:space="preserve">) </w:t>
            </w:r>
            <w:r w:rsidR="00307E77" w:rsidRPr="007964CF">
              <w:rPr>
                <w:spacing w:val="-2"/>
                <w:szCs w:val="20"/>
              </w:rPr>
              <w:t>a </w:t>
            </w:r>
            <w:r w:rsidRPr="007964CF">
              <w:rPr>
                <w:spacing w:val="-2"/>
                <w:szCs w:val="20"/>
              </w:rPr>
              <w:t>Belgie (18,8). Na opačné straně spektra figurovalo Bulharsko (5,8)</w:t>
            </w:r>
            <w:r w:rsidRPr="007964CF">
              <w:rPr>
                <w:rStyle w:val="Znakapoznpodarou"/>
                <w:spacing w:val="-2"/>
                <w:szCs w:val="20"/>
              </w:rPr>
              <w:footnoteReference w:id="29"/>
            </w:r>
            <w:r w:rsidRPr="007964CF">
              <w:rPr>
                <w:spacing w:val="-2"/>
                <w:szCs w:val="20"/>
              </w:rPr>
              <w:t xml:space="preserve">. Mezi zeměmi s podprůměrnou výší výdělků byly dle očekávání zastoupeny téměř výhradně novější členské státy Unie. Výjimkou bylo Portugalsko, v němž hodinové mzdy v poslední dekádě pouze stagnovaly. Z novějších členů EU měly mzdy v průmyslu výrazněji vyšší než ČR jen Malta (13,5) a Slovinsko (10,9). Polsko </w:t>
            </w:r>
            <w:r w:rsidR="00307E77" w:rsidRPr="007964CF">
              <w:rPr>
                <w:spacing w:val="-2"/>
                <w:szCs w:val="20"/>
              </w:rPr>
              <w:t>a </w:t>
            </w:r>
            <w:r w:rsidRPr="007964CF">
              <w:rPr>
                <w:spacing w:val="-2"/>
                <w:szCs w:val="20"/>
              </w:rPr>
              <w:t xml:space="preserve">Kypr se blížily tuzemské úrovni </w:t>
            </w:r>
            <w:r w:rsidR="00307E77" w:rsidRPr="007964CF">
              <w:rPr>
                <w:spacing w:val="-2"/>
                <w:szCs w:val="20"/>
              </w:rPr>
              <w:t>a </w:t>
            </w:r>
            <w:r w:rsidRPr="007964CF">
              <w:rPr>
                <w:spacing w:val="-2"/>
                <w:szCs w:val="20"/>
              </w:rPr>
              <w:t xml:space="preserve">silně průmyslové Slovensko </w:t>
            </w:r>
            <w:r w:rsidR="005B7BE7" w:rsidRPr="007964CF">
              <w:rPr>
                <w:spacing w:val="-2"/>
                <w:szCs w:val="20"/>
              </w:rPr>
              <w:t>a </w:t>
            </w:r>
            <w:r w:rsidRPr="007964CF">
              <w:rPr>
                <w:spacing w:val="-2"/>
                <w:szCs w:val="20"/>
              </w:rPr>
              <w:t>Maďarsko se nacházely desetinu pod ní.</w:t>
            </w:r>
          </w:p>
        </w:tc>
      </w:tr>
      <w:tr w:rsidR="00097078" w14:paraId="331F7975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4C6DA" w14:textId="4B4D8CE0" w:rsidR="00097078" w:rsidRDefault="00097078" w:rsidP="00044059">
            <w:pPr>
              <w:pStyle w:val="Marginlie"/>
            </w:pPr>
            <w:r>
              <w:lastRenderedPageBreak/>
              <w:t xml:space="preserve">Relativně nejvyšší rozdíl mezd mužů </w:t>
            </w:r>
            <w:r w:rsidR="00307E77">
              <w:t>a </w:t>
            </w:r>
            <w:r>
              <w:t>žen v průmyslu byl v Estonsku, nejnižší ve Švédsku.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D761C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8CCA3" w14:textId="06A4DA73" w:rsidR="00097078" w:rsidRDefault="00097078" w:rsidP="00044059">
            <w:pPr>
              <w:spacing w:after="220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Pro všechny sledované státy platilo, že hodinové výdělky mužů byly v průmyslu vyšší než </w:t>
            </w:r>
            <w:r w:rsidR="00307E77">
              <w:rPr>
                <w:spacing w:val="-2"/>
                <w:szCs w:val="20"/>
              </w:rPr>
              <w:t>u </w:t>
            </w:r>
            <w:r>
              <w:rPr>
                <w:spacing w:val="-2"/>
                <w:szCs w:val="20"/>
              </w:rPr>
              <w:t>žen. Relativně nejvýraznější disproporce panovala v roce 2018 v Estonsku, kde ženy inkasovaly jen 72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 mzdy mužů. Nejmenší </w:t>
            </w:r>
            <w:r w:rsidR="00FC6AB4">
              <w:rPr>
                <w:spacing w:val="-2"/>
                <w:szCs w:val="20"/>
              </w:rPr>
              <w:t xml:space="preserve">byl rozdíl </w:t>
            </w:r>
            <w:r>
              <w:rPr>
                <w:spacing w:val="-2"/>
                <w:szCs w:val="20"/>
              </w:rPr>
              <w:t>ve skandinávských státech (ve Švédsku 96 %). V Česku, stejně jako v Německu, byl poměr 77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. Rozdíly mezi státy mohou být částečně ovlivněny vnitřní skladbou průmyslu (např. v odvětvích těžkého průmyslu výrazně častěji působí muži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 xml:space="preserve">úroveň výdělků bývá zpravidla ve vztahu </w:t>
            </w:r>
            <w:r w:rsidR="00FC6AB4">
              <w:rPr>
                <w:spacing w:val="-2"/>
                <w:szCs w:val="20"/>
              </w:rPr>
              <w:t>k </w:t>
            </w:r>
            <w:r>
              <w:rPr>
                <w:spacing w:val="-2"/>
                <w:szCs w:val="20"/>
              </w:rPr>
              <w:t xml:space="preserve">ostatním průmyslovým oborům v daném státě nadprůměrná). V zásadě ale platí, že „gender </w:t>
            </w:r>
            <w:proofErr w:type="spellStart"/>
            <w:r>
              <w:rPr>
                <w:spacing w:val="-2"/>
                <w:szCs w:val="20"/>
              </w:rPr>
              <w:t>pay</w:t>
            </w:r>
            <w:proofErr w:type="spellEnd"/>
            <w:r>
              <w:rPr>
                <w:spacing w:val="-2"/>
                <w:szCs w:val="20"/>
              </w:rPr>
              <w:t xml:space="preserve"> gap“ v průmyslu kopíruje v jednotlivých státech vzorec typický pro celou ekonom</w:t>
            </w:r>
            <w:r w:rsidR="00642FB8">
              <w:rPr>
                <w:spacing w:val="-2"/>
                <w:szCs w:val="20"/>
              </w:rPr>
              <w:t>i</w:t>
            </w:r>
            <w:r>
              <w:rPr>
                <w:spacing w:val="-2"/>
                <w:szCs w:val="20"/>
              </w:rPr>
              <w:t>ku.</w:t>
            </w:r>
          </w:p>
        </w:tc>
      </w:tr>
      <w:tr w:rsidR="00097078" w14:paraId="7B02FADC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35B3D" w14:textId="12EF4A59" w:rsidR="00097078" w:rsidRDefault="00097078" w:rsidP="00044059">
            <w:pPr>
              <w:pStyle w:val="Marginlie"/>
            </w:pPr>
            <w:r>
              <w:t>Nejrychlejší reálnou mzdovou konvergenci k německým mzdám vykázalo z novějších členů EU Rumunsko, nejslabší Slovinsko.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015EB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59B48" w14:textId="2BEA028A" w:rsidR="00097078" w:rsidRPr="00EC1470" w:rsidRDefault="00097078" w:rsidP="003922DF">
            <w:pPr>
              <w:spacing w:after="220"/>
              <w:rPr>
                <w:spacing w:val="-3"/>
                <w:szCs w:val="20"/>
              </w:rPr>
            </w:pPr>
            <w:r w:rsidRPr="00EC1470">
              <w:rPr>
                <w:spacing w:val="-3"/>
                <w:szCs w:val="20"/>
              </w:rPr>
              <w:t xml:space="preserve">Pořadí států EU dle výše celkové hodinové mzdy </w:t>
            </w:r>
            <w:r w:rsidR="00307E77" w:rsidRPr="00EC1470">
              <w:rPr>
                <w:spacing w:val="-3"/>
                <w:szCs w:val="20"/>
              </w:rPr>
              <w:t>v </w:t>
            </w:r>
            <w:r w:rsidRPr="00EC1470">
              <w:rPr>
                <w:spacing w:val="-3"/>
                <w:szCs w:val="20"/>
              </w:rPr>
              <w:t xml:space="preserve">průmyslu se mezi roky 2006 </w:t>
            </w:r>
            <w:r w:rsidR="00307E77" w:rsidRPr="00EC1470">
              <w:rPr>
                <w:spacing w:val="-3"/>
                <w:szCs w:val="20"/>
              </w:rPr>
              <w:t>a </w:t>
            </w:r>
            <w:r w:rsidRPr="00EC1470">
              <w:rPr>
                <w:spacing w:val="-3"/>
                <w:szCs w:val="20"/>
              </w:rPr>
              <w:t>2018 příliš nezměnilo. Mezi staršími členskými státy byly rozdíly v tempech celkového růstu relativně malé (Lucembursko +6</w:t>
            </w:r>
            <w:r w:rsidR="006E33D0" w:rsidRPr="00EC1470">
              <w:rPr>
                <w:spacing w:val="-3"/>
                <w:szCs w:val="20"/>
              </w:rPr>
              <w:t> %</w:t>
            </w:r>
            <w:r w:rsidRPr="00EC1470">
              <w:rPr>
                <w:spacing w:val="-3"/>
                <w:szCs w:val="20"/>
              </w:rPr>
              <w:t>, Dánsko +35</w:t>
            </w:r>
            <w:r w:rsidR="006E33D0" w:rsidRPr="00EC1470">
              <w:rPr>
                <w:spacing w:val="-3"/>
                <w:szCs w:val="20"/>
              </w:rPr>
              <w:t> %</w:t>
            </w:r>
            <w:r w:rsidRPr="00EC1470">
              <w:rPr>
                <w:spacing w:val="-3"/>
                <w:szCs w:val="20"/>
              </w:rPr>
              <w:t xml:space="preserve">). </w:t>
            </w:r>
            <w:r w:rsidR="00307E77" w:rsidRPr="00EC1470">
              <w:rPr>
                <w:spacing w:val="-3"/>
                <w:szCs w:val="20"/>
              </w:rPr>
              <w:t>U </w:t>
            </w:r>
            <w:r w:rsidRPr="00EC1470">
              <w:rPr>
                <w:spacing w:val="-3"/>
                <w:szCs w:val="20"/>
              </w:rPr>
              <w:t xml:space="preserve">členů ze střední </w:t>
            </w:r>
            <w:r w:rsidR="00307E77" w:rsidRPr="00EC1470">
              <w:rPr>
                <w:spacing w:val="-3"/>
                <w:szCs w:val="20"/>
              </w:rPr>
              <w:t>a </w:t>
            </w:r>
            <w:r w:rsidRPr="00EC1470">
              <w:rPr>
                <w:spacing w:val="-3"/>
                <w:szCs w:val="20"/>
              </w:rPr>
              <w:t>východní Evropy probíhala reálná mzdová konvergence k EU. V Rumunsku činil růst 182</w:t>
            </w:r>
            <w:r w:rsidR="006E33D0" w:rsidRPr="00EC1470">
              <w:rPr>
                <w:spacing w:val="-3"/>
                <w:szCs w:val="20"/>
              </w:rPr>
              <w:t> %</w:t>
            </w:r>
            <w:r w:rsidRPr="00EC1470">
              <w:rPr>
                <w:spacing w:val="-3"/>
                <w:szCs w:val="20"/>
              </w:rPr>
              <w:t xml:space="preserve">, v Bulharsku 138 %. Vysoká dynamika zde odrážela </w:t>
            </w:r>
            <w:r w:rsidR="00307E77" w:rsidRPr="00EC1470">
              <w:rPr>
                <w:spacing w:val="-3"/>
                <w:szCs w:val="20"/>
              </w:rPr>
              <w:t>i </w:t>
            </w:r>
            <w:r w:rsidRPr="00EC1470">
              <w:rPr>
                <w:spacing w:val="-3"/>
                <w:szCs w:val="20"/>
              </w:rPr>
              <w:t>nízkou srovnávací základnu roku 2006, kdy tyto státy ještě nebyly členy EU. Z </w:t>
            </w:r>
            <w:r w:rsidR="00DF4595" w:rsidRPr="00EC1470">
              <w:rPr>
                <w:spacing w:val="-3"/>
                <w:szCs w:val="20"/>
              </w:rPr>
              <w:t xml:space="preserve">visegrádských </w:t>
            </w:r>
            <w:r w:rsidRPr="00EC1470">
              <w:rPr>
                <w:spacing w:val="-3"/>
                <w:szCs w:val="20"/>
              </w:rPr>
              <w:t>zemí posílily nejvíce mzdy v Polsku (+62</w:t>
            </w:r>
            <w:r w:rsidR="006E33D0" w:rsidRPr="00EC1470">
              <w:rPr>
                <w:spacing w:val="-3"/>
                <w:szCs w:val="20"/>
              </w:rPr>
              <w:t> %</w:t>
            </w:r>
            <w:r w:rsidRPr="00EC1470">
              <w:rPr>
                <w:spacing w:val="-3"/>
                <w:szCs w:val="20"/>
              </w:rPr>
              <w:t>), nejméně v ČR (+47</w:t>
            </w:r>
            <w:r w:rsidR="006E33D0" w:rsidRPr="00EC1470">
              <w:rPr>
                <w:spacing w:val="-3"/>
                <w:szCs w:val="20"/>
              </w:rPr>
              <w:t> %</w:t>
            </w:r>
            <w:r w:rsidRPr="00EC1470">
              <w:rPr>
                <w:spacing w:val="-3"/>
                <w:szCs w:val="20"/>
              </w:rPr>
              <w:t>). V roce 2018 činila mzdová koupěschopnost zaměstnanc</w:t>
            </w:r>
            <w:r w:rsidR="00B81025" w:rsidRPr="00EC1470">
              <w:rPr>
                <w:spacing w:val="-3"/>
                <w:szCs w:val="20"/>
              </w:rPr>
              <w:t>ů průmyslu v Česku 45</w:t>
            </w:r>
            <w:r w:rsidR="006E33D0" w:rsidRPr="00EC1470">
              <w:rPr>
                <w:spacing w:val="-3"/>
                <w:szCs w:val="20"/>
              </w:rPr>
              <w:t> %</w:t>
            </w:r>
            <w:r w:rsidR="00B81025" w:rsidRPr="00EC1470">
              <w:rPr>
                <w:spacing w:val="-3"/>
                <w:szCs w:val="20"/>
              </w:rPr>
              <w:t xml:space="preserve"> úrovně n</w:t>
            </w:r>
            <w:r w:rsidRPr="00EC1470">
              <w:rPr>
                <w:spacing w:val="-3"/>
                <w:szCs w:val="20"/>
              </w:rPr>
              <w:t>ěmeckých mezd v </w:t>
            </w:r>
            <w:r w:rsidR="00466CA7">
              <w:rPr>
                <w:spacing w:val="-3"/>
                <w:szCs w:val="20"/>
              </w:rPr>
              <w:t>průmyslu, v roce 2006 to bylo 39</w:t>
            </w:r>
            <w:r w:rsidR="006E33D0" w:rsidRPr="00EC1470">
              <w:rPr>
                <w:spacing w:val="-3"/>
                <w:szCs w:val="20"/>
              </w:rPr>
              <w:t> %</w:t>
            </w:r>
            <w:r w:rsidRPr="00EC1470">
              <w:rPr>
                <w:spacing w:val="-3"/>
                <w:szCs w:val="20"/>
              </w:rPr>
              <w:t>. K nejslabší konvergenci k německým mzdám došlo mezi novějšími členy Unie ve Slovinsku (</w:t>
            </w:r>
            <w:r w:rsidR="00307E77" w:rsidRPr="00EC1470">
              <w:rPr>
                <w:spacing w:val="-3"/>
                <w:szCs w:val="20"/>
              </w:rPr>
              <w:t>z</w:t>
            </w:r>
            <w:r w:rsidR="00192F37" w:rsidRPr="00EC1470">
              <w:rPr>
                <w:spacing w:val="-3"/>
                <w:szCs w:val="20"/>
              </w:rPr>
              <w:t xml:space="preserve">e </w:t>
            </w:r>
            <w:r w:rsidRPr="00EC1470">
              <w:rPr>
                <w:spacing w:val="-3"/>
                <w:szCs w:val="20"/>
              </w:rPr>
              <w:t>47</w:t>
            </w:r>
            <w:r w:rsidR="006E33D0" w:rsidRPr="00EC1470">
              <w:rPr>
                <w:spacing w:val="-3"/>
                <w:szCs w:val="20"/>
              </w:rPr>
              <w:t> %</w:t>
            </w:r>
            <w:r w:rsidRPr="00EC1470">
              <w:rPr>
                <w:spacing w:val="-3"/>
                <w:szCs w:val="20"/>
              </w:rPr>
              <w:t xml:space="preserve"> na 50</w:t>
            </w:r>
            <w:r w:rsidR="006E33D0" w:rsidRPr="00EC1470">
              <w:rPr>
                <w:spacing w:val="-3"/>
                <w:szCs w:val="20"/>
              </w:rPr>
              <w:t> %</w:t>
            </w:r>
            <w:r w:rsidRPr="00EC1470">
              <w:rPr>
                <w:spacing w:val="-3"/>
                <w:szCs w:val="20"/>
              </w:rPr>
              <w:t>). Naproti tomu posun v Rumunsku byl silný (ze 17</w:t>
            </w:r>
            <w:r w:rsidR="00192F37" w:rsidRPr="00EC1470">
              <w:rPr>
                <w:spacing w:val="-3"/>
                <w:szCs w:val="20"/>
              </w:rPr>
              <w:t> %</w:t>
            </w:r>
            <w:r w:rsidRPr="00EC1470">
              <w:rPr>
                <w:spacing w:val="-3"/>
                <w:szCs w:val="20"/>
              </w:rPr>
              <w:t xml:space="preserve"> na 38</w:t>
            </w:r>
            <w:r w:rsidR="006E33D0" w:rsidRPr="00EC1470">
              <w:rPr>
                <w:spacing w:val="-3"/>
                <w:szCs w:val="20"/>
              </w:rPr>
              <w:t> %</w:t>
            </w:r>
            <w:r w:rsidRPr="00EC1470">
              <w:rPr>
                <w:spacing w:val="-3"/>
                <w:szCs w:val="20"/>
              </w:rPr>
              <w:t>).</w:t>
            </w:r>
            <w:r w:rsidR="00D364FE">
              <w:rPr>
                <w:spacing w:val="-3"/>
                <w:szCs w:val="20"/>
              </w:rPr>
              <w:t xml:space="preserve"> </w:t>
            </w:r>
            <w:r w:rsidR="00D364FE">
              <w:rPr>
                <w:spacing w:val="-2"/>
                <w:szCs w:val="20"/>
              </w:rPr>
              <w:t>Ve vztahu k průmyslu v celé EU27 činila v roce 2018 koupěschopnost tuzemských hodinových mezd 64 %.</w:t>
            </w:r>
          </w:p>
        </w:tc>
      </w:tr>
      <w:tr w:rsidR="00097078" w14:paraId="0719F076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E08B0" w14:textId="0898E608" w:rsidR="00097078" w:rsidRDefault="00097078" w:rsidP="0001653D">
            <w:pPr>
              <w:pStyle w:val="Marginlie"/>
            </w:pPr>
            <w:r>
              <w:t xml:space="preserve">Úplné hodinové náklady práce na zaměstnance v průmyslu byly v roce 2018 </w:t>
            </w:r>
            <w:r w:rsidR="0001653D">
              <w:t>v </w:t>
            </w:r>
            <w:r>
              <w:t>ČR jedenácté nejnižší mezi státy EU.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FF7BE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00985" w14:textId="161EDA24" w:rsidR="00097078" w:rsidRDefault="00097078" w:rsidP="00044059">
            <w:pPr>
              <w:spacing w:after="220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Na problematiku ocenění pracovní síly je možné nazírat </w:t>
            </w:r>
            <w:r w:rsidR="00307E77">
              <w:rPr>
                <w:spacing w:val="-2"/>
                <w:szCs w:val="20"/>
              </w:rPr>
              <w:t>i </w:t>
            </w:r>
            <w:r>
              <w:rPr>
                <w:spacing w:val="-2"/>
                <w:szCs w:val="20"/>
              </w:rPr>
              <w:t xml:space="preserve">z pohledu zaměstnavatelů. V takovém případě je třeba uvažovat </w:t>
            </w:r>
            <w:r w:rsidR="00307E77">
              <w:rPr>
                <w:spacing w:val="-2"/>
                <w:szCs w:val="20"/>
              </w:rPr>
              <w:t>o </w:t>
            </w:r>
            <w:r>
              <w:rPr>
                <w:spacing w:val="-2"/>
                <w:szCs w:val="20"/>
              </w:rPr>
              <w:t xml:space="preserve">úplných nákladech práce, které vedle dominantní složky mezd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 xml:space="preserve">platů zahrnují </w:t>
            </w:r>
            <w:r w:rsidR="00307E77">
              <w:rPr>
                <w:spacing w:val="-2"/>
                <w:szCs w:val="20"/>
              </w:rPr>
              <w:t>i </w:t>
            </w:r>
            <w:r>
              <w:rPr>
                <w:spacing w:val="-2"/>
                <w:szCs w:val="20"/>
              </w:rPr>
              <w:t>další náklady</w:t>
            </w:r>
            <w:r w:rsidR="0001653D">
              <w:rPr>
                <w:spacing w:val="-2"/>
                <w:szCs w:val="20"/>
              </w:rPr>
              <w:t> </w:t>
            </w:r>
            <w:r>
              <w:rPr>
                <w:spacing w:val="-2"/>
                <w:szCs w:val="20"/>
              </w:rPr>
              <w:t xml:space="preserve">– sociální příspěvky zaměstnavatelů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 xml:space="preserve">saldo daní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 xml:space="preserve">dotací spojených se zaměstnáváním osob.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>protože nadnárodní firmy mohou pracovní místa vytvářet mj.</w:t>
            </w:r>
            <w:r w:rsidR="0001653D">
              <w:rPr>
                <w:spacing w:val="-2"/>
                <w:szCs w:val="20"/>
              </w:rPr>
              <w:t> </w:t>
            </w:r>
            <w:r>
              <w:rPr>
                <w:spacing w:val="-2"/>
                <w:szCs w:val="20"/>
              </w:rPr>
              <w:t>v různých zemích EU, je vhodné vyjádřit náklady v eurech. V rámci EU dlouhodobě panují obrovské rozdíly v hodinových nákladech na pracovníka v průmyslu. Maxima dosahovaly v roce 2019 v Dánsku (41,</w:t>
            </w:r>
            <w:r w:rsidR="00307E77">
              <w:rPr>
                <w:spacing w:val="-2"/>
                <w:szCs w:val="20"/>
              </w:rPr>
              <w:t>3 </w:t>
            </w:r>
            <w:r w:rsidR="0001653D">
              <w:rPr>
                <w:spacing w:val="-2"/>
                <w:szCs w:val="20"/>
              </w:rPr>
              <w:t>eura</w:t>
            </w:r>
            <w:r>
              <w:rPr>
                <w:spacing w:val="-2"/>
                <w:szCs w:val="20"/>
              </w:rPr>
              <w:t xml:space="preserve">), </w:t>
            </w:r>
            <w:r w:rsidR="00797D5F">
              <w:rPr>
                <w:spacing w:val="-2"/>
                <w:szCs w:val="20"/>
              </w:rPr>
              <w:t xml:space="preserve">minima </w:t>
            </w:r>
            <w:r w:rsidR="00307E77">
              <w:rPr>
                <w:spacing w:val="-2"/>
                <w:szCs w:val="20"/>
              </w:rPr>
              <w:t>v </w:t>
            </w:r>
            <w:r>
              <w:rPr>
                <w:spacing w:val="-2"/>
                <w:szCs w:val="20"/>
              </w:rPr>
              <w:t>Bulharsku (5,</w:t>
            </w:r>
            <w:r w:rsidR="00307E77">
              <w:rPr>
                <w:spacing w:val="-2"/>
                <w:szCs w:val="20"/>
              </w:rPr>
              <w:t>7 </w:t>
            </w:r>
            <w:r w:rsidR="0001653D">
              <w:rPr>
                <w:spacing w:val="-2"/>
                <w:szCs w:val="20"/>
              </w:rPr>
              <w:t>eura</w:t>
            </w:r>
            <w:r>
              <w:rPr>
                <w:spacing w:val="-2"/>
                <w:szCs w:val="20"/>
              </w:rPr>
              <w:t>). Náklady v Česku dosahovaly 48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 úrovně EU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>mezi jejími členy byly jedenácté nejnižší (9,</w:t>
            </w:r>
            <w:r w:rsidR="00307E77">
              <w:rPr>
                <w:spacing w:val="-2"/>
                <w:szCs w:val="20"/>
              </w:rPr>
              <w:t>9 </w:t>
            </w:r>
            <w:r w:rsidR="0001653D">
              <w:rPr>
                <w:spacing w:val="-2"/>
                <w:szCs w:val="20"/>
              </w:rPr>
              <w:t>eura</w:t>
            </w:r>
            <w:r>
              <w:rPr>
                <w:spacing w:val="-2"/>
                <w:szCs w:val="20"/>
              </w:rPr>
              <w:t>). Z novějších států Unie však převyšovaly úroveň ČR jen tři</w:t>
            </w:r>
            <w:r w:rsidR="0001653D">
              <w:rPr>
                <w:spacing w:val="-2"/>
                <w:szCs w:val="20"/>
              </w:rPr>
              <w:t> </w:t>
            </w:r>
            <w:r>
              <w:rPr>
                <w:spacing w:val="-2"/>
                <w:szCs w:val="20"/>
              </w:rPr>
              <w:t xml:space="preserve">– Slovinsko (19,2), Malta (14,3) </w:t>
            </w:r>
            <w:r w:rsidR="00307E77">
              <w:rPr>
                <w:spacing w:val="-2"/>
                <w:szCs w:val="20"/>
              </w:rPr>
              <w:t>a </w:t>
            </w:r>
            <w:r>
              <w:rPr>
                <w:spacing w:val="-2"/>
                <w:szCs w:val="20"/>
              </w:rPr>
              <w:t>Kypr (14,1).</w:t>
            </w:r>
          </w:p>
        </w:tc>
      </w:tr>
      <w:tr w:rsidR="00097078" w14:paraId="7641EE07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A9ABD" w14:textId="77777777" w:rsidR="00097078" w:rsidRDefault="00097078" w:rsidP="00044059">
            <w:pPr>
              <w:pStyle w:val="Marginlie"/>
            </w:pPr>
            <w:r>
              <w:t>Podíl nemzdových nákladů práce patří v Česku v rámci EU dlouhodobě k nadprůměrným.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EFD28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2BFB9" w14:textId="73C637E9" w:rsidR="00097078" w:rsidRPr="000B21DD" w:rsidRDefault="00097078" w:rsidP="00044059">
            <w:pPr>
              <w:spacing w:after="220"/>
              <w:rPr>
                <w:spacing w:val="-4"/>
                <w:szCs w:val="20"/>
              </w:rPr>
            </w:pPr>
            <w:r w:rsidRPr="000B21DD">
              <w:rPr>
                <w:spacing w:val="-4"/>
                <w:szCs w:val="20"/>
              </w:rPr>
              <w:t xml:space="preserve">Přestože </w:t>
            </w:r>
            <w:r w:rsidR="00BD26F7" w:rsidRPr="000B21DD">
              <w:rPr>
                <w:spacing w:val="-4"/>
                <w:szCs w:val="20"/>
              </w:rPr>
              <w:t xml:space="preserve">rozdíly </w:t>
            </w:r>
            <w:r w:rsidR="00C211B3">
              <w:rPr>
                <w:spacing w:val="-4"/>
                <w:szCs w:val="20"/>
              </w:rPr>
              <w:t>v </w:t>
            </w:r>
            <w:r w:rsidR="00BD26F7" w:rsidRPr="000B21DD">
              <w:rPr>
                <w:spacing w:val="-4"/>
                <w:szCs w:val="20"/>
              </w:rPr>
              <w:t xml:space="preserve">celkových </w:t>
            </w:r>
            <w:r w:rsidR="00C211B3" w:rsidRPr="000B21DD">
              <w:rPr>
                <w:spacing w:val="-4"/>
                <w:szCs w:val="20"/>
              </w:rPr>
              <w:t>náklad</w:t>
            </w:r>
            <w:r w:rsidR="00C211B3">
              <w:rPr>
                <w:spacing w:val="-4"/>
                <w:szCs w:val="20"/>
              </w:rPr>
              <w:t>ech</w:t>
            </w:r>
            <w:r w:rsidR="00C211B3" w:rsidRPr="000B21DD">
              <w:rPr>
                <w:spacing w:val="-4"/>
                <w:szCs w:val="20"/>
              </w:rPr>
              <w:t xml:space="preserve"> </w:t>
            </w:r>
            <w:r w:rsidR="00BD26F7" w:rsidRPr="000B21DD">
              <w:rPr>
                <w:spacing w:val="-4"/>
                <w:szCs w:val="20"/>
              </w:rPr>
              <w:t xml:space="preserve">práce </w:t>
            </w:r>
            <w:r w:rsidRPr="000B21DD">
              <w:rPr>
                <w:spacing w:val="-4"/>
                <w:szCs w:val="20"/>
              </w:rPr>
              <w:t>mezi státy odráž</w:t>
            </w:r>
            <w:r w:rsidR="00D73127">
              <w:rPr>
                <w:spacing w:val="-4"/>
                <w:szCs w:val="20"/>
              </w:rPr>
              <w:t>ej</w:t>
            </w:r>
            <w:r w:rsidRPr="000B21DD">
              <w:rPr>
                <w:spacing w:val="-4"/>
                <w:szCs w:val="20"/>
              </w:rPr>
              <w:t xml:space="preserve">í zejména mzdové výdaje podniků, role ostatních nákladů není zdaleka zanedbatelná. </w:t>
            </w:r>
            <w:r w:rsidR="002E1475" w:rsidRPr="000B21DD">
              <w:rPr>
                <w:spacing w:val="-4"/>
                <w:szCs w:val="20"/>
              </w:rPr>
              <w:t>Ty v</w:t>
            </w:r>
            <w:r w:rsidRPr="000B21DD">
              <w:rPr>
                <w:spacing w:val="-4"/>
                <w:szCs w:val="20"/>
              </w:rPr>
              <w:t> sedmnácti zemích EU tvořily v roce 2019 více než pětinu všech pracovních nákladů, z </w:t>
            </w:r>
            <w:r w:rsidR="00CE2061" w:rsidRPr="000B21DD">
              <w:rPr>
                <w:spacing w:val="-4"/>
                <w:szCs w:val="20"/>
              </w:rPr>
              <w:t>toho v </w:t>
            </w:r>
            <w:r w:rsidR="00D73127" w:rsidRPr="000B21DD">
              <w:rPr>
                <w:spacing w:val="-4"/>
                <w:szCs w:val="20"/>
              </w:rPr>
              <w:t>It</w:t>
            </w:r>
            <w:r w:rsidR="00D73127">
              <w:rPr>
                <w:spacing w:val="-4"/>
                <w:szCs w:val="20"/>
              </w:rPr>
              <w:t>á</w:t>
            </w:r>
            <w:r w:rsidR="00D73127" w:rsidRPr="000B21DD">
              <w:rPr>
                <w:spacing w:val="-4"/>
                <w:szCs w:val="20"/>
              </w:rPr>
              <w:t xml:space="preserve">lii </w:t>
            </w:r>
            <w:r w:rsidR="00CE2061" w:rsidRPr="000B21DD">
              <w:rPr>
                <w:spacing w:val="-4"/>
                <w:szCs w:val="20"/>
              </w:rPr>
              <w:t xml:space="preserve">či </w:t>
            </w:r>
            <w:r w:rsidR="00D73127">
              <w:rPr>
                <w:spacing w:val="-4"/>
                <w:szCs w:val="20"/>
              </w:rPr>
              <w:t xml:space="preserve">ve </w:t>
            </w:r>
            <w:r w:rsidR="00CE2061" w:rsidRPr="000B21DD">
              <w:rPr>
                <w:spacing w:val="-4"/>
                <w:szCs w:val="20"/>
              </w:rPr>
              <w:t xml:space="preserve">Švédsku </w:t>
            </w:r>
            <w:r w:rsidRPr="000B21DD">
              <w:rPr>
                <w:spacing w:val="-4"/>
                <w:szCs w:val="20"/>
              </w:rPr>
              <w:t>více než 30</w:t>
            </w:r>
            <w:r w:rsidR="006E33D0">
              <w:rPr>
                <w:spacing w:val="-4"/>
                <w:szCs w:val="20"/>
              </w:rPr>
              <w:t> %</w:t>
            </w:r>
            <w:r w:rsidRPr="000B21DD">
              <w:rPr>
                <w:spacing w:val="-4"/>
                <w:szCs w:val="20"/>
              </w:rPr>
              <w:t xml:space="preserve">. Do skupiny zemí s významnější rolí vedlejších nákladů práce dlouhodobě patří </w:t>
            </w:r>
            <w:r w:rsidR="00307E77" w:rsidRPr="000B21DD">
              <w:rPr>
                <w:spacing w:val="-4"/>
                <w:szCs w:val="20"/>
              </w:rPr>
              <w:t>i</w:t>
            </w:r>
            <w:r w:rsidR="00307E77">
              <w:rPr>
                <w:spacing w:val="-4"/>
                <w:szCs w:val="20"/>
              </w:rPr>
              <w:t> </w:t>
            </w:r>
            <w:r w:rsidRPr="000B21DD">
              <w:rPr>
                <w:spacing w:val="-4"/>
                <w:szCs w:val="20"/>
              </w:rPr>
              <w:t>Česko či Slovensko (shodně 27</w:t>
            </w:r>
            <w:r w:rsidR="006E33D0">
              <w:rPr>
                <w:spacing w:val="-4"/>
                <w:szCs w:val="20"/>
              </w:rPr>
              <w:t> %</w:t>
            </w:r>
            <w:r w:rsidRPr="000B21DD">
              <w:rPr>
                <w:spacing w:val="-4"/>
                <w:szCs w:val="20"/>
              </w:rPr>
              <w:t>). Naproti tomu méně než desetinovou váhu měly jen v některých malých</w:t>
            </w:r>
            <w:r w:rsidR="007567BD" w:rsidRPr="000B21DD">
              <w:rPr>
                <w:spacing w:val="-4"/>
                <w:szCs w:val="20"/>
              </w:rPr>
              <w:t xml:space="preserve"> ekonomikách (Malta, Litva). Role</w:t>
            </w:r>
            <w:r w:rsidRPr="000B21DD">
              <w:rPr>
                <w:spacing w:val="-4"/>
                <w:szCs w:val="20"/>
              </w:rPr>
              <w:t xml:space="preserve"> vedlejších nákladů práce souvisí </w:t>
            </w:r>
            <w:r w:rsidRPr="000B21DD">
              <w:rPr>
                <w:spacing w:val="-4"/>
                <w:szCs w:val="20"/>
              </w:rPr>
              <w:lastRenderedPageBreak/>
              <w:t xml:space="preserve">především </w:t>
            </w:r>
            <w:r w:rsidR="00307E77" w:rsidRPr="000B21DD">
              <w:rPr>
                <w:spacing w:val="-4"/>
                <w:szCs w:val="20"/>
              </w:rPr>
              <w:t>s</w:t>
            </w:r>
            <w:r w:rsidR="00307E77">
              <w:rPr>
                <w:spacing w:val="-4"/>
                <w:szCs w:val="20"/>
              </w:rPr>
              <w:t> </w:t>
            </w:r>
            <w:r w:rsidRPr="000B21DD">
              <w:rPr>
                <w:spacing w:val="-4"/>
                <w:szCs w:val="20"/>
              </w:rPr>
              <w:t xml:space="preserve">nastavením daňového </w:t>
            </w:r>
            <w:r w:rsidR="00307E77" w:rsidRPr="000B21DD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0B21DD">
              <w:rPr>
                <w:spacing w:val="-4"/>
                <w:szCs w:val="20"/>
              </w:rPr>
              <w:t>pojistného systému v jednotlivých státech. Součástí veřejných rozpočtů je nejen většina sociálních příspěvků, ale také daně, které odvád</w:t>
            </w:r>
            <w:r w:rsidR="00D73127">
              <w:rPr>
                <w:spacing w:val="-4"/>
                <w:szCs w:val="20"/>
              </w:rPr>
              <w:t>ěj</w:t>
            </w:r>
            <w:r w:rsidRPr="000B21DD">
              <w:rPr>
                <w:spacing w:val="-4"/>
                <w:szCs w:val="20"/>
              </w:rPr>
              <w:t>í zaměstnanci ze svých hrubých výdělků. Relativně nižší váha sociálních příspěvků v rámci všech pracovních nákladů může být v některých státech kompenzována vyšší</w:t>
            </w:r>
            <w:r w:rsidR="007567BD" w:rsidRPr="000B21DD">
              <w:rPr>
                <w:spacing w:val="-4"/>
                <w:szCs w:val="20"/>
              </w:rPr>
              <w:t>m</w:t>
            </w:r>
            <w:r w:rsidRPr="000B21DD">
              <w:rPr>
                <w:spacing w:val="-4"/>
                <w:szCs w:val="20"/>
              </w:rPr>
              <w:t xml:space="preserve"> zdanění</w:t>
            </w:r>
            <w:r w:rsidR="007567BD" w:rsidRPr="000B21DD">
              <w:rPr>
                <w:spacing w:val="-4"/>
                <w:szCs w:val="20"/>
              </w:rPr>
              <w:t>m</w:t>
            </w:r>
            <w:r w:rsidRPr="000B21DD">
              <w:rPr>
                <w:spacing w:val="-4"/>
                <w:szCs w:val="20"/>
              </w:rPr>
              <w:t xml:space="preserve"> mezd.</w:t>
            </w:r>
          </w:p>
        </w:tc>
      </w:tr>
      <w:tr w:rsidR="00097078" w14:paraId="46B967E7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569DE" w14:textId="77777777" w:rsidR="00097078" w:rsidRDefault="00097078" w:rsidP="00044059">
            <w:pPr>
              <w:pStyle w:val="Marginlie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B5613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1C403" w14:textId="25B8872E" w:rsidR="00097078" w:rsidRPr="008909FB" w:rsidRDefault="004C0391" w:rsidP="00044059">
            <w:pPr>
              <w:spacing w:after="0"/>
              <w:rPr>
                <w:b/>
                <w:spacing w:val="-2"/>
                <w:szCs w:val="20"/>
              </w:rPr>
            </w:pPr>
            <w:r>
              <w:rPr>
                <w:b/>
                <w:spacing w:val="-2"/>
                <w:szCs w:val="20"/>
              </w:rPr>
              <w:t>Graf</w:t>
            </w:r>
            <w:r w:rsidR="006E33D0">
              <w:rPr>
                <w:b/>
                <w:spacing w:val="-2"/>
                <w:szCs w:val="20"/>
              </w:rPr>
              <w:t xml:space="preserve"> č. </w:t>
            </w:r>
            <w:r>
              <w:rPr>
                <w:b/>
                <w:spacing w:val="-2"/>
                <w:szCs w:val="20"/>
              </w:rPr>
              <w:t>20</w:t>
            </w:r>
            <w:r w:rsidR="00097078" w:rsidRPr="00FE531D">
              <w:rPr>
                <w:b/>
                <w:spacing w:val="-2"/>
                <w:szCs w:val="20"/>
              </w:rPr>
              <w:t xml:space="preserve">  </w:t>
            </w:r>
            <w:r w:rsidR="00097078" w:rsidRPr="009E447F">
              <w:rPr>
                <w:b/>
                <w:bCs/>
                <w:spacing w:val="-2"/>
                <w:szCs w:val="20"/>
              </w:rPr>
              <w:t xml:space="preserve">Průměrné hodinové náklady práce </w:t>
            </w:r>
            <w:r w:rsidR="00097078">
              <w:rPr>
                <w:b/>
                <w:bCs/>
                <w:spacing w:val="-2"/>
                <w:szCs w:val="20"/>
              </w:rPr>
              <w:t xml:space="preserve">v průmyslu </w:t>
            </w:r>
            <w:r w:rsidR="00097078" w:rsidRPr="00FE531D">
              <w:rPr>
                <w:b/>
                <w:spacing w:val="-2"/>
                <w:szCs w:val="20"/>
              </w:rPr>
              <w:t>ve vybraných evropských státech</w:t>
            </w:r>
            <w:r w:rsidR="00097078">
              <w:rPr>
                <w:b/>
                <w:spacing w:val="-2"/>
                <w:szCs w:val="20"/>
              </w:rPr>
              <w:t xml:space="preserve"> </w:t>
            </w:r>
            <w:r w:rsidR="00097078" w:rsidRPr="00FE531D">
              <w:rPr>
                <w:spacing w:val="-2"/>
                <w:szCs w:val="20"/>
              </w:rPr>
              <w:t xml:space="preserve">(na </w:t>
            </w:r>
            <w:r w:rsidR="00307E77" w:rsidRPr="00FE531D">
              <w:rPr>
                <w:spacing w:val="-2"/>
                <w:szCs w:val="20"/>
              </w:rPr>
              <w:t>1</w:t>
            </w:r>
            <w:r w:rsidR="00307E77">
              <w:rPr>
                <w:spacing w:val="-2"/>
                <w:szCs w:val="20"/>
              </w:rPr>
              <w:t> </w:t>
            </w:r>
            <w:r w:rsidR="00097078" w:rsidRPr="00FE531D">
              <w:rPr>
                <w:spacing w:val="-2"/>
                <w:szCs w:val="20"/>
              </w:rPr>
              <w:t>zaměstnance, v</w:t>
            </w:r>
            <w:r w:rsidR="00097078" w:rsidRPr="00FE531D">
              <w:rPr>
                <w:b/>
                <w:spacing w:val="-2"/>
                <w:szCs w:val="20"/>
              </w:rPr>
              <w:t> </w:t>
            </w:r>
            <w:r w:rsidR="00D25397">
              <w:rPr>
                <w:spacing w:val="-2"/>
                <w:szCs w:val="20"/>
              </w:rPr>
              <w:t>eurech</w:t>
            </w:r>
            <w:r w:rsidR="00097078" w:rsidRPr="00FE531D">
              <w:rPr>
                <w:spacing w:val="-2"/>
                <w:szCs w:val="20"/>
              </w:rPr>
              <w:t>)</w:t>
            </w:r>
          </w:p>
        </w:tc>
      </w:tr>
      <w:tr w:rsidR="00097078" w14:paraId="3F8D55C2" w14:textId="77777777" w:rsidTr="00BA35B6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3E754" w14:textId="77777777" w:rsidR="00097078" w:rsidRDefault="00097078" w:rsidP="00044059">
            <w:pPr>
              <w:pStyle w:val="Marginlie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E5642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00C86" w14:textId="5B799851" w:rsidR="00097078" w:rsidRDefault="007964CF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D544FF" wp14:editId="1D167074">
                  <wp:extent cx="4817660" cy="3445510"/>
                  <wp:effectExtent l="0" t="0" r="2540" b="2540"/>
                  <wp:docPr id="17" name="Graf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097078" w14:paraId="4D34D219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FCE97" w14:textId="77777777" w:rsidR="00097078" w:rsidRDefault="00097078" w:rsidP="00044059">
            <w:pPr>
              <w:pStyle w:val="Marginlie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54BE6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D055B" w14:textId="77777777" w:rsidR="00307E77" w:rsidRDefault="00097078" w:rsidP="00044059">
            <w:pPr>
              <w:spacing w:after="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 xml:space="preserve">Poznámka: Údaje za Černou Horu, Bosnu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 xml:space="preserve">Hercegovinu, Severní Makedonii </w:t>
            </w:r>
            <w:r w:rsidR="00307E77" w:rsidRPr="00F710D4">
              <w:rPr>
                <w:sz w:val="14"/>
                <w:szCs w:val="14"/>
              </w:rPr>
              <w:t>a</w:t>
            </w:r>
            <w:r w:rsidR="00307E77">
              <w:rPr>
                <w:sz w:val="14"/>
                <w:szCs w:val="14"/>
              </w:rPr>
              <w:t> </w:t>
            </w:r>
            <w:r w:rsidRPr="00F710D4">
              <w:rPr>
                <w:sz w:val="14"/>
                <w:szCs w:val="14"/>
              </w:rPr>
              <w:t>Albánii nebyly za rok 2019 dostupné.</w:t>
            </w:r>
          </w:p>
          <w:p w14:paraId="4907D9A1" w14:textId="6FC27F5D" w:rsidR="00097078" w:rsidRDefault="00097078" w:rsidP="00044059">
            <w:pPr>
              <w:spacing w:after="220"/>
              <w:rPr>
                <w:sz w:val="16"/>
                <w:szCs w:val="16"/>
              </w:rPr>
            </w:pPr>
            <w:r w:rsidRPr="00F710D4">
              <w:rPr>
                <w:sz w:val="14"/>
                <w:szCs w:val="14"/>
              </w:rPr>
              <w:t xml:space="preserve">Zdroj: </w:t>
            </w:r>
            <w:proofErr w:type="spellStart"/>
            <w:r w:rsidRPr="00F710D4">
              <w:rPr>
                <w:sz w:val="14"/>
                <w:szCs w:val="14"/>
              </w:rPr>
              <w:t>Eurostat</w:t>
            </w:r>
            <w:proofErr w:type="spellEnd"/>
          </w:p>
        </w:tc>
      </w:tr>
      <w:tr w:rsidR="00097078" w14:paraId="51A13EAB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CF666" w14:textId="142D3AE7" w:rsidR="00097078" w:rsidRDefault="003678F2" w:rsidP="00044059">
            <w:pPr>
              <w:pStyle w:val="Marginlie"/>
            </w:pPr>
            <w:r>
              <w:t xml:space="preserve">Poměr mezi státy s nejvyššími </w:t>
            </w:r>
            <w:r w:rsidR="00307E77">
              <w:t>a </w:t>
            </w:r>
            <w:r w:rsidR="009C5FEA">
              <w:t xml:space="preserve">nejnižšími hodinovými náklady práce klesl mezi roky 2008 </w:t>
            </w:r>
            <w:r w:rsidR="00307E77">
              <w:t>a </w:t>
            </w:r>
            <w:r w:rsidR="009C5FEA">
              <w:t xml:space="preserve">2019 skoro </w:t>
            </w:r>
            <w:r w:rsidR="00307E77">
              <w:t>o </w:t>
            </w:r>
            <w:r w:rsidR="009C5FEA">
              <w:t>polovinu.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5A7C8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27FE4" w14:textId="17A7705A" w:rsidR="00097078" w:rsidRPr="009C5FEA" w:rsidRDefault="00097078" w:rsidP="00044059">
            <w:pPr>
              <w:spacing w:after="220"/>
              <w:rPr>
                <w:spacing w:val="-4"/>
                <w:szCs w:val="20"/>
              </w:rPr>
            </w:pPr>
            <w:r w:rsidRPr="009C5FEA">
              <w:rPr>
                <w:spacing w:val="-4"/>
                <w:szCs w:val="20"/>
              </w:rPr>
              <w:t xml:space="preserve">Mezi roky 2016 </w:t>
            </w:r>
            <w:r w:rsidR="00307E77" w:rsidRPr="009C5FEA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9C5FEA">
              <w:rPr>
                <w:spacing w:val="-4"/>
                <w:szCs w:val="20"/>
              </w:rPr>
              <w:t>2019 došlo v rámci EU k nejvyššímu růstu úplných průměrných hodinových nákladů práce v průmyslu v Bulharsku (36</w:t>
            </w:r>
            <w:r w:rsidR="006E33D0">
              <w:rPr>
                <w:spacing w:val="-4"/>
                <w:szCs w:val="20"/>
              </w:rPr>
              <w:t> %</w:t>
            </w:r>
            <w:r w:rsidRPr="009C5FEA">
              <w:rPr>
                <w:spacing w:val="-4"/>
                <w:szCs w:val="20"/>
              </w:rPr>
              <w:t>), Rumunsku (35</w:t>
            </w:r>
            <w:r w:rsidR="006E33D0">
              <w:rPr>
                <w:spacing w:val="-4"/>
                <w:szCs w:val="20"/>
              </w:rPr>
              <w:t> %</w:t>
            </w:r>
            <w:r w:rsidRPr="009C5FEA">
              <w:rPr>
                <w:spacing w:val="-4"/>
                <w:szCs w:val="20"/>
              </w:rPr>
              <w:t xml:space="preserve">) </w:t>
            </w:r>
            <w:r w:rsidR="00307E77" w:rsidRPr="009C5FEA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="003678F2">
              <w:rPr>
                <w:spacing w:val="-4"/>
                <w:szCs w:val="20"/>
              </w:rPr>
              <w:t xml:space="preserve">také </w:t>
            </w:r>
            <w:r w:rsidR="00307E77">
              <w:rPr>
                <w:spacing w:val="-4"/>
                <w:szCs w:val="20"/>
              </w:rPr>
              <w:t>v </w:t>
            </w:r>
            <w:r w:rsidR="003678F2">
              <w:rPr>
                <w:spacing w:val="-4"/>
                <w:szCs w:val="20"/>
              </w:rPr>
              <w:t xml:space="preserve">Česku (31 %), kde ke svižnému růstu </w:t>
            </w:r>
            <w:r w:rsidRPr="009C5FEA">
              <w:rPr>
                <w:spacing w:val="-4"/>
                <w:szCs w:val="20"/>
              </w:rPr>
              <w:t xml:space="preserve">zčásti přispělo </w:t>
            </w:r>
            <w:r w:rsidR="00307E77" w:rsidRPr="009C5FEA">
              <w:rPr>
                <w:spacing w:val="-4"/>
                <w:szCs w:val="20"/>
              </w:rPr>
              <w:t>i</w:t>
            </w:r>
            <w:r w:rsidR="00307E77">
              <w:rPr>
                <w:spacing w:val="-4"/>
                <w:szCs w:val="20"/>
              </w:rPr>
              <w:t> </w:t>
            </w:r>
            <w:r w:rsidRPr="009C5FEA">
              <w:rPr>
                <w:spacing w:val="-4"/>
                <w:szCs w:val="20"/>
              </w:rPr>
              <w:t>posílení koruny vůči euru. V delším období 2006 až 2018 vzrostly pracovní náklady nejvíce v Bulharsku (</w:t>
            </w:r>
            <w:r w:rsidR="00307E77" w:rsidRPr="009C5FEA">
              <w:rPr>
                <w:spacing w:val="-4"/>
                <w:szCs w:val="20"/>
              </w:rPr>
              <w:t>o</w:t>
            </w:r>
            <w:r w:rsidR="00307E77">
              <w:rPr>
                <w:spacing w:val="-4"/>
                <w:szCs w:val="20"/>
              </w:rPr>
              <w:t> </w:t>
            </w:r>
            <w:r w:rsidRPr="009C5FEA">
              <w:rPr>
                <w:spacing w:val="-4"/>
                <w:szCs w:val="20"/>
              </w:rPr>
              <w:t>128</w:t>
            </w:r>
            <w:r w:rsidR="006E33D0">
              <w:rPr>
                <w:spacing w:val="-4"/>
                <w:szCs w:val="20"/>
              </w:rPr>
              <w:t> %</w:t>
            </w:r>
            <w:r w:rsidRPr="009C5FEA">
              <w:rPr>
                <w:spacing w:val="-4"/>
                <w:szCs w:val="20"/>
              </w:rPr>
              <w:t xml:space="preserve">), </w:t>
            </w:r>
            <w:r w:rsidR="004D26B7">
              <w:rPr>
                <w:spacing w:val="-4"/>
                <w:szCs w:val="20"/>
              </w:rPr>
              <w:t xml:space="preserve">na </w:t>
            </w:r>
            <w:r w:rsidR="003678F2">
              <w:rPr>
                <w:spacing w:val="-4"/>
                <w:szCs w:val="20"/>
              </w:rPr>
              <w:t>Slovensku (82</w:t>
            </w:r>
            <w:r w:rsidR="006E33D0">
              <w:rPr>
                <w:spacing w:val="-4"/>
                <w:szCs w:val="20"/>
              </w:rPr>
              <w:t> %</w:t>
            </w:r>
            <w:r w:rsidR="003678F2">
              <w:rPr>
                <w:spacing w:val="-4"/>
                <w:szCs w:val="20"/>
              </w:rPr>
              <w:t xml:space="preserve">) </w:t>
            </w:r>
            <w:r w:rsidR="00307E77">
              <w:rPr>
                <w:spacing w:val="-4"/>
                <w:szCs w:val="20"/>
              </w:rPr>
              <w:t>a </w:t>
            </w:r>
            <w:r w:rsidR="004D26B7">
              <w:rPr>
                <w:spacing w:val="-4"/>
                <w:szCs w:val="20"/>
              </w:rPr>
              <w:t>v </w:t>
            </w:r>
            <w:r w:rsidR="003678F2">
              <w:rPr>
                <w:spacing w:val="-4"/>
                <w:szCs w:val="20"/>
              </w:rPr>
              <w:t>Lotyšsku (78</w:t>
            </w:r>
            <w:r w:rsidR="003678F2" w:rsidRPr="009C5FEA">
              <w:rPr>
                <w:spacing w:val="-4"/>
                <w:szCs w:val="20"/>
              </w:rPr>
              <w:t> </w:t>
            </w:r>
            <w:r w:rsidRPr="009C5FEA">
              <w:rPr>
                <w:spacing w:val="-4"/>
                <w:szCs w:val="20"/>
              </w:rPr>
              <w:t>%). V Česku činil růst 51</w:t>
            </w:r>
            <w:r w:rsidR="006E33D0">
              <w:rPr>
                <w:spacing w:val="-4"/>
                <w:szCs w:val="20"/>
              </w:rPr>
              <w:t> %</w:t>
            </w:r>
            <w:r w:rsidRPr="009C5FEA">
              <w:rPr>
                <w:spacing w:val="-4"/>
                <w:szCs w:val="20"/>
              </w:rPr>
              <w:t xml:space="preserve">, v Polsku </w:t>
            </w:r>
            <w:r w:rsidR="00307E77" w:rsidRPr="009C5FEA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9C5FEA">
              <w:rPr>
                <w:spacing w:val="-4"/>
                <w:szCs w:val="20"/>
              </w:rPr>
              <w:t>Maďarsku shodně 40</w:t>
            </w:r>
            <w:r w:rsidR="006E33D0">
              <w:rPr>
                <w:spacing w:val="-4"/>
                <w:szCs w:val="20"/>
              </w:rPr>
              <w:t> %</w:t>
            </w:r>
            <w:r w:rsidRPr="009C5FEA">
              <w:rPr>
                <w:spacing w:val="-4"/>
                <w:szCs w:val="20"/>
              </w:rPr>
              <w:t>. K poklesu došlo jen v Řecku (</w:t>
            </w:r>
            <w:r w:rsidR="00307E77" w:rsidRPr="009C5FEA">
              <w:rPr>
                <w:spacing w:val="-4"/>
                <w:szCs w:val="20"/>
              </w:rPr>
              <w:t>o</w:t>
            </w:r>
            <w:r w:rsidR="00307E77">
              <w:rPr>
                <w:spacing w:val="-4"/>
                <w:szCs w:val="20"/>
              </w:rPr>
              <w:t> </w:t>
            </w:r>
            <w:r w:rsidRPr="009C5FEA">
              <w:rPr>
                <w:spacing w:val="-4"/>
                <w:szCs w:val="20"/>
              </w:rPr>
              <w:t>3</w:t>
            </w:r>
            <w:r w:rsidR="004D5B88">
              <w:rPr>
                <w:spacing w:val="-4"/>
                <w:szCs w:val="20"/>
              </w:rPr>
              <w:t> </w:t>
            </w:r>
            <w:r w:rsidRPr="009C5FEA">
              <w:rPr>
                <w:spacing w:val="-4"/>
                <w:szCs w:val="20"/>
              </w:rPr>
              <w:t xml:space="preserve">%) </w:t>
            </w:r>
            <w:r w:rsidR="00307E77" w:rsidRPr="009C5FEA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Pr="009C5FEA">
              <w:rPr>
                <w:spacing w:val="-4"/>
                <w:szCs w:val="20"/>
              </w:rPr>
              <w:t>na Kypru (</w:t>
            </w:r>
            <w:r w:rsidR="00307E77" w:rsidRPr="009C5FEA">
              <w:rPr>
                <w:spacing w:val="-4"/>
                <w:szCs w:val="20"/>
              </w:rPr>
              <w:t>o</w:t>
            </w:r>
            <w:r w:rsidR="00307E77">
              <w:rPr>
                <w:spacing w:val="-4"/>
                <w:szCs w:val="20"/>
              </w:rPr>
              <w:t> </w:t>
            </w:r>
            <w:r w:rsidRPr="009C5FEA">
              <w:rPr>
                <w:spacing w:val="-4"/>
                <w:szCs w:val="20"/>
              </w:rPr>
              <w:t>1</w:t>
            </w:r>
            <w:r w:rsidR="006E33D0">
              <w:rPr>
                <w:spacing w:val="-4"/>
                <w:szCs w:val="20"/>
              </w:rPr>
              <w:t> %</w:t>
            </w:r>
            <w:r w:rsidRPr="009C5FEA">
              <w:rPr>
                <w:spacing w:val="-4"/>
                <w:szCs w:val="20"/>
              </w:rPr>
              <w:t>).</w:t>
            </w:r>
            <w:r w:rsidR="00044059" w:rsidRPr="009C5FEA">
              <w:rPr>
                <w:spacing w:val="-4"/>
                <w:szCs w:val="20"/>
              </w:rPr>
              <w:t xml:space="preserve"> Poměr mezi státy </w:t>
            </w:r>
            <w:r w:rsidR="003678F2">
              <w:rPr>
                <w:spacing w:val="-4"/>
                <w:szCs w:val="20"/>
              </w:rPr>
              <w:t xml:space="preserve">Unie </w:t>
            </w:r>
            <w:r w:rsidR="00044059" w:rsidRPr="009C5FEA">
              <w:rPr>
                <w:spacing w:val="-4"/>
                <w:szCs w:val="20"/>
              </w:rPr>
              <w:t xml:space="preserve">s nejvyššími </w:t>
            </w:r>
            <w:r w:rsidR="00307E77" w:rsidRPr="009C5FEA">
              <w:rPr>
                <w:spacing w:val="-4"/>
                <w:szCs w:val="20"/>
              </w:rPr>
              <w:t>a</w:t>
            </w:r>
            <w:r w:rsidR="00307E77">
              <w:rPr>
                <w:spacing w:val="-4"/>
                <w:szCs w:val="20"/>
              </w:rPr>
              <w:t> </w:t>
            </w:r>
            <w:r w:rsidR="00044059" w:rsidRPr="009C5FEA">
              <w:rPr>
                <w:spacing w:val="-4"/>
                <w:szCs w:val="20"/>
              </w:rPr>
              <w:t xml:space="preserve">nejnižšími hodinovými náklady práce v průmyslu </w:t>
            </w:r>
            <w:r w:rsidR="00AC6895">
              <w:rPr>
                <w:spacing w:val="-4"/>
                <w:szCs w:val="20"/>
              </w:rPr>
              <w:t xml:space="preserve">dlouhodobě </w:t>
            </w:r>
            <w:r w:rsidR="00044059" w:rsidRPr="009C5FEA">
              <w:rPr>
                <w:spacing w:val="-4"/>
                <w:szCs w:val="20"/>
              </w:rPr>
              <w:t>plynule klesal (</w:t>
            </w:r>
            <w:r w:rsidR="00307E77" w:rsidRPr="009C5FEA">
              <w:rPr>
                <w:spacing w:val="-4"/>
                <w:szCs w:val="20"/>
              </w:rPr>
              <w:t>z</w:t>
            </w:r>
            <w:r w:rsidR="00307E77">
              <w:rPr>
                <w:spacing w:val="-4"/>
                <w:szCs w:val="20"/>
              </w:rPr>
              <w:t> </w:t>
            </w:r>
            <w:r w:rsidR="00044059" w:rsidRPr="009C5FEA">
              <w:rPr>
                <w:spacing w:val="-4"/>
                <w:szCs w:val="20"/>
              </w:rPr>
              <w:t>15,</w:t>
            </w:r>
            <w:r w:rsidR="00307E77" w:rsidRPr="009C5FEA">
              <w:rPr>
                <w:spacing w:val="-4"/>
                <w:szCs w:val="20"/>
              </w:rPr>
              <w:t>0</w:t>
            </w:r>
            <w:r w:rsidR="004D5B88">
              <w:rPr>
                <w:spacing w:val="-4"/>
                <w:szCs w:val="20"/>
              </w:rPr>
              <w:t xml:space="preserve"> </w:t>
            </w:r>
            <w:r w:rsidR="00044059" w:rsidRPr="009C5FEA">
              <w:rPr>
                <w:spacing w:val="-4"/>
                <w:szCs w:val="20"/>
              </w:rPr>
              <w:t>v roce 2008 na 8,</w:t>
            </w:r>
            <w:r w:rsidR="00307E77" w:rsidRPr="009C5FEA">
              <w:rPr>
                <w:spacing w:val="-4"/>
                <w:szCs w:val="20"/>
              </w:rPr>
              <w:t>3</w:t>
            </w:r>
            <w:r w:rsidR="004D5B88">
              <w:rPr>
                <w:spacing w:val="-4"/>
                <w:szCs w:val="20"/>
              </w:rPr>
              <w:t xml:space="preserve"> </w:t>
            </w:r>
            <w:r w:rsidR="00044059" w:rsidRPr="009C5FEA">
              <w:rPr>
                <w:spacing w:val="-4"/>
                <w:szCs w:val="20"/>
              </w:rPr>
              <w:t>v roce 2019).</w:t>
            </w:r>
          </w:p>
        </w:tc>
      </w:tr>
      <w:tr w:rsidR="00D569B1" w14:paraId="34E4C427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E1517" w14:textId="24C9CA6C" w:rsidR="00D569B1" w:rsidRDefault="003F48D7" w:rsidP="00044059">
            <w:pPr>
              <w:pStyle w:val="Marginlie"/>
            </w:pPr>
            <w:r>
              <w:t>Nejvyšší produktivit</w:t>
            </w:r>
            <w:r w:rsidR="009248DD">
              <w:t>y</w:t>
            </w:r>
            <w:r>
              <w:t xml:space="preserve"> práce v průmyslu dosahují starší členské státy EU, kde průmysl nevyniká svo</w:t>
            </w:r>
            <w:r w:rsidR="009248DD">
              <w:t>u</w:t>
            </w:r>
            <w:r>
              <w:t xml:space="preserve"> velikostí, ale výraznější specializací.</w:t>
            </w:r>
          </w:p>
          <w:p w14:paraId="15ABED92" w14:textId="77777777" w:rsidR="003F48D7" w:rsidRDefault="003F48D7" w:rsidP="00044059">
            <w:pPr>
              <w:pStyle w:val="Marginlie"/>
            </w:pPr>
          </w:p>
          <w:p w14:paraId="7FC5C830" w14:textId="77777777" w:rsidR="003F48D7" w:rsidRDefault="003F48D7" w:rsidP="00044059">
            <w:pPr>
              <w:pStyle w:val="Marginlie"/>
            </w:pPr>
          </w:p>
          <w:p w14:paraId="619DC495" w14:textId="77777777" w:rsidR="003F48D7" w:rsidRDefault="003F48D7" w:rsidP="00044059">
            <w:pPr>
              <w:pStyle w:val="Marginlie"/>
            </w:pPr>
          </w:p>
          <w:p w14:paraId="7C8B7EBD" w14:textId="77777777" w:rsidR="003F48D7" w:rsidRDefault="003F48D7" w:rsidP="00044059">
            <w:pPr>
              <w:pStyle w:val="Marginlie"/>
            </w:pPr>
          </w:p>
          <w:p w14:paraId="0E8A071C" w14:textId="77777777" w:rsidR="003F48D7" w:rsidRDefault="003F48D7" w:rsidP="00044059">
            <w:pPr>
              <w:pStyle w:val="Marginlie"/>
            </w:pPr>
            <w:r>
              <w:t>Produktivita průmyslu ve Slovinsku byla v roce 2019 téměř dvojnásobná než v Bulharsku.</w:t>
            </w:r>
          </w:p>
          <w:p w14:paraId="603F66C1" w14:textId="77777777" w:rsidR="003F48D7" w:rsidRDefault="003F48D7" w:rsidP="00044059">
            <w:pPr>
              <w:pStyle w:val="Marginlie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5F30B" w14:textId="77777777" w:rsidR="00D569B1" w:rsidRDefault="00D569B1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9F3A5" w14:textId="4F5537C1" w:rsidR="00D569B1" w:rsidRPr="009C5FEA" w:rsidRDefault="00D569B1" w:rsidP="007964CF">
            <w:pPr>
              <w:spacing w:after="220"/>
              <w:rPr>
                <w:spacing w:val="-4"/>
                <w:szCs w:val="20"/>
              </w:rPr>
            </w:pPr>
            <w:r w:rsidRPr="00EC5AA3">
              <w:rPr>
                <w:spacing w:val="-2"/>
                <w:szCs w:val="20"/>
              </w:rPr>
              <w:t xml:space="preserve">Důležitým ukazatelem, který souvisí </w:t>
            </w:r>
            <w:r w:rsidR="00307E77" w:rsidRPr="00EC5AA3">
              <w:rPr>
                <w:spacing w:val="-2"/>
                <w:szCs w:val="20"/>
              </w:rPr>
              <w:t>s</w:t>
            </w:r>
            <w:r w:rsidR="00307E77">
              <w:rPr>
                <w:spacing w:val="-2"/>
                <w:szCs w:val="20"/>
              </w:rPr>
              <w:t> </w:t>
            </w:r>
            <w:r w:rsidRPr="00EC5AA3">
              <w:rPr>
                <w:spacing w:val="-2"/>
                <w:szCs w:val="20"/>
              </w:rPr>
              <w:t xml:space="preserve">odměňováním pracovníků, je produktivita práce. Také </w:t>
            </w:r>
            <w:r w:rsidR="00307E77" w:rsidRPr="00EC5AA3">
              <w:rPr>
                <w:spacing w:val="-2"/>
                <w:szCs w:val="20"/>
              </w:rPr>
              <w:t>u</w:t>
            </w:r>
            <w:r w:rsidR="00307E77">
              <w:rPr>
                <w:spacing w:val="-2"/>
                <w:szCs w:val="20"/>
              </w:rPr>
              <w:t> </w:t>
            </w:r>
            <w:r w:rsidRPr="00EC5AA3">
              <w:rPr>
                <w:spacing w:val="-2"/>
                <w:szCs w:val="20"/>
              </w:rPr>
              <w:t xml:space="preserve">ní dlouhodobě panují v rámci EU značné rozdíly, </w:t>
            </w:r>
            <w:r w:rsidR="00307E77" w:rsidRPr="00EC5AA3">
              <w:rPr>
                <w:spacing w:val="-2"/>
                <w:szCs w:val="20"/>
              </w:rPr>
              <w:t>a</w:t>
            </w:r>
            <w:r w:rsidR="00307E77">
              <w:rPr>
                <w:spacing w:val="-2"/>
                <w:szCs w:val="20"/>
              </w:rPr>
              <w:t> </w:t>
            </w:r>
            <w:r w:rsidRPr="00EC5AA3">
              <w:rPr>
                <w:spacing w:val="-2"/>
                <w:szCs w:val="20"/>
              </w:rPr>
              <w:t xml:space="preserve">to </w:t>
            </w:r>
            <w:r w:rsidR="00307E77" w:rsidRPr="00EC5AA3">
              <w:rPr>
                <w:spacing w:val="-2"/>
                <w:szCs w:val="20"/>
              </w:rPr>
              <w:t>i</w:t>
            </w:r>
            <w:r w:rsidR="00307E77">
              <w:rPr>
                <w:spacing w:val="-2"/>
                <w:szCs w:val="20"/>
              </w:rPr>
              <w:t> </w:t>
            </w:r>
            <w:r w:rsidRPr="00EC5AA3">
              <w:rPr>
                <w:spacing w:val="-2"/>
                <w:szCs w:val="20"/>
              </w:rPr>
              <w:t xml:space="preserve">když zohledníme různé cenové hladiny v jednotlivých </w:t>
            </w:r>
            <w:r w:rsidRPr="007964CF">
              <w:rPr>
                <w:spacing w:val="-2"/>
                <w:szCs w:val="20"/>
              </w:rPr>
              <w:t>ekonomikách (</w:t>
            </w:r>
            <w:r w:rsidR="007964CF">
              <w:rPr>
                <w:spacing w:val="-2"/>
                <w:szCs w:val="20"/>
              </w:rPr>
              <w:t xml:space="preserve">vyjádřením ve </w:t>
            </w:r>
            <w:r w:rsidR="007964CF" w:rsidRPr="007964CF">
              <w:rPr>
                <w:spacing w:val="-2"/>
                <w:szCs w:val="20"/>
              </w:rPr>
              <w:t>standardu</w:t>
            </w:r>
            <w:r w:rsidRPr="007964CF">
              <w:rPr>
                <w:spacing w:val="-2"/>
                <w:szCs w:val="20"/>
              </w:rPr>
              <w:t xml:space="preserve"> kupní síly). Z pohledu produktivity práce v průmyslu se zřetelně vydělují jádrové státy EU </w:t>
            </w:r>
            <w:r w:rsidR="00307E77" w:rsidRPr="007964CF">
              <w:rPr>
                <w:spacing w:val="-2"/>
                <w:szCs w:val="20"/>
              </w:rPr>
              <w:t>a </w:t>
            </w:r>
            <w:r w:rsidRPr="007964CF">
              <w:rPr>
                <w:spacing w:val="-2"/>
                <w:szCs w:val="20"/>
              </w:rPr>
              <w:t>novější členové</w:t>
            </w:r>
            <w:r w:rsidRPr="00EC5AA3">
              <w:rPr>
                <w:spacing w:val="-2"/>
                <w:szCs w:val="20"/>
              </w:rPr>
              <w:t>, kteří do Unie vstoupili až po roce 2</w:t>
            </w:r>
            <w:r w:rsidRPr="00623B49">
              <w:rPr>
                <w:spacing w:val="-2"/>
                <w:szCs w:val="20"/>
              </w:rPr>
              <w:t xml:space="preserve">000. Excentrické postavení má </w:t>
            </w:r>
            <w:r w:rsidR="0024408E" w:rsidRPr="00623B49">
              <w:rPr>
                <w:spacing w:val="-2"/>
                <w:szCs w:val="20"/>
              </w:rPr>
              <w:t xml:space="preserve">po roce 2014 </w:t>
            </w:r>
            <w:r w:rsidRPr="00623B49">
              <w:rPr>
                <w:spacing w:val="-2"/>
                <w:szCs w:val="20"/>
              </w:rPr>
              <w:t xml:space="preserve">Irsko, velmi vysoká produktivita tamějšího průmyslu </w:t>
            </w:r>
            <w:r w:rsidR="009248DD" w:rsidRPr="00623B49">
              <w:rPr>
                <w:spacing w:val="-2"/>
                <w:szCs w:val="20"/>
              </w:rPr>
              <w:t>z </w:t>
            </w:r>
            <w:r w:rsidRPr="00623B49">
              <w:rPr>
                <w:spacing w:val="-2"/>
                <w:szCs w:val="20"/>
              </w:rPr>
              <w:t>velké části odráží vliv</w:t>
            </w:r>
            <w:r w:rsidR="006E33D0" w:rsidRPr="00623B49">
              <w:rPr>
                <w:spacing w:val="-2"/>
                <w:szCs w:val="20"/>
              </w:rPr>
              <w:t xml:space="preserve"> </w:t>
            </w:r>
            <w:r w:rsidRPr="00623B49">
              <w:rPr>
                <w:spacing w:val="-2"/>
                <w:szCs w:val="20"/>
              </w:rPr>
              <w:t xml:space="preserve">administrativního přesunu sídel </w:t>
            </w:r>
            <w:r w:rsidR="00307E77" w:rsidRPr="00623B49">
              <w:rPr>
                <w:spacing w:val="-2"/>
                <w:szCs w:val="20"/>
              </w:rPr>
              <w:t>i </w:t>
            </w:r>
            <w:r w:rsidRPr="00623B49">
              <w:rPr>
                <w:spacing w:val="-2"/>
                <w:szCs w:val="20"/>
              </w:rPr>
              <w:t>aktiv významných nadnárodních korporací</w:t>
            </w:r>
            <w:r w:rsidRPr="00623B49">
              <w:rPr>
                <w:rStyle w:val="Znakapoznpodarou"/>
                <w:spacing w:val="-2"/>
                <w:szCs w:val="20"/>
              </w:rPr>
              <w:footnoteReference w:id="30"/>
            </w:r>
            <w:r w:rsidRPr="00623B49">
              <w:rPr>
                <w:spacing w:val="-2"/>
                <w:szCs w:val="20"/>
              </w:rPr>
              <w:t xml:space="preserve">. Z ostatních států dosahovalo nadprůměrné produktivity zejména Dánsko, </w:t>
            </w:r>
            <w:r w:rsidR="00096E5B" w:rsidRPr="00623B49">
              <w:rPr>
                <w:spacing w:val="-2"/>
                <w:szCs w:val="20"/>
              </w:rPr>
              <w:t>kde</w:t>
            </w:r>
            <w:r w:rsidRPr="00623B49">
              <w:rPr>
                <w:spacing w:val="-2"/>
                <w:szCs w:val="20"/>
              </w:rPr>
              <w:t xml:space="preserve"> </w:t>
            </w:r>
            <w:r w:rsidR="00096E5B" w:rsidRPr="00623B49">
              <w:rPr>
                <w:spacing w:val="-2"/>
                <w:szCs w:val="20"/>
              </w:rPr>
              <w:t xml:space="preserve">vytvořená </w:t>
            </w:r>
            <w:r w:rsidRPr="00623B49">
              <w:rPr>
                <w:spacing w:val="-2"/>
                <w:szCs w:val="20"/>
              </w:rPr>
              <w:t xml:space="preserve">přidaná hodnota připadající na jednoho pracovníka </w:t>
            </w:r>
            <w:r w:rsidR="00096E5B" w:rsidRPr="00623B49">
              <w:rPr>
                <w:spacing w:val="-2"/>
                <w:szCs w:val="20"/>
              </w:rPr>
              <w:t xml:space="preserve">v průmyslu </w:t>
            </w:r>
            <w:r w:rsidRPr="00623B49">
              <w:rPr>
                <w:spacing w:val="-2"/>
                <w:szCs w:val="20"/>
              </w:rPr>
              <w:t>v roce 2019 převyšovala obdobn</w:t>
            </w:r>
            <w:r w:rsidR="00096E5B" w:rsidRPr="00623B49">
              <w:rPr>
                <w:spacing w:val="-2"/>
                <w:szCs w:val="20"/>
              </w:rPr>
              <w:t>ý ukazatel</w:t>
            </w:r>
            <w:r w:rsidRPr="00623B49">
              <w:rPr>
                <w:spacing w:val="-2"/>
                <w:szCs w:val="20"/>
              </w:rPr>
              <w:t xml:space="preserve"> v EU </w:t>
            </w:r>
            <w:r w:rsidR="00307E77" w:rsidRPr="00623B49">
              <w:rPr>
                <w:spacing w:val="-2"/>
                <w:szCs w:val="20"/>
              </w:rPr>
              <w:t>o </w:t>
            </w:r>
            <w:r w:rsidRPr="00623B49">
              <w:rPr>
                <w:spacing w:val="-2"/>
                <w:szCs w:val="20"/>
              </w:rPr>
              <w:t>57</w:t>
            </w:r>
            <w:r w:rsidR="006E33D0" w:rsidRPr="00623B49">
              <w:rPr>
                <w:spacing w:val="-2"/>
                <w:szCs w:val="20"/>
              </w:rPr>
              <w:t> %</w:t>
            </w:r>
            <w:r w:rsidRPr="00623B49">
              <w:rPr>
                <w:spacing w:val="-2"/>
                <w:szCs w:val="20"/>
              </w:rPr>
              <w:t xml:space="preserve">. </w:t>
            </w:r>
            <w:r w:rsidR="00307E77" w:rsidRPr="00623B49">
              <w:rPr>
                <w:spacing w:val="-2"/>
                <w:szCs w:val="20"/>
              </w:rPr>
              <w:t>O </w:t>
            </w:r>
            <w:r w:rsidRPr="00623B49">
              <w:rPr>
                <w:spacing w:val="-2"/>
                <w:szCs w:val="20"/>
              </w:rPr>
              <w:t xml:space="preserve">více než třetinu nad unijní </w:t>
            </w:r>
            <w:r w:rsidR="009248DD" w:rsidRPr="00623B49">
              <w:rPr>
                <w:spacing w:val="-2"/>
                <w:szCs w:val="20"/>
              </w:rPr>
              <w:t xml:space="preserve">úroveň </w:t>
            </w:r>
            <w:r w:rsidRPr="00623B49">
              <w:rPr>
                <w:spacing w:val="-2"/>
                <w:szCs w:val="20"/>
              </w:rPr>
              <w:t xml:space="preserve">dosahovala produktivita i v Belgii, Nizozemsku </w:t>
            </w:r>
            <w:r w:rsidR="00307E77" w:rsidRPr="00623B49">
              <w:rPr>
                <w:spacing w:val="-2"/>
                <w:szCs w:val="20"/>
              </w:rPr>
              <w:t>a </w:t>
            </w:r>
            <w:r w:rsidRPr="00623B49">
              <w:rPr>
                <w:spacing w:val="-2"/>
                <w:szCs w:val="20"/>
              </w:rPr>
              <w:t>Švédsku. Drtivá většina států s nadprůměrnou produktivitou práce v průmyslu se vyznačuje menší velikostí tohoto odvětví (</w:t>
            </w:r>
            <w:r w:rsidR="00307E77" w:rsidRPr="00623B49">
              <w:rPr>
                <w:spacing w:val="-2"/>
                <w:szCs w:val="20"/>
              </w:rPr>
              <w:t>z </w:t>
            </w:r>
            <w:r w:rsidRPr="00623B49">
              <w:rPr>
                <w:spacing w:val="-2"/>
                <w:szCs w:val="20"/>
              </w:rPr>
              <w:t>pohledu zaměstnanosti)</w:t>
            </w:r>
            <w:r w:rsidRPr="00623B49">
              <w:rPr>
                <w:rStyle w:val="Znakapoznpodarou"/>
                <w:spacing w:val="-2"/>
                <w:szCs w:val="20"/>
              </w:rPr>
              <w:footnoteReference w:id="31"/>
            </w:r>
            <w:r w:rsidRPr="00623B49">
              <w:rPr>
                <w:spacing w:val="-2"/>
                <w:szCs w:val="20"/>
              </w:rPr>
              <w:t xml:space="preserve"> </w:t>
            </w:r>
            <w:r w:rsidRPr="00623B49">
              <w:rPr>
                <w:spacing w:val="-2"/>
                <w:szCs w:val="20"/>
              </w:rPr>
              <w:lastRenderedPageBreak/>
              <w:t>i</w:t>
            </w:r>
            <w:r w:rsidRPr="00623B49">
              <w:rPr>
                <w:szCs w:val="20"/>
              </w:rPr>
              <w:t> </w:t>
            </w:r>
            <w:r w:rsidRPr="00623B49">
              <w:rPr>
                <w:spacing w:val="-2"/>
                <w:szCs w:val="20"/>
              </w:rPr>
              <w:t>výraznější specializací (zam</w:t>
            </w:r>
            <w:r w:rsidRPr="00EC5AA3">
              <w:rPr>
                <w:spacing w:val="-2"/>
                <w:szCs w:val="20"/>
              </w:rPr>
              <w:t xml:space="preserve">ěření na </w:t>
            </w:r>
            <w:proofErr w:type="spellStart"/>
            <w:r w:rsidRPr="00EC5AA3">
              <w:rPr>
                <w:spacing w:val="-2"/>
                <w:szCs w:val="20"/>
              </w:rPr>
              <w:t>high-tech</w:t>
            </w:r>
            <w:proofErr w:type="spellEnd"/>
            <w:r w:rsidRPr="00EC5AA3">
              <w:rPr>
                <w:spacing w:val="-2"/>
                <w:szCs w:val="20"/>
              </w:rPr>
              <w:t xml:space="preserve"> </w:t>
            </w:r>
            <w:r w:rsidRPr="00883FE4">
              <w:rPr>
                <w:spacing w:val="-2"/>
                <w:szCs w:val="20"/>
              </w:rPr>
              <w:t>obory</w:t>
            </w:r>
            <w:r w:rsidRPr="00EC5AA3">
              <w:rPr>
                <w:spacing w:val="-2"/>
                <w:szCs w:val="20"/>
              </w:rPr>
              <w:t>)</w:t>
            </w:r>
            <w:r w:rsidR="000B21DD">
              <w:rPr>
                <w:rStyle w:val="Znakapoznpodarou"/>
                <w:spacing w:val="-2"/>
                <w:szCs w:val="20"/>
              </w:rPr>
              <w:footnoteReference w:id="32"/>
            </w:r>
            <w:r w:rsidRPr="00EC5AA3">
              <w:rPr>
                <w:spacing w:val="-2"/>
                <w:szCs w:val="20"/>
              </w:rPr>
              <w:t>.</w:t>
            </w:r>
            <w:r>
              <w:rPr>
                <w:spacing w:val="-2"/>
                <w:szCs w:val="20"/>
              </w:rPr>
              <w:t xml:space="preserve"> Mezi novějšími členy EU</w:t>
            </w:r>
            <w:r w:rsidR="0024408E">
              <w:rPr>
                <w:spacing w:val="-2"/>
                <w:szCs w:val="20"/>
              </w:rPr>
              <w:t xml:space="preserve"> docílilo nejvyšší produktivity</w:t>
            </w:r>
            <w:r>
              <w:rPr>
                <w:spacing w:val="-2"/>
                <w:szCs w:val="20"/>
              </w:rPr>
              <w:t xml:space="preserve"> Slovinsko (77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 úrovně EU). Česko se pohybovalo na 72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>, což bylo nejvíce z </w:t>
            </w:r>
            <w:r w:rsidR="009248DD">
              <w:rPr>
                <w:spacing w:val="-2"/>
                <w:szCs w:val="20"/>
              </w:rPr>
              <w:t xml:space="preserve">visegrádských </w:t>
            </w:r>
            <w:r>
              <w:rPr>
                <w:spacing w:val="-2"/>
                <w:szCs w:val="20"/>
              </w:rPr>
              <w:t>zemí. Na nejnižší úrovni se nacházelo Bulharsko (41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>).</w:t>
            </w:r>
          </w:p>
        </w:tc>
      </w:tr>
      <w:tr w:rsidR="00097078" w:rsidRPr="00FE531D" w14:paraId="7932727D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E362" w14:textId="77777777" w:rsidR="00097078" w:rsidRDefault="00097078" w:rsidP="00044059">
            <w:pPr>
              <w:pStyle w:val="Marginlie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110EC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3D649" w14:textId="77777777" w:rsidR="00307E77" w:rsidRDefault="004C0391" w:rsidP="00044059">
            <w:pPr>
              <w:spacing w:after="0"/>
              <w:rPr>
                <w:b/>
                <w:spacing w:val="-2"/>
                <w:szCs w:val="20"/>
              </w:rPr>
            </w:pPr>
            <w:r>
              <w:rPr>
                <w:b/>
                <w:spacing w:val="-2"/>
                <w:szCs w:val="20"/>
              </w:rPr>
              <w:t>Graf</w:t>
            </w:r>
            <w:r w:rsidR="006E33D0">
              <w:rPr>
                <w:b/>
                <w:spacing w:val="-2"/>
                <w:szCs w:val="20"/>
              </w:rPr>
              <w:t xml:space="preserve"> č. </w:t>
            </w:r>
            <w:r>
              <w:rPr>
                <w:b/>
                <w:spacing w:val="-2"/>
                <w:szCs w:val="20"/>
              </w:rPr>
              <w:t>21</w:t>
            </w:r>
            <w:r w:rsidR="00097078" w:rsidRPr="00FE531D">
              <w:rPr>
                <w:b/>
                <w:spacing w:val="-2"/>
                <w:szCs w:val="20"/>
              </w:rPr>
              <w:t xml:space="preserve">  Produktivita práce </w:t>
            </w:r>
            <w:r w:rsidR="00097078">
              <w:rPr>
                <w:b/>
                <w:spacing w:val="-2"/>
                <w:szCs w:val="20"/>
              </w:rPr>
              <w:t xml:space="preserve">v průmyslu </w:t>
            </w:r>
            <w:r w:rsidR="00097078" w:rsidRPr="00FE531D">
              <w:rPr>
                <w:b/>
                <w:spacing w:val="-2"/>
                <w:szCs w:val="20"/>
              </w:rPr>
              <w:t>ve vybraných evropských státech</w:t>
            </w:r>
          </w:p>
          <w:p w14:paraId="0E73528C" w14:textId="5A1ED00E" w:rsidR="00097078" w:rsidRPr="00FE531D" w:rsidRDefault="00097078" w:rsidP="00044059">
            <w:pPr>
              <w:spacing w:after="0"/>
              <w:rPr>
                <w:b/>
                <w:spacing w:val="-2"/>
                <w:szCs w:val="20"/>
              </w:rPr>
            </w:pPr>
            <w:r w:rsidRPr="00FE531D">
              <w:rPr>
                <w:spacing w:val="-2"/>
                <w:szCs w:val="20"/>
              </w:rPr>
              <w:t>(</w:t>
            </w:r>
            <w:r>
              <w:rPr>
                <w:spacing w:val="-2"/>
                <w:szCs w:val="20"/>
              </w:rPr>
              <w:t xml:space="preserve">hrubá přidaná hodnota </w:t>
            </w:r>
            <w:r w:rsidRPr="00FE531D">
              <w:rPr>
                <w:spacing w:val="-2"/>
                <w:szCs w:val="20"/>
              </w:rPr>
              <w:t>na za</w:t>
            </w:r>
            <w:r w:rsidR="000C6375">
              <w:rPr>
                <w:spacing w:val="-2"/>
                <w:szCs w:val="20"/>
              </w:rPr>
              <w:t>městnanou osobu</w:t>
            </w:r>
            <w:r w:rsidRPr="007964CF">
              <w:rPr>
                <w:spacing w:val="-2"/>
                <w:szCs w:val="20"/>
              </w:rPr>
              <w:t>, v</w:t>
            </w:r>
            <w:r w:rsidR="007964CF" w:rsidRPr="007964CF">
              <w:rPr>
                <w:spacing w:val="-2"/>
                <w:szCs w:val="20"/>
              </w:rPr>
              <w:t>e standardu</w:t>
            </w:r>
            <w:r w:rsidRPr="007964CF">
              <w:rPr>
                <w:spacing w:val="-2"/>
                <w:szCs w:val="20"/>
              </w:rPr>
              <w:t xml:space="preserve"> kupní síly </w:t>
            </w:r>
            <w:r w:rsidR="00307E77" w:rsidRPr="007964CF">
              <w:rPr>
                <w:spacing w:val="-2"/>
                <w:szCs w:val="20"/>
              </w:rPr>
              <w:t>–</w:t>
            </w:r>
            <w:r w:rsidRPr="007964CF">
              <w:rPr>
                <w:spacing w:val="-2"/>
                <w:szCs w:val="20"/>
              </w:rPr>
              <w:t xml:space="preserve"> PPS)</w:t>
            </w:r>
          </w:p>
        </w:tc>
      </w:tr>
      <w:tr w:rsidR="00097078" w14:paraId="21B18821" w14:textId="77777777" w:rsidTr="00BA35B6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1701" w14:textId="77777777" w:rsidR="00097078" w:rsidRDefault="00097078" w:rsidP="00044059">
            <w:pPr>
              <w:pStyle w:val="Marginlie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242EE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E5577" w14:textId="2F231AC0" w:rsidR="00097078" w:rsidRDefault="00EC1470" w:rsidP="00044059">
            <w:pPr>
              <w:spacing w:after="0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0C60453" wp14:editId="34B9FA22">
                  <wp:extent cx="4722126" cy="3377821"/>
                  <wp:effectExtent l="0" t="0" r="2540" b="0"/>
                  <wp:docPr id="18" name="Graf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097078" w:rsidRPr="00F710D4" w14:paraId="0FE8FE48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021EC" w14:textId="77777777" w:rsidR="00097078" w:rsidRDefault="00097078" w:rsidP="00044059">
            <w:pPr>
              <w:pStyle w:val="Marginlie"/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21C99" w14:textId="77777777" w:rsidR="00097078" w:rsidRDefault="00097078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FE675" w14:textId="77777777" w:rsidR="00097078" w:rsidRPr="00F710D4" w:rsidRDefault="00097078" w:rsidP="00044059">
            <w:pPr>
              <w:spacing w:after="220"/>
              <w:rPr>
                <w:sz w:val="14"/>
                <w:szCs w:val="14"/>
              </w:rPr>
            </w:pPr>
            <w:r w:rsidRPr="00F710D4">
              <w:rPr>
                <w:sz w:val="14"/>
                <w:szCs w:val="14"/>
              </w:rPr>
              <w:t xml:space="preserve">Zdroj: </w:t>
            </w:r>
            <w:proofErr w:type="spellStart"/>
            <w:r w:rsidRPr="00F710D4">
              <w:rPr>
                <w:sz w:val="14"/>
                <w:szCs w:val="14"/>
              </w:rPr>
              <w:t>Eurostat</w:t>
            </w:r>
            <w:proofErr w:type="spellEnd"/>
          </w:p>
        </w:tc>
      </w:tr>
      <w:tr w:rsidR="004F0CBA" w:rsidRPr="00E23543" w14:paraId="215CB974" w14:textId="77777777" w:rsidTr="00BA35B6">
        <w:trPr>
          <w:trHeight w:val="145"/>
        </w:trPr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FD9A8" w14:textId="3D88F47F" w:rsidR="004F0CBA" w:rsidRDefault="00307E77" w:rsidP="00044059">
            <w:pPr>
              <w:pStyle w:val="Marginlie"/>
            </w:pPr>
            <w:r>
              <w:t>Z </w:t>
            </w:r>
            <w:r w:rsidR="003F48D7">
              <w:t xml:space="preserve">hlediska produktivity práce </w:t>
            </w:r>
            <w:r w:rsidR="00623B49">
              <w:t xml:space="preserve">v průmyslu </w:t>
            </w:r>
            <w:r w:rsidR="003F48D7">
              <w:t xml:space="preserve">konvergovaly po roce 2005 k úrovni EU nejvíce Rumunsko, Bulharsko </w:t>
            </w:r>
            <w:r>
              <w:t>a </w:t>
            </w:r>
            <w:r w:rsidR="003F48D7">
              <w:t>pobaltské státy.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E0980" w14:textId="77777777" w:rsidR="004F0CBA" w:rsidRDefault="004F0CBA" w:rsidP="00044059">
            <w:pPr>
              <w:pStyle w:val="Textpoznpodarou10"/>
              <w:jc w:val="both"/>
              <w:rPr>
                <w:spacing w:val="-4"/>
              </w:rPr>
            </w:pPr>
          </w:p>
        </w:tc>
        <w:tc>
          <w:tcPr>
            <w:tcW w:w="7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F5CED" w14:textId="3FF2D29B" w:rsidR="004F0CBA" w:rsidRPr="00EC5AA3" w:rsidRDefault="00F43F77" w:rsidP="00096E5B">
            <w:pPr>
              <w:spacing w:after="220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>Produktivita práce v průmyslu dlouhodobě rostla v</w:t>
            </w:r>
            <w:r w:rsidR="009248DD">
              <w:rPr>
                <w:spacing w:val="-2"/>
                <w:szCs w:val="20"/>
              </w:rPr>
              <w:t xml:space="preserve">e </w:t>
            </w:r>
            <w:r>
              <w:rPr>
                <w:spacing w:val="-2"/>
                <w:szCs w:val="20"/>
              </w:rPr>
              <w:t>starších členských státech pomaleji než v ostatních zemích EU. Jestliže v roce 2005 v uskupení EU15 činila 124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 úrovně celé Unie, v roce 2019 již jen 119</w:t>
            </w:r>
            <w:r w:rsidR="006E33D0">
              <w:rPr>
                <w:spacing w:val="-2"/>
                <w:szCs w:val="20"/>
              </w:rPr>
              <w:t> %</w:t>
            </w:r>
            <w:r>
              <w:rPr>
                <w:spacing w:val="-2"/>
                <w:szCs w:val="20"/>
              </w:rPr>
              <w:t xml:space="preserve">. </w:t>
            </w:r>
            <w:r w:rsidR="00096E5B">
              <w:rPr>
                <w:spacing w:val="-2"/>
                <w:szCs w:val="20"/>
              </w:rPr>
              <w:t>Naproti tomu např. Rumunsko docílilo za stejné období posunu úrovně z 38</w:t>
            </w:r>
            <w:r w:rsidR="006E33D0">
              <w:rPr>
                <w:spacing w:val="-2"/>
                <w:szCs w:val="20"/>
              </w:rPr>
              <w:t> %</w:t>
            </w:r>
            <w:r w:rsidR="00096E5B">
              <w:rPr>
                <w:spacing w:val="-2"/>
                <w:szCs w:val="20"/>
              </w:rPr>
              <w:t xml:space="preserve"> na 67</w:t>
            </w:r>
            <w:r w:rsidR="006E33D0">
              <w:rPr>
                <w:spacing w:val="-2"/>
                <w:szCs w:val="20"/>
              </w:rPr>
              <w:t> %</w:t>
            </w:r>
            <w:r w:rsidR="00096E5B">
              <w:rPr>
                <w:spacing w:val="-2"/>
                <w:szCs w:val="20"/>
              </w:rPr>
              <w:t xml:space="preserve">. Z ostatních novějších členů EU významně konvergovaly také Bulharsko či pobaltské státy. </w:t>
            </w:r>
            <w:r w:rsidR="009C38E5">
              <w:rPr>
                <w:spacing w:val="-2"/>
                <w:szCs w:val="20"/>
              </w:rPr>
              <w:t>V </w:t>
            </w:r>
            <w:r w:rsidR="00883FE4">
              <w:rPr>
                <w:spacing w:val="-2"/>
                <w:szCs w:val="20"/>
              </w:rPr>
              <w:t xml:space="preserve">Česku </w:t>
            </w:r>
            <w:r w:rsidR="009C38E5">
              <w:rPr>
                <w:spacing w:val="-2"/>
                <w:szCs w:val="20"/>
              </w:rPr>
              <w:t xml:space="preserve">došlo k nárůstu </w:t>
            </w:r>
            <w:proofErr w:type="gramStart"/>
            <w:r w:rsidR="009C38E5">
              <w:rPr>
                <w:spacing w:val="-2"/>
                <w:szCs w:val="20"/>
              </w:rPr>
              <w:t>z</w:t>
            </w:r>
            <w:r w:rsidR="00883FE4">
              <w:rPr>
                <w:spacing w:val="-2"/>
                <w:szCs w:val="20"/>
              </w:rPr>
              <w:t>e</w:t>
            </w:r>
            <w:proofErr w:type="gramEnd"/>
            <w:r w:rsidR="00883FE4">
              <w:rPr>
                <w:spacing w:val="-2"/>
                <w:szCs w:val="20"/>
              </w:rPr>
              <w:t xml:space="preserve"> </w:t>
            </w:r>
            <w:r w:rsidR="009C38E5">
              <w:rPr>
                <w:spacing w:val="-2"/>
                <w:szCs w:val="20"/>
              </w:rPr>
              <w:t>68</w:t>
            </w:r>
            <w:r w:rsidR="006E33D0">
              <w:rPr>
                <w:spacing w:val="-2"/>
                <w:szCs w:val="20"/>
              </w:rPr>
              <w:t> %</w:t>
            </w:r>
            <w:r w:rsidR="009C38E5">
              <w:rPr>
                <w:spacing w:val="-2"/>
                <w:szCs w:val="20"/>
              </w:rPr>
              <w:t xml:space="preserve"> na 72</w:t>
            </w:r>
            <w:r w:rsidR="006E33D0">
              <w:rPr>
                <w:spacing w:val="-2"/>
                <w:szCs w:val="20"/>
              </w:rPr>
              <w:t> %</w:t>
            </w:r>
            <w:r w:rsidR="009C38E5">
              <w:rPr>
                <w:spacing w:val="-2"/>
                <w:szCs w:val="20"/>
              </w:rPr>
              <w:t xml:space="preserve">, téměř výhradně vlivem vývoje mezi roky 2005 </w:t>
            </w:r>
            <w:r w:rsidR="00307E77">
              <w:rPr>
                <w:spacing w:val="-2"/>
                <w:szCs w:val="20"/>
              </w:rPr>
              <w:t>a </w:t>
            </w:r>
            <w:r w:rsidR="009C38E5">
              <w:rPr>
                <w:spacing w:val="-2"/>
                <w:szCs w:val="20"/>
              </w:rPr>
              <w:t>2008.</w:t>
            </w:r>
          </w:p>
        </w:tc>
      </w:tr>
    </w:tbl>
    <w:p w14:paraId="7D436A4F" w14:textId="77777777" w:rsidR="00921A5C" w:rsidRPr="00EC1470" w:rsidRDefault="00921A5C" w:rsidP="00097078">
      <w:pPr>
        <w:pStyle w:val="Nadpis2"/>
        <w:rPr>
          <w:sz w:val="2"/>
          <w:szCs w:val="2"/>
        </w:rPr>
      </w:pPr>
    </w:p>
    <w:p w14:paraId="1E524A5E" w14:textId="6428ABD0" w:rsidR="00921A5C" w:rsidRPr="002C154B" w:rsidRDefault="00921A5C" w:rsidP="00921A5C">
      <w:pPr>
        <w:rPr>
          <w:sz w:val="2"/>
          <w:szCs w:val="2"/>
        </w:rPr>
      </w:pPr>
    </w:p>
    <w:sectPr w:rsidR="00921A5C" w:rsidRPr="002C154B" w:rsidSect="006F5416">
      <w:headerReference w:type="even" r:id="rId29"/>
      <w:headerReference w:type="default" r:id="rId30"/>
      <w:footerReference w:type="even" r:id="rId31"/>
      <w:footerReference w:type="default" r:id="rId32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132AD8" w16cid:durableId="23837235"/>
  <w16cid:commentId w16cid:paraId="349E0065" w16cid:durableId="2383738F"/>
  <w16cid:commentId w16cid:paraId="70323CDE" w16cid:durableId="23837548"/>
  <w16cid:commentId w16cid:paraId="72539BE7" w16cid:durableId="2386DE07"/>
  <w16cid:commentId w16cid:paraId="11D8F9A5" w16cid:durableId="23849388"/>
  <w16cid:commentId w16cid:paraId="09132031" w16cid:durableId="238495BE"/>
  <w16cid:commentId w16cid:paraId="7EB7DE74" w16cid:durableId="238496FC"/>
  <w16cid:commentId w16cid:paraId="4537AB62" w16cid:durableId="2384B67A"/>
  <w16cid:commentId w16cid:paraId="733CEAEE" w16cid:durableId="2384A413"/>
  <w16cid:commentId w16cid:paraId="6D4EA8B4" w16cid:durableId="2384C00C"/>
  <w16cid:commentId w16cid:paraId="4E5C825E" w16cid:durableId="2384C359"/>
  <w16cid:commentId w16cid:paraId="704695B7" w16cid:durableId="2384C623"/>
  <w16cid:commentId w16cid:paraId="5005EA8D" w16cid:durableId="2384EB9C"/>
  <w16cid:commentId w16cid:paraId="4FAEE49E" w16cid:durableId="2384EA6D"/>
  <w16cid:commentId w16cid:paraId="1803CB1D" w16cid:durableId="2384F215"/>
  <w16cid:commentId w16cid:paraId="750B1B6F" w16cid:durableId="2384F56F"/>
  <w16cid:commentId w16cid:paraId="4D3465C5" w16cid:durableId="2384F7F1"/>
  <w16cid:commentId w16cid:paraId="3E5A7AF7" w16cid:durableId="2384F77E"/>
  <w16cid:commentId w16cid:paraId="04798E97" w16cid:durableId="2385BB3F"/>
  <w16cid:commentId w16cid:paraId="7271199B" w16cid:durableId="2385BBA9"/>
  <w16cid:commentId w16cid:paraId="7C02A283" w16cid:durableId="2385BF49"/>
  <w16cid:commentId w16cid:paraId="139C2364" w16cid:durableId="2386025E"/>
  <w16cid:commentId w16cid:paraId="57E4EF6D" w16cid:durableId="2386084B"/>
  <w16cid:commentId w16cid:paraId="493AAA68" w16cid:durableId="23860DAB"/>
  <w16cid:commentId w16cid:paraId="643B8604" w16cid:durableId="23861055"/>
  <w16cid:commentId w16cid:paraId="025F2620" w16cid:durableId="238612E3"/>
  <w16cid:commentId w16cid:paraId="0AC073A7" w16cid:durableId="2386145F"/>
  <w16cid:commentId w16cid:paraId="6DD3E6B0" w16cid:durableId="238616B3"/>
  <w16cid:commentId w16cid:paraId="79F18DB0" w16cid:durableId="23861655"/>
  <w16cid:commentId w16cid:paraId="56FA7E4B" w16cid:durableId="2386106D"/>
  <w16cid:commentId w16cid:paraId="2B9CFEB3" w16cid:durableId="23861F26"/>
  <w16cid:commentId w16cid:paraId="7C843B15" w16cid:durableId="238622D0"/>
  <w16cid:commentId w16cid:paraId="35AEB49B" w16cid:durableId="23862367"/>
  <w16cid:commentId w16cid:paraId="7F3CBEDF" w16cid:durableId="23860305"/>
  <w16cid:commentId w16cid:paraId="77820AE3" w16cid:durableId="2386D3D0"/>
  <w16cid:commentId w16cid:paraId="4E8ADA6F" w16cid:durableId="2386D323"/>
  <w16cid:commentId w16cid:paraId="6E4281BD" w16cid:durableId="2386DF12"/>
  <w16cid:commentId w16cid:paraId="5100CD21" w16cid:durableId="2386E459"/>
  <w16cid:commentId w16cid:paraId="41BC835A" w16cid:durableId="2386D5A2"/>
  <w16cid:commentId w16cid:paraId="543C07C7" w16cid:durableId="2386EAF8"/>
  <w16cid:commentId w16cid:paraId="5B600DF4" w16cid:durableId="2386D881"/>
  <w16cid:commentId w16cid:paraId="0D295971" w16cid:durableId="2386D7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C49D" w14:textId="77777777" w:rsidR="00AE1738" w:rsidRDefault="00AE1738" w:rsidP="00E71A58">
      <w:r>
        <w:separator/>
      </w:r>
    </w:p>
  </w:endnote>
  <w:endnote w:type="continuationSeparator" w:id="0">
    <w:p w14:paraId="646CEDF9" w14:textId="77777777" w:rsidR="00AE1738" w:rsidRDefault="00AE1738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DC369" w14:textId="621A29C1" w:rsidR="009728D1" w:rsidRPr="00932443" w:rsidRDefault="009728D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24CBC08E" wp14:editId="37A6C6E7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3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E3237B">
      <w:rPr>
        <w:szCs w:val="16"/>
      </w:rPr>
      <w:t>28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 w:rsidR="00067B81">
      <w:rPr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5F496" w14:textId="7CC45C14" w:rsidR="009728D1" w:rsidRPr="00932443" w:rsidRDefault="009728D1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704" behindDoc="0" locked="0" layoutInCell="1" allowOverlap="1" wp14:anchorId="1429520E" wp14:editId="103D972A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14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 w:rsidR="00067B81">
      <w:rPr>
        <w:rStyle w:val="ZpatChar"/>
        <w:szCs w:val="16"/>
      </w:rPr>
      <w:t>2020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E3237B">
      <w:rPr>
        <w:rStyle w:val="ZpatChar"/>
        <w:szCs w:val="16"/>
      </w:rPr>
      <w:t>27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7DB66" w14:textId="77777777" w:rsidR="00AE1738" w:rsidRDefault="00AE1738" w:rsidP="0084727E">
      <w:pPr>
        <w:spacing w:after="0"/>
      </w:pPr>
      <w:r>
        <w:separator/>
      </w:r>
    </w:p>
  </w:footnote>
  <w:footnote w:type="continuationSeparator" w:id="0">
    <w:p w14:paraId="4E9EE6E6" w14:textId="77777777" w:rsidR="00AE1738" w:rsidRDefault="00AE1738" w:rsidP="00E71A58">
      <w:r>
        <w:continuationSeparator/>
      </w:r>
    </w:p>
  </w:footnote>
  <w:footnote w:id="1">
    <w:p w14:paraId="25DCE2F4" w14:textId="0078BA68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 w:rsidRPr="00C8155D">
        <w:rPr>
          <w:sz w:val="16"/>
          <w:szCs w:val="16"/>
        </w:rPr>
        <w:t xml:space="preserve"> Není-li</w:t>
      </w:r>
      <w:r>
        <w:rPr>
          <w:sz w:val="16"/>
          <w:szCs w:val="16"/>
        </w:rPr>
        <w:t xml:space="preserve"> </w:t>
      </w:r>
      <w:r w:rsidRPr="00C8155D">
        <w:rPr>
          <w:sz w:val="16"/>
          <w:szCs w:val="16"/>
        </w:rPr>
        <w:t>uvedeno jinak, je v celé publikaci průmysl</w:t>
      </w:r>
      <w:r>
        <w:rPr>
          <w:sz w:val="16"/>
          <w:szCs w:val="16"/>
        </w:rPr>
        <w:t xml:space="preserve"> pojímán</w:t>
      </w:r>
      <w:r w:rsidRPr="00C8155D">
        <w:rPr>
          <w:sz w:val="16"/>
          <w:szCs w:val="16"/>
        </w:rPr>
        <w:t xml:space="preserve"> jako soubor </w:t>
      </w:r>
      <w:r>
        <w:rPr>
          <w:sz w:val="16"/>
          <w:szCs w:val="16"/>
        </w:rPr>
        <w:t>aktivit zahrnující odvětví dle statistické klasifikace CZ-NACE: sekce </w:t>
      </w:r>
      <w:r w:rsidRPr="00C8155D">
        <w:rPr>
          <w:sz w:val="16"/>
          <w:szCs w:val="16"/>
        </w:rPr>
        <w:t>B</w:t>
      </w:r>
      <w:r>
        <w:rPr>
          <w:sz w:val="16"/>
          <w:szCs w:val="16"/>
        </w:rPr>
        <w:t xml:space="preserve"> </w:t>
      </w:r>
      <w:r w:rsidRPr="00C8155D">
        <w:rPr>
          <w:sz w:val="16"/>
          <w:szCs w:val="16"/>
        </w:rPr>
        <w:t>(Těžba a</w:t>
      </w:r>
      <w:r>
        <w:rPr>
          <w:sz w:val="16"/>
          <w:szCs w:val="16"/>
        </w:rPr>
        <w:t> </w:t>
      </w:r>
      <w:r w:rsidRPr="00C8155D">
        <w:rPr>
          <w:sz w:val="16"/>
          <w:szCs w:val="16"/>
        </w:rPr>
        <w:t>dobývání), C</w:t>
      </w:r>
      <w:r>
        <w:rPr>
          <w:sz w:val="16"/>
          <w:szCs w:val="16"/>
        </w:rPr>
        <w:t> </w:t>
      </w:r>
      <w:r w:rsidRPr="00C8155D">
        <w:rPr>
          <w:sz w:val="16"/>
          <w:szCs w:val="16"/>
        </w:rPr>
        <w:t>(Zpracovatelský průmysl), D</w:t>
      </w:r>
      <w:r>
        <w:rPr>
          <w:sz w:val="16"/>
          <w:szCs w:val="16"/>
        </w:rPr>
        <w:t> </w:t>
      </w:r>
      <w:r w:rsidRPr="00C8155D">
        <w:rPr>
          <w:sz w:val="16"/>
          <w:szCs w:val="16"/>
        </w:rPr>
        <w:t>(Výroba a</w:t>
      </w:r>
      <w:r>
        <w:rPr>
          <w:sz w:val="16"/>
          <w:szCs w:val="16"/>
        </w:rPr>
        <w:t> </w:t>
      </w:r>
      <w:r w:rsidRPr="00C8155D">
        <w:rPr>
          <w:sz w:val="16"/>
          <w:szCs w:val="16"/>
        </w:rPr>
        <w:t>rozvod elektřiny, tepla, plynu a</w:t>
      </w:r>
      <w:r>
        <w:rPr>
          <w:sz w:val="16"/>
          <w:szCs w:val="16"/>
        </w:rPr>
        <w:t> </w:t>
      </w:r>
      <w:r w:rsidRPr="00C8155D">
        <w:rPr>
          <w:sz w:val="16"/>
          <w:szCs w:val="16"/>
        </w:rPr>
        <w:t>klimatizovaného vzduchu) a</w:t>
      </w:r>
      <w:r>
        <w:rPr>
          <w:sz w:val="16"/>
          <w:szCs w:val="16"/>
        </w:rPr>
        <w:t> </w:t>
      </w:r>
      <w:r w:rsidRPr="00C8155D">
        <w:rPr>
          <w:sz w:val="16"/>
          <w:szCs w:val="16"/>
        </w:rPr>
        <w:t>E</w:t>
      </w:r>
      <w:r>
        <w:rPr>
          <w:sz w:val="16"/>
          <w:szCs w:val="16"/>
        </w:rPr>
        <w:t> </w:t>
      </w:r>
      <w:r w:rsidRPr="00C8155D">
        <w:rPr>
          <w:sz w:val="16"/>
          <w:szCs w:val="16"/>
        </w:rPr>
        <w:t>(Zásobování vodou, činnosti související s odpadními vodami, odpady a</w:t>
      </w:r>
      <w:r>
        <w:rPr>
          <w:sz w:val="16"/>
          <w:szCs w:val="16"/>
        </w:rPr>
        <w:t> </w:t>
      </w:r>
      <w:r w:rsidRPr="00C8155D">
        <w:rPr>
          <w:sz w:val="16"/>
          <w:szCs w:val="16"/>
        </w:rPr>
        <w:t>sanacemi).</w:t>
      </w:r>
    </w:p>
  </w:footnote>
  <w:footnote w:id="2">
    <w:p w14:paraId="25FB6310" w14:textId="77777777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 w:rsidRPr="00C8155D">
        <w:rPr>
          <w:sz w:val="16"/>
          <w:szCs w:val="16"/>
        </w:rPr>
        <w:t xml:space="preserve"> </w:t>
      </w:r>
      <w:r>
        <w:rPr>
          <w:sz w:val="16"/>
          <w:szCs w:val="16"/>
        </w:rPr>
        <w:t>Produkce je vyjádřena dle pojetí národních účtů.</w:t>
      </w:r>
    </w:p>
  </w:footnote>
  <w:footnote w:id="3">
    <w:p w14:paraId="38142E09" w14:textId="3B61EEF8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 w:rsidRPr="00C815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V roce 2019 činil tento podíl v průmyslu 71,8 %, v celé ekonomice necelých 60 %. Z ostatních odvětví zaznamenaly vysoký podíl </w:t>
      </w:r>
      <w:proofErr w:type="spellStart"/>
      <w:r>
        <w:rPr>
          <w:sz w:val="16"/>
          <w:szCs w:val="16"/>
        </w:rPr>
        <w:t>mezispotřeby</w:t>
      </w:r>
      <w:proofErr w:type="spellEnd"/>
      <w:r>
        <w:rPr>
          <w:sz w:val="16"/>
          <w:szCs w:val="16"/>
        </w:rPr>
        <w:t xml:space="preserve"> např. stavebnictví (69,5 %), zemědělství, lesnictví a rybářství (61,7 %) či doprava a skladování (61,3 %).</w:t>
      </w:r>
    </w:p>
  </w:footnote>
  <w:footnote w:id="4">
    <w:p w14:paraId="7936E536" w14:textId="14E0F054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>
        <w:rPr>
          <w:sz w:val="16"/>
          <w:szCs w:val="16"/>
        </w:rPr>
        <w:t xml:space="preserve"> Všechny údaje o zaměstnanosti vycházejí z dat národních účtů a jsou vyjádřeny v přepočtu na plné úvazky.</w:t>
      </w:r>
    </w:p>
  </w:footnote>
  <w:footnote w:id="5">
    <w:p w14:paraId="4A042F92" w14:textId="2F20383B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 w:rsidRPr="00C8155D">
        <w:rPr>
          <w:sz w:val="16"/>
          <w:szCs w:val="16"/>
        </w:rPr>
        <w:t xml:space="preserve"> </w:t>
      </w:r>
      <w:r>
        <w:rPr>
          <w:sz w:val="16"/>
          <w:szCs w:val="16"/>
        </w:rPr>
        <w:t>Mzdy a platy vycházejí z dat národních účtů a zahrnují např.</w:t>
      </w:r>
      <w:r w:rsidRPr="007C4B70">
        <w:rPr>
          <w:sz w:val="16"/>
          <w:szCs w:val="16"/>
        </w:rPr>
        <w:t xml:space="preserve"> i</w:t>
      </w:r>
      <w:r>
        <w:rPr>
          <w:sz w:val="16"/>
          <w:szCs w:val="16"/>
        </w:rPr>
        <w:t> </w:t>
      </w:r>
      <w:r w:rsidRPr="007C4B70">
        <w:rPr>
          <w:sz w:val="16"/>
          <w:szCs w:val="16"/>
        </w:rPr>
        <w:t>zaměstnanecké benefity či odhad šedé ekonomiky.</w:t>
      </w:r>
    </w:p>
  </w:footnote>
  <w:footnote w:id="6">
    <w:p w14:paraId="1DA1BDB2" w14:textId="1D404808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 w:rsidRPr="00C8155D">
        <w:rPr>
          <w:sz w:val="16"/>
          <w:szCs w:val="16"/>
        </w:rPr>
        <w:t xml:space="preserve"> </w:t>
      </w:r>
      <w:r>
        <w:rPr>
          <w:sz w:val="16"/>
          <w:szCs w:val="16"/>
        </w:rPr>
        <w:t>Dle klasifikace produkce (CZ-CPA) se v roce 2019 produkty průmyslu na celkovém zbožovém vývozu z ČR podílely 97,7 %. Zbývající část vývozu tvořily zejména produkty zemědělství, lesnictví a rybářství (1,5 %) a produkty vydavatelství či f</w:t>
      </w:r>
      <w:r w:rsidRPr="00031549">
        <w:rPr>
          <w:sz w:val="16"/>
          <w:szCs w:val="16"/>
        </w:rPr>
        <w:t>ilmy, videozáznamy a</w:t>
      </w:r>
      <w:r>
        <w:rPr>
          <w:sz w:val="16"/>
          <w:szCs w:val="16"/>
        </w:rPr>
        <w:t> </w:t>
      </w:r>
      <w:r w:rsidRPr="00031549">
        <w:rPr>
          <w:sz w:val="16"/>
          <w:szCs w:val="16"/>
        </w:rPr>
        <w:t>zvukové nahrávky</w:t>
      </w:r>
      <w:r>
        <w:rPr>
          <w:sz w:val="16"/>
          <w:szCs w:val="16"/>
        </w:rPr>
        <w:t xml:space="preserve"> (0,7 %).</w:t>
      </w:r>
    </w:p>
  </w:footnote>
  <w:footnote w:id="7">
    <w:p w14:paraId="380DDD58" w14:textId="77777777" w:rsidR="002257E8" w:rsidRPr="00C8155D" w:rsidRDefault="002257E8" w:rsidP="002257E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>
        <w:rPr>
          <w:sz w:val="16"/>
          <w:szCs w:val="16"/>
        </w:rPr>
        <w:t xml:space="preserve"> Není-li uvedeno jinak, vycházejí všechna data o zaměstnanosti z národních účtů a jsou vyjádřena v přepočtu na plné úvazky.</w:t>
      </w:r>
    </w:p>
  </w:footnote>
  <w:footnote w:id="8">
    <w:p w14:paraId="0353F728" w14:textId="63AE02A9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>
        <w:rPr>
          <w:sz w:val="16"/>
          <w:szCs w:val="16"/>
        </w:rPr>
        <w:t xml:space="preserve"> Dle údajů z VŠPS pracovala v průmyslu v roce 2019 na zkrácené úvazky jen 2,1 % zde zaměstnaných mužů, resp. 6,1 % žen. To byly pouze poloviční podíly než v případě celého národního hospodářství.</w:t>
      </w:r>
    </w:p>
  </w:footnote>
  <w:footnote w:id="9">
    <w:p w14:paraId="473D5D32" w14:textId="7B1F657C" w:rsidR="009728D1" w:rsidRPr="00647DD8" w:rsidRDefault="009728D1" w:rsidP="00097078">
      <w:pPr>
        <w:pStyle w:val="Textpoznpodarou"/>
        <w:rPr>
          <w:spacing w:val="-3"/>
          <w:sz w:val="16"/>
          <w:szCs w:val="16"/>
        </w:rPr>
      </w:pPr>
      <w:r w:rsidRPr="00647DD8">
        <w:rPr>
          <w:rStyle w:val="Znakapoznpodarou"/>
          <w:spacing w:val="-3"/>
          <w:szCs w:val="16"/>
        </w:rPr>
        <w:footnoteRef/>
      </w:r>
      <w:r w:rsidRPr="00647DD8">
        <w:rPr>
          <w:spacing w:val="-3"/>
          <w:sz w:val="16"/>
          <w:szCs w:val="16"/>
        </w:rPr>
        <w:t xml:space="preserve"> Z podniko</w:t>
      </w:r>
      <w:r>
        <w:rPr>
          <w:spacing w:val="-3"/>
          <w:sz w:val="16"/>
          <w:szCs w:val="16"/>
        </w:rPr>
        <w:t>vých statistik vyplývá, že relace</w:t>
      </w:r>
      <w:r w:rsidRPr="00647DD8">
        <w:rPr>
          <w:spacing w:val="-3"/>
          <w:sz w:val="16"/>
          <w:szCs w:val="16"/>
        </w:rPr>
        <w:t xml:space="preserve"> p</w:t>
      </w:r>
      <w:r>
        <w:rPr>
          <w:spacing w:val="-3"/>
          <w:sz w:val="16"/>
          <w:szCs w:val="16"/>
        </w:rPr>
        <w:t>lateb za agenturní pracovníky k celkovým personálním nákladům</w:t>
      </w:r>
      <w:r w:rsidRPr="00647DD8">
        <w:rPr>
          <w:spacing w:val="-3"/>
          <w:sz w:val="16"/>
          <w:szCs w:val="16"/>
        </w:rPr>
        <w:t xml:space="preserve"> vzrostl</w:t>
      </w:r>
      <w:r>
        <w:rPr>
          <w:spacing w:val="-3"/>
          <w:sz w:val="16"/>
          <w:szCs w:val="16"/>
        </w:rPr>
        <w:t>a</w:t>
      </w:r>
      <w:r w:rsidRPr="00647DD8">
        <w:rPr>
          <w:spacing w:val="-3"/>
          <w:sz w:val="16"/>
          <w:szCs w:val="16"/>
        </w:rPr>
        <w:t xml:space="preserve"> v průmyslu mezi roky 2008 a</w:t>
      </w:r>
      <w:r>
        <w:rPr>
          <w:spacing w:val="-3"/>
          <w:sz w:val="16"/>
          <w:szCs w:val="16"/>
        </w:rPr>
        <w:t> </w:t>
      </w:r>
      <w:r w:rsidRPr="00647DD8">
        <w:rPr>
          <w:spacing w:val="-3"/>
          <w:sz w:val="16"/>
          <w:szCs w:val="16"/>
        </w:rPr>
        <w:t>2018 z 2,8</w:t>
      </w:r>
      <w:r>
        <w:rPr>
          <w:spacing w:val="-3"/>
          <w:sz w:val="16"/>
          <w:szCs w:val="16"/>
        </w:rPr>
        <w:t> %</w:t>
      </w:r>
      <w:r w:rsidRPr="00647DD8">
        <w:rPr>
          <w:spacing w:val="-3"/>
          <w:sz w:val="16"/>
          <w:szCs w:val="16"/>
        </w:rPr>
        <w:t xml:space="preserve"> na 5,3</w:t>
      </w:r>
      <w:r>
        <w:rPr>
          <w:spacing w:val="-3"/>
          <w:sz w:val="16"/>
          <w:szCs w:val="16"/>
        </w:rPr>
        <w:t> %</w:t>
      </w:r>
      <w:r w:rsidRPr="00647DD8">
        <w:rPr>
          <w:spacing w:val="-3"/>
          <w:sz w:val="16"/>
          <w:szCs w:val="16"/>
        </w:rPr>
        <w:t>. V samotném oddíle výroby motorových vozidel za stejné období posílil</w:t>
      </w:r>
      <w:r>
        <w:rPr>
          <w:spacing w:val="-3"/>
          <w:sz w:val="16"/>
          <w:szCs w:val="16"/>
        </w:rPr>
        <w:t>a</w:t>
      </w:r>
      <w:r w:rsidRPr="00647DD8">
        <w:rPr>
          <w:spacing w:val="-3"/>
          <w:sz w:val="16"/>
          <w:szCs w:val="16"/>
        </w:rPr>
        <w:t xml:space="preserve"> z</w:t>
      </w:r>
      <w:r>
        <w:rPr>
          <w:spacing w:val="-3"/>
          <w:sz w:val="16"/>
          <w:szCs w:val="16"/>
        </w:rPr>
        <w:t> </w:t>
      </w:r>
      <w:r w:rsidRPr="00647DD8">
        <w:rPr>
          <w:spacing w:val="-3"/>
          <w:sz w:val="16"/>
          <w:szCs w:val="16"/>
        </w:rPr>
        <w:t>3,6</w:t>
      </w:r>
      <w:r>
        <w:rPr>
          <w:spacing w:val="-3"/>
          <w:sz w:val="16"/>
          <w:szCs w:val="16"/>
        </w:rPr>
        <w:t xml:space="preserve"> % </w:t>
      </w:r>
      <w:r w:rsidRPr="00647DD8">
        <w:rPr>
          <w:spacing w:val="-3"/>
          <w:sz w:val="16"/>
          <w:szCs w:val="16"/>
        </w:rPr>
        <w:t>na 10,2</w:t>
      </w:r>
      <w:r>
        <w:rPr>
          <w:spacing w:val="-3"/>
          <w:sz w:val="16"/>
          <w:szCs w:val="16"/>
        </w:rPr>
        <w:t> %</w:t>
      </w:r>
      <w:r w:rsidRPr="00647DD8">
        <w:rPr>
          <w:spacing w:val="-3"/>
          <w:sz w:val="16"/>
          <w:szCs w:val="16"/>
        </w:rPr>
        <w:t>. Projevil se jak rostoucí počet těchto pracovníků, tak postupné navyšování minimální mzdy a</w:t>
      </w:r>
      <w:r>
        <w:rPr>
          <w:spacing w:val="-3"/>
          <w:sz w:val="16"/>
          <w:szCs w:val="16"/>
        </w:rPr>
        <w:t> </w:t>
      </w:r>
      <w:r w:rsidRPr="00647DD8">
        <w:rPr>
          <w:spacing w:val="-3"/>
          <w:sz w:val="16"/>
          <w:szCs w:val="16"/>
        </w:rPr>
        <w:t>na ni navázaných pásem zaručených mezd.</w:t>
      </w:r>
    </w:p>
  </w:footnote>
  <w:footnote w:id="10">
    <w:p w14:paraId="182D32B1" w14:textId="2D4D3C85" w:rsidR="009728D1" w:rsidRPr="00AC7386" w:rsidRDefault="009728D1" w:rsidP="00097078">
      <w:pPr>
        <w:pStyle w:val="Textpoznpodarou"/>
        <w:rPr>
          <w:sz w:val="16"/>
          <w:szCs w:val="16"/>
        </w:rPr>
      </w:pPr>
      <w:r w:rsidRPr="00AC7386">
        <w:rPr>
          <w:rStyle w:val="Znakapoznpodarou"/>
          <w:szCs w:val="16"/>
        </w:rPr>
        <w:footnoteRef/>
      </w:r>
      <w:r w:rsidRPr="00AC7386">
        <w:rPr>
          <w:sz w:val="16"/>
          <w:szCs w:val="16"/>
        </w:rPr>
        <w:t xml:space="preserve"> Silné postavení kovodělného průmyslu souvisí také s tím, že toto odvětví koncentruje téměř čtvrtinu </w:t>
      </w:r>
      <w:proofErr w:type="spellStart"/>
      <w:r w:rsidRPr="00AC7386">
        <w:rPr>
          <w:sz w:val="16"/>
          <w:szCs w:val="16"/>
        </w:rPr>
        <w:t>sebezaměstnaných</w:t>
      </w:r>
      <w:proofErr w:type="spellEnd"/>
      <w:r w:rsidRPr="00AC7386">
        <w:rPr>
          <w:sz w:val="16"/>
          <w:szCs w:val="16"/>
        </w:rPr>
        <w:t xml:space="preserve"> osob z celého průmyslu. V roce 2019 tvořili drobní podnikatelé 8</w:t>
      </w:r>
      <w:r>
        <w:rPr>
          <w:sz w:val="16"/>
          <w:szCs w:val="16"/>
        </w:rPr>
        <w:t> %</w:t>
      </w:r>
      <w:r w:rsidRPr="00AC7386">
        <w:rPr>
          <w:sz w:val="16"/>
          <w:szCs w:val="16"/>
        </w:rPr>
        <w:t xml:space="preserve"> všech pracovníků </w:t>
      </w:r>
      <w:r>
        <w:rPr>
          <w:sz w:val="16"/>
          <w:szCs w:val="16"/>
        </w:rPr>
        <w:t>v </w:t>
      </w:r>
      <w:r w:rsidRPr="00AC7386">
        <w:rPr>
          <w:sz w:val="16"/>
          <w:szCs w:val="16"/>
        </w:rPr>
        <w:t>průmyslu, v kovodělném průmyslu ale 14</w:t>
      </w:r>
      <w:r>
        <w:rPr>
          <w:sz w:val="16"/>
          <w:szCs w:val="16"/>
        </w:rPr>
        <w:t> %</w:t>
      </w:r>
      <w:r w:rsidRPr="00AC7386">
        <w:rPr>
          <w:sz w:val="16"/>
          <w:szCs w:val="16"/>
        </w:rPr>
        <w:t>. Největšího podílu dosahovali v průmyslu dřevozpracujícím (36</w:t>
      </w:r>
      <w:r>
        <w:rPr>
          <w:sz w:val="16"/>
          <w:szCs w:val="16"/>
        </w:rPr>
        <w:t> %</w:t>
      </w:r>
      <w:r w:rsidRPr="00AC7386">
        <w:rPr>
          <w:sz w:val="16"/>
          <w:szCs w:val="16"/>
        </w:rPr>
        <w:t>), oděvním (33</w:t>
      </w:r>
      <w:r>
        <w:rPr>
          <w:sz w:val="16"/>
          <w:szCs w:val="16"/>
        </w:rPr>
        <w:t> %</w:t>
      </w:r>
      <w:r w:rsidRPr="00AC7386">
        <w:rPr>
          <w:sz w:val="16"/>
          <w:szCs w:val="16"/>
        </w:rPr>
        <w:t>), nábytkářském (24</w:t>
      </w:r>
      <w:r>
        <w:rPr>
          <w:sz w:val="16"/>
          <w:szCs w:val="16"/>
        </w:rPr>
        <w:t> %</w:t>
      </w:r>
      <w:r w:rsidRPr="00AC7386">
        <w:rPr>
          <w:sz w:val="16"/>
          <w:szCs w:val="16"/>
        </w:rPr>
        <w:t>), tiskařském (21</w:t>
      </w:r>
      <w:r>
        <w:rPr>
          <w:sz w:val="16"/>
          <w:szCs w:val="16"/>
        </w:rPr>
        <w:t> %</w:t>
      </w:r>
      <w:r w:rsidRPr="00AC7386">
        <w:rPr>
          <w:sz w:val="16"/>
          <w:szCs w:val="16"/>
        </w:rPr>
        <w:t>), farmaceutickém (20</w:t>
      </w:r>
      <w:r>
        <w:rPr>
          <w:sz w:val="16"/>
          <w:szCs w:val="16"/>
        </w:rPr>
        <w:t> %</w:t>
      </w:r>
      <w:r w:rsidRPr="00AC7386">
        <w:rPr>
          <w:sz w:val="16"/>
          <w:szCs w:val="16"/>
        </w:rPr>
        <w:t>) a</w:t>
      </w:r>
      <w:r>
        <w:rPr>
          <w:sz w:val="16"/>
          <w:szCs w:val="16"/>
        </w:rPr>
        <w:t> </w:t>
      </w:r>
      <w:r w:rsidRPr="00AC7386">
        <w:rPr>
          <w:sz w:val="16"/>
          <w:szCs w:val="16"/>
        </w:rPr>
        <w:t>ve výrobě nápojů (18</w:t>
      </w:r>
      <w:r>
        <w:rPr>
          <w:sz w:val="16"/>
          <w:szCs w:val="16"/>
        </w:rPr>
        <w:t> %</w:t>
      </w:r>
      <w:r w:rsidRPr="00AC7386">
        <w:rPr>
          <w:sz w:val="16"/>
          <w:szCs w:val="16"/>
        </w:rPr>
        <w:t>).</w:t>
      </w:r>
    </w:p>
  </w:footnote>
  <w:footnote w:id="11">
    <w:p w14:paraId="18FE6D85" w14:textId="475FF609" w:rsidR="009728D1" w:rsidRPr="00AC7386" w:rsidRDefault="009728D1" w:rsidP="00097078">
      <w:pPr>
        <w:pStyle w:val="Textpoznpodarou"/>
        <w:rPr>
          <w:sz w:val="16"/>
          <w:szCs w:val="16"/>
        </w:rPr>
      </w:pPr>
      <w:r w:rsidRPr="00AC7386">
        <w:rPr>
          <w:rStyle w:val="Znakapoznpodarou"/>
          <w:szCs w:val="16"/>
        </w:rPr>
        <w:footnoteRef/>
      </w:r>
      <w:r w:rsidRPr="00AC7386">
        <w:rPr>
          <w:sz w:val="16"/>
          <w:szCs w:val="16"/>
        </w:rPr>
        <w:t xml:space="preserve"> Zahrnuje především pracovníky v podnicích orientovaných na železniční a</w:t>
      </w:r>
      <w:r>
        <w:rPr>
          <w:sz w:val="16"/>
          <w:szCs w:val="16"/>
        </w:rPr>
        <w:t> </w:t>
      </w:r>
      <w:r w:rsidRPr="00AC7386">
        <w:rPr>
          <w:sz w:val="16"/>
          <w:szCs w:val="16"/>
        </w:rPr>
        <w:t>leteckou dopravu.</w:t>
      </w:r>
    </w:p>
  </w:footnote>
  <w:footnote w:id="12">
    <w:p w14:paraId="73BC4A26" w14:textId="44AC1BF6" w:rsidR="009728D1" w:rsidRPr="00307E77" w:rsidRDefault="009728D1" w:rsidP="00097078">
      <w:pPr>
        <w:pStyle w:val="Textpoznpodarou"/>
        <w:rPr>
          <w:sz w:val="16"/>
          <w:szCs w:val="16"/>
        </w:rPr>
      </w:pPr>
      <w:r w:rsidRPr="00AC7386">
        <w:rPr>
          <w:rStyle w:val="Znakapoznpodarou"/>
          <w:szCs w:val="16"/>
        </w:rPr>
        <w:footnoteRef/>
      </w:r>
      <w:r w:rsidRPr="00AC7386">
        <w:rPr>
          <w:sz w:val="16"/>
          <w:szCs w:val="16"/>
        </w:rPr>
        <w:t xml:space="preserve"> </w:t>
      </w:r>
      <w:r w:rsidRPr="002D2156">
        <w:rPr>
          <w:spacing w:val="-2"/>
          <w:sz w:val="16"/>
          <w:szCs w:val="16"/>
        </w:rPr>
        <w:t>V těchto krajích se také výrazněji projevuje efekt mezikrajské dojížďky za prací. Z</w:t>
      </w:r>
      <w:r>
        <w:rPr>
          <w:spacing w:val="-2"/>
          <w:sz w:val="16"/>
          <w:szCs w:val="16"/>
        </w:rPr>
        <w:t> </w:t>
      </w:r>
      <w:r w:rsidRPr="002D2156">
        <w:rPr>
          <w:spacing w:val="-2"/>
          <w:sz w:val="16"/>
          <w:szCs w:val="16"/>
        </w:rPr>
        <w:t>údajů z národních účtů, které zachycují zaměstnanost v průmyslu dle místa pracoviště, vyplývá, že v roce 2018 dosáhl celkový podíl průmysl</w:t>
      </w:r>
      <w:r>
        <w:rPr>
          <w:spacing w:val="-2"/>
          <w:sz w:val="16"/>
          <w:szCs w:val="16"/>
        </w:rPr>
        <w:t>u ve Středočeském kraji</w:t>
      </w:r>
      <w:r w:rsidRPr="002D2156">
        <w:rPr>
          <w:spacing w:val="-2"/>
          <w:sz w:val="16"/>
          <w:szCs w:val="16"/>
        </w:rPr>
        <w:t xml:space="preserve"> 32,8</w:t>
      </w:r>
      <w:r>
        <w:rPr>
          <w:spacing w:val="-2"/>
          <w:sz w:val="16"/>
          <w:szCs w:val="16"/>
        </w:rPr>
        <w:t> %</w:t>
      </w:r>
      <w:r w:rsidRPr="002D2156">
        <w:rPr>
          <w:spacing w:val="-2"/>
          <w:sz w:val="16"/>
          <w:szCs w:val="16"/>
        </w:rPr>
        <w:t xml:space="preserve"> a</w:t>
      </w:r>
      <w:r>
        <w:rPr>
          <w:spacing w:val="-2"/>
          <w:sz w:val="16"/>
          <w:szCs w:val="16"/>
        </w:rPr>
        <w:t> </w:t>
      </w:r>
      <w:r w:rsidRPr="002D2156">
        <w:rPr>
          <w:spacing w:val="-2"/>
          <w:sz w:val="16"/>
          <w:szCs w:val="16"/>
        </w:rPr>
        <w:t>byl tak vyšší než v celé ČR (29,0</w:t>
      </w:r>
      <w:r>
        <w:rPr>
          <w:spacing w:val="-2"/>
          <w:sz w:val="16"/>
          <w:szCs w:val="16"/>
        </w:rPr>
        <w:t> %</w:t>
      </w:r>
      <w:r w:rsidRPr="002D2156">
        <w:rPr>
          <w:spacing w:val="-2"/>
          <w:sz w:val="16"/>
          <w:szCs w:val="16"/>
        </w:rPr>
        <w:t xml:space="preserve">). Silnější postavení, než naznačovaly údaje dle místa bydliště pracujících, měl také </w:t>
      </w:r>
      <w:r w:rsidR="007D7668">
        <w:rPr>
          <w:spacing w:val="-2"/>
          <w:sz w:val="16"/>
          <w:szCs w:val="16"/>
        </w:rPr>
        <w:t xml:space="preserve">např. </w:t>
      </w:r>
      <w:r w:rsidRPr="002D2156">
        <w:rPr>
          <w:spacing w:val="-2"/>
          <w:sz w:val="16"/>
          <w:szCs w:val="16"/>
        </w:rPr>
        <w:t>Královéhradecký kraj (36,4</w:t>
      </w:r>
      <w:r>
        <w:rPr>
          <w:spacing w:val="-2"/>
          <w:sz w:val="16"/>
          <w:szCs w:val="16"/>
        </w:rPr>
        <w:t> %</w:t>
      </w:r>
      <w:r w:rsidRPr="002D2156">
        <w:rPr>
          <w:spacing w:val="-2"/>
          <w:sz w:val="16"/>
          <w:szCs w:val="16"/>
        </w:rPr>
        <w:t>). Opačně tomu bylo v Praze a</w:t>
      </w:r>
      <w:r>
        <w:rPr>
          <w:spacing w:val="-2"/>
          <w:sz w:val="16"/>
          <w:szCs w:val="16"/>
        </w:rPr>
        <w:t> </w:t>
      </w:r>
      <w:r w:rsidRPr="002D2156">
        <w:rPr>
          <w:spacing w:val="-2"/>
          <w:sz w:val="16"/>
          <w:szCs w:val="16"/>
        </w:rPr>
        <w:t>Jihomoravském kraji, kde se průmysl na celkovém počtu obsazených pracovních míst podílel 8,1</w:t>
      </w:r>
      <w:r>
        <w:rPr>
          <w:spacing w:val="-2"/>
          <w:sz w:val="16"/>
          <w:szCs w:val="16"/>
        </w:rPr>
        <w:t> %</w:t>
      </w:r>
      <w:r w:rsidRPr="002D2156">
        <w:rPr>
          <w:spacing w:val="-2"/>
          <w:sz w:val="16"/>
          <w:szCs w:val="16"/>
        </w:rPr>
        <w:t>, resp. 24,5</w:t>
      </w:r>
      <w:r>
        <w:rPr>
          <w:spacing w:val="-2"/>
          <w:sz w:val="16"/>
          <w:szCs w:val="16"/>
        </w:rPr>
        <w:t> %</w:t>
      </w:r>
      <w:r w:rsidRPr="002D2156">
        <w:rPr>
          <w:spacing w:val="-2"/>
          <w:sz w:val="16"/>
          <w:szCs w:val="16"/>
        </w:rPr>
        <w:t>.</w:t>
      </w:r>
    </w:p>
  </w:footnote>
  <w:footnote w:id="13">
    <w:p w14:paraId="197594E9" w14:textId="65A43D7E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>
        <w:rPr>
          <w:sz w:val="16"/>
          <w:szCs w:val="16"/>
        </w:rPr>
        <w:t xml:space="preserve"> Např. zaměstnaní muži bydlící v Moravs</w:t>
      </w:r>
      <w:r w:rsidR="007D7668">
        <w:rPr>
          <w:sz w:val="16"/>
          <w:szCs w:val="16"/>
        </w:rPr>
        <w:t>koslezském kraji pracovali ve 45</w:t>
      </w:r>
      <w:r>
        <w:rPr>
          <w:sz w:val="16"/>
          <w:szCs w:val="16"/>
        </w:rPr>
        <w:t> % v průmyslu, ženy jen ve</w:t>
      </w:r>
      <w:r w:rsidR="007D7668">
        <w:rPr>
          <w:sz w:val="16"/>
          <w:szCs w:val="16"/>
        </w:rPr>
        <w:t xml:space="preserve"> 23</w:t>
      </w:r>
      <w:r>
        <w:rPr>
          <w:sz w:val="16"/>
          <w:szCs w:val="16"/>
        </w:rPr>
        <w:t> %.</w:t>
      </w:r>
    </w:p>
  </w:footnote>
  <w:footnote w:id="14">
    <w:p w14:paraId="4EDE60EC" w14:textId="3FECA441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>
        <w:rPr>
          <w:sz w:val="16"/>
          <w:szCs w:val="16"/>
        </w:rPr>
        <w:t xml:space="preserve"> Jde o osoby zahrnuté do 6. až 9. třídy klasifikace zaměstnání CZ ISCO (viz graf 9).</w:t>
      </w:r>
    </w:p>
  </w:footnote>
  <w:footnote w:id="15">
    <w:p w14:paraId="44391301" w14:textId="6C0EA343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>
        <w:rPr>
          <w:sz w:val="16"/>
          <w:szCs w:val="16"/>
        </w:rPr>
        <w:t xml:space="preserve"> Pro tyto účely jde s určitým zjednodušením o odvětví v sekcích O až R (Veřejná správa, obrana a sociální zabezpečení</w:t>
      </w:r>
      <w:r w:rsidRPr="004F0CBA">
        <w:rPr>
          <w:sz w:val="16"/>
          <w:szCs w:val="16"/>
        </w:rPr>
        <w:t>;</w:t>
      </w:r>
      <w:r>
        <w:rPr>
          <w:sz w:val="16"/>
          <w:szCs w:val="16"/>
        </w:rPr>
        <w:t xml:space="preserve"> Vzdělávání; Zdravotní a sociální péče; Kulturní, zábavní a rekreační činnosti).</w:t>
      </w:r>
    </w:p>
  </w:footnote>
  <w:footnote w:id="16">
    <w:p w14:paraId="5C9ADBF6" w14:textId="178E9932" w:rsidR="009728D1" w:rsidRPr="00961897" w:rsidRDefault="009728D1" w:rsidP="00097078">
      <w:pPr>
        <w:pStyle w:val="Textpoznpodarou"/>
        <w:rPr>
          <w:sz w:val="16"/>
          <w:szCs w:val="16"/>
        </w:rPr>
      </w:pPr>
      <w:r w:rsidRPr="00961897">
        <w:rPr>
          <w:rStyle w:val="Znakapoznpodarou"/>
          <w:szCs w:val="16"/>
        </w:rPr>
        <w:footnoteRef/>
      </w:r>
      <w:r w:rsidRPr="00961897">
        <w:rPr>
          <w:sz w:val="16"/>
          <w:szCs w:val="16"/>
        </w:rPr>
        <w:t xml:space="preserve"> Např. z</w:t>
      </w:r>
      <w:r>
        <w:rPr>
          <w:sz w:val="16"/>
          <w:szCs w:val="16"/>
        </w:rPr>
        <w:t> </w:t>
      </w:r>
      <w:r w:rsidRPr="00961897">
        <w:rPr>
          <w:sz w:val="16"/>
          <w:szCs w:val="16"/>
        </w:rPr>
        <w:t>pravidelných šetření o</w:t>
      </w:r>
      <w:r>
        <w:rPr>
          <w:sz w:val="16"/>
          <w:szCs w:val="16"/>
        </w:rPr>
        <w:t> </w:t>
      </w:r>
      <w:r w:rsidRPr="00961897">
        <w:rPr>
          <w:sz w:val="16"/>
          <w:szCs w:val="16"/>
        </w:rPr>
        <w:t>úplných nákladech práce vyplývá, že v roce 2018 činil podíl sociálních požitků a</w:t>
      </w:r>
      <w:r>
        <w:rPr>
          <w:sz w:val="16"/>
          <w:szCs w:val="16"/>
        </w:rPr>
        <w:t> </w:t>
      </w:r>
      <w:r w:rsidRPr="00961897">
        <w:rPr>
          <w:sz w:val="16"/>
          <w:szCs w:val="16"/>
        </w:rPr>
        <w:t>ostatních sociálních výdajů (mimo platby zákonného pojistného) na celkových pracovních nákladech podniků v těžbě a</w:t>
      </w:r>
      <w:r>
        <w:rPr>
          <w:sz w:val="16"/>
          <w:szCs w:val="16"/>
        </w:rPr>
        <w:t> </w:t>
      </w:r>
      <w:r w:rsidRPr="00961897">
        <w:rPr>
          <w:sz w:val="16"/>
          <w:szCs w:val="16"/>
        </w:rPr>
        <w:t>dobývání 4,9</w:t>
      </w:r>
      <w:r>
        <w:rPr>
          <w:sz w:val="16"/>
          <w:szCs w:val="16"/>
        </w:rPr>
        <w:t> %</w:t>
      </w:r>
      <w:r w:rsidRPr="00961897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961897">
        <w:rPr>
          <w:sz w:val="16"/>
          <w:szCs w:val="16"/>
        </w:rPr>
        <w:t>podniků v energetice 5,2</w:t>
      </w:r>
      <w:r>
        <w:rPr>
          <w:sz w:val="16"/>
          <w:szCs w:val="16"/>
        </w:rPr>
        <w:t> %</w:t>
      </w:r>
      <w:r w:rsidRPr="00961897">
        <w:rPr>
          <w:sz w:val="16"/>
          <w:szCs w:val="16"/>
        </w:rPr>
        <w:t>. V</w:t>
      </w:r>
      <w:r>
        <w:rPr>
          <w:sz w:val="16"/>
          <w:szCs w:val="16"/>
        </w:rPr>
        <w:t> </w:t>
      </w:r>
      <w:r w:rsidRPr="00961897">
        <w:rPr>
          <w:sz w:val="16"/>
          <w:szCs w:val="16"/>
        </w:rPr>
        <w:t>takovém rozsahu neprofitovali z nepřímých nákladů práce svého zaměstnavatele pracovníci v žádném jiném odvětví ekonomiky. V peněžnictví a</w:t>
      </w:r>
      <w:r>
        <w:rPr>
          <w:sz w:val="16"/>
          <w:szCs w:val="16"/>
        </w:rPr>
        <w:t> </w:t>
      </w:r>
      <w:r w:rsidRPr="00961897">
        <w:rPr>
          <w:sz w:val="16"/>
          <w:szCs w:val="16"/>
        </w:rPr>
        <w:t>pojišťovnictví dosáhl tento podíl 3,9</w:t>
      </w:r>
      <w:r>
        <w:rPr>
          <w:sz w:val="16"/>
          <w:szCs w:val="16"/>
        </w:rPr>
        <w:t> %</w:t>
      </w:r>
      <w:r w:rsidRPr="00961897">
        <w:rPr>
          <w:sz w:val="16"/>
          <w:szCs w:val="16"/>
        </w:rPr>
        <w:t>, ve vodním a</w:t>
      </w:r>
      <w:r>
        <w:rPr>
          <w:sz w:val="16"/>
          <w:szCs w:val="16"/>
        </w:rPr>
        <w:t> </w:t>
      </w:r>
      <w:r w:rsidRPr="00961897">
        <w:rPr>
          <w:sz w:val="16"/>
          <w:szCs w:val="16"/>
        </w:rPr>
        <w:t>odpadovém hospodářství 3,1</w:t>
      </w:r>
      <w:r>
        <w:rPr>
          <w:sz w:val="16"/>
          <w:szCs w:val="16"/>
        </w:rPr>
        <w:t> %</w:t>
      </w:r>
      <w:r w:rsidRPr="00961897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961897">
        <w:rPr>
          <w:sz w:val="16"/>
          <w:szCs w:val="16"/>
        </w:rPr>
        <w:t>v celé ekonomice 2,1</w:t>
      </w:r>
      <w:r>
        <w:rPr>
          <w:sz w:val="16"/>
          <w:szCs w:val="16"/>
        </w:rPr>
        <w:t> %</w:t>
      </w:r>
      <w:r w:rsidRPr="00961897">
        <w:rPr>
          <w:sz w:val="16"/>
          <w:szCs w:val="16"/>
        </w:rPr>
        <w:t>. Otázce pracovních nákladů se podrobněji věnuje kap</w:t>
      </w:r>
      <w:r>
        <w:rPr>
          <w:sz w:val="16"/>
          <w:szCs w:val="16"/>
        </w:rPr>
        <w:t>itola</w:t>
      </w:r>
      <w:r w:rsidRPr="00961897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 w:rsidRPr="00961897">
        <w:rPr>
          <w:sz w:val="16"/>
          <w:szCs w:val="16"/>
        </w:rPr>
        <w:t>.3.</w:t>
      </w:r>
    </w:p>
  </w:footnote>
  <w:footnote w:id="17">
    <w:p w14:paraId="3BF55AF6" w14:textId="3EA2A46B" w:rsidR="009728D1" w:rsidRPr="007E3596" w:rsidRDefault="009728D1" w:rsidP="00097078">
      <w:pPr>
        <w:pStyle w:val="Textpoznpodarou"/>
        <w:rPr>
          <w:spacing w:val="-3"/>
          <w:sz w:val="16"/>
          <w:szCs w:val="16"/>
        </w:rPr>
      </w:pPr>
      <w:r w:rsidRPr="00961897">
        <w:rPr>
          <w:rStyle w:val="Znakapoznpodarou"/>
          <w:szCs w:val="16"/>
        </w:rPr>
        <w:footnoteRef/>
      </w:r>
      <w:r w:rsidRPr="00961897">
        <w:rPr>
          <w:sz w:val="16"/>
          <w:szCs w:val="16"/>
        </w:rPr>
        <w:t xml:space="preserve"> Výjimku představuje odvětví zemědělství, lesnictví a</w:t>
      </w:r>
      <w:r>
        <w:rPr>
          <w:sz w:val="16"/>
          <w:szCs w:val="16"/>
        </w:rPr>
        <w:t> </w:t>
      </w:r>
      <w:r w:rsidRPr="00961897">
        <w:rPr>
          <w:sz w:val="16"/>
          <w:szCs w:val="16"/>
        </w:rPr>
        <w:t>rybářství, kde dosahovala v roce 2018 průměrná mzda zaměstnance</w:t>
      </w:r>
      <w:r>
        <w:rPr>
          <w:sz w:val="16"/>
          <w:szCs w:val="16"/>
        </w:rPr>
        <w:t xml:space="preserve"> v Praze</w:t>
      </w:r>
      <w:r w:rsidRPr="00961897">
        <w:rPr>
          <w:sz w:val="16"/>
          <w:szCs w:val="16"/>
        </w:rPr>
        <w:t xml:space="preserve"> jen necelých čtyř pětin úrovně tohoto odvětví v celém národním hospodářství. V metropoli však v tomto odvětví pracoval</w:t>
      </w:r>
      <w:r>
        <w:rPr>
          <w:sz w:val="16"/>
          <w:szCs w:val="16"/>
        </w:rPr>
        <w:t>y</w:t>
      </w:r>
      <w:r w:rsidRPr="00961897">
        <w:rPr>
          <w:sz w:val="16"/>
          <w:szCs w:val="16"/>
        </w:rPr>
        <w:t xml:space="preserve"> jen 4</w:t>
      </w:r>
      <w:r>
        <w:rPr>
          <w:sz w:val="16"/>
          <w:szCs w:val="16"/>
        </w:rPr>
        <w:t> tisíce</w:t>
      </w:r>
      <w:r w:rsidRPr="00961897">
        <w:rPr>
          <w:sz w:val="16"/>
          <w:szCs w:val="16"/>
        </w:rPr>
        <w:t xml:space="preserve"> zaměstnanců v evidenčním počtu (0,5</w:t>
      </w:r>
      <w:r>
        <w:rPr>
          <w:sz w:val="16"/>
          <w:szCs w:val="16"/>
        </w:rPr>
        <w:t> %</w:t>
      </w:r>
      <w:r w:rsidRPr="00961897">
        <w:rPr>
          <w:sz w:val="16"/>
          <w:szCs w:val="16"/>
        </w:rPr>
        <w:t xml:space="preserve"> z celkového počtu pražských zaměstnanců).</w:t>
      </w:r>
    </w:p>
  </w:footnote>
  <w:footnote w:id="18">
    <w:p w14:paraId="4EAF6D1A" w14:textId="09A951A4" w:rsidR="009728D1" w:rsidRPr="00307E77" w:rsidRDefault="009728D1" w:rsidP="00097078">
      <w:pPr>
        <w:pStyle w:val="Textpoznpodarou"/>
        <w:rPr>
          <w:sz w:val="16"/>
          <w:szCs w:val="16"/>
        </w:rPr>
      </w:pPr>
      <w:r w:rsidRPr="00961897">
        <w:rPr>
          <w:rStyle w:val="Znakapoznpodarou"/>
          <w:szCs w:val="16"/>
        </w:rPr>
        <w:footnoteRef/>
      </w:r>
      <w:r>
        <w:rPr>
          <w:sz w:val="16"/>
          <w:szCs w:val="16"/>
        </w:rPr>
        <w:t xml:space="preserve"> Mzda je zde z důvodu dostupnosti delších časových řad vztažena k fyzickému počtu pracovníků. Rozdíl mezi vyjádřením průměrné mzdy na fyzický a přepočtený počet pracovníků je ale v odvětví průmyslu dlouhodobě minimální.</w:t>
      </w:r>
    </w:p>
  </w:footnote>
  <w:footnote w:id="19">
    <w:p w14:paraId="3AF96134" w14:textId="4377C886" w:rsidR="009728D1" w:rsidRPr="007E3596" w:rsidRDefault="009728D1" w:rsidP="00097078">
      <w:pPr>
        <w:pStyle w:val="Textpoznpodarou"/>
        <w:rPr>
          <w:spacing w:val="-3"/>
          <w:sz w:val="16"/>
          <w:szCs w:val="16"/>
        </w:rPr>
      </w:pPr>
      <w:r w:rsidRPr="007E3596">
        <w:rPr>
          <w:rStyle w:val="Znakapoznpodarou"/>
          <w:spacing w:val="-3"/>
          <w:szCs w:val="16"/>
        </w:rPr>
        <w:footnoteRef/>
      </w:r>
      <w:r>
        <w:rPr>
          <w:spacing w:val="-3"/>
          <w:sz w:val="16"/>
          <w:szCs w:val="16"/>
        </w:rPr>
        <w:t xml:space="preserve"> Mezi roky 2005 a 2018 se evidenční počet zaměstnanců v tomto odvětví v Moravskoslezském kraji snížil z 21,9 tis. na 8,2 tis.</w:t>
      </w:r>
    </w:p>
  </w:footnote>
  <w:footnote w:id="20">
    <w:p w14:paraId="0C12CACE" w14:textId="01D8574E" w:rsidR="009728D1" w:rsidRPr="00C8155D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>
        <w:rPr>
          <w:sz w:val="16"/>
          <w:szCs w:val="16"/>
        </w:rPr>
        <w:t xml:space="preserve"> Zahrnují všechna odvětví s vyloučením sekcí O až R.</w:t>
      </w:r>
    </w:p>
  </w:footnote>
  <w:footnote w:id="21">
    <w:p w14:paraId="47FAFC2E" w14:textId="3522E6A5" w:rsidR="009728D1" w:rsidRPr="00DF3C93" w:rsidRDefault="009728D1" w:rsidP="00097078">
      <w:pPr>
        <w:pStyle w:val="Textpoznpodarou"/>
        <w:rPr>
          <w:sz w:val="16"/>
          <w:szCs w:val="16"/>
        </w:rPr>
      </w:pPr>
      <w:r w:rsidRPr="00C8155D">
        <w:rPr>
          <w:rStyle w:val="Znakapoznpodarou"/>
          <w:szCs w:val="16"/>
        </w:rPr>
        <w:footnoteRef/>
      </w:r>
      <w:r w:rsidRPr="00DF3C93">
        <w:rPr>
          <w:sz w:val="16"/>
          <w:szCs w:val="16"/>
        </w:rPr>
        <w:t xml:space="preserve"> Mzda</w:t>
      </w:r>
      <w:r w:rsidRPr="00DF3C93">
        <w:rPr>
          <w:rFonts w:cs="Arial"/>
        </w:rPr>
        <w:t xml:space="preserve"> </w:t>
      </w:r>
      <w:r w:rsidRPr="00DF3C93">
        <w:rPr>
          <w:spacing w:val="-3"/>
          <w:sz w:val="16"/>
          <w:szCs w:val="16"/>
        </w:rPr>
        <w:t>z tohoto šetření (pokrývající plošně tzv.</w:t>
      </w:r>
      <w:r>
        <w:rPr>
          <w:spacing w:val="-3"/>
          <w:sz w:val="16"/>
          <w:szCs w:val="16"/>
        </w:rPr>
        <w:t> </w:t>
      </w:r>
      <w:r w:rsidRPr="00DF3C93">
        <w:rPr>
          <w:spacing w:val="-3"/>
          <w:sz w:val="16"/>
          <w:szCs w:val="16"/>
        </w:rPr>
        <w:t xml:space="preserve">platovou sféru a výběrově mzdovou sféru) není shodná s průměrnou mzdou z podnikových zjišťování, neboť vychází z údajů o jednotlivých zaměstnancích, </w:t>
      </w:r>
      <w:r>
        <w:rPr>
          <w:spacing w:val="-3"/>
          <w:sz w:val="16"/>
          <w:szCs w:val="16"/>
        </w:rPr>
        <w:t>kdežto</w:t>
      </w:r>
      <w:r w:rsidRPr="00DF3C93">
        <w:rPr>
          <w:spacing w:val="-3"/>
          <w:sz w:val="16"/>
          <w:szCs w:val="16"/>
        </w:rPr>
        <w:t xml:space="preserve"> podniková zjišťování sledují evidenční počet zaměstnanců a objem mezd za celý podnik či organizaci. Průměrná mzda ze strukturálního šetření je vypočtena poměřením s placenou dobou zaměstnance (nezahrnuje se neplacená nepřítomnost v práci, např. pro nemoc), nezapočítávají se ale zaměstnanci s týdenním úvazkem kratším než 30 hodin. V podnikových zjišťováních je vypočtena poměřením s evidenčním počtem zaměstnanců (zaměstnanci s krátkodobou neplacenou nepřítomností jsou zahrnuti) bez ohledu na délku jejich týdenního úvazku. Do hrubých mezd se ve strukturální statistice počítají všechny mzdy za práci včetně prémií, odměn a dalších platů, dále veškeré náhrady mzdy za neodpracovanou dobu (dovolenou, svátky, překážky v práci apod.) a odměny za pracovní pohotovost.</w:t>
      </w:r>
    </w:p>
  </w:footnote>
  <w:footnote w:id="22">
    <w:p w14:paraId="02A94529" w14:textId="77777777" w:rsidR="009728D1" w:rsidRPr="00460E41" w:rsidRDefault="009728D1" w:rsidP="00097078">
      <w:pPr>
        <w:pStyle w:val="Textpoznpodarou"/>
        <w:rPr>
          <w:spacing w:val="-4"/>
          <w:sz w:val="16"/>
          <w:szCs w:val="16"/>
        </w:rPr>
      </w:pPr>
      <w:r w:rsidRPr="00460E41">
        <w:rPr>
          <w:rStyle w:val="Znakapoznpodarou"/>
          <w:spacing w:val="-4"/>
          <w:szCs w:val="16"/>
        </w:rPr>
        <w:footnoteRef/>
      </w:r>
      <w:r w:rsidRPr="00460E41">
        <w:rPr>
          <w:spacing w:val="-4"/>
          <w:sz w:val="16"/>
          <w:szCs w:val="16"/>
        </w:rPr>
        <w:t xml:space="preserve"> </w:t>
      </w:r>
      <w:r w:rsidRPr="00460E41">
        <w:rPr>
          <w:bCs/>
          <w:spacing w:val="-4"/>
          <w:sz w:val="16"/>
          <w:szCs w:val="16"/>
        </w:rPr>
        <w:t xml:space="preserve">Medián mzdy </w:t>
      </w:r>
      <w:r w:rsidRPr="00460E41">
        <w:rPr>
          <w:spacing w:val="-4"/>
          <w:sz w:val="16"/>
          <w:szCs w:val="16"/>
        </w:rPr>
        <w:t xml:space="preserve">ukazuje výdělek zaměstnance </w:t>
      </w:r>
      <w:r w:rsidRPr="00460E41">
        <w:rPr>
          <w:bCs/>
          <w:spacing w:val="-4"/>
          <w:sz w:val="16"/>
          <w:szCs w:val="16"/>
        </w:rPr>
        <w:t>uprostřed</w:t>
      </w:r>
      <w:r w:rsidRPr="00460E41">
        <w:rPr>
          <w:spacing w:val="-4"/>
          <w:sz w:val="16"/>
          <w:szCs w:val="16"/>
        </w:rPr>
        <w:t xml:space="preserve"> mzdového rozdělení (právě stejný počet mezd je vyšších i nižších než medián).</w:t>
      </w:r>
    </w:p>
  </w:footnote>
  <w:footnote w:id="23">
    <w:p w14:paraId="32CEDE35" w14:textId="47318D0E" w:rsidR="009728D1" w:rsidRPr="00460E41" w:rsidRDefault="009728D1" w:rsidP="00097078">
      <w:pPr>
        <w:pStyle w:val="Textpoznpodarou"/>
        <w:rPr>
          <w:sz w:val="16"/>
          <w:szCs w:val="16"/>
        </w:rPr>
      </w:pPr>
      <w:r w:rsidRPr="00460E41">
        <w:rPr>
          <w:rStyle w:val="Znakapoznpodarou"/>
          <w:szCs w:val="16"/>
        </w:rPr>
        <w:footnoteRef/>
      </w:r>
      <w:r w:rsidRPr="00460E41"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Zahrnují náhrady za dovolenou, svátky, za překážky práce na straně zaměstnance i jeho zaměstnavatele.</w:t>
      </w:r>
    </w:p>
  </w:footnote>
  <w:footnote w:id="24">
    <w:p w14:paraId="452F6675" w14:textId="485219A4" w:rsidR="009728D1" w:rsidRPr="00460E41" w:rsidRDefault="009728D1" w:rsidP="00097078">
      <w:pPr>
        <w:pStyle w:val="Textpoznpodarou"/>
        <w:rPr>
          <w:sz w:val="16"/>
          <w:szCs w:val="16"/>
        </w:rPr>
      </w:pPr>
      <w:r w:rsidRPr="00460E41">
        <w:rPr>
          <w:rStyle w:val="Znakapoznpodarou"/>
          <w:szCs w:val="16"/>
        </w:rPr>
        <w:footnoteRef/>
      </w:r>
      <w:r w:rsidRPr="00460E41"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Odvětvová sekce S zahrnuje různorodé spektrum služeb. Jde např. o poskytování osobních služeb pro domácnosti (kadeřnictví, kosmetické služby, čistírny oděvů, pohřebnictví), o</w:t>
      </w:r>
      <w:r w:rsidRPr="000C6637">
        <w:rPr>
          <w:bCs/>
          <w:sz w:val="16"/>
          <w:szCs w:val="16"/>
        </w:rPr>
        <w:t>pravy počítačů a</w:t>
      </w:r>
      <w:r>
        <w:rPr>
          <w:bCs/>
          <w:sz w:val="16"/>
          <w:szCs w:val="16"/>
        </w:rPr>
        <w:t> </w:t>
      </w:r>
      <w:r w:rsidRPr="000C6637">
        <w:rPr>
          <w:bCs/>
          <w:sz w:val="16"/>
          <w:szCs w:val="16"/>
        </w:rPr>
        <w:t>výrobků pro osobní potřebu a převážně pro</w:t>
      </w:r>
      <w:r>
        <w:rPr>
          <w:bCs/>
          <w:sz w:val="16"/>
          <w:szCs w:val="16"/>
        </w:rPr>
        <w:t xml:space="preserve"> </w:t>
      </w:r>
      <w:r w:rsidRPr="000C6637">
        <w:rPr>
          <w:bCs/>
          <w:sz w:val="16"/>
          <w:szCs w:val="16"/>
        </w:rPr>
        <w:t>domácnost</w:t>
      </w:r>
      <w:r>
        <w:rPr>
          <w:bCs/>
          <w:sz w:val="16"/>
          <w:szCs w:val="16"/>
        </w:rPr>
        <w:t xml:space="preserve"> a také o č</w:t>
      </w:r>
      <w:r w:rsidRPr="000C6637">
        <w:rPr>
          <w:bCs/>
          <w:sz w:val="16"/>
          <w:szCs w:val="16"/>
        </w:rPr>
        <w:t>innosti organizací sdružujících osoby za účelem prosazování společných zájmů</w:t>
      </w:r>
      <w:r>
        <w:rPr>
          <w:bCs/>
          <w:sz w:val="16"/>
          <w:szCs w:val="16"/>
        </w:rPr>
        <w:t xml:space="preserve"> (podnikatelské, zaměstnavatelské a profesní organizace, náboženské organizace, politické strany, ekologická hnutí, občanské iniciativy apod.).</w:t>
      </w:r>
    </w:p>
  </w:footnote>
  <w:footnote w:id="25">
    <w:p w14:paraId="467A60C2" w14:textId="49776C0D" w:rsidR="009728D1" w:rsidRPr="00460E41" w:rsidRDefault="009728D1" w:rsidP="00097078">
      <w:pPr>
        <w:pStyle w:val="Textpoznpodarou"/>
        <w:rPr>
          <w:sz w:val="16"/>
          <w:szCs w:val="16"/>
        </w:rPr>
      </w:pPr>
      <w:r w:rsidRPr="00460E41">
        <w:rPr>
          <w:rStyle w:val="Znakapoznpodarou"/>
          <w:szCs w:val="16"/>
        </w:rPr>
        <w:footnoteRef/>
      </w:r>
      <w:r w:rsidRPr="00460E41"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Sociální požitky zahrnují především </w:t>
      </w:r>
      <w:r w:rsidRPr="00975236">
        <w:rPr>
          <w:bCs/>
          <w:sz w:val="16"/>
          <w:szCs w:val="16"/>
        </w:rPr>
        <w:t>příspěvky na stravování</w:t>
      </w:r>
      <w:r>
        <w:rPr>
          <w:bCs/>
          <w:sz w:val="16"/>
          <w:szCs w:val="16"/>
        </w:rPr>
        <w:t xml:space="preserve"> a dále např. příspěvky na bydlení, do sociálního fondu či poskytnutí </w:t>
      </w:r>
      <w:r w:rsidRPr="00975236">
        <w:rPr>
          <w:bCs/>
          <w:sz w:val="16"/>
          <w:szCs w:val="16"/>
        </w:rPr>
        <w:t>služební</w:t>
      </w:r>
      <w:r>
        <w:rPr>
          <w:bCs/>
          <w:sz w:val="16"/>
          <w:szCs w:val="16"/>
        </w:rPr>
        <w:t>ho vozu</w:t>
      </w:r>
      <w:r w:rsidRPr="00975236">
        <w:rPr>
          <w:bCs/>
          <w:sz w:val="16"/>
          <w:szCs w:val="16"/>
        </w:rPr>
        <w:t xml:space="preserve"> k</w:t>
      </w:r>
      <w:r>
        <w:rPr>
          <w:bCs/>
          <w:sz w:val="16"/>
          <w:szCs w:val="16"/>
        </w:rPr>
        <w:t> </w:t>
      </w:r>
      <w:r w:rsidRPr="00975236">
        <w:rPr>
          <w:bCs/>
          <w:sz w:val="16"/>
          <w:szCs w:val="16"/>
        </w:rPr>
        <w:t>soukromým účelům</w:t>
      </w:r>
      <w:r>
        <w:rPr>
          <w:bCs/>
          <w:sz w:val="16"/>
          <w:szCs w:val="16"/>
        </w:rPr>
        <w:t xml:space="preserve">. Ostatní sociální náklady obsahují zejména </w:t>
      </w:r>
      <w:r w:rsidRPr="00B80BFC">
        <w:rPr>
          <w:bCs/>
          <w:sz w:val="16"/>
          <w:szCs w:val="16"/>
        </w:rPr>
        <w:t>nadstandardní programy sociálního zabezpečení</w:t>
      </w:r>
      <w:r>
        <w:rPr>
          <w:bCs/>
          <w:sz w:val="16"/>
          <w:szCs w:val="16"/>
        </w:rPr>
        <w:t>, vyrovnání za nemoc (</w:t>
      </w:r>
      <w:r w:rsidRPr="00B80BFC">
        <w:rPr>
          <w:bCs/>
          <w:sz w:val="16"/>
          <w:szCs w:val="16"/>
        </w:rPr>
        <w:t>placené zaměstnavatelem</w:t>
      </w:r>
      <w:r>
        <w:rPr>
          <w:bCs/>
          <w:sz w:val="16"/>
          <w:szCs w:val="16"/>
        </w:rPr>
        <w:t>) a dále odstupné.</w:t>
      </w:r>
    </w:p>
  </w:footnote>
  <w:footnote w:id="26">
    <w:p w14:paraId="5FDECC8A" w14:textId="4909F9CF" w:rsidR="009728D1" w:rsidRPr="00460E41" w:rsidRDefault="009728D1" w:rsidP="00097078">
      <w:pPr>
        <w:pStyle w:val="Textpoznpodarou"/>
        <w:rPr>
          <w:sz w:val="16"/>
          <w:szCs w:val="16"/>
        </w:rPr>
      </w:pPr>
      <w:r w:rsidRPr="00460E41">
        <w:rPr>
          <w:rStyle w:val="Znakapoznpodarou"/>
          <w:szCs w:val="16"/>
        </w:rPr>
        <w:footnoteRef/>
      </w:r>
      <w:r w:rsidRPr="00460E41"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Toto saldo je prakticky ve všech odvětvích ekonomiky záporné, tj. z pohledu podniků přispívá ke snižování nákladů práce. Relativně nejvyšší roli má v odvětví ostatní činnosti služeb (i zde ale snižuje nepřímé pracovní náklady o méně než desetinu).</w:t>
      </w:r>
    </w:p>
  </w:footnote>
  <w:footnote w:id="27">
    <w:p w14:paraId="7C96D244" w14:textId="38DD3F20" w:rsidR="00BA35B6" w:rsidRPr="00BA35B6" w:rsidRDefault="00BA35B6">
      <w:pPr>
        <w:pStyle w:val="Textpoznpodarou"/>
        <w:rPr>
          <w:sz w:val="16"/>
          <w:szCs w:val="16"/>
        </w:rPr>
      </w:pPr>
      <w:r w:rsidRPr="00BA35B6">
        <w:rPr>
          <w:rStyle w:val="Znakapoznpodarou"/>
          <w:sz w:val="16"/>
          <w:szCs w:val="16"/>
        </w:rPr>
        <w:footnoteRef/>
      </w:r>
      <w:r w:rsidRPr="00BA35B6">
        <w:rPr>
          <w:sz w:val="16"/>
          <w:szCs w:val="16"/>
        </w:rPr>
        <w:t xml:space="preserve"> </w:t>
      </w:r>
      <w:r>
        <w:rPr>
          <w:sz w:val="16"/>
          <w:szCs w:val="16"/>
        </w:rPr>
        <w:t>Bez</w:t>
      </w:r>
      <w:r w:rsidRPr="00BA35B6">
        <w:rPr>
          <w:sz w:val="16"/>
          <w:szCs w:val="16"/>
        </w:rPr>
        <w:t xml:space="preserve"> Řecka, za něž nebyly údaje za rok 2018 dostupné. Dle dat z předchozích let ale průměrná mzda v průmyslu v Řecku úroveň ČR převyšovala.</w:t>
      </w:r>
    </w:p>
  </w:footnote>
  <w:footnote w:id="28">
    <w:p w14:paraId="0159B0B7" w14:textId="71699BC9" w:rsidR="009728D1" w:rsidRPr="000C365C" w:rsidRDefault="009728D1" w:rsidP="00097078">
      <w:pPr>
        <w:pStyle w:val="Textpoznpodarou"/>
        <w:rPr>
          <w:sz w:val="16"/>
          <w:szCs w:val="16"/>
        </w:rPr>
      </w:pPr>
      <w:r w:rsidRPr="000C365C">
        <w:rPr>
          <w:rStyle w:val="Znakapoznpodarou"/>
          <w:sz w:val="16"/>
          <w:szCs w:val="16"/>
        </w:rPr>
        <w:footnoteRef/>
      </w:r>
      <w:r w:rsidRPr="000C365C">
        <w:rPr>
          <w:sz w:val="16"/>
          <w:szCs w:val="16"/>
        </w:rPr>
        <w:t xml:space="preserve"> Nepřímo to dokládá i</w:t>
      </w:r>
      <w:r>
        <w:rPr>
          <w:sz w:val="16"/>
          <w:szCs w:val="16"/>
        </w:rPr>
        <w:t> </w:t>
      </w:r>
      <w:r w:rsidRPr="000C365C">
        <w:rPr>
          <w:sz w:val="16"/>
          <w:szCs w:val="16"/>
        </w:rPr>
        <w:t>poměr mzdy v průmyslu k</w:t>
      </w:r>
      <w:r>
        <w:rPr>
          <w:sz w:val="16"/>
          <w:szCs w:val="16"/>
        </w:rPr>
        <w:t> </w:t>
      </w:r>
      <w:r w:rsidRPr="000C365C">
        <w:rPr>
          <w:sz w:val="16"/>
          <w:szCs w:val="16"/>
        </w:rPr>
        <w:t>hodinové mzdě v celé ekonomice (bez odvětví primárního sektoru a</w:t>
      </w:r>
      <w:r>
        <w:rPr>
          <w:sz w:val="16"/>
          <w:szCs w:val="16"/>
        </w:rPr>
        <w:t> </w:t>
      </w:r>
      <w:r w:rsidRPr="000C365C">
        <w:rPr>
          <w:sz w:val="16"/>
          <w:szCs w:val="16"/>
        </w:rPr>
        <w:t>také bez veřejné správy, obrany a</w:t>
      </w:r>
      <w:r>
        <w:rPr>
          <w:sz w:val="16"/>
          <w:szCs w:val="16"/>
        </w:rPr>
        <w:t> </w:t>
      </w:r>
      <w:r w:rsidRPr="000C365C">
        <w:rPr>
          <w:sz w:val="16"/>
          <w:szCs w:val="16"/>
        </w:rPr>
        <w:t>sociálního zabezpečení). Ten patřil v roce 2018 v Dánsku k</w:t>
      </w:r>
      <w:r>
        <w:rPr>
          <w:sz w:val="16"/>
          <w:szCs w:val="16"/>
        </w:rPr>
        <w:t> </w:t>
      </w:r>
      <w:r w:rsidRPr="000C365C">
        <w:rPr>
          <w:sz w:val="16"/>
          <w:szCs w:val="16"/>
        </w:rPr>
        <w:t>nejvyšším z celé EU (115</w:t>
      </w:r>
      <w:r>
        <w:rPr>
          <w:sz w:val="16"/>
          <w:szCs w:val="16"/>
        </w:rPr>
        <w:t> %</w:t>
      </w:r>
      <w:r w:rsidRPr="000C365C">
        <w:rPr>
          <w:sz w:val="16"/>
          <w:szCs w:val="16"/>
        </w:rPr>
        <w:t>). V Německu činil (118</w:t>
      </w:r>
      <w:r>
        <w:rPr>
          <w:sz w:val="16"/>
          <w:szCs w:val="16"/>
        </w:rPr>
        <w:t> %</w:t>
      </w:r>
      <w:r w:rsidRPr="000C365C">
        <w:rPr>
          <w:sz w:val="16"/>
          <w:szCs w:val="16"/>
        </w:rPr>
        <w:t>), na Slovensku (103</w:t>
      </w:r>
      <w:r>
        <w:rPr>
          <w:sz w:val="16"/>
          <w:szCs w:val="16"/>
        </w:rPr>
        <w:t> %</w:t>
      </w:r>
      <w:r w:rsidRPr="000C365C">
        <w:rPr>
          <w:sz w:val="16"/>
          <w:szCs w:val="16"/>
        </w:rPr>
        <w:t>), v ČR (101</w:t>
      </w:r>
      <w:r>
        <w:rPr>
          <w:sz w:val="16"/>
          <w:szCs w:val="16"/>
        </w:rPr>
        <w:t> %</w:t>
      </w:r>
      <w:r w:rsidRPr="000C365C">
        <w:rPr>
          <w:sz w:val="16"/>
          <w:szCs w:val="16"/>
        </w:rPr>
        <w:t>), v Maďarsku (97</w:t>
      </w:r>
      <w:r>
        <w:rPr>
          <w:sz w:val="16"/>
          <w:szCs w:val="16"/>
        </w:rPr>
        <w:t> %</w:t>
      </w:r>
      <w:r w:rsidRPr="000C365C">
        <w:rPr>
          <w:sz w:val="16"/>
          <w:szCs w:val="16"/>
        </w:rPr>
        <w:t>), ale v Rumunsku jen 87</w:t>
      </w:r>
      <w:r>
        <w:rPr>
          <w:sz w:val="16"/>
          <w:szCs w:val="16"/>
        </w:rPr>
        <w:t> %</w:t>
      </w:r>
      <w:r w:rsidRPr="000C365C">
        <w:rPr>
          <w:sz w:val="16"/>
          <w:szCs w:val="16"/>
        </w:rPr>
        <w:t xml:space="preserve"> a</w:t>
      </w:r>
      <w:r>
        <w:rPr>
          <w:sz w:val="16"/>
          <w:szCs w:val="16"/>
        </w:rPr>
        <w:t> v </w:t>
      </w:r>
      <w:r w:rsidRPr="000C365C">
        <w:rPr>
          <w:sz w:val="16"/>
          <w:szCs w:val="16"/>
        </w:rPr>
        <w:t>Portugalsku 86</w:t>
      </w:r>
      <w:r>
        <w:rPr>
          <w:sz w:val="16"/>
          <w:szCs w:val="16"/>
        </w:rPr>
        <w:t> %</w:t>
      </w:r>
      <w:r w:rsidRPr="000C365C">
        <w:rPr>
          <w:sz w:val="16"/>
          <w:szCs w:val="16"/>
        </w:rPr>
        <w:t>.</w:t>
      </w:r>
    </w:p>
  </w:footnote>
  <w:footnote w:id="29">
    <w:p w14:paraId="68DD0324" w14:textId="6E75F36E" w:rsidR="009728D1" w:rsidRPr="00075D7A" w:rsidRDefault="009728D1" w:rsidP="00097078">
      <w:pPr>
        <w:pStyle w:val="Textpoznpodarou"/>
        <w:rPr>
          <w:sz w:val="16"/>
          <w:szCs w:val="16"/>
        </w:rPr>
      </w:pPr>
      <w:r w:rsidRPr="000C365C">
        <w:rPr>
          <w:rStyle w:val="Znakapoznpodarou"/>
          <w:sz w:val="16"/>
          <w:szCs w:val="16"/>
        </w:rPr>
        <w:footnoteRef/>
      </w:r>
      <w:r w:rsidRPr="000C365C">
        <w:rPr>
          <w:sz w:val="16"/>
          <w:szCs w:val="16"/>
        </w:rPr>
        <w:t xml:space="preserve"> Poměr </w:t>
      </w:r>
      <w:r w:rsidRPr="00075D7A">
        <w:rPr>
          <w:sz w:val="16"/>
          <w:szCs w:val="16"/>
        </w:rPr>
        <w:t>hodinových výdělků v průmyslu mezi Dánskem a</w:t>
      </w:r>
      <w:r>
        <w:rPr>
          <w:sz w:val="16"/>
          <w:szCs w:val="16"/>
        </w:rPr>
        <w:t> </w:t>
      </w:r>
      <w:r w:rsidRPr="00075D7A">
        <w:rPr>
          <w:sz w:val="16"/>
          <w:szCs w:val="16"/>
        </w:rPr>
        <w:t xml:space="preserve">Bulharskem byl tak 4,1. Pokud bychom </w:t>
      </w:r>
      <w:r>
        <w:rPr>
          <w:sz w:val="16"/>
          <w:szCs w:val="16"/>
        </w:rPr>
        <w:t>nebrali v potaz rozdílné cenové hladiny v rámci EU</w:t>
      </w:r>
      <w:r w:rsidRPr="00075D7A">
        <w:rPr>
          <w:sz w:val="16"/>
          <w:szCs w:val="16"/>
        </w:rPr>
        <w:t xml:space="preserve"> a</w:t>
      </w:r>
      <w:r>
        <w:rPr>
          <w:sz w:val="16"/>
          <w:szCs w:val="16"/>
        </w:rPr>
        <w:t> </w:t>
      </w:r>
      <w:r w:rsidRPr="00075D7A">
        <w:rPr>
          <w:sz w:val="16"/>
          <w:szCs w:val="16"/>
        </w:rPr>
        <w:t>vyjádřili výdělky v </w:t>
      </w:r>
      <w:r>
        <w:rPr>
          <w:sz w:val="16"/>
          <w:szCs w:val="16"/>
        </w:rPr>
        <w:t>e</w:t>
      </w:r>
      <w:r w:rsidRPr="00075D7A">
        <w:rPr>
          <w:sz w:val="16"/>
          <w:szCs w:val="16"/>
        </w:rPr>
        <w:t>urech (po přepočtu směnným kurzem)</w:t>
      </w:r>
      <w:r>
        <w:rPr>
          <w:sz w:val="16"/>
          <w:szCs w:val="16"/>
        </w:rPr>
        <w:t>, pak by</w:t>
      </w:r>
      <w:r w:rsidRPr="00075D7A">
        <w:rPr>
          <w:sz w:val="16"/>
          <w:szCs w:val="16"/>
        </w:rPr>
        <w:t xml:space="preserve"> by</w:t>
      </w:r>
      <w:r>
        <w:rPr>
          <w:sz w:val="16"/>
          <w:szCs w:val="16"/>
        </w:rPr>
        <w:t>l</w:t>
      </w:r>
      <w:r w:rsidRPr="00075D7A">
        <w:rPr>
          <w:sz w:val="16"/>
          <w:szCs w:val="16"/>
        </w:rPr>
        <w:t xml:space="preserve"> v roce 2018 obdobný poměr mezi těmito státy </w:t>
      </w:r>
      <w:r>
        <w:rPr>
          <w:sz w:val="16"/>
          <w:szCs w:val="16"/>
        </w:rPr>
        <w:t>dokonce 11,2.</w:t>
      </w:r>
    </w:p>
  </w:footnote>
  <w:footnote w:id="30">
    <w:p w14:paraId="01CE71CC" w14:textId="14EEF56F" w:rsidR="009728D1" w:rsidRPr="00FD706B" w:rsidRDefault="009728D1" w:rsidP="00D569B1">
      <w:pPr>
        <w:pStyle w:val="Textpoznpodarou"/>
        <w:rPr>
          <w:sz w:val="16"/>
          <w:szCs w:val="16"/>
        </w:rPr>
      </w:pPr>
      <w:r w:rsidRPr="00FD706B">
        <w:rPr>
          <w:rStyle w:val="Znakapoznpodarou"/>
          <w:sz w:val="16"/>
          <w:szCs w:val="16"/>
        </w:rPr>
        <w:footnoteRef/>
      </w:r>
      <w:r w:rsidRPr="00FD706B">
        <w:rPr>
          <w:sz w:val="16"/>
          <w:szCs w:val="16"/>
        </w:rPr>
        <w:t xml:space="preserve"> To se v rámci průmyslu týkalo např. výroby medicínských přístrojů a vybavení nebo chemického a farmaceutického průmyslu.</w:t>
      </w:r>
    </w:p>
  </w:footnote>
  <w:footnote w:id="31">
    <w:p w14:paraId="67F04565" w14:textId="3B85013B" w:rsidR="009728D1" w:rsidRPr="00134608" w:rsidRDefault="009728D1" w:rsidP="00D569B1">
      <w:pPr>
        <w:pStyle w:val="Textpoznpodarou"/>
        <w:rPr>
          <w:sz w:val="16"/>
          <w:szCs w:val="16"/>
        </w:rPr>
      </w:pPr>
      <w:r w:rsidRPr="00134608">
        <w:rPr>
          <w:rStyle w:val="Znakapoznpodarou"/>
          <w:sz w:val="16"/>
          <w:szCs w:val="16"/>
        </w:rPr>
        <w:footnoteRef/>
      </w:r>
      <w:r w:rsidRPr="00134608">
        <w:rPr>
          <w:sz w:val="16"/>
          <w:szCs w:val="16"/>
        </w:rPr>
        <w:t xml:space="preserve"> Silnější roli měl průmysl jen v Německu a</w:t>
      </w:r>
      <w:r>
        <w:rPr>
          <w:sz w:val="16"/>
          <w:szCs w:val="16"/>
        </w:rPr>
        <w:t> </w:t>
      </w:r>
      <w:r w:rsidRPr="00134608">
        <w:rPr>
          <w:sz w:val="16"/>
          <w:szCs w:val="16"/>
        </w:rPr>
        <w:t xml:space="preserve">Rakousku, kde </w:t>
      </w:r>
      <w:r>
        <w:rPr>
          <w:sz w:val="16"/>
          <w:szCs w:val="16"/>
        </w:rPr>
        <w:t xml:space="preserve">se </w:t>
      </w:r>
      <w:r w:rsidRPr="00134608">
        <w:rPr>
          <w:sz w:val="16"/>
          <w:szCs w:val="16"/>
        </w:rPr>
        <w:t>na celkové zaměstnanosti podílel z</w:t>
      </w:r>
      <w:r>
        <w:rPr>
          <w:sz w:val="16"/>
          <w:szCs w:val="16"/>
        </w:rPr>
        <w:t xml:space="preserve"> 18,5 %, resp. </w:t>
      </w:r>
      <w:proofErr w:type="gramStart"/>
      <w:r>
        <w:rPr>
          <w:sz w:val="16"/>
          <w:szCs w:val="16"/>
        </w:rPr>
        <w:t>ze</w:t>
      </w:r>
      <w:proofErr w:type="gramEnd"/>
      <w:r>
        <w:rPr>
          <w:sz w:val="16"/>
          <w:szCs w:val="16"/>
        </w:rPr>
        <w:t> 16,1 %</w:t>
      </w:r>
      <w:r w:rsidRPr="00134608">
        <w:rPr>
          <w:sz w:val="16"/>
          <w:szCs w:val="16"/>
        </w:rPr>
        <w:t>.</w:t>
      </w:r>
    </w:p>
  </w:footnote>
  <w:footnote w:id="32">
    <w:p w14:paraId="07A32CEE" w14:textId="4C292470" w:rsidR="009728D1" w:rsidRPr="000B21DD" w:rsidRDefault="009728D1">
      <w:pPr>
        <w:pStyle w:val="Textpoznpodarou"/>
        <w:rPr>
          <w:sz w:val="16"/>
          <w:szCs w:val="16"/>
        </w:rPr>
      </w:pPr>
      <w:r w:rsidRPr="000B21DD">
        <w:rPr>
          <w:rStyle w:val="Znakapoznpodarou"/>
          <w:sz w:val="16"/>
          <w:szCs w:val="16"/>
        </w:rPr>
        <w:footnoteRef/>
      </w:r>
      <w:r w:rsidRPr="000B21DD">
        <w:rPr>
          <w:sz w:val="16"/>
          <w:szCs w:val="16"/>
        </w:rPr>
        <w:t xml:space="preserve"> To se projevuje i</w:t>
      </w:r>
      <w:r>
        <w:rPr>
          <w:sz w:val="16"/>
          <w:szCs w:val="16"/>
        </w:rPr>
        <w:t> </w:t>
      </w:r>
      <w:r w:rsidRPr="000B21DD">
        <w:rPr>
          <w:sz w:val="16"/>
          <w:szCs w:val="16"/>
        </w:rPr>
        <w:t xml:space="preserve">tím, že produktivita práce v průmyslu v těchto zemích výrazněji převyšuje produktivitu v celé ekonomice. </w:t>
      </w:r>
      <w:r>
        <w:rPr>
          <w:sz w:val="16"/>
          <w:szCs w:val="16"/>
        </w:rPr>
        <w:t>Např. v Dánsku to bylo v roce 2019 o 68 %, v Nizozemsku o 63 %, ve Francii a Německu o více než 30 %. V rámci  novějších členských států měl průmysl relativně silnější postavení v produktivitě ve Slovinsku (+17 %) a Maďarsku (+15 %). V Česku se produktivita v průmyslu ve srovnání s celou ekonomikou výrazně nelišila.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AE341" w14:textId="4DEAD05A" w:rsidR="009728D1" w:rsidRPr="004C0391" w:rsidRDefault="009728D1" w:rsidP="004C0391">
    <w:pPr>
      <w:pStyle w:val="Zhlav"/>
    </w:pPr>
    <w:r>
      <w:t>Širší aspekty vývoje průmyslu v ČR i EU z pohledu trhu práce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6E75C" w14:textId="01B2AC05" w:rsidR="009728D1" w:rsidRDefault="009728D1" w:rsidP="00937AE2">
    <w:pPr>
      <w:pStyle w:val="Zhlav"/>
    </w:pPr>
    <w:r>
      <w:t>Širší aspekty vývoje průmyslu v ČR i EU z pohledu trhu práce</w:t>
    </w:r>
  </w:p>
  <w:p w14:paraId="5C2665E0" w14:textId="77777777" w:rsidR="009728D1" w:rsidRPr="006F5416" w:rsidRDefault="009728D1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6060A6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48B6CC9"/>
    <w:multiLevelType w:val="hybridMultilevel"/>
    <w:tmpl w:val="2208F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8175B"/>
    <w:multiLevelType w:val="hybridMultilevel"/>
    <w:tmpl w:val="8E4C736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43D1B"/>
    <w:multiLevelType w:val="hybridMultilevel"/>
    <w:tmpl w:val="EF4262D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15AC1"/>
    <w:multiLevelType w:val="hybridMultilevel"/>
    <w:tmpl w:val="7464A696"/>
    <w:lvl w:ilvl="0" w:tplc="4246FC1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F1D32"/>
    <w:multiLevelType w:val="hybridMultilevel"/>
    <w:tmpl w:val="422047C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23"/>
  </w:num>
  <w:num w:numId="14">
    <w:abstractNumId w:val="10"/>
  </w:num>
  <w:num w:numId="15">
    <w:abstractNumId w:val="16"/>
  </w:num>
  <w:num w:numId="16">
    <w:abstractNumId w:val="12"/>
  </w:num>
  <w:num w:numId="17">
    <w:abstractNumId w:val="24"/>
  </w:num>
  <w:num w:numId="18">
    <w:abstractNumId w:val="18"/>
  </w:num>
  <w:num w:numId="19">
    <w:abstractNumId w:val="25"/>
  </w:num>
  <w:num w:numId="20">
    <w:abstractNumId w:val="28"/>
  </w:num>
  <w:num w:numId="21">
    <w:abstractNumId w:val="22"/>
  </w:num>
  <w:num w:numId="22">
    <w:abstractNumId w:val="15"/>
  </w:num>
  <w:num w:numId="23">
    <w:abstractNumId w:val="13"/>
  </w:num>
  <w:num w:numId="24">
    <w:abstractNumId w:val="14"/>
  </w:num>
  <w:num w:numId="25">
    <w:abstractNumId w:val="26"/>
  </w:num>
  <w:num w:numId="26">
    <w:abstractNumId w:val="21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02"/>
    <w:rsid w:val="0000083D"/>
    <w:rsid w:val="0000209D"/>
    <w:rsid w:val="00002B85"/>
    <w:rsid w:val="00004D5A"/>
    <w:rsid w:val="000056D5"/>
    <w:rsid w:val="00006ABD"/>
    <w:rsid w:val="0000767A"/>
    <w:rsid w:val="00007BEF"/>
    <w:rsid w:val="00010256"/>
    <w:rsid w:val="00010702"/>
    <w:rsid w:val="00011912"/>
    <w:rsid w:val="00012408"/>
    <w:rsid w:val="00014E7F"/>
    <w:rsid w:val="000159E9"/>
    <w:rsid w:val="00016123"/>
    <w:rsid w:val="0001653D"/>
    <w:rsid w:val="00020CDE"/>
    <w:rsid w:val="0002195D"/>
    <w:rsid w:val="000234D6"/>
    <w:rsid w:val="00023D29"/>
    <w:rsid w:val="00026389"/>
    <w:rsid w:val="00031AE0"/>
    <w:rsid w:val="000322EF"/>
    <w:rsid w:val="000333B9"/>
    <w:rsid w:val="00033FCD"/>
    <w:rsid w:val="00037A79"/>
    <w:rsid w:val="00041CEC"/>
    <w:rsid w:val="000421E4"/>
    <w:rsid w:val="00044059"/>
    <w:rsid w:val="00044407"/>
    <w:rsid w:val="0004694F"/>
    <w:rsid w:val="000500AB"/>
    <w:rsid w:val="000522E4"/>
    <w:rsid w:val="00052B65"/>
    <w:rsid w:val="000610E1"/>
    <w:rsid w:val="000623A2"/>
    <w:rsid w:val="00062EC5"/>
    <w:rsid w:val="00062F22"/>
    <w:rsid w:val="00064B6A"/>
    <w:rsid w:val="00067A82"/>
    <w:rsid w:val="00067B81"/>
    <w:rsid w:val="000712B3"/>
    <w:rsid w:val="00071E70"/>
    <w:rsid w:val="00072AEC"/>
    <w:rsid w:val="000748F2"/>
    <w:rsid w:val="000774EC"/>
    <w:rsid w:val="0008068B"/>
    <w:rsid w:val="0008263E"/>
    <w:rsid w:val="00082A55"/>
    <w:rsid w:val="00082C19"/>
    <w:rsid w:val="00085395"/>
    <w:rsid w:val="000854CA"/>
    <w:rsid w:val="00085D69"/>
    <w:rsid w:val="00087634"/>
    <w:rsid w:val="00087F2B"/>
    <w:rsid w:val="00093E3F"/>
    <w:rsid w:val="00093E53"/>
    <w:rsid w:val="0009474E"/>
    <w:rsid w:val="00095135"/>
    <w:rsid w:val="00096085"/>
    <w:rsid w:val="00096E5B"/>
    <w:rsid w:val="00097078"/>
    <w:rsid w:val="000974D1"/>
    <w:rsid w:val="0009799E"/>
    <w:rsid w:val="000979EC"/>
    <w:rsid w:val="000A1148"/>
    <w:rsid w:val="000A1183"/>
    <w:rsid w:val="000A256D"/>
    <w:rsid w:val="000A3A2C"/>
    <w:rsid w:val="000A5BA4"/>
    <w:rsid w:val="000A66F4"/>
    <w:rsid w:val="000A75F4"/>
    <w:rsid w:val="000B21DD"/>
    <w:rsid w:val="000B525B"/>
    <w:rsid w:val="000C1D78"/>
    <w:rsid w:val="000C3408"/>
    <w:rsid w:val="000C365C"/>
    <w:rsid w:val="000C5703"/>
    <w:rsid w:val="000C6375"/>
    <w:rsid w:val="000C6AFD"/>
    <w:rsid w:val="000D2C3F"/>
    <w:rsid w:val="000D5637"/>
    <w:rsid w:val="000E3D0E"/>
    <w:rsid w:val="000E4053"/>
    <w:rsid w:val="000E53C3"/>
    <w:rsid w:val="000E6C04"/>
    <w:rsid w:val="000E6FBD"/>
    <w:rsid w:val="000F7084"/>
    <w:rsid w:val="000F7FEF"/>
    <w:rsid w:val="00100F5C"/>
    <w:rsid w:val="0010106F"/>
    <w:rsid w:val="00101CDA"/>
    <w:rsid w:val="0010268C"/>
    <w:rsid w:val="00104C4C"/>
    <w:rsid w:val="00106DC7"/>
    <w:rsid w:val="00117623"/>
    <w:rsid w:val="0012192F"/>
    <w:rsid w:val="00122BB3"/>
    <w:rsid w:val="00125A9C"/>
    <w:rsid w:val="00125D69"/>
    <w:rsid w:val="00134608"/>
    <w:rsid w:val="00135FEE"/>
    <w:rsid w:val="00137DF7"/>
    <w:rsid w:val="001405FA"/>
    <w:rsid w:val="00141782"/>
    <w:rsid w:val="001425C3"/>
    <w:rsid w:val="00142C1C"/>
    <w:rsid w:val="0014314C"/>
    <w:rsid w:val="001457AA"/>
    <w:rsid w:val="00146F52"/>
    <w:rsid w:val="00147081"/>
    <w:rsid w:val="0014794C"/>
    <w:rsid w:val="0015085A"/>
    <w:rsid w:val="001528B9"/>
    <w:rsid w:val="001612F4"/>
    <w:rsid w:val="00162312"/>
    <w:rsid w:val="0016256B"/>
    <w:rsid w:val="00163793"/>
    <w:rsid w:val="001671FF"/>
    <w:rsid w:val="001706D6"/>
    <w:rsid w:val="001714F2"/>
    <w:rsid w:val="00175B9F"/>
    <w:rsid w:val="00175F48"/>
    <w:rsid w:val="00181BBC"/>
    <w:rsid w:val="00182799"/>
    <w:rsid w:val="00182E99"/>
    <w:rsid w:val="00184B08"/>
    <w:rsid w:val="00185010"/>
    <w:rsid w:val="001863EA"/>
    <w:rsid w:val="00186919"/>
    <w:rsid w:val="001916DB"/>
    <w:rsid w:val="00192F37"/>
    <w:rsid w:val="00193818"/>
    <w:rsid w:val="00194520"/>
    <w:rsid w:val="001969D1"/>
    <w:rsid w:val="001A0487"/>
    <w:rsid w:val="001A0D6B"/>
    <w:rsid w:val="001A16E3"/>
    <w:rsid w:val="001A33A3"/>
    <w:rsid w:val="001A480E"/>
    <w:rsid w:val="001A5387"/>
    <w:rsid w:val="001A552F"/>
    <w:rsid w:val="001B28D3"/>
    <w:rsid w:val="001B2CA9"/>
    <w:rsid w:val="001B3110"/>
    <w:rsid w:val="001B4422"/>
    <w:rsid w:val="001B4729"/>
    <w:rsid w:val="001B57B8"/>
    <w:rsid w:val="001B5C4D"/>
    <w:rsid w:val="001B6310"/>
    <w:rsid w:val="001B6C09"/>
    <w:rsid w:val="001C05CD"/>
    <w:rsid w:val="001C1B66"/>
    <w:rsid w:val="001C487C"/>
    <w:rsid w:val="001C7EE3"/>
    <w:rsid w:val="001D198A"/>
    <w:rsid w:val="001D463E"/>
    <w:rsid w:val="001D51EB"/>
    <w:rsid w:val="001D68B2"/>
    <w:rsid w:val="001D70E9"/>
    <w:rsid w:val="001E0D3E"/>
    <w:rsid w:val="001E504C"/>
    <w:rsid w:val="001F138C"/>
    <w:rsid w:val="001F4063"/>
    <w:rsid w:val="001F4597"/>
    <w:rsid w:val="001F52D6"/>
    <w:rsid w:val="00201978"/>
    <w:rsid w:val="00203DA4"/>
    <w:rsid w:val="00203E4E"/>
    <w:rsid w:val="002052C6"/>
    <w:rsid w:val="002054B4"/>
    <w:rsid w:val="00207D7B"/>
    <w:rsid w:val="002118B9"/>
    <w:rsid w:val="00213C32"/>
    <w:rsid w:val="00217C5B"/>
    <w:rsid w:val="0022139E"/>
    <w:rsid w:val="00221BD4"/>
    <w:rsid w:val="00222729"/>
    <w:rsid w:val="00222FFB"/>
    <w:rsid w:val="002249F4"/>
    <w:rsid w:val="002252E0"/>
    <w:rsid w:val="002255F6"/>
    <w:rsid w:val="002257E8"/>
    <w:rsid w:val="00227850"/>
    <w:rsid w:val="00227A53"/>
    <w:rsid w:val="00230C6E"/>
    <w:rsid w:val="00231CC2"/>
    <w:rsid w:val="00236443"/>
    <w:rsid w:val="00241035"/>
    <w:rsid w:val="00241B06"/>
    <w:rsid w:val="002436BA"/>
    <w:rsid w:val="0024408E"/>
    <w:rsid w:val="00244A15"/>
    <w:rsid w:val="00244EB3"/>
    <w:rsid w:val="0024680E"/>
    <w:rsid w:val="00247319"/>
    <w:rsid w:val="0024799E"/>
    <w:rsid w:val="00253C0F"/>
    <w:rsid w:val="002558C1"/>
    <w:rsid w:val="00255943"/>
    <w:rsid w:val="00260FC5"/>
    <w:rsid w:val="002632EC"/>
    <w:rsid w:val="002665EC"/>
    <w:rsid w:val="00271465"/>
    <w:rsid w:val="00274037"/>
    <w:rsid w:val="00285412"/>
    <w:rsid w:val="0028587B"/>
    <w:rsid w:val="00291640"/>
    <w:rsid w:val="002A16D4"/>
    <w:rsid w:val="002A230C"/>
    <w:rsid w:val="002A5D97"/>
    <w:rsid w:val="002A7679"/>
    <w:rsid w:val="002B2127"/>
    <w:rsid w:val="002B213A"/>
    <w:rsid w:val="002B4845"/>
    <w:rsid w:val="002B49B9"/>
    <w:rsid w:val="002B6B06"/>
    <w:rsid w:val="002B6F67"/>
    <w:rsid w:val="002C3D06"/>
    <w:rsid w:val="002C43BD"/>
    <w:rsid w:val="002D0E59"/>
    <w:rsid w:val="002D2D9F"/>
    <w:rsid w:val="002D3DCF"/>
    <w:rsid w:val="002D6BD2"/>
    <w:rsid w:val="002E02A1"/>
    <w:rsid w:val="002E1475"/>
    <w:rsid w:val="002E1A9C"/>
    <w:rsid w:val="002E32FC"/>
    <w:rsid w:val="002E4B33"/>
    <w:rsid w:val="002E4E4C"/>
    <w:rsid w:val="002E4F60"/>
    <w:rsid w:val="002E5E3A"/>
    <w:rsid w:val="002E7360"/>
    <w:rsid w:val="002F0A29"/>
    <w:rsid w:val="002F1098"/>
    <w:rsid w:val="002F4860"/>
    <w:rsid w:val="002F550B"/>
    <w:rsid w:val="0030150E"/>
    <w:rsid w:val="00303533"/>
    <w:rsid w:val="00304771"/>
    <w:rsid w:val="003052D4"/>
    <w:rsid w:val="00306C5B"/>
    <w:rsid w:val="00307E77"/>
    <w:rsid w:val="00311448"/>
    <w:rsid w:val="003134A9"/>
    <w:rsid w:val="00314A41"/>
    <w:rsid w:val="003209D6"/>
    <w:rsid w:val="00321924"/>
    <w:rsid w:val="0032314C"/>
    <w:rsid w:val="0032656E"/>
    <w:rsid w:val="00326633"/>
    <w:rsid w:val="003268DD"/>
    <w:rsid w:val="00330060"/>
    <w:rsid w:val="00330085"/>
    <w:rsid w:val="00330711"/>
    <w:rsid w:val="00332190"/>
    <w:rsid w:val="0033250B"/>
    <w:rsid w:val="00334CC0"/>
    <w:rsid w:val="00343331"/>
    <w:rsid w:val="0034335E"/>
    <w:rsid w:val="00343A8A"/>
    <w:rsid w:val="00344668"/>
    <w:rsid w:val="00345D77"/>
    <w:rsid w:val="003462D9"/>
    <w:rsid w:val="00347378"/>
    <w:rsid w:val="00347604"/>
    <w:rsid w:val="00352945"/>
    <w:rsid w:val="003576EB"/>
    <w:rsid w:val="00357908"/>
    <w:rsid w:val="00357D45"/>
    <w:rsid w:val="00360C86"/>
    <w:rsid w:val="00360DE3"/>
    <w:rsid w:val="00360FBC"/>
    <w:rsid w:val="00362E90"/>
    <w:rsid w:val="00364C32"/>
    <w:rsid w:val="00364FA0"/>
    <w:rsid w:val="003657F3"/>
    <w:rsid w:val="003674EB"/>
    <w:rsid w:val="003678F2"/>
    <w:rsid w:val="00371018"/>
    <w:rsid w:val="003722A4"/>
    <w:rsid w:val="003733A0"/>
    <w:rsid w:val="00376C3B"/>
    <w:rsid w:val="003818DC"/>
    <w:rsid w:val="00384327"/>
    <w:rsid w:val="003852A9"/>
    <w:rsid w:val="00385D98"/>
    <w:rsid w:val="0038642D"/>
    <w:rsid w:val="003870EE"/>
    <w:rsid w:val="003922DF"/>
    <w:rsid w:val="003A2B4D"/>
    <w:rsid w:val="003A2D12"/>
    <w:rsid w:val="003A478C"/>
    <w:rsid w:val="003A5525"/>
    <w:rsid w:val="003A6B38"/>
    <w:rsid w:val="003B461F"/>
    <w:rsid w:val="003B5A32"/>
    <w:rsid w:val="003B6B9E"/>
    <w:rsid w:val="003C3490"/>
    <w:rsid w:val="003C4BE8"/>
    <w:rsid w:val="003C77D0"/>
    <w:rsid w:val="003C7E62"/>
    <w:rsid w:val="003D6920"/>
    <w:rsid w:val="003E38BA"/>
    <w:rsid w:val="003E4C91"/>
    <w:rsid w:val="003E4E75"/>
    <w:rsid w:val="003F313C"/>
    <w:rsid w:val="003F37FC"/>
    <w:rsid w:val="003F3890"/>
    <w:rsid w:val="003F48D7"/>
    <w:rsid w:val="003F4B2C"/>
    <w:rsid w:val="003F551C"/>
    <w:rsid w:val="003F72ED"/>
    <w:rsid w:val="003F7D23"/>
    <w:rsid w:val="00400B82"/>
    <w:rsid w:val="0040575D"/>
    <w:rsid w:val="00407C13"/>
    <w:rsid w:val="00410638"/>
    <w:rsid w:val="0041215C"/>
    <w:rsid w:val="0041501E"/>
    <w:rsid w:val="004159C3"/>
    <w:rsid w:val="0041758E"/>
    <w:rsid w:val="004217D2"/>
    <w:rsid w:val="00425F45"/>
    <w:rsid w:val="00432A58"/>
    <w:rsid w:val="00432EA8"/>
    <w:rsid w:val="00433C0C"/>
    <w:rsid w:val="00434617"/>
    <w:rsid w:val="00436778"/>
    <w:rsid w:val="00437E53"/>
    <w:rsid w:val="00440900"/>
    <w:rsid w:val="00441BF6"/>
    <w:rsid w:val="004441A0"/>
    <w:rsid w:val="00444E83"/>
    <w:rsid w:val="0045078A"/>
    <w:rsid w:val="0045086D"/>
    <w:rsid w:val="004528F0"/>
    <w:rsid w:val="00453047"/>
    <w:rsid w:val="0046071E"/>
    <w:rsid w:val="00460FB3"/>
    <w:rsid w:val="00466CA7"/>
    <w:rsid w:val="00467ABC"/>
    <w:rsid w:val="00467C2C"/>
    <w:rsid w:val="00476240"/>
    <w:rsid w:val="00476439"/>
    <w:rsid w:val="0047735C"/>
    <w:rsid w:val="004776BC"/>
    <w:rsid w:val="0048139F"/>
    <w:rsid w:val="00481E40"/>
    <w:rsid w:val="00482DE9"/>
    <w:rsid w:val="00484ECE"/>
    <w:rsid w:val="00486917"/>
    <w:rsid w:val="00487A34"/>
    <w:rsid w:val="004915CB"/>
    <w:rsid w:val="004919B0"/>
    <w:rsid w:val="004924DC"/>
    <w:rsid w:val="0049348B"/>
    <w:rsid w:val="004948F4"/>
    <w:rsid w:val="004950A4"/>
    <w:rsid w:val="004A14E4"/>
    <w:rsid w:val="004A3212"/>
    <w:rsid w:val="004A5494"/>
    <w:rsid w:val="004A61C5"/>
    <w:rsid w:val="004A670E"/>
    <w:rsid w:val="004A77DF"/>
    <w:rsid w:val="004B1417"/>
    <w:rsid w:val="004B1B28"/>
    <w:rsid w:val="004B47CD"/>
    <w:rsid w:val="004B481B"/>
    <w:rsid w:val="004B48DF"/>
    <w:rsid w:val="004B55B7"/>
    <w:rsid w:val="004B6468"/>
    <w:rsid w:val="004B7125"/>
    <w:rsid w:val="004B7637"/>
    <w:rsid w:val="004C0391"/>
    <w:rsid w:val="004C26B0"/>
    <w:rsid w:val="004C384C"/>
    <w:rsid w:val="004C3867"/>
    <w:rsid w:val="004C4CD0"/>
    <w:rsid w:val="004C5FBF"/>
    <w:rsid w:val="004C70DC"/>
    <w:rsid w:val="004D0211"/>
    <w:rsid w:val="004D0794"/>
    <w:rsid w:val="004D26B7"/>
    <w:rsid w:val="004D3177"/>
    <w:rsid w:val="004D5B88"/>
    <w:rsid w:val="004E326C"/>
    <w:rsid w:val="004F06F5"/>
    <w:rsid w:val="004F0CBA"/>
    <w:rsid w:val="004F16F7"/>
    <w:rsid w:val="004F1879"/>
    <w:rsid w:val="004F33A0"/>
    <w:rsid w:val="004F6EDC"/>
    <w:rsid w:val="00503748"/>
    <w:rsid w:val="0050689D"/>
    <w:rsid w:val="0050700F"/>
    <w:rsid w:val="0051031A"/>
    <w:rsid w:val="005108C0"/>
    <w:rsid w:val="00511873"/>
    <w:rsid w:val="00512A2F"/>
    <w:rsid w:val="00513B7E"/>
    <w:rsid w:val="0051465A"/>
    <w:rsid w:val="005152D9"/>
    <w:rsid w:val="00515C74"/>
    <w:rsid w:val="00515FFA"/>
    <w:rsid w:val="005172FF"/>
    <w:rsid w:val="005173AF"/>
    <w:rsid w:val="0052007E"/>
    <w:rsid w:val="0052337A"/>
    <w:rsid w:val="00525137"/>
    <w:rsid w:val="005251DD"/>
    <w:rsid w:val="00525C8F"/>
    <w:rsid w:val="00530243"/>
    <w:rsid w:val="00532CE7"/>
    <w:rsid w:val="0053324C"/>
    <w:rsid w:val="005348F6"/>
    <w:rsid w:val="00534A28"/>
    <w:rsid w:val="005367E8"/>
    <w:rsid w:val="00541508"/>
    <w:rsid w:val="00543498"/>
    <w:rsid w:val="00551238"/>
    <w:rsid w:val="0055599F"/>
    <w:rsid w:val="00556D68"/>
    <w:rsid w:val="00561B03"/>
    <w:rsid w:val="00563EB8"/>
    <w:rsid w:val="005647BF"/>
    <w:rsid w:val="00564AF1"/>
    <w:rsid w:val="00570D95"/>
    <w:rsid w:val="0057364B"/>
    <w:rsid w:val="00574773"/>
    <w:rsid w:val="00577EE4"/>
    <w:rsid w:val="00581AC8"/>
    <w:rsid w:val="00583FFD"/>
    <w:rsid w:val="00585E02"/>
    <w:rsid w:val="00586874"/>
    <w:rsid w:val="005901E9"/>
    <w:rsid w:val="005911BE"/>
    <w:rsid w:val="00592284"/>
    <w:rsid w:val="00593152"/>
    <w:rsid w:val="00596F92"/>
    <w:rsid w:val="005A10F2"/>
    <w:rsid w:val="005A21E0"/>
    <w:rsid w:val="005A28FF"/>
    <w:rsid w:val="005A2A19"/>
    <w:rsid w:val="005A2C1A"/>
    <w:rsid w:val="005A2C7B"/>
    <w:rsid w:val="005A3DF8"/>
    <w:rsid w:val="005A5549"/>
    <w:rsid w:val="005A5D45"/>
    <w:rsid w:val="005A655B"/>
    <w:rsid w:val="005A7666"/>
    <w:rsid w:val="005B121D"/>
    <w:rsid w:val="005B7BE7"/>
    <w:rsid w:val="005B7E2B"/>
    <w:rsid w:val="005C06ED"/>
    <w:rsid w:val="005C2609"/>
    <w:rsid w:val="005C35A1"/>
    <w:rsid w:val="005D3386"/>
    <w:rsid w:val="005D5802"/>
    <w:rsid w:val="005D7119"/>
    <w:rsid w:val="005D724D"/>
    <w:rsid w:val="005D7890"/>
    <w:rsid w:val="005E1B85"/>
    <w:rsid w:val="005E2A7C"/>
    <w:rsid w:val="005E5452"/>
    <w:rsid w:val="005E5906"/>
    <w:rsid w:val="005E7C78"/>
    <w:rsid w:val="005F18C5"/>
    <w:rsid w:val="005F3EB1"/>
    <w:rsid w:val="005F46D8"/>
    <w:rsid w:val="005F5469"/>
    <w:rsid w:val="005F5CE8"/>
    <w:rsid w:val="005F6D11"/>
    <w:rsid w:val="00600079"/>
    <w:rsid w:val="006003D1"/>
    <w:rsid w:val="00601A2E"/>
    <w:rsid w:val="006023F5"/>
    <w:rsid w:val="0060404F"/>
    <w:rsid w:val="00604307"/>
    <w:rsid w:val="0060487F"/>
    <w:rsid w:val="00604EAD"/>
    <w:rsid w:val="006104FB"/>
    <w:rsid w:val="0061249B"/>
    <w:rsid w:val="00612A2F"/>
    <w:rsid w:val="00614586"/>
    <w:rsid w:val="00616E05"/>
    <w:rsid w:val="0062148D"/>
    <w:rsid w:val="00623B49"/>
    <w:rsid w:val="00624093"/>
    <w:rsid w:val="006254CB"/>
    <w:rsid w:val="0063201A"/>
    <w:rsid w:val="006350D5"/>
    <w:rsid w:val="0063567C"/>
    <w:rsid w:val="006404A7"/>
    <w:rsid w:val="00642FB8"/>
    <w:rsid w:val="006451E4"/>
    <w:rsid w:val="00645B33"/>
    <w:rsid w:val="0064648F"/>
    <w:rsid w:val="00650330"/>
    <w:rsid w:val="006516CB"/>
    <w:rsid w:val="00654CAC"/>
    <w:rsid w:val="006558BD"/>
    <w:rsid w:val="00657E87"/>
    <w:rsid w:val="00664741"/>
    <w:rsid w:val="00664803"/>
    <w:rsid w:val="006654F4"/>
    <w:rsid w:val="00665BA4"/>
    <w:rsid w:val="00666D91"/>
    <w:rsid w:val="00667AF2"/>
    <w:rsid w:val="006710C9"/>
    <w:rsid w:val="00674D89"/>
    <w:rsid w:val="00675E37"/>
    <w:rsid w:val="00680001"/>
    <w:rsid w:val="0068174E"/>
    <w:rsid w:val="00681DCE"/>
    <w:rsid w:val="0068260E"/>
    <w:rsid w:val="006863B2"/>
    <w:rsid w:val="00687B41"/>
    <w:rsid w:val="00695BEF"/>
    <w:rsid w:val="006977F6"/>
    <w:rsid w:val="00697A13"/>
    <w:rsid w:val="006A109C"/>
    <w:rsid w:val="006A3E08"/>
    <w:rsid w:val="006A5C31"/>
    <w:rsid w:val="006A73A6"/>
    <w:rsid w:val="006B0F92"/>
    <w:rsid w:val="006B344A"/>
    <w:rsid w:val="006B4B7B"/>
    <w:rsid w:val="006B78D8"/>
    <w:rsid w:val="006C113F"/>
    <w:rsid w:val="006C123E"/>
    <w:rsid w:val="006C1752"/>
    <w:rsid w:val="006C33B2"/>
    <w:rsid w:val="006C378C"/>
    <w:rsid w:val="006C386E"/>
    <w:rsid w:val="006C56D4"/>
    <w:rsid w:val="006C6924"/>
    <w:rsid w:val="006C6AF4"/>
    <w:rsid w:val="006C7CA6"/>
    <w:rsid w:val="006D3E8A"/>
    <w:rsid w:val="006D5C0C"/>
    <w:rsid w:val="006D61F6"/>
    <w:rsid w:val="006D64C2"/>
    <w:rsid w:val="006E279A"/>
    <w:rsid w:val="006E313B"/>
    <w:rsid w:val="006E33D0"/>
    <w:rsid w:val="006E7227"/>
    <w:rsid w:val="006F0813"/>
    <w:rsid w:val="006F0AC6"/>
    <w:rsid w:val="006F2595"/>
    <w:rsid w:val="006F2F95"/>
    <w:rsid w:val="006F438E"/>
    <w:rsid w:val="006F5416"/>
    <w:rsid w:val="00705242"/>
    <w:rsid w:val="00706AD4"/>
    <w:rsid w:val="00707150"/>
    <w:rsid w:val="00711BB0"/>
    <w:rsid w:val="007140BE"/>
    <w:rsid w:val="007142BA"/>
    <w:rsid w:val="00716E3F"/>
    <w:rsid w:val="007211F5"/>
    <w:rsid w:val="007240E2"/>
    <w:rsid w:val="00725BB5"/>
    <w:rsid w:val="0073093A"/>
    <w:rsid w:val="00730AE8"/>
    <w:rsid w:val="00730F1B"/>
    <w:rsid w:val="00740575"/>
    <w:rsid w:val="00741493"/>
    <w:rsid w:val="0074369B"/>
    <w:rsid w:val="00744EE6"/>
    <w:rsid w:val="00745062"/>
    <w:rsid w:val="00745BC3"/>
    <w:rsid w:val="007506A5"/>
    <w:rsid w:val="00750EF8"/>
    <w:rsid w:val="00752180"/>
    <w:rsid w:val="00753CAB"/>
    <w:rsid w:val="00755202"/>
    <w:rsid w:val="00755D3A"/>
    <w:rsid w:val="00756232"/>
    <w:rsid w:val="007567BD"/>
    <w:rsid w:val="007578D3"/>
    <w:rsid w:val="007609C6"/>
    <w:rsid w:val="0076175D"/>
    <w:rsid w:val="00762C17"/>
    <w:rsid w:val="00763B85"/>
    <w:rsid w:val="007640D0"/>
    <w:rsid w:val="0076521E"/>
    <w:rsid w:val="00765698"/>
    <w:rsid w:val="007661E9"/>
    <w:rsid w:val="00774779"/>
    <w:rsid w:val="00775985"/>
    <w:rsid w:val="00775F45"/>
    <w:rsid w:val="00776169"/>
    <w:rsid w:val="00776527"/>
    <w:rsid w:val="00780EF1"/>
    <w:rsid w:val="00785232"/>
    <w:rsid w:val="00790764"/>
    <w:rsid w:val="00791728"/>
    <w:rsid w:val="0079343E"/>
    <w:rsid w:val="0079453C"/>
    <w:rsid w:val="00794677"/>
    <w:rsid w:val="007964CF"/>
    <w:rsid w:val="00797D5F"/>
    <w:rsid w:val="007A33A6"/>
    <w:rsid w:val="007A38F2"/>
    <w:rsid w:val="007A3F0C"/>
    <w:rsid w:val="007A516D"/>
    <w:rsid w:val="007A67F8"/>
    <w:rsid w:val="007B0750"/>
    <w:rsid w:val="007B07A4"/>
    <w:rsid w:val="007B0C39"/>
    <w:rsid w:val="007B6689"/>
    <w:rsid w:val="007C13A4"/>
    <w:rsid w:val="007C2D23"/>
    <w:rsid w:val="007C6BBD"/>
    <w:rsid w:val="007C7BAE"/>
    <w:rsid w:val="007D0C24"/>
    <w:rsid w:val="007D106B"/>
    <w:rsid w:val="007D1AEA"/>
    <w:rsid w:val="007D40DF"/>
    <w:rsid w:val="007D7668"/>
    <w:rsid w:val="007E29B4"/>
    <w:rsid w:val="007E36EA"/>
    <w:rsid w:val="007E435A"/>
    <w:rsid w:val="007E7E61"/>
    <w:rsid w:val="007F0845"/>
    <w:rsid w:val="007F661C"/>
    <w:rsid w:val="007F6797"/>
    <w:rsid w:val="007F708D"/>
    <w:rsid w:val="00801E13"/>
    <w:rsid w:val="00805381"/>
    <w:rsid w:val="00807674"/>
    <w:rsid w:val="00807C82"/>
    <w:rsid w:val="008138B5"/>
    <w:rsid w:val="00816905"/>
    <w:rsid w:val="00817FDA"/>
    <w:rsid w:val="00821FF6"/>
    <w:rsid w:val="008222CD"/>
    <w:rsid w:val="00822574"/>
    <w:rsid w:val="00823046"/>
    <w:rsid w:val="00825C4D"/>
    <w:rsid w:val="0083143E"/>
    <w:rsid w:val="008314D2"/>
    <w:rsid w:val="00831CDE"/>
    <w:rsid w:val="00833BF2"/>
    <w:rsid w:val="00834304"/>
    <w:rsid w:val="00834FAA"/>
    <w:rsid w:val="00836086"/>
    <w:rsid w:val="008364D5"/>
    <w:rsid w:val="00844BB1"/>
    <w:rsid w:val="00846121"/>
    <w:rsid w:val="00846C80"/>
    <w:rsid w:val="0084708F"/>
    <w:rsid w:val="0084727E"/>
    <w:rsid w:val="008477C8"/>
    <w:rsid w:val="00847931"/>
    <w:rsid w:val="0085114D"/>
    <w:rsid w:val="00852217"/>
    <w:rsid w:val="00855408"/>
    <w:rsid w:val="00856D65"/>
    <w:rsid w:val="00857658"/>
    <w:rsid w:val="00861B41"/>
    <w:rsid w:val="00861BE3"/>
    <w:rsid w:val="00863434"/>
    <w:rsid w:val="008637A2"/>
    <w:rsid w:val="008657C3"/>
    <w:rsid w:val="00865E4C"/>
    <w:rsid w:val="008701E4"/>
    <w:rsid w:val="008703A1"/>
    <w:rsid w:val="00873072"/>
    <w:rsid w:val="00873148"/>
    <w:rsid w:val="00874F6D"/>
    <w:rsid w:val="00875A32"/>
    <w:rsid w:val="00876086"/>
    <w:rsid w:val="008834C6"/>
    <w:rsid w:val="00883923"/>
    <w:rsid w:val="00883FE4"/>
    <w:rsid w:val="00884A6F"/>
    <w:rsid w:val="008856A3"/>
    <w:rsid w:val="0088661D"/>
    <w:rsid w:val="008873D4"/>
    <w:rsid w:val="008906E1"/>
    <w:rsid w:val="0089296D"/>
    <w:rsid w:val="00893E85"/>
    <w:rsid w:val="00894031"/>
    <w:rsid w:val="00894C3D"/>
    <w:rsid w:val="00895508"/>
    <w:rsid w:val="00895A7B"/>
    <w:rsid w:val="008A6B40"/>
    <w:rsid w:val="008B1391"/>
    <w:rsid w:val="008B21E6"/>
    <w:rsid w:val="008B2636"/>
    <w:rsid w:val="008B7C02"/>
    <w:rsid w:val="008B7D2B"/>
    <w:rsid w:val="008C0049"/>
    <w:rsid w:val="008C0E88"/>
    <w:rsid w:val="008C56D3"/>
    <w:rsid w:val="008D0DBD"/>
    <w:rsid w:val="008D1E6A"/>
    <w:rsid w:val="008D2A16"/>
    <w:rsid w:val="008D664D"/>
    <w:rsid w:val="008D7BE5"/>
    <w:rsid w:val="008E037D"/>
    <w:rsid w:val="008E0DC9"/>
    <w:rsid w:val="008E2830"/>
    <w:rsid w:val="008E2C57"/>
    <w:rsid w:val="008E31FF"/>
    <w:rsid w:val="008E6F06"/>
    <w:rsid w:val="008E7FC9"/>
    <w:rsid w:val="008F029B"/>
    <w:rsid w:val="008F3FC9"/>
    <w:rsid w:val="008F42B4"/>
    <w:rsid w:val="008F47C7"/>
    <w:rsid w:val="008F585B"/>
    <w:rsid w:val="009003A8"/>
    <w:rsid w:val="00902500"/>
    <w:rsid w:val="00902EFF"/>
    <w:rsid w:val="00906401"/>
    <w:rsid w:val="0091155E"/>
    <w:rsid w:val="00912A92"/>
    <w:rsid w:val="0091495C"/>
    <w:rsid w:val="009149D4"/>
    <w:rsid w:val="00915CF4"/>
    <w:rsid w:val="0091728D"/>
    <w:rsid w:val="009177D4"/>
    <w:rsid w:val="0092180B"/>
    <w:rsid w:val="00921A5C"/>
    <w:rsid w:val="00921F14"/>
    <w:rsid w:val="0092434D"/>
    <w:rsid w:val="009248DD"/>
    <w:rsid w:val="00924AC8"/>
    <w:rsid w:val="0092597A"/>
    <w:rsid w:val="009273FC"/>
    <w:rsid w:val="00930F06"/>
    <w:rsid w:val="00930FB1"/>
    <w:rsid w:val="0093139F"/>
    <w:rsid w:val="00932443"/>
    <w:rsid w:val="009346B6"/>
    <w:rsid w:val="00937AE2"/>
    <w:rsid w:val="00942C19"/>
    <w:rsid w:val="00942FD9"/>
    <w:rsid w:val="0094427A"/>
    <w:rsid w:val="00945245"/>
    <w:rsid w:val="00945F0F"/>
    <w:rsid w:val="00947825"/>
    <w:rsid w:val="00947FD4"/>
    <w:rsid w:val="00953F28"/>
    <w:rsid w:val="009540B7"/>
    <w:rsid w:val="00954CE4"/>
    <w:rsid w:val="009560F8"/>
    <w:rsid w:val="0095759C"/>
    <w:rsid w:val="00957C5D"/>
    <w:rsid w:val="0096090E"/>
    <w:rsid w:val="0096154D"/>
    <w:rsid w:val="0096221A"/>
    <w:rsid w:val="009728D1"/>
    <w:rsid w:val="00972F87"/>
    <w:rsid w:val="00973148"/>
    <w:rsid w:val="00974923"/>
    <w:rsid w:val="00976681"/>
    <w:rsid w:val="00976BAF"/>
    <w:rsid w:val="00980D3D"/>
    <w:rsid w:val="00984C37"/>
    <w:rsid w:val="00987A30"/>
    <w:rsid w:val="00991D30"/>
    <w:rsid w:val="00992CF3"/>
    <w:rsid w:val="009942B6"/>
    <w:rsid w:val="00994317"/>
    <w:rsid w:val="00994868"/>
    <w:rsid w:val="009968D6"/>
    <w:rsid w:val="009A1CAB"/>
    <w:rsid w:val="009A4901"/>
    <w:rsid w:val="009A60D1"/>
    <w:rsid w:val="009B6FD3"/>
    <w:rsid w:val="009B7C82"/>
    <w:rsid w:val="009C0293"/>
    <w:rsid w:val="009C03C8"/>
    <w:rsid w:val="009C1750"/>
    <w:rsid w:val="009C19B4"/>
    <w:rsid w:val="009C1EEA"/>
    <w:rsid w:val="009C2E29"/>
    <w:rsid w:val="009C38E5"/>
    <w:rsid w:val="009C554B"/>
    <w:rsid w:val="009C5FEA"/>
    <w:rsid w:val="009C719E"/>
    <w:rsid w:val="009D3ACD"/>
    <w:rsid w:val="009E093B"/>
    <w:rsid w:val="009E0DD4"/>
    <w:rsid w:val="009E42ED"/>
    <w:rsid w:val="009E5273"/>
    <w:rsid w:val="009E5DDB"/>
    <w:rsid w:val="009F46EA"/>
    <w:rsid w:val="009F4CA7"/>
    <w:rsid w:val="009F4FDF"/>
    <w:rsid w:val="00A0067C"/>
    <w:rsid w:val="00A01CA0"/>
    <w:rsid w:val="00A02041"/>
    <w:rsid w:val="00A04326"/>
    <w:rsid w:val="00A10D66"/>
    <w:rsid w:val="00A1260E"/>
    <w:rsid w:val="00A14114"/>
    <w:rsid w:val="00A16413"/>
    <w:rsid w:val="00A16E1D"/>
    <w:rsid w:val="00A170C9"/>
    <w:rsid w:val="00A17D5B"/>
    <w:rsid w:val="00A20028"/>
    <w:rsid w:val="00A21624"/>
    <w:rsid w:val="00A2181F"/>
    <w:rsid w:val="00A230A8"/>
    <w:rsid w:val="00A23E43"/>
    <w:rsid w:val="00A25216"/>
    <w:rsid w:val="00A27420"/>
    <w:rsid w:val="00A27C85"/>
    <w:rsid w:val="00A30F65"/>
    <w:rsid w:val="00A32759"/>
    <w:rsid w:val="00A329DF"/>
    <w:rsid w:val="00A33767"/>
    <w:rsid w:val="00A341C7"/>
    <w:rsid w:val="00A35142"/>
    <w:rsid w:val="00A35EA6"/>
    <w:rsid w:val="00A40EAC"/>
    <w:rsid w:val="00A416D4"/>
    <w:rsid w:val="00A418BC"/>
    <w:rsid w:val="00A46DE0"/>
    <w:rsid w:val="00A4750C"/>
    <w:rsid w:val="00A50D73"/>
    <w:rsid w:val="00A51F19"/>
    <w:rsid w:val="00A51F45"/>
    <w:rsid w:val="00A52CAD"/>
    <w:rsid w:val="00A537F0"/>
    <w:rsid w:val="00A53FC7"/>
    <w:rsid w:val="00A54250"/>
    <w:rsid w:val="00A55161"/>
    <w:rsid w:val="00A55593"/>
    <w:rsid w:val="00A616FD"/>
    <w:rsid w:val="00A62B23"/>
    <w:rsid w:val="00A62CE1"/>
    <w:rsid w:val="00A65AAC"/>
    <w:rsid w:val="00A66A11"/>
    <w:rsid w:val="00A6741E"/>
    <w:rsid w:val="00A73C77"/>
    <w:rsid w:val="00A75E40"/>
    <w:rsid w:val="00A77D1D"/>
    <w:rsid w:val="00A84923"/>
    <w:rsid w:val="00A857C0"/>
    <w:rsid w:val="00A90FED"/>
    <w:rsid w:val="00A92D9F"/>
    <w:rsid w:val="00A97A1E"/>
    <w:rsid w:val="00A97AD8"/>
    <w:rsid w:val="00AA1DC6"/>
    <w:rsid w:val="00AA2996"/>
    <w:rsid w:val="00AA3E4E"/>
    <w:rsid w:val="00AA52BF"/>
    <w:rsid w:val="00AA559A"/>
    <w:rsid w:val="00AB2AF1"/>
    <w:rsid w:val="00AB49E9"/>
    <w:rsid w:val="00AB5421"/>
    <w:rsid w:val="00AB5F7B"/>
    <w:rsid w:val="00AC1296"/>
    <w:rsid w:val="00AC15AE"/>
    <w:rsid w:val="00AC45BD"/>
    <w:rsid w:val="00AC46DA"/>
    <w:rsid w:val="00AC6895"/>
    <w:rsid w:val="00AD1355"/>
    <w:rsid w:val="00AD168E"/>
    <w:rsid w:val="00AD306C"/>
    <w:rsid w:val="00AD68C4"/>
    <w:rsid w:val="00AD7D0B"/>
    <w:rsid w:val="00AE09B3"/>
    <w:rsid w:val="00AE1738"/>
    <w:rsid w:val="00AE1A83"/>
    <w:rsid w:val="00AE2A2D"/>
    <w:rsid w:val="00AE3FCD"/>
    <w:rsid w:val="00AE7FB2"/>
    <w:rsid w:val="00AF71EC"/>
    <w:rsid w:val="00B00913"/>
    <w:rsid w:val="00B01593"/>
    <w:rsid w:val="00B023F2"/>
    <w:rsid w:val="00B04B4A"/>
    <w:rsid w:val="00B07379"/>
    <w:rsid w:val="00B1032A"/>
    <w:rsid w:val="00B10A4D"/>
    <w:rsid w:val="00B120A1"/>
    <w:rsid w:val="00B12AA6"/>
    <w:rsid w:val="00B14928"/>
    <w:rsid w:val="00B14BC1"/>
    <w:rsid w:val="00B17E71"/>
    <w:rsid w:val="00B17FDE"/>
    <w:rsid w:val="00B20632"/>
    <w:rsid w:val="00B22CD2"/>
    <w:rsid w:val="00B23055"/>
    <w:rsid w:val="00B2335F"/>
    <w:rsid w:val="00B2379C"/>
    <w:rsid w:val="00B2687D"/>
    <w:rsid w:val="00B277B2"/>
    <w:rsid w:val="00B304F7"/>
    <w:rsid w:val="00B32DDB"/>
    <w:rsid w:val="00B34528"/>
    <w:rsid w:val="00B34CC9"/>
    <w:rsid w:val="00B357BF"/>
    <w:rsid w:val="00B366E5"/>
    <w:rsid w:val="00B402FC"/>
    <w:rsid w:val="00B40FF9"/>
    <w:rsid w:val="00B42470"/>
    <w:rsid w:val="00B439DA"/>
    <w:rsid w:val="00B46604"/>
    <w:rsid w:val="00B512A8"/>
    <w:rsid w:val="00B530CD"/>
    <w:rsid w:val="00B53AB0"/>
    <w:rsid w:val="00B54294"/>
    <w:rsid w:val="00B55F5E"/>
    <w:rsid w:val="00B57338"/>
    <w:rsid w:val="00B5752E"/>
    <w:rsid w:val="00B57E25"/>
    <w:rsid w:val="00B606BE"/>
    <w:rsid w:val="00B619A9"/>
    <w:rsid w:val="00B63A11"/>
    <w:rsid w:val="00B64C24"/>
    <w:rsid w:val="00B6608F"/>
    <w:rsid w:val="00B679FB"/>
    <w:rsid w:val="00B76D1E"/>
    <w:rsid w:val="00B775D0"/>
    <w:rsid w:val="00B80EC6"/>
    <w:rsid w:val="00B81025"/>
    <w:rsid w:val="00B84CF6"/>
    <w:rsid w:val="00B85628"/>
    <w:rsid w:val="00B86793"/>
    <w:rsid w:val="00B86F03"/>
    <w:rsid w:val="00B9088A"/>
    <w:rsid w:val="00B9200E"/>
    <w:rsid w:val="00B92D1D"/>
    <w:rsid w:val="00B938C5"/>
    <w:rsid w:val="00B9432C"/>
    <w:rsid w:val="00B950E3"/>
    <w:rsid w:val="00B95940"/>
    <w:rsid w:val="00B962D2"/>
    <w:rsid w:val="00B97434"/>
    <w:rsid w:val="00BA0DD3"/>
    <w:rsid w:val="00BA35B6"/>
    <w:rsid w:val="00BA6405"/>
    <w:rsid w:val="00BA6C2B"/>
    <w:rsid w:val="00BA76E6"/>
    <w:rsid w:val="00BB2F03"/>
    <w:rsid w:val="00BB46F3"/>
    <w:rsid w:val="00BB4AF6"/>
    <w:rsid w:val="00BB4CB1"/>
    <w:rsid w:val="00BB4F98"/>
    <w:rsid w:val="00BC0E31"/>
    <w:rsid w:val="00BC5C12"/>
    <w:rsid w:val="00BC6BEC"/>
    <w:rsid w:val="00BC7075"/>
    <w:rsid w:val="00BC7154"/>
    <w:rsid w:val="00BC731E"/>
    <w:rsid w:val="00BD0A57"/>
    <w:rsid w:val="00BD163C"/>
    <w:rsid w:val="00BD1B27"/>
    <w:rsid w:val="00BD26F7"/>
    <w:rsid w:val="00BD2991"/>
    <w:rsid w:val="00BD366B"/>
    <w:rsid w:val="00BD6D50"/>
    <w:rsid w:val="00BE18B9"/>
    <w:rsid w:val="00BE2495"/>
    <w:rsid w:val="00BE3331"/>
    <w:rsid w:val="00BE468E"/>
    <w:rsid w:val="00BE6186"/>
    <w:rsid w:val="00BF1578"/>
    <w:rsid w:val="00BF45D9"/>
    <w:rsid w:val="00BF4B4B"/>
    <w:rsid w:val="00BF6E3A"/>
    <w:rsid w:val="00BF6EE6"/>
    <w:rsid w:val="00C024B1"/>
    <w:rsid w:val="00C055E9"/>
    <w:rsid w:val="00C1122B"/>
    <w:rsid w:val="00C12D52"/>
    <w:rsid w:val="00C211B3"/>
    <w:rsid w:val="00C21405"/>
    <w:rsid w:val="00C21F94"/>
    <w:rsid w:val="00C25709"/>
    <w:rsid w:val="00C25E4B"/>
    <w:rsid w:val="00C27913"/>
    <w:rsid w:val="00C33B68"/>
    <w:rsid w:val="00C36A79"/>
    <w:rsid w:val="00C36CCC"/>
    <w:rsid w:val="00C401D2"/>
    <w:rsid w:val="00C405D4"/>
    <w:rsid w:val="00C409B8"/>
    <w:rsid w:val="00C4513B"/>
    <w:rsid w:val="00C466D2"/>
    <w:rsid w:val="00C46EE6"/>
    <w:rsid w:val="00C5186E"/>
    <w:rsid w:val="00C529D4"/>
    <w:rsid w:val="00C53576"/>
    <w:rsid w:val="00C5390B"/>
    <w:rsid w:val="00C54697"/>
    <w:rsid w:val="00C55989"/>
    <w:rsid w:val="00C60191"/>
    <w:rsid w:val="00C609C9"/>
    <w:rsid w:val="00C60C25"/>
    <w:rsid w:val="00C6152B"/>
    <w:rsid w:val="00C73885"/>
    <w:rsid w:val="00C747B1"/>
    <w:rsid w:val="00C748B0"/>
    <w:rsid w:val="00C82191"/>
    <w:rsid w:val="00C83134"/>
    <w:rsid w:val="00C83FAA"/>
    <w:rsid w:val="00C8418E"/>
    <w:rsid w:val="00C85545"/>
    <w:rsid w:val="00C86B84"/>
    <w:rsid w:val="00C90CF4"/>
    <w:rsid w:val="00C90F53"/>
    <w:rsid w:val="00C92EB6"/>
    <w:rsid w:val="00C93389"/>
    <w:rsid w:val="00C936C3"/>
    <w:rsid w:val="00C9571A"/>
    <w:rsid w:val="00C96D08"/>
    <w:rsid w:val="00CA28BC"/>
    <w:rsid w:val="00CA6668"/>
    <w:rsid w:val="00CA6AB4"/>
    <w:rsid w:val="00CB259D"/>
    <w:rsid w:val="00CB390A"/>
    <w:rsid w:val="00CB4930"/>
    <w:rsid w:val="00CC1EF0"/>
    <w:rsid w:val="00CC2E7D"/>
    <w:rsid w:val="00CC71EC"/>
    <w:rsid w:val="00CD10A5"/>
    <w:rsid w:val="00CD2076"/>
    <w:rsid w:val="00CD29B5"/>
    <w:rsid w:val="00CD6331"/>
    <w:rsid w:val="00CE05D4"/>
    <w:rsid w:val="00CE153B"/>
    <w:rsid w:val="00CE2061"/>
    <w:rsid w:val="00CE226C"/>
    <w:rsid w:val="00CE670B"/>
    <w:rsid w:val="00CE7F95"/>
    <w:rsid w:val="00CF04A6"/>
    <w:rsid w:val="00CF1C4C"/>
    <w:rsid w:val="00CF20A4"/>
    <w:rsid w:val="00CF26C1"/>
    <w:rsid w:val="00CF3B58"/>
    <w:rsid w:val="00CF4908"/>
    <w:rsid w:val="00CF51EC"/>
    <w:rsid w:val="00CF73AE"/>
    <w:rsid w:val="00D040DD"/>
    <w:rsid w:val="00D050F8"/>
    <w:rsid w:val="00D075BE"/>
    <w:rsid w:val="00D1005A"/>
    <w:rsid w:val="00D11854"/>
    <w:rsid w:val="00D120FA"/>
    <w:rsid w:val="00D13986"/>
    <w:rsid w:val="00D13A4A"/>
    <w:rsid w:val="00D21D83"/>
    <w:rsid w:val="00D22038"/>
    <w:rsid w:val="00D235B7"/>
    <w:rsid w:val="00D25397"/>
    <w:rsid w:val="00D25F28"/>
    <w:rsid w:val="00D26071"/>
    <w:rsid w:val="00D27973"/>
    <w:rsid w:val="00D32F90"/>
    <w:rsid w:val="00D35E1A"/>
    <w:rsid w:val="00D364FE"/>
    <w:rsid w:val="00D41386"/>
    <w:rsid w:val="00D45C8F"/>
    <w:rsid w:val="00D50F46"/>
    <w:rsid w:val="00D52BE2"/>
    <w:rsid w:val="00D569B1"/>
    <w:rsid w:val="00D57677"/>
    <w:rsid w:val="00D57DAD"/>
    <w:rsid w:val="00D62FF4"/>
    <w:rsid w:val="00D64227"/>
    <w:rsid w:val="00D64F56"/>
    <w:rsid w:val="00D66223"/>
    <w:rsid w:val="00D67375"/>
    <w:rsid w:val="00D73127"/>
    <w:rsid w:val="00D73384"/>
    <w:rsid w:val="00D77ECD"/>
    <w:rsid w:val="00D8084C"/>
    <w:rsid w:val="00D85980"/>
    <w:rsid w:val="00D87358"/>
    <w:rsid w:val="00D873CC"/>
    <w:rsid w:val="00D915EA"/>
    <w:rsid w:val="00D92FD1"/>
    <w:rsid w:val="00D93CE2"/>
    <w:rsid w:val="00D9417F"/>
    <w:rsid w:val="00D943C6"/>
    <w:rsid w:val="00D965EC"/>
    <w:rsid w:val="00DA0BBD"/>
    <w:rsid w:val="00DA3D37"/>
    <w:rsid w:val="00DA63E3"/>
    <w:rsid w:val="00DA7AB5"/>
    <w:rsid w:val="00DA7C0C"/>
    <w:rsid w:val="00DA7C43"/>
    <w:rsid w:val="00DB08A9"/>
    <w:rsid w:val="00DB2EC8"/>
    <w:rsid w:val="00DC37E3"/>
    <w:rsid w:val="00DC5B3B"/>
    <w:rsid w:val="00DC639E"/>
    <w:rsid w:val="00DC76ED"/>
    <w:rsid w:val="00DD007F"/>
    <w:rsid w:val="00DD0AE9"/>
    <w:rsid w:val="00DD129F"/>
    <w:rsid w:val="00DD242A"/>
    <w:rsid w:val="00DD49ED"/>
    <w:rsid w:val="00DD6B52"/>
    <w:rsid w:val="00DE0F63"/>
    <w:rsid w:val="00DE4C19"/>
    <w:rsid w:val="00DF317B"/>
    <w:rsid w:val="00DF3C93"/>
    <w:rsid w:val="00DF42FF"/>
    <w:rsid w:val="00DF4595"/>
    <w:rsid w:val="00DF6C2B"/>
    <w:rsid w:val="00DF7190"/>
    <w:rsid w:val="00DF7AD4"/>
    <w:rsid w:val="00E0167B"/>
    <w:rsid w:val="00E01C0E"/>
    <w:rsid w:val="00E03F9A"/>
    <w:rsid w:val="00E04694"/>
    <w:rsid w:val="00E04F27"/>
    <w:rsid w:val="00E04FBD"/>
    <w:rsid w:val="00E05425"/>
    <w:rsid w:val="00E102BD"/>
    <w:rsid w:val="00E10A2E"/>
    <w:rsid w:val="00E11DE1"/>
    <w:rsid w:val="00E123E5"/>
    <w:rsid w:val="00E12B1E"/>
    <w:rsid w:val="00E12F00"/>
    <w:rsid w:val="00E157E1"/>
    <w:rsid w:val="00E17262"/>
    <w:rsid w:val="00E20077"/>
    <w:rsid w:val="00E212C9"/>
    <w:rsid w:val="00E2394F"/>
    <w:rsid w:val="00E23D7A"/>
    <w:rsid w:val="00E253A2"/>
    <w:rsid w:val="00E253C3"/>
    <w:rsid w:val="00E270E1"/>
    <w:rsid w:val="00E305C8"/>
    <w:rsid w:val="00E315D4"/>
    <w:rsid w:val="00E3237B"/>
    <w:rsid w:val="00E3309D"/>
    <w:rsid w:val="00E333BA"/>
    <w:rsid w:val="00E33A0B"/>
    <w:rsid w:val="00E364BB"/>
    <w:rsid w:val="00E453F0"/>
    <w:rsid w:val="00E453F9"/>
    <w:rsid w:val="00E47EBA"/>
    <w:rsid w:val="00E50156"/>
    <w:rsid w:val="00E503A5"/>
    <w:rsid w:val="00E517AE"/>
    <w:rsid w:val="00E53470"/>
    <w:rsid w:val="00E539F6"/>
    <w:rsid w:val="00E6519D"/>
    <w:rsid w:val="00E67696"/>
    <w:rsid w:val="00E67E81"/>
    <w:rsid w:val="00E703A5"/>
    <w:rsid w:val="00E711D1"/>
    <w:rsid w:val="00E716AB"/>
    <w:rsid w:val="00E71A58"/>
    <w:rsid w:val="00E72A7A"/>
    <w:rsid w:val="00E733C7"/>
    <w:rsid w:val="00E75C5C"/>
    <w:rsid w:val="00E75C94"/>
    <w:rsid w:val="00E76E61"/>
    <w:rsid w:val="00E8168E"/>
    <w:rsid w:val="00E924B2"/>
    <w:rsid w:val="00E93820"/>
    <w:rsid w:val="00E94A86"/>
    <w:rsid w:val="00E96143"/>
    <w:rsid w:val="00E972A9"/>
    <w:rsid w:val="00E972B3"/>
    <w:rsid w:val="00EA0840"/>
    <w:rsid w:val="00EA0C68"/>
    <w:rsid w:val="00EA17B0"/>
    <w:rsid w:val="00EA309D"/>
    <w:rsid w:val="00EA32BC"/>
    <w:rsid w:val="00EA405F"/>
    <w:rsid w:val="00EB4511"/>
    <w:rsid w:val="00EB57D0"/>
    <w:rsid w:val="00EB6637"/>
    <w:rsid w:val="00EB6E42"/>
    <w:rsid w:val="00EC03D7"/>
    <w:rsid w:val="00EC135C"/>
    <w:rsid w:val="00EC1470"/>
    <w:rsid w:val="00EC25F0"/>
    <w:rsid w:val="00EC5AA3"/>
    <w:rsid w:val="00EC6A1C"/>
    <w:rsid w:val="00ED62C6"/>
    <w:rsid w:val="00ED64C1"/>
    <w:rsid w:val="00ED7B65"/>
    <w:rsid w:val="00EE160E"/>
    <w:rsid w:val="00EE3446"/>
    <w:rsid w:val="00EE3C8D"/>
    <w:rsid w:val="00EE3E78"/>
    <w:rsid w:val="00EE466C"/>
    <w:rsid w:val="00EE4B1B"/>
    <w:rsid w:val="00EE50DB"/>
    <w:rsid w:val="00EE5BC1"/>
    <w:rsid w:val="00EF150D"/>
    <w:rsid w:val="00EF1C70"/>
    <w:rsid w:val="00EF1F5A"/>
    <w:rsid w:val="00EF348D"/>
    <w:rsid w:val="00EF47BF"/>
    <w:rsid w:val="00F01E16"/>
    <w:rsid w:val="00F02A90"/>
    <w:rsid w:val="00F04811"/>
    <w:rsid w:val="00F0488C"/>
    <w:rsid w:val="00F05E10"/>
    <w:rsid w:val="00F10F11"/>
    <w:rsid w:val="00F118D5"/>
    <w:rsid w:val="00F13819"/>
    <w:rsid w:val="00F13C9C"/>
    <w:rsid w:val="00F15AAA"/>
    <w:rsid w:val="00F15BEF"/>
    <w:rsid w:val="00F160CE"/>
    <w:rsid w:val="00F161E1"/>
    <w:rsid w:val="00F162B3"/>
    <w:rsid w:val="00F231AE"/>
    <w:rsid w:val="00F24407"/>
    <w:rsid w:val="00F24684"/>
    <w:rsid w:val="00F24FAA"/>
    <w:rsid w:val="00F25EFA"/>
    <w:rsid w:val="00F26590"/>
    <w:rsid w:val="00F32668"/>
    <w:rsid w:val="00F3364D"/>
    <w:rsid w:val="00F33926"/>
    <w:rsid w:val="00F33E56"/>
    <w:rsid w:val="00F34774"/>
    <w:rsid w:val="00F41068"/>
    <w:rsid w:val="00F433FE"/>
    <w:rsid w:val="00F437CC"/>
    <w:rsid w:val="00F43F77"/>
    <w:rsid w:val="00F44537"/>
    <w:rsid w:val="00F4530D"/>
    <w:rsid w:val="00F46502"/>
    <w:rsid w:val="00F47067"/>
    <w:rsid w:val="00F5041B"/>
    <w:rsid w:val="00F525EB"/>
    <w:rsid w:val="00F55E08"/>
    <w:rsid w:val="00F56129"/>
    <w:rsid w:val="00F63DDE"/>
    <w:rsid w:val="00F63FB7"/>
    <w:rsid w:val="00F6421B"/>
    <w:rsid w:val="00F649D2"/>
    <w:rsid w:val="00F6602B"/>
    <w:rsid w:val="00F727F2"/>
    <w:rsid w:val="00F73A0C"/>
    <w:rsid w:val="00F73D08"/>
    <w:rsid w:val="00F756DB"/>
    <w:rsid w:val="00F7746D"/>
    <w:rsid w:val="00F8090E"/>
    <w:rsid w:val="00F84E7D"/>
    <w:rsid w:val="00F85066"/>
    <w:rsid w:val="00F853A9"/>
    <w:rsid w:val="00F85789"/>
    <w:rsid w:val="00F859D0"/>
    <w:rsid w:val="00F87A4D"/>
    <w:rsid w:val="00F87A8D"/>
    <w:rsid w:val="00F939E3"/>
    <w:rsid w:val="00F97A48"/>
    <w:rsid w:val="00FA5D4D"/>
    <w:rsid w:val="00FB0EE2"/>
    <w:rsid w:val="00FB542E"/>
    <w:rsid w:val="00FB5B26"/>
    <w:rsid w:val="00FB7A5C"/>
    <w:rsid w:val="00FC0359"/>
    <w:rsid w:val="00FC0E5F"/>
    <w:rsid w:val="00FC1A95"/>
    <w:rsid w:val="00FC5504"/>
    <w:rsid w:val="00FC56DE"/>
    <w:rsid w:val="00FC684B"/>
    <w:rsid w:val="00FC6AB4"/>
    <w:rsid w:val="00FD034B"/>
    <w:rsid w:val="00FD3265"/>
    <w:rsid w:val="00FD32DB"/>
    <w:rsid w:val="00FD4056"/>
    <w:rsid w:val="00FD4916"/>
    <w:rsid w:val="00FD706B"/>
    <w:rsid w:val="00FE2D1C"/>
    <w:rsid w:val="00FE2F78"/>
    <w:rsid w:val="00FF3E63"/>
    <w:rsid w:val="00FF3EEC"/>
    <w:rsid w:val="00FF6B81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3B6C90EF"/>
  <w15:docId w15:val="{A4C7AF56-5B51-4067-BDB9-17A6C364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EA0840"/>
    <w:rPr>
      <w:noProof/>
      <w:lang w:eastAsia="en-US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F46502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">
    <w:name w:val="Nadpis 21"/>
    <w:basedOn w:val="Normln"/>
    <w:uiPriority w:val="9"/>
    <w:qFormat/>
    <w:rsid w:val="00F46502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">
    <w:name w:val="Text pozn. pod čarou1"/>
    <w:basedOn w:val="Normln"/>
    <w:rsid w:val="00F46502"/>
    <w:pPr>
      <w:spacing w:after="0" w:line="240" w:lineRule="auto"/>
      <w:jc w:val="left"/>
    </w:pPr>
    <w:rPr>
      <w:rFonts w:eastAsia="Calibri"/>
      <w:color w:val="00000A"/>
      <w:szCs w:val="20"/>
    </w:rPr>
  </w:style>
  <w:style w:type="character" w:customStyle="1" w:styleId="TextpoznpodarouChar1">
    <w:name w:val="Text pozn. pod čarou Char1"/>
    <w:aliases w:val="Text pozn. pod čarou_martin_ang Char1"/>
    <w:basedOn w:val="Standardnpsmoodstavce"/>
    <w:uiPriority w:val="99"/>
    <w:semiHidden/>
    <w:rsid w:val="00F46502"/>
    <w:rPr>
      <w:rFonts w:ascii="Arial" w:eastAsia="Times New Roman" w:hAnsi="Arial" w:cs="Times New Roman"/>
      <w:color w:val="00000A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F46502"/>
    <w:rPr>
      <w:rFonts w:cs="Times New Roman"/>
      <w:vertAlign w:val="superscript"/>
    </w:rPr>
  </w:style>
  <w:style w:type="character" w:customStyle="1" w:styleId="odkaz-style-wrapper">
    <w:name w:val="odkaz-style-wrapper"/>
    <w:basedOn w:val="Standardnpsmoodstavce"/>
    <w:rsid w:val="00BE6186"/>
  </w:style>
  <w:style w:type="paragraph" w:customStyle="1" w:styleId="Nadpis110">
    <w:name w:val="Nadpis 11"/>
    <w:basedOn w:val="Normln"/>
    <w:uiPriority w:val="9"/>
    <w:qFormat/>
    <w:rsid w:val="00BE6186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Nadpis210">
    <w:name w:val="Nadpis 21"/>
    <w:basedOn w:val="Normln"/>
    <w:uiPriority w:val="9"/>
    <w:qFormat/>
    <w:rsid w:val="00BE6186"/>
    <w:pPr>
      <w:keepNext/>
      <w:keepLines/>
      <w:spacing w:after="0"/>
      <w:jc w:val="left"/>
      <w:outlineLvl w:val="1"/>
    </w:pPr>
    <w:rPr>
      <w:rFonts w:eastAsia="MS Gothic"/>
      <w:b/>
      <w:bCs/>
      <w:color w:val="71818C"/>
      <w:sz w:val="28"/>
      <w:szCs w:val="26"/>
    </w:rPr>
  </w:style>
  <w:style w:type="paragraph" w:customStyle="1" w:styleId="Textpoznpodarou10">
    <w:name w:val="Text pozn. pod čarou1"/>
    <w:basedOn w:val="Normln"/>
    <w:rsid w:val="00BE6186"/>
    <w:pPr>
      <w:spacing w:after="0" w:line="240" w:lineRule="auto"/>
      <w:jc w:val="left"/>
    </w:pPr>
    <w:rPr>
      <w:rFonts w:eastAsia="Calibri"/>
      <w:color w:val="00000A"/>
      <w:szCs w:val="20"/>
    </w:rPr>
  </w:style>
  <w:style w:type="paragraph" w:styleId="Normlnweb">
    <w:name w:val="Normal (Web)"/>
    <w:basedOn w:val="Normln"/>
    <w:uiPriority w:val="99"/>
    <w:unhideWhenUsed/>
    <w:rsid w:val="00C96D0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semiHidden/>
    <w:rsid w:val="004C5FBF"/>
    <w:pPr>
      <w:widowControl w:val="0"/>
      <w:suppressAutoHyphens/>
      <w:autoSpaceDE w:val="0"/>
      <w:autoSpaceDN w:val="0"/>
      <w:adjustRightInd w:val="0"/>
      <w:spacing w:before="120" w:after="0" w:line="215" w:lineRule="exact"/>
    </w:pPr>
    <w:rPr>
      <w:rFonts w:ascii="Times New Roman CE obyèejné" w:hAnsi="Times New Roman CE obyèejné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C5FBF"/>
    <w:rPr>
      <w:rFonts w:ascii="Times New Roman CE obyèejné" w:eastAsia="Times New Roman" w:hAnsi="Times New Roman CE obyèejné"/>
      <w:lang w:eastAsia="cs-CZ"/>
    </w:rPr>
  </w:style>
  <w:style w:type="character" w:customStyle="1" w:styleId="content">
    <w:name w:val="content"/>
    <w:basedOn w:val="Standardnpsmoodstavce"/>
    <w:rsid w:val="003C4BE8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44EE6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44EE6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744EE6"/>
    <w:rPr>
      <w:vertAlign w:val="superscript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B4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7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6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8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fontTable" Target="fontTable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header" Target="header2.xml"/><Relationship Id="rId8" Type="http://schemas.openxmlformats.org/officeDocument/2006/relationships/chart" Target="charts/chart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Ro&#269;n&#237;%20anal&#253;za%202018\Ana&#253;za%20ekonomick&#233;ho%20v&#253;voje%20v%20roce%202017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Ro&#269;n&#237;%20anal&#253;za-Pr&#367;mysl%20od%20recese%20k%20recesi\aktual\Pr&#367;mysl-grafy-1.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20.11\Pr&#367;mysl-grafy-1.2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20.11\Pr&#367;mysl-grafy-1.2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20.11\Pr&#367;mysl-grafy-1.2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20.11\Pr&#367;mysl-grafy-1.2.xlsx" TargetMode="Externa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chartUserShapes" Target="../drawings/drawing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18.12\Pr&#367;mysl-grafy-1.2.xlsx" TargetMode="Externa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chartUserShapes" Target="../drawings/drawing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18.12\Pr&#367;mysl-grafy-1.2.xlsx" TargetMode="External"/><Relationship Id="rId2" Type="http://schemas.microsoft.com/office/2011/relationships/chartColorStyle" Target="colors15.xml"/><Relationship Id="rId1" Type="http://schemas.microsoft.com/office/2011/relationships/chartStyle" Target="style15.xml"/><Relationship Id="rId4" Type="http://schemas.openxmlformats.org/officeDocument/2006/relationships/chartUserShapes" Target="../drawings/drawing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18.12\Pr&#367;mysl-grafy-1.2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18.12\Pr&#367;mysl-grafy-1.2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18.12\Pr&#367;mysl-grafy-1.2.xlsx" TargetMode="External"/><Relationship Id="rId2" Type="http://schemas.microsoft.com/office/2011/relationships/chartColorStyle" Target="colors18.xml"/><Relationship Id="rId1" Type="http://schemas.microsoft.com/office/2011/relationships/chartStyle" Target="style18.xml"/><Relationship Id="rId4" Type="http://schemas.openxmlformats.org/officeDocument/2006/relationships/chartUserShapes" Target="../drawings/drawing6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18.12\Pr&#367;mysl-grafy-1.2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20.11\Pr&#367;mysl-grafy-1.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18.12\Pr&#367;mysl-grafy-1.2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18.12\Pr&#367;mysl-grafy-1.2.xlsx" TargetMode="External"/><Relationship Id="rId2" Type="http://schemas.microsoft.com/office/2011/relationships/chartColorStyle" Target="colors21.xml"/><Relationship Id="rId1" Type="http://schemas.microsoft.com/office/2011/relationships/chartStyle" Target="style21.xml"/><Relationship Id="rId4" Type="http://schemas.openxmlformats.org/officeDocument/2006/relationships/chartUserShapes" Target="../drawings/drawing7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G:\Ro&#269;n&#237;%20anal&#253;za-Pr&#367;mysl%20od%20recese%20k%20recesi\aktual\Pr&#367;mysl-grafy-1.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G:\Ro&#269;n&#237;%20anal&#253;za-Pr&#367;mysl%20od%20recese%20k%20recesi\aktual\Pr&#367;mysl-grafy-1.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20.11\Pr&#367;mysl-grafy-1.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20.11\Pr&#367;mysl-grafy-1.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20.11\Pr&#367;mysl-grafy-1.2.xlsx" TargetMode="Externa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chartUserShapes" Target="../drawings/drawing1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20.11\Pr&#367;mysl-grafy-1.2.xlsx" TargetMode="Externa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chartUserShapes" Target="../drawings/drawing2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JKAM%20CSU\PUBLIKACE\PUBLIKACE\2020\Ro&#269;n&#237;%20anal&#253;za-Pr&#367;mysl%20od%20recese%20k%20recesi\hototo%20k%2020.11\Pr&#367;mysl-grafy-1.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739947124095832E-2"/>
          <c:y val="2.055840501757536E-2"/>
          <c:w val="0.91622760062582209"/>
          <c:h val="0.78071651299997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'Graf-1'!$A$43</c:f>
              <c:strCache>
                <c:ptCount val="1"/>
                <c:pt idx="0">
                  <c:v>Hrubá přidaná hodnota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22225">
              <a:noFill/>
            </a:ln>
            <a:effectLst/>
          </c:spPr>
          <c:invertIfNegative val="0"/>
          <c:cat>
            <c:numRef>
              <c:f>'Graf-1'!$B$42:$AB$42</c:f>
              <c:numCache>
                <c:formatCode>General</c:formatCode>
                <c:ptCount val="27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</c:numCache>
            </c:numRef>
          </c:cat>
          <c:val>
            <c:numRef>
              <c:f>'Graf-1'!$B$43:$AB$43</c:f>
              <c:numCache>
                <c:formatCode>0.0</c:formatCode>
                <c:ptCount val="27"/>
                <c:pt idx="0">
                  <c:v>31.873856820496876</c:v>
                </c:pt>
                <c:pt idx="1">
                  <c:v>31.443866700091377</c:v>
                </c:pt>
                <c:pt idx="2">
                  <c:v>31.287934939617816</c:v>
                </c:pt>
                <c:pt idx="3">
                  <c:v>32.114147062561862</c:v>
                </c:pt>
                <c:pt idx="4">
                  <c:v>31.709044739216147</c:v>
                </c:pt>
                <c:pt idx="5">
                  <c:v>30.806392261464271</c:v>
                </c:pt>
                <c:pt idx="6">
                  <c:v>30.386227288833499</c:v>
                </c:pt>
                <c:pt idx="7">
                  <c:v>30.601997611551408</c:v>
                </c:pt>
                <c:pt idx="8">
                  <c:v>31.153511020969642</c:v>
                </c:pt>
                <c:pt idx="9">
                  <c:v>29.956045063563163</c:v>
                </c:pt>
                <c:pt idx="10">
                  <c:v>28.853114081884556</c:v>
                </c:pt>
                <c:pt idx="11">
                  <c:v>30.616085049084575</c:v>
                </c:pt>
                <c:pt idx="12">
                  <c:v>30.501424675918621</c:v>
                </c:pt>
                <c:pt idx="13">
                  <c:v>31.440019743201276</c:v>
                </c:pt>
                <c:pt idx="14">
                  <c:v>31.346653964003401</c:v>
                </c:pt>
                <c:pt idx="15">
                  <c:v>30.758208095826454</c:v>
                </c:pt>
                <c:pt idx="16">
                  <c:v>29.490877595925614</c:v>
                </c:pt>
                <c:pt idx="17">
                  <c:v>29.59921716394615</c:v>
                </c:pt>
                <c:pt idx="18">
                  <c:v>30.826271504043579</c:v>
                </c:pt>
                <c:pt idx="19">
                  <c:v>30.703584379874222</c:v>
                </c:pt>
                <c:pt idx="20">
                  <c:v>30.676444883740032</c:v>
                </c:pt>
                <c:pt idx="21">
                  <c:v>31.775546383023762</c:v>
                </c:pt>
                <c:pt idx="22">
                  <c:v>31.857996808776779</c:v>
                </c:pt>
                <c:pt idx="23">
                  <c:v>31.678354951967901</c:v>
                </c:pt>
                <c:pt idx="24">
                  <c:v>30.925354155144557</c:v>
                </c:pt>
                <c:pt idx="25">
                  <c:v>29.670139839896336</c:v>
                </c:pt>
                <c:pt idx="26">
                  <c:v>29.210918888914588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1E-4C90-BA62-244BFC65C2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167600"/>
        <c:axId val="281211184"/>
      </c:barChart>
      <c:lineChart>
        <c:grouping val="standard"/>
        <c:varyColors val="0"/>
        <c:ser>
          <c:idx val="1"/>
          <c:order val="1"/>
          <c:tx>
            <c:strRef>
              <c:f>'Graf-1'!$A$44</c:f>
              <c:strCache>
                <c:ptCount val="1"/>
                <c:pt idx="0">
                  <c:v>Zaměstnanost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'Graf-1'!$B$42:$AB$42</c:f>
              <c:numCache>
                <c:formatCode>General</c:formatCode>
                <c:ptCount val="27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</c:numCache>
            </c:numRef>
          </c:cat>
          <c:val>
            <c:numRef>
              <c:f>'Graf-1'!$B$44:$AB$44</c:f>
              <c:numCache>
                <c:formatCode>0.0</c:formatCode>
                <c:ptCount val="27"/>
                <c:pt idx="0">
                  <c:v>30.477564420453852</c:v>
                </c:pt>
                <c:pt idx="1">
                  <c:v>30.206128828538116</c:v>
                </c:pt>
                <c:pt idx="2">
                  <c:v>29.931226290673401</c:v>
                </c:pt>
                <c:pt idx="3">
                  <c:v>31.160696093848074</c:v>
                </c:pt>
                <c:pt idx="4">
                  <c:v>31.49551525082045</c:v>
                </c:pt>
                <c:pt idx="5">
                  <c:v>31.51999470624018</c:v>
                </c:pt>
                <c:pt idx="6">
                  <c:v>30.721098745778015</c:v>
                </c:pt>
                <c:pt idx="7">
                  <c:v>30.268458955445528</c:v>
                </c:pt>
                <c:pt idx="8">
                  <c:v>30.365974730448453</c:v>
                </c:pt>
                <c:pt idx="9">
                  <c:v>30.058777328390775</c:v>
                </c:pt>
                <c:pt idx="10">
                  <c:v>29.262592847299352</c:v>
                </c:pt>
                <c:pt idx="11">
                  <c:v>29.609856119049123</c:v>
                </c:pt>
                <c:pt idx="12">
                  <c:v>29.812809109031573</c:v>
                </c:pt>
                <c:pt idx="13">
                  <c:v>29.527862690199282</c:v>
                </c:pt>
                <c:pt idx="14">
                  <c:v>29.704183566141179</c:v>
                </c:pt>
                <c:pt idx="15">
                  <c:v>29.304177176227242</c:v>
                </c:pt>
                <c:pt idx="16">
                  <c:v>27.748408107752365</c:v>
                </c:pt>
                <c:pt idx="17">
                  <c:v>27.046369369721024</c:v>
                </c:pt>
                <c:pt idx="18">
                  <c:v>28.009811943074141</c:v>
                </c:pt>
                <c:pt idx="19">
                  <c:v>28.04768938561017</c:v>
                </c:pt>
                <c:pt idx="20">
                  <c:v>27.94935143922061</c:v>
                </c:pt>
                <c:pt idx="21">
                  <c:v>28.176167032445576</c:v>
                </c:pt>
                <c:pt idx="22">
                  <c:v>28.681272958129213</c:v>
                </c:pt>
                <c:pt idx="23">
                  <c:v>28.899064354853572</c:v>
                </c:pt>
                <c:pt idx="24">
                  <c:v>28.884238595812796</c:v>
                </c:pt>
                <c:pt idx="25">
                  <c:v>28.76295537986276</c:v>
                </c:pt>
                <c:pt idx="26">
                  <c:v>28.450385793538224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71E-4C90-BA62-244BFC65C2E1}"/>
            </c:ext>
          </c:extLst>
        </c:ser>
        <c:ser>
          <c:idx val="2"/>
          <c:order val="2"/>
          <c:tx>
            <c:strRef>
              <c:f>'Graf-1'!$A$45</c:f>
              <c:strCache>
                <c:ptCount val="1"/>
                <c:pt idx="0">
                  <c:v>z toho zaměstnanci</c:v>
                </c:pt>
              </c:strCache>
            </c:strRef>
          </c:tx>
          <c:spPr>
            <a:ln w="19050" cap="rnd">
              <a:solidFill>
                <a:srgbClr val="ED7D3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'Graf-1'!$B$42:$AB$42</c:f>
              <c:numCache>
                <c:formatCode>General</c:formatCode>
                <c:ptCount val="27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</c:numCache>
            </c:numRef>
          </c:cat>
          <c:val>
            <c:numRef>
              <c:f>'Graf-1'!$B$45:$AB$45</c:f>
              <c:numCache>
                <c:formatCode>0.0</c:formatCode>
                <c:ptCount val="27"/>
                <c:pt idx="0">
                  <c:v>32.111556435116661</c:v>
                </c:pt>
                <c:pt idx="1">
                  <c:v>32.011662531457446</c:v>
                </c:pt>
                <c:pt idx="2">
                  <c:v>31.862872797437504</c:v>
                </c:pt>
                <c:pt idx="3">
                  <c:v>33.283094878772083</c:v>
                </c:pt>
                <c:pt idx="4">
                  <c:v>33.697142859704719</c:v>
                </c:pt>
                <c:pt idx="5">
                  <c:v>34.01632924798399</c:v>
                </c:pt>
                <c:pt idx="6">
                  <c:v>33.267398779600398</c:v>
                </c:pt>
                <c:pt idx="7">
                  <c:v>32.840740947945747</c:v>
                </c:pt>
                <c:pt idx="8">
                  <c:v>32.96289190304649</c:v>
                </c:pt>
                <c:pt idx="9">
                  <c:v>32.816422763483928</c:v>
                </c:pt>
                <c:pt idx="10">
                  <c:v>32.08524725250296</c:v>
                </c:pt>
                <c:pt idx="11">
                  <c:v>32.319079936391951</c:v>
                </c:pt>
                <c:pt idx="12">
                  <c:v>32.369721682349727</c:v>
                </c:pt>
                <c:pt idx="13">
                  <c:v>32.130368543843829</c:v>
                </c:pt>
                <c:pt idx="14">
                  <c:v>32.276968913045962</c:v>
                </c:pt>
                <c:pt idx="15">
                  <c:v>31.660349638473189</c:v>
                </c:pt>
                <c:pt idx="16">
                  <c:v>29.999904547430269</c:v>
                </c:pt>
                <c:pt idx="17">
                  <c:v>29.222613752426003</c:v>
                </c:pt>
                <c:pt idx="18">
                  <c:v>30.304820581736173</c:v>
                </c:pt>
                <c:pt idx="19">
                  <c:v>30.414346134646784</c:v>
                </c:pt>
                <c:pt idx="20">
                  <c:v>30.06858820841337</c:v>
                </c:pt>
                <c:pt idx="21">
                  <c:v>30.211165437789738</c:v>
                </c:pt>
                <c:pt idx="22">
                  <c:v>30.691384984897489</c:v>
                </c:pt>
                <c:pt idx="23">
                  <c:v>30.953943887087277</c:v>
                </c:pt>
                <c:pt idx="24">
                  <c:v>30.923944001560528</c:v>
                </c:pt>
                <c:pt idx="25">
                  <c:v>30.758139732755108</c:v>
                </c:pt>
                <c:pt idx="26">
                  <c:v>30.391289408968692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71E-4C90-BA62-244BFC65C2E1}"/>
            </c:ext>
          </c:extLst>
        </c:ser>
        <c:ser>
          <c:idx val="3"/>
          <c:order val="3"/>
          <c:tx>
            <c:strRef>
              <c:f>'Graf-1'!$A$46</c:f>
              <c:strCache>
                <c:ptCount val="1"/>
                <c:pt idx="0">
                  <c:v>Mzdy a platy</c:v>
                </c:pt>
              </c:strCache>
            </c:strRef>
          </c:tx>
          <c:spPr>
            <a:ln w="19050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'Graf-1'!$B$42:$AB$42</c:f>
              <c:numCache>
                <c:formatCode>General</c:formatCode>
                <c:ptCount val="27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</c:numCache>
            </c:numRef>
          </c:cat>
          <c:val>
            <c:numRef>
              <c:f>'Graf-1'!$B$46:$AB$46</c:f>
              <c:numCache>
                <c:formatCode>0.0</c:formatCode>
                <c:ptCount val="27"/>
                <c:pt idx="0">
                  <c:v>32.742400054538948</c:v>
                </c:pt>
                <c:pt idx="1">
                  <c:v>32.309663968017901</c:v>
                </c:pt>
                <c:pt idx="2">
                  <c:v>31.607658218538091</c:v>
                </c:pt>
                <c:pt idx="3">
                  <c:v>32.408064844952797</c:v>
                </c:pt>
                <c:pt idx="4">
                  <c:v>32.780808347217487</c:v>
                </c:pt>
                <c:pt idx="5">
                  <c:v>33.137858266508076</c:v>
                </c:pt>
                <c:pt idx="6">
                  <c:v>32.090331745633826</c:v>
                </c:pt>
                <c:pt idx="7">
                  <c:v>32.367105631120893</c:v>
                </c:pt>
                <c:pt idx="8">
                  <c:v>32.718267745913963</c:v>
                </c:pt>
                <c:pt idx="9">
                  <c:v>32.048830175973222</c:v>
                </c:pt>
                <c:pt idx="10">
                  <c:v>31.010923932799866</c:v>
                </c:pt>
                <c:pt idx="11">
                  <c:v>31.3002270561697</c:v>
                </c:pt>
                <c:pt idx="12">
                  <c:v>31.174753865365908</c:v>
                </c:pt>
                <c:pt idx="13">
                  <c:v>31.317863111624554</c:v>
                </c:pt>
                <c:pt idx="14">
                  <c:v>31.412367859126743</c:v>
                </c:pt>
                <c:pt idx="15">
                  <c:v>31.026562293441106</c:v>
                </c:pt>
                <c:pt idx="16">
                  <c:v>28.912143682565368</c:v>
                </c:pt>
                <c:pt idx="17">
                  <c:v>28.626976837235073</c:v>
                </c:pt>
                <c:pt idx="18">
                  <c:v>30.135933186567428</c:v>
                </c:pt>
                <c:pt idx="19">
                  <c:v>30.097226723109682</c:v>
                </c:pt>
                <c:pt idx="20">
                  <c:v>29.933834417349253</c:v>
                </c:pt>
                <c:pt idx="21">
                  <c:v>30.175957628739148</c:v>
                </c:pt>
                <c:pt idx="22">
                  <c:v>30.581416051479781</c:v>
                </c:pt>
                <c:pt idx="23">
                  <c:v>30.677049166472166</c:v>
                </c:pt>
                <c:pt idx="24">
                  <c:v>30.770622512630641</c:v>
                </c:pt>
                <c:pt idx="25">
                  <c:v>30.28547948209518</c:v>
                </c:pt>
                <c:pt idx="26">
                  <c:v>29.687502386459268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71E-4C90-BA62-244BFC65C2E1}"/>
            </c:ext>
          </c:extLst>
        </c:ser>
        <c:ser>
          <c:idx val="4"/>
          <c:order val="4"/>
          <c:tx>
            <c:strRef>
              <c:f>'Graf-1'!$A$47</c:f>
              <c:strCache>
                <c:ptCount val="1"/>
                <c:pt idx="0">
                  <c:v>Investice*</c:v>
                </c:pt>
              </c:strCache>
            </c:strRef>
          </c:tx>
          <c:spPr>
            <a:ln w="19050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'Graf-1'!$B$42:$AB$42</c:f>
              <c:numCache>
                <c:formatCode>General</c:formatCode>
                <c:ptCount val="27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</c:numCache>
            </c:numRef>
          </c:cat>
          <c:val>
            <c:numRef>
              <c:f>'Graf-1'!$B$47:$AB$47</c:f>
              <c:numCache>
                <c:formatCode>0.0</c:formatCode>
                <c:ptCount val="27"/>
                <c:pt idx="0">
                  <c:v>38.450235394759048</c:v>
                </c:pt>
                <c:pt idx="1">
                  <c:v>37.637539513111335</c:v>
                </c:pt>
                <c:pt idx="2">
                  <c:v>40.571725186311227</c:v>
                </c:pt>
                <c:pt idx="3">
                  <c:v>37.256732575328158</c:v>
                </c:pt>
                <c:pt idx="4">
                  <c:v>36.886201630516851</c:v>
                </c:pt>
                <c:pt idx="5">
                  <c:v>34.465813370956461</c:v>
                </c:pt>
                <c:pt idx="6">
                  <c:v>35.6550788521524</c:v>
                </c:pt>
                <c:pt idx="7">
                  <c:v>33.597005741860769</c:v>
                </c:pt>
                <c:pt idx="8">
                  <c:v>34.794763330350399</c:v>
                </c:pt>
                <c:pt idx="9">
                  <c:v>30.755633672710204</c:v>
                </c:pt>
                <c:pt idx="10">
                  <c:v>30.959536680653333</c:v>
                </c:pt>
                <c:pt idx="11">
                  <c:v>31.174982531434953</c:v>
                </c:pt>
                <c:pt idx="12">
                  <c:v>29.274829417025945</c:v>
                </c:pt>
                <c:pt idx="13">
                  <c:v>28.857637011569103</c:v>
                </c:pt>
                <c:pt idx="14">
                  <c:v>30.752205303808676</c:v>
                </c:pt>
                <c:pt idx="15">
                  <c:v>29.53702074975137</c:v>
                </c:pt>
                <c:pt idx="16">
                  <c:v>27.261904543864436</c:v>
                </c:pt>
                <c:pt idx="17">
                  <c:v>28.314500602850323</c:v>
                </c:pt>
                <c:pt idx="18">
                  <c:v>30.433658518183883</c:v>
                </c:pt>
                <c:pt idx="19">
                  <c:v>31.290452280101359</c:v>
                </c:pt>
                <c:pt idx="20">
                  <c:v>32.318591449555115</c:v>
                </c:pt>
                <c:pt idx="21">
                  <c:v>32.210307776757233</c:v>
                </c:pt>
                <c:pt idx="22">
                  <c:v>31.339609037992318</c:v>
                </c:pt>
                <c:pt idx="23">
                  <c:v>31.621264940863391</c:v>
                </c:pt>
                <c:pt idx="24">
                  <c:v>30.099410479131965</c:v>
                </c:pt>
                <c:pt idx="25">
                  <c:v>28.564100113560979</c:v>
                </c:pt>
                <c:pt idx="26">
                  <c:v>29.565522650927655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D71E-4C90-BA62-244BFC65C2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50"/>
        <c:noMultiLvlLbl val="0"/>
      </c:catAx>
      <c:valAx>
        <c:axId val="281211184"/>
        <c:scaling>
          <c:orientation val="minMax"/>
          <c:max val="42.5"/>
          <c:min val="25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.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2.5"/>
      </c:valAx>
      <c:spPr>
        <a:noFill/>
        <a:ln w="6350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7.2100782352780307E-2"/>
          <c:y val="0.90304686273190216"/>
          <c:w val="0.91721260263252558"/>
          <c:h val="8.9355796337423632E-2"/>
        </c:manualLayout>
      </c:layout>
      <c:overlay val="0"/>
      <c:spPr>
        <a:noFill/>
        <a:ln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061242210878148E-2"/>
          <c:y val="2.0864272307841863E-2"/>
          <c:w val="0.91300787059416"/>
          <c:h val="0.6688190962038058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'GRAF-4'!$AC$10</c:f>
              <c:strCache>
                <c:ptCount val="1"/>
                <c:pt idx="0">
                  <c:v>základní a
nedokončené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'GRAF-4'!$AC$11:$AC$22</c:f>
              <c:numCache>
                <c:formatCode>0.0</c:formatCode>
                <c:ptCount val="12"/>
                <c:pt idx="0">
                  <c:v>6.2788114412663161</c:v>
                </c:pt>
                <c:pt idx="1">
                  <c:v>8.1093149950879706</c:v>
                </c:pt>
                <c:pt idx="2">
                  <c:v>7.5471698113207557</c:v>
                </c:pt>
                <c:pt idx="3">
                  <c:v>8.1646688936922764</c:v>
                </c:pt>
                <c:pt idx="4">
                  <c:v>1.8292682926829271</c:v>
                </c:pt>
                <c:pt idx="5">
                  <c:v>11.410788381742739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A5-4284-9FC5-C4BC417EF2E9}"/>
            </c:ext>
          </c:extLst>
        </c:ser>
        <c:ser>
          <c:idx val="1"/>
          <c:order val="1"/>
          <c:tx>
            <c:strRef>
              <c:f>'GRAF-4'!$AD$10</c:f>
              <c:strCache>
                <c:ptCount val="1"/>
                <c:pt idx="0">
                  <c:v>střední
bez maturity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'GRAF-4'!$AD$11:$AD$22</c:f>
              <c:numCache>
                <c:formatCode>0.0</c:formatCode>
                <c:ptCount val="12"/>
                <c:pt idx="0">
                  <c:v>32.579838933629553</c:v>
                </c:pt>
                <c:pt idx="1">
                  <c:v>45.413950165222836</c:v>
                </c:pt>
                <c:pt idx="2">
                  <c:v>57.075471698113212</c:v>
                </c:pt>
                <c:pt idx="3">
                  <c:v>45.667125171939482</c:v>
                </c:pt>
                <c:pt idx="4">
                  <c:v>25.609756097560975</c:v>
                </c:pt>
                <c:pt idx="5">
                  <c:v>48.340248962655608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A5-4284-9FC5-C4BC417EF2E9}"/>
            </c:ext>
          </c:extLst>
        </c:ser>
        <c:ser>
          <c:idx val="2"/>
          <c:order val="2"/>
          <c:tx>
            <c:strRef>
              <c:f>'GRAF-4'!$AE$10</c:f>
              <c:strCache>
                <c:ptCount val="1"/>
                <c:pt idx="0">
                  <c:v>střední
s maturitou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'GRAF-4'!$AE$11:$AE$22</c:f>
              <c:numCache>
                <c:formatCode>0.0</c:formatCode>
                <c:ptCount val="12"/>
                <c:pt idx="0">
                  <c:v>36.575951124687592</c:v>
                </c:pt>
                <c:pt idx="1">
                  <c:v>33.205322854335989</c:v>
                </c:pt>
                <c:pt idx="2">
                  <c:v>26.415094339622641</c:v>
                </c:pt>
                <c:pt idx="3">
                  <c:v>33.149931224209077</c:v>
                </c:pt>
                <c:pt idx="4">
                  <c:v>46.646341463414643</c:v>
                </c:pt>
                <c:pt idx="5">
                  <c:v>28.215767634854771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A5-4284-9FC5-C4BC417EF2E9}"/>
            </c:ext>
          </c:extLst>
        </c:ser>
        <c:ser>
          <c:idx val="3"/>
          <c:order val="3"/>
          <c:tx>
            <c:strRef>
              <c:f>'GRAF-4'!$AF$10</c:f>
              <c:strCache>
                <c:ptCount val="1"/>
                <c:pt idx="0">
                  <c:v>vyšší odborné
a bakalářské</c:v>
                </c:pt>
              </c:strCache>
            </c:strRef>
          </c:tx>
          <c:spPr>
            <a:solidFill>
              <a:srgbClr val="C55E5B"/>
            </a:solidFill>
            <a:ln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'GRAF-4'!$AF$11:$AF$22</c:f>
              <c:numCache>
                <c:formatCode>0.0</c:formatCode>
                <c:ptCount val="12"/>
                <c:pt idx="0">
                  <c:v>6.0955290197167455</c:v>
                </c:pt>
                <c:pt idx="1">
                  <c:v>3.1615611324461912</c:v>
                </c:pt>
                <c:pt idx="2">
                  <c:v>1.4150943396226416</c:v>
                </c:pt>
                <c:pt idx="3">
                  <c:v>3.2226370603261936</c:v>
                </c:pt>
                <c:pt idx="4">
                  <c:v>4.2682926829268295</c:v>
                </c:pt>
                <c:pt idx="5">
                  <c:v>2.0746887966804981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A5-4284-9FC5-C4BC417EF2E9}"/>
            </c:ext>
          </c:extLst>
        </c:ser>
        <c:ser>
          <c:idx val="4"/>
          <c:order val="4"/>
          <c:tx>
            <c:strRef>
              <c:f>'GRAF-4'!$AG$10</c:f>
              <c:strCache>
                <c:ptCount val="1"/>
                <c:pt idx="0">
                  <c:v>vysoko-
školské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'GRAF-4'!$AG$11:$AG$22</c:f>
              <c:numCache>
                <c:formatCode>0.0</c:formatCode>
                <c:ptCount val="12"/>
                <c:pt idx="0">
                  <c:v>18.469869480699806</c:v>
                </c:pt>
                <c:pt idx="1">
                  <c:v>10.10985085290703</c:v>
                </c:pt>
                <c:pt idx="2">
                  <c:v>7.5471698113207557</c:v>
                </c:pt>
                <c:pt idx="3">
                  <c:v>9.7956376498329742</c:v>
                </c:pt>
                <c:pt idx="4">
                  <c:v>21.646341463414632</c:v>
                </c:pt>
                <c:pt idx="5">
                  <c:v>9.9585062240663902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A5-4284-9FC5-C4BC417EF2E9}"/>
            </c:ext>
          </c:extLst>
        </c:ser>
        <c:ser>
          <c:idx val="5"/>
          <c:order val="5"/>
          <c:tx>
            <c:strRef>
              <c:f>'GRAF-4'!$AH$10</c:f>
              <c:strCache>
                <c:ptCount val="1"/>
              </c:strCache>
            </c:strRef>
          </c:tx>
          <c:spPr>
            <a:noFill/>
            <a:ln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'GRAF-4'!$AH$11:$AH$22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5-71A5-4284-9FC5-C4BC417EF2E9}"/>
            </c:ext>
          </c:extLst>
        </c:ser>
        <c:ser>
          <c:idx val="6"/>
          <c:order val="6"/>
          <c:tx>
            <c:strRef>
              <c:f>'GRAF-4'!$AI$10</c:f>
              <c:strCache>
                <c:ptCount val="1"/>
                <c:pt idx="0">
                  <c:v>do 29 let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 w="6350"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'GRAF-4'!$AI$11:$AI$22</c:f>
              <c:numCache>
                <c:formatCode>General</c:formatCode>
                <c:ptCount val="12"/>
                <c:pt idx="6" formatCode="0.0">
                  <c:v>14.920797138477262</c:v>
                </c:pt>
                <c:pt idx="7" formatCode="0.0">
                  <c:v>15.564642422133289</c:v>
                </c:pt>
                <c:pt idx="8" formatCode="0.0">
                  <c:v>6.1032863849765269</c:v>
                </c:pt>
                <c:pt idx="9" formatCode="0.0">
                  <c:v>16.204588910133847</c:v>
                </c:pt>
                <c:pt idx="10" formatCode="0.0">
                  <c:v>9.7264437689969618</c:v>
                </c:pt>
                <c:pt idx="11" formatCode="0.0">
                  <c:v>9.9391480730223112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1A5-4284-9FC5-C4BC417EF2E9}"/>
            </c:ext>
          </c:extLst>
        </c:ser>
        <c:ser>
          <c:idx val="7"/>
          <c:order val="7"/>
          <c:tx>
            <c:strRef>
              <c:f>'GRAF-4'!$AJ$10</c:f>
              <c:strCache>
                <c:ptCount val="1"/>
                <c:pt idx="0">
                  <c:v>30–39 let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6350"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'GRAF-4'!$AJ$11:$AJ$22</c:f>
              <c:numCache>
                <c:formatCode>General</c:formatCode>
                <c:ptCount val="12"/>
                <c:pt idx="6" formatCode="0.0">
                  <c:v>22.335475889519401</c:v>
                </c:pt>
                <c:pt idx="7" formatCode="0.0">
                  <c:v>22.724899947798853</c:v>
                </c:pt>
                <c:pt idx="8" formatCode="0.0">
                  <c:v>13.615023474178406</c:v>
                </c:pt>
                <c:pt idx="9" formatCode="0.0">
                  <c:v>23.346080305927348</c:v>
                </c:pt>
                <c:pt idx="10" formatCode="0.0">
                  <c:v>18.237082066869302</c:v>
                </c:pt>
                <c:pt idx="11" formatCode="0.0">
                  <c:v>16.632860040567952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1A5-4284-9FC5-C4BC417EF2E9}"/>
            </c:ext>
          </c:extLst>
        </c:ser>
        <c:ser>
          <c:idx val="8"/>
          <c:order val="8"/>
          <c:tx>
            <c:strRef>
              <c:f>'GRAF-4'!$AK$10</c:f>
              <c:strCache>
                <c:ptCount val="1"/>
                <c:pt idx="0">
                  <c:v>40–49 let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 w="6350"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'GRAF-4'!$AK$11:$AK$22</c:f>
              <c:numCache>
                <c:formatCode>General</c:formatCode>
                <c:ptCount val="12"/>
                <c:pt idx="6" formatCode="0.0">
                  <c:v>31.137885592878462</c:v>
                </c:pt>
                <c:pt idx="7" formatCode="0.0">
                  <c:v>31.790499390986604</c:v>
                </c:pt>
                <c:pt idx="8" formatCode="0.0">
                  <c:v>31.924882629107987</c:v>
                </c:pt>
                <c:pt idx="9" formatCode="0.0">
                  <c:v>31.826003824091782</c:v>
                </c:pt>
                <c:pt idx="10" formatCode="0.0">
                  <c:v>31.003039513677809</c:v>
                </c:pt>
                <c:pt idx="11" formatCode="0.0">
                  <c:v>31.237322515212984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1A5-4284-9FC5-C4BC417EF2E9}"/>
            </c:ext>
          </c:extLst>
        </c:ser>
        <c:ser>
          <c:idx val="9"/>
          <c:order val="9"/>
          <c:tx>
            <c:strRef>
              <c:f>'GRAF-4'!$AL$10</c:f>
              <c:strCache>
                <c:ptCount val="1"/>
                <c:pt idx="0">
                  <c:v>50–59 let</c:v>
                </c:pt>
              </c:strCache>
            </c:strRef>
          </c:tx>
          <c:spPr>
            <a:solidFill>
              <a:srgbClr val="F8A764"/>
            </a:solidFill>
            <a:ln w="6350"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'GRAF-4'!$AL$11:$AL$22</c:f>
              <c:numCache>
                <c:formatCode>General</c:formatCode>
                <c:ptCount val="12"/>
                <c:pt idx="6" formatCode="0.0">
                  <c:v>23.497297151924265</c:v>
                </c:pt>
                <c:pt idx="7" formatCode="0.0">
                  <c:v>23.064207412563082</c:v>
                </c:pt>
                <c:pt idx="8" formatCode="0.0">
                  <c:v>37.089201877934279</c:v>
                </c:pt>
                <c:pt idx="9" formatCode="0.0">
                  <c:v>22.256214149139588</c:v>
                </c:pt>
                <c:pt idx="10" formatCode="0.0">
                  <c:v>30.091185410334347</c:v>
                </c:pt>
                <c:pt idx="11" formatCode="0.0">
                  <c:v>29.411764705882355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71A5-4284-9FC5-C4BC417EF2E9}"/>
            </c:ext>
          </c:extLst>
        </c:ser>
        <c:ser>
          <c:idx val="10"/>
          <c:order val="10"/>
          <c:tx>
            <c:strRef>
              <c:f>'GRAF-4'!$AM$10</c:f>
              <c:strCache>
                <c:ptCount val="1"/>
                <c:pt idx="0">
                  <c:v>60 a více let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6350">
              <a:noFill/>
            </a:ln>
            <a:effectLst/>
          </c:spPr>
          <c:invertIfNegative val="0"/>
          <c:cat>
            <c:multiLvlStrRef>
              <c:f>'GRAF-4'!$AA$11:$AB$22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Odvětví dle vzdělání</c:v>
                  </c:pt>
                  <c:pt idx="6">
                    <c:v>Odvětví dle věku</c:v>
                  </c:pt>
                </c:lvl>
              </c:multiLvlStrCache>
            </c:multiLvlStrRef>
          </c:cat>
          <c:val>
            <c:numRef>
              <c:f>'GRAF-4'!$AM$11:$AM$22</c:f>
              <c:numCache>
                <c:formatCode>General</c:formatCode>
                <c:ptCount val="12"/>
                <c:pt idx="6" formatCode="0.0">
                  <c:v>8.1085442272006016</c:v>
                </c:pt>
                <c:pt idx="7" formatCode="0.0">
                  <c:v>6.8557508265181841</c:v>
                </c:pt>
                <c:pt idx="8" formatCode="0.0">
                  <c:v>11.267605633802818</c:v>
                </c:pt>
                <c:pt idx="9" formatCode="0.0">
                  <c:v>6.3671128107074582</c:v>
                </c:pt>
                <c:pt idx="10" formatCode="0.0">
                  <c:v>10.94224924012158</c:v>
                </c:pt>
                <c:pt idx="11" formatCode="0.0">
                  <c:v>12.778904665314403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1A5-4284-9FC5-C4BC417EF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overlap val="100"/>
        <c:axId val="211167600"/>
        <c:axId val="281211184"/>
      </c:bar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0"/>
        <c:noMultiLvlLbl val="0"/>
      </c:catAx>
      <c:valAx>
        <c:axId val="281211184"/>
        <c:scaling>
          <c:orientation val="minMax"/>
          <c:max val="10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Podíl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v %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10"/>
      </c:val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7.0170097945938009E-2"/>
          <c:y val="0.85649452172534846"/>
          <c:w val="0.91416201923255525"/>
          <c:h val="0.13600400141496244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665337663399147E-2"/>
          <c:y val="2.0864272307841863E-2"/>
          <c:w val="0.91759014472564593"/>
          <c:h val="0.795002092549281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'GRAF-6'!$B$3</c:f>
              <c:strCache>
                <c:ptCount val="1"/>
                <c:pt idx="0">
                  <c:v>Všechna odvětví NH</c:v>
                </c:pt>
              </c:strCache>
            </c:strRef>
          </c:tx>
          <c:spPr>
            <a:solidFill>
              <a:srgbClr val="D2E7B6"/>
            </a:solidFill>
            <a:ln w="6350">
              <a:solidFill>
                <a:srgbClr val="7DBB2D"/>
              </a:solidFill>
            </a:ln>
            <a:effectLst/>
          </c:spPr>
          <c:invertIfNegative val="0"/>
          <c:cat>
            <c:numRef>
              <c:f>'GRAF-6'!$C$2:$Q$2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'GRAF-6'!$C$3:$Q$3</c:f>
              <c:numCache>
                <c:formatCode>0.0</c:formatCode>
                <c:ptCount val="15"/>
                <c:pt idx="0">
                  <c:v>5.0269094240238132</c:v>
                </c:pt>
                <c:pt idx="1">
                  <c:v>6.5525512429132107</c:v>
                </c:pt>
                <c:pt idx="2">
                  <c:v>7.2188683106517999</c:v>
                </c:pt>
                <c:pt idx="3">
                  <c:v>7.8016891730686666</c:v>
                </c:pt>
                <c:pt idx="4">
                  <c:v>3.3286118980169874</c:v>
                </c:pt>
                <c:pt idx="5">
                  <c:v>2.2275531185743631</c:v>
                </c:pt>
                <c:pt idx="6">
                  <c:v>2.4765336909151898</c:v>
                </c:pt>
                <c:pt idx="7">
                  <c:v>2.5025557145778095</c:v>
                </c:pt>
                <c:pt idx="8">
                  <c:v>-0.12765787688992702</c:v>
                </c:pt>
                <c:pt idx="9">
                  <c:v>2.9279009386858519</c:v>
                </c:pt>
                <c:pt idx="10">
                  <c:v>3.1938838869916282</c:v>
                </c:pt>
                <c:pt idx="11">
                  <c:v>4.4112669700274552</c:v>
                </c:pt>
                <c:pt idx="12">
                  <c:v>6.7497478749459816</c:v>
                </c:pt>
                <c:pt idx="13">
                  <c:v>8.1415750050610711</c:v>
                </c:pt>
                <c:pt idx="14">
                  <c:v>6.4272565598577245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C9-4FC9-8430-1EC5CEEFEBBB}"/>
            </c:ext>
          </c:extLst>
        </c:ser>
        <c:ser>
          <c:idx val="1"/>
          <c:order val="1"/>
          <c:tx>
            <c:strRef>
              <c:f>'GRAF-6'!$B$4</c:f>
              <c:strCache>
                <c:ptCount val="1"/>
                <c:pt idx="0">
                  <c:v>Průmysl celkem (sekce B, C, D, E)</c:v>
                </c:pt>
              </c:strCache>
            </c:strRef>
          </c:tx>
          <c:spPr>
            <a:solidFill>
              <a:srgbClr val="FDDEB3"/>
            </a:solidFill>
            <a:ln w="6350">
              <a:solidFill>
                <a:schemeClr val="accent2">
                  <a:lumMod val="75000"/>
                </a:schemeClr>
              </a:solidFill>
            </a:ln>
            <a:effectLst/>
          </c:spPr>
          <c:invertIfNegative val="0"/>
          <c:cat>
            <c:numRef>
              <c:f>'GRAF-6'!$C$2:$Q$2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'GRAF-6'!$C$4:$Q$4</c:f>
              <c:numCache>
                <c:formatCode>0.0</c:formatCode>
                <c:ptCount val="15"/>
                <c:pt idx="0">
                  <c:v>4.7940779037659382</c:v>
                </c:pt>
                <c:pt idx="1">
                  <c:v>6.3912092840724455</c:v>
                </c:pt>
                <c:pt idx="2">
                  <c:v>7.0295621014912797</c:v>
                </c:pt>
                <c:pt idx="3">
                  <c:v>8.8966569839003427</c:v>
                </c:pt>
                <c:pt idx="4">
                  <c:v>2.2922506555746338</c:v>
                </c:pt>
                <c:pt idx="5">
                  <c:v>4.4817679558011037</c:v>
                </c:pt>
                <c:pt idx="6">
                  <c:v>3.1854139345996089</c:v>
                </c:pt>
                <c:pt idx="7">
                  <c:v>3.0337815677271323</c:v>
                </c:pt>
                <c:pt idx="8">
                  <c:v>0.81171414929173125</c:v>
                </c:pt>
                <c:pt idx="9">
                  <c:v>3.3154404799494728</c:v>
                </c:pt>
                <c:pt idx="10">
                  <c:v>2.6016198044009684</c:v>
                </c:pt>
                <c:pt idx="11">
                  <c:v>4.2558737014558545</c:v>
                </c:pt>
                <c:pt idx="12">
                  <c:v>6.8214285714285836</c:v>
                </c:pt>
                <c:pt idx="13">
                  <c:v>7.7465730524908025</c:v>
                </c:pt>
                <c:pt idx="14">
                  <c:v>5.3867874763397197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C9-4FC9-8430-1EC5CEEFEB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167600"/>
        <c:axId val="281211184"/>
      </c:barChart>
      <c:lineChart>
        <c:grouping val="standard"/>
        <c:varyColors val="0"/>
        <c:ser>
          <c:idx val="2"/>
          <c:order val="2"/>
          <c:tx>
            <c:strRef>
              <c:f>'GRAF-6'!$B$5</c:f>
              <c:strCache>
                <c:ptCount val="1"/>
                <c:pt idx="0">
                  <c:v>Zpracovatelský průmysl (C)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dash"/>
            <c:size val="7"/>
            <c:spPr>
              <a:solidFill>
                <a:schemeClr val="tx1">
                  <a:lumMod val="85000"/>
                  <a:lumOff val="15000"/>
                </a:schemeClr>
              </a:solidFill>
              <a:ln w="9525">
                <a:noFill/>
              </a:ln>
              <a:effectLst/>
            </c:spPr>
          </c:marker>
          <c:cat>
            <c:numRef>
              <c:f>'GRAF-6'!$C$2:$Q$2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'GRAF-6'!$C$5:$Q$5</c:f>
              <c:numCache>
                <c:formatCode>0.0</c:formatCode>
                <c:ptCount val="15"/>
                <c:pt idx="0">
                  <c:v>4.6912686927158802</c:v>
                </c:pt>
                <c:pt idx="1">
                  <c:v>6.496947356295351</c:v>
                </c:pt>
                <c:pt idx="2">
                  <c:v>7.3661438615467887</c:v>
                </c:pt>
                <c:pt idx="3">
                  <c:v>8.6238162401773195</c:v>
                </c:pt>
                <c:pt idx="4">
                  <c:v>1.873492858467813</c:v>
                </c:pt>
                <c:pt idx="5">
                  <c:v>4.6158048069920028</c:v>
                </c:pt>
                <c:pt idx="6">
                  <c:v>3.4766338873901219</c:v>
                </c:pt>
                <c:pt idx="7">
                  <c:v>2.9056810058450111</c:v>
                </c:pt>
                <c:pt idx="8">
                  <c:v>1.323962079110828</c:v>
                </c:pt>
                <c:pt idx="9">
                  <c:v>3.6860783997418878</c:v>
                </c:pt>
                <c:pt idx="10">
                  <c:v>2.9054842473745595</c:v>
                </c:pt>
                <c:pt idx="11">
                  <c:v>4.6074762822693458</c:v>
                </c:pt>
                <c:pt idx="12">
                  <c:v>6.8976730741436683</c:v>
                </c:pt>
                <c:pt idx="13">
                  <c:v>7.8012506337671113</c:v>
                </c:pt>
                <c:pt idx="14">
                  <c:v>5.3083748784999756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CC9-4FC9-8430-1EC5CEEFEBBB}"/>
            </c:ext>
          </c:extLst>
        </c:ser>
        <c:ser>
          <c:idx val="3"/>
          <c:order val="3"/>
          <c:tx>
            <c:strRef>
              <c:f>'GRAF-6'!$B$6</c:f>
              <c:strCache>
                <c:ptCount val="1"/>
                <c:pt idx="0">
                  <c:v>Těžba a dobývání (B)</c:v>
                </c:pt>
              </c:strCache>
            </c:strRef>
          </c:tx>
          <c:spPr>
            <a:ln w="12700" cap="rnd">
              <a:noFill/>
              <a:prstDash val="sysDot"/>
              <a:round/>
            </a:ln>
            <a:effectLst/>
          </c:spPr>
          <c:marker>
            <c:symbol val="circle"/>
            <c:size val="5"/>
            <c:spPr>
              <a:solidFill>
                <a:schemeClr val="tx1">
                  <a:lumMod val="50000"/>
                  <a:lumOff val="50000"/>
                </a:schemeClr>
              </a:solidFill>
              <a:ln w="9525">
                <a:noFill/>
              </a:ln>
              <a:effectLst/>
            </c:spPr>
          </c:marker>
          <c:cat>
            <c:numRef>
              <c:f>'GRAF-6'!$C$2:$Q$2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'GRAF-6'!$C$6:$Q$6</c:f>
              <c:numCache>
                <c:formatCode>0.0</c:formatCode>
                <c:ptCount val="15"/>
                <c:pt idx="0">
                  <c:v>7.3714610358867532</c:v>
                </c:pt>
                <c:pt idx="1">
                  <c:v>6.0320119934741427</c:v>
                </c:pt>
                <c:pt idx="2">
                  <c:v>6.9322576620784275</c:v>
                </c:pt>
                <c:pt idx="3">
                  <c:v>13.832931477016402</c:v>
                </c:pt>
                <c:pt idx="4">
                  <c:v>-3.2762802774076789</c:v>
                </c:pt>
                <c:pt idx="5">
                  <c:v>6.9157954224357212</c:v>
                </c:pt>
                <c:pt idx="6">
                  <c:v>4.1658407664354229</c:v>
                </c:pt>
                <c:pt idx="7">
                  <c:v>3.1651390694871679</c:v>
                </c:pt>
                <c:pt idx="8">
                  <c:v>-3.3416336192320699</c:v>
                </c:pt>
                <c:pt idx="9">
                  <c:v>-0.45480567393931892</c:v>
                </c:pt>
                <c:pt idx="10">
                  <c:v>1.6006901178951409</c:v>
                </c:pt>
                <c:pt idx="11">
                  <c:v>-0.62264150943396146</c:v>
                </c:pt>
                <c:pt idx="12">
                  <c:v>5.9521549269033471</c:v>
                </c:pt>
                <c:pt idx="13">
                  <c:v>7.6008720843413045</c:v>
                </c:pt>
                <c:pt idx="14">
                  <c:v>3.2641279005218138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CC9-4FC9-8430-1EC5CEEFEBBB}"/>
            </c:ext>
          </c:extLst>
        </c:ser>
        <c:ser>
          <c:idx val="4"/>
          <c:order val="4"/>
          <c:tx>
            <c:strRef>
              <c:f>'GRAF-6'!$B$7</c:f>
              <c:strCache>
                <c:ptCount val="1"/>
                <c:pt idx="0">
                  <c:v>Energetika (D)</c:v>
                </c:pt>
              </c:strCache>
            </c:strRef>
          </c:tx>
          <c:spPr>
            <a:ln w="6350" cap="rnd">
              <a:noFill/>
              <a:prstDash val="dashDot"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663300"/>
                </a:solidFill>
              </a:ln>
              <a:effectLst/>
            </c:spPr>
          </c:marker>
          <c:cat>
            <c:numRef>
              <c:f>'GRAF-6'!$C$2:$Q$2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'GRAF-6'!$C$7:$Q$7</c:f>
              <c:numCache>
                <c:formatCode>0.0</c:formatCode>
                <c:ptCount val="15"/>
                <c:pt idx="0">
                  <c:v>7.5591506572295231</c:v>
                </c:pt>
                <c:pt idx="1">
                  <c:v>9.7202376475896983</c:v>
                </c:pt>
                <c:pt idx="2">
                  <c:v>6.7788478015010867</c:v>
                </c:pt>
                <c:pt idx="3">
                  <c:v>13.682318580094361</c:v>
                </c:pt>
                <c:pt idx="4">
                  <c:v>11.338226990400898</c:v>
                </c:pt>
                <c:pt idx="5">
                  <c:v>2.1883558170199677</c:v>
                </c:pt>
                <c:pt idx="6">
                  <c:v>-0.23821931065286606</c:v>
                </c:pt>
                <c:pt idx="7">
                  <c:v>6.1164589707235706</c:v>
                </c:pt>
                <c:pt idx="8">
                  <c:v>-4.4489241010735583</c:v>
                </c:pt>
                <c:pt idx="9">
                  <c:v>0.82425669708565863</c:v>
                </c:pt>
                <c:pt idx="10">
                  <c:v>-1.5839416058394136</c:v>
                </c:pt>
                <c:pt idx="11">
                  <c:v>2.4302207718361473</c:v>
                </c:pt>
                <c:pt idx="12">
                  <c:v>5.2206024329020977</c:v>
                </c:pt>
                <c:pt idx="13">
                  <c:v>6.3768780823488953</c:v>
                </c:pt>
                <c:pt idx="14">
                  <c:v>6.2814016172506797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CC9-4FC9-8430-1EC5CEEFEBBB}"/>
            </c:ext>
          </c:extLst>
        </c:ser>
        <c:ser>
          <c:idx val="5"/>
          <c:order val="5"/>
          <c:tx>
            <c:strRef>
              <c:f>'GRAF-6'!$B$8</c:f>
              <c:strCache>
                <c:ptCount val="1"/>
                <c:pt idx="0">
                  <c:v>Vodní hospodářství (E)</c:v>
                </c:pt>
              </c:strCache>
            </c:strRef>
          </c:tx>
          <c:spPr>
            <a:ln w="12700" cap="rnd">
              <a:noFill/>
              <a:prstDash val="sysDot"/>
              <a:round/>
            </a:ln>
            <a:effectLst/>
          </c:spPr>
          <c:marker>
            <c:symbol val="diamond"/>
            <c:size val="5"/>
            <c:spPr>
              <a:solidFill>
                <a:srgbClr val="00B0F0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numRef>
              <c:f>'GRAF-6'!$C$2:$Q$2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'GRAF-6'!$C$8:$Q$8</c:f>
              <c:numCache>
                <c:formatCode>0.0</c:formatCode>
                <c:ptCount val="15"/>
                <c:pt idx="0">
                  <c:v>5.5320417287630477</c:v>
                </c:pt>
                <c:pt idx="1">
                  <c:v>5.9086030616279714</c:v>
                </c:pt>
                <c:pt idx="2">
                  <c:v>5.3389514107418989</c:v>
                </c:pt>
                <c:pt idx="3">
                  <c:v>8.6632911392405134</c:v>
                </c:pt>
                <c:pt idx="4">
                  <c:v>2.7398536880853612</c:v>
                </c:pt>
                <c:pt idx="5">
                  <c:v>4.5807066080094501</c:v>
                </c:pt>
                <c:pt idx="6">
                  <c:v>0.46402706101737579</c:v>
                </c:pt>
                <c:pt idx="7">
                  <c:v>2.4087024087024105</c:v>
                </c:pt>
                <c:pt idx="8">
                  <c:v>-0.42994436014163284</c:v>
                </c:pt>
                <c:pt idx="9">
                  <c:v>2.6585386504106339</c:v>
                </c:pt>
                <c:pt idx="10">
                  <c:v>2.1360824742268107</c:v>
                </c:pt>
                <c:pt idx="11">
                  <c:v>2.5274547803617651</c:v>
                </c:pt>
                <c:pt idx="12">
                  <c:v>6.0919902339135206</c:v>
                </c:pt>
                <c:pt idx="13">
                  <c:v>6.662707397646713</c:v>
                </c:pt>
                <c:pt idx="14">
                  <c:v>6.7963530066815139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7CC9-4FC9-8430-1EC5CEEFEB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0"/>
        <c:noMultiLvlLbl val="0"/>
      </c:catAx>
      <c:valAx>
        <c:axId val="281211184"/>
        <c:scaling>
          <c:orientation val="minMax"/>
          <c:max val="14"/>
          <c:min val="-6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Meziroční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změna (v %)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2"/>
      </c:val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6.7897274908540986E-2"/>
          <c:y val="0.87124813609206508"/>
          <c:w val="0.91734546128297334"/>
          <c:h val="0.10811553950182529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030634019204511E-2"/>
          <c:y val="1.6893986268518412E-2"/>
          <c:w val="0.90949691631435725"/>
          <c:h val="0.768531217413934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'GRAF-7'!$U$4</c:f>
              <c:strCache>
                <c:ptCount val="1"/>
                <c:pt idx="0">
                  <c:v>2005</c:v>
                </c:pt>
              </c:strCache>
            </c:strRef>
          </c:tx>
          <c:spPr>
            <a:solidFill>
              <a:srgbClr val="EA6B14"/>
            </a:solidFill>
            <a:ln>
              <a:noFill/>
            </a:ln>
            <a:effectLst/>
          </c:spPr>
          <c:invertIfNegative val="0"/>
          <c:cat>
            <c:strRef>
              <c:f>'GRAF-7'!$T$5:$T$31</c:f>
              <c:strCache>
                <c:ptCount val="27"/>
                <c:pt idx="0">
                  <c:v>Energetika</c:v>
                </c:pt>
                <c:pt idx="1">
                  <c:v>Výroba motor. voz.</c:v>
                </c:pt>
                <c:pt idx="2">
                  <c:v>Farmacie</c:v>
                </c:pt>
                <c:pt idx="3">
                  <c:v>Chemický pr.</c:v>
                </c:pt>
                <c:pt idx="4">
                  <c:v>Opravy, instal.strojů</c:v>
                </c:pt>
                <c:pt idx="5">
                  <c:v>Ost. dopravní pr.</c:v>
                </c:pt>
                <c:pt idx="6">
                  <c:v>Těžební pr.</c:v>
                </c:pt>
                <c:pt idx="7">
                  <c:v>Výroba nápojů</c:v>
                </c:pt>
                <c:pt idx="8">
                  <c:v>Vodní hospodářství</c:v>
                </c:pt>
                <c:pt idx="9">
                  <c:v>PC, elektr.,optic. př.</c:v>
                </c:pt>
                <c:pt idx="10">
                  <c:v>Strojírenský pr.</c:v>
                </c:pt>
                <c:pt idx="11">
                  <c:v>Staveb. materiály</c:v>
                </c:pt>
                <c:pt idx="12">
                  <c:v>Hutnictví, slévár.</c:v>
                </c:pt>
                <c:pt idx="13">
                  <c:v>Výroba elektric. zař.</c:v>
                </c:pt>
                <c:pt idx="14">
                  <c:v>Papírenský pr.</c:v>
                </c:pt>
                <c:pt idx="15">
                  <c:v>Gumáren., plastikář.</c:v>
                </c:pt>
                <c:pt idx="16">
                  <c:v>Kovodělný pr.</c:v>
                </c:pt>
                <c:pt idx="17">
                  <c:v>Ostatní zprac. pr.</c:v>
                </c:pt>
                <c:pt idx="18">
                  <c:v>Odpad. hospod.</c:v>
                </c:pt>
                <c:pt idx="19">
                  <c:v>Tiskařský pr.</c:v>
                </c:pt>
                <c:pt idx="20">
                  <c:v>Potravinářský pr.</c:v>
                </c:pt>
                <c:pt idx="21">
                  <c:v>Textilní pr.</c:v>
                </c:pt>
                <c:pt idx="22">
                  <c:v>Nábytkářský pr.</c:v>
                </c:pt>
                <c:pt idx="23">
                  <c:v>Dřevozprac. pr.</c:v>
                </c:pt>
                <c:pt idx="24">
                  <c:v>Kožedělný pr.</c:v>
                </c:pt>
                <c:pt idx="25">
                  <c:v>Oděvní pr.</c:v>
                </c:pt>
                <c:pt idx="26">
                  <c:v>Průmysl celkem</c:v>
                </c:pt>
              </c:strCache>
            </c:strRef>
          </c:cat>
          <c:val>
            <c:numRef>
              <c:f>'GRAF-7'!$U$5:$U$31</c:f>
              <c:numCache>
                <c:formatCode>#\ ##0.00__</c:formatCode>
                <c:ptCount val="27"/>
                <c:pt idx="0">
                  <c:v>26.250790649999999</c:v>
                </c:pt>
                <c:pt idx="1">
                  <c:v>20.028007049999999</c:v>
                </c:pt>
                <c:pt idx="2">
                  <c:v>23.415818524999999</c:v>
                </c:pt>
                <c:pt idx="3">
                  <c:v>20.470598750000001</c:v>
                </c:pt>
                <c:pt idx="5">
                  <c:v>19.84510105</c:v>
                </c:pt>
                <c:pt idx="6">
                  <c:v>22.63646125</c:v>
                </c:pt>
                <c:pt idx="7">
                  <c:v>21.986825624999998</c:v>
                </c:pt>
                <c:pt idx="8">
                  <c:v>19.190814683168963</c:v>
                </c:pt>
                <c:pt idx="9">
                  <c:v>18.7569458</c:v>
                </c:pt>
                <c:pt idx="10">
                  <c:v>18.463602574999996</c:v>
                </c:pt>
                <c:pt idx="11">
                  <c:v>18.333730749999997</c:v>
                </c:pt>
                <c:pt idx="12">
                  <c:v>20.005858374999999</c:v>
                </c:pt>
                <c:pt idx="13">
                  <c:v>16.210241175</c:v>
                </c:pt>
                <c:pt idx="14">
                  <c:v>17.786933375</c:v>
                </c:pt>
                <c:pt idx="15">
                  <c:v>17.309475374999998</c:v>
                </c:pt>
                <c:pt idx="16">
                  <c:v>16.737432400000003</c:v>
                </c:pt>
                <c:pt idx="17">
                  <c:v>13.88401275</c:v>
                </c:pt>
                <c:pt idx="18">
                  <c:v>16.109864700948894</c:v>
                </c:pt>
                <c:pt idx="19">
                  <c:v>16.659095499999999</c:v>
                </c:pt>
                <c:pt idx="20">
                  <c:v>14.48610585</c:v>
                </c:pt>
                <c:pt idx="21">
                  <c:v>12.911327925</c:v>
                </c:pt>
                <c:pt idx="22">
                  <c:v>13.423411649999998</c:v>
                </c:pt>
                <c:pt idx="23">
                  <c:v>12.9517855</c:v>
                </c:pt>
                <c:pt idx="24">
                  <c:v>11.376290575000001</c:v>
                </c:pt>
                <c:pt idx="25">
                  <c:v>10.120844325</c:v>
                </c:pt>
                <c:pt idx="26">
                  <c:v>17.627130501813738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CD-4610-A323-447AEADE4403}"/>
            </c:ext>
          </c:extLst>
        </c:ser>
        <c:ser>
          <c:idx val="1"/>
          <c:order val="1"/>
          <c:tx>
            <c:strRef>
              <c:f>'GRAF-7'!$V$4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F4AD7C"/>
            </a:solidFill>
            <a:ln>
              <a:noFill/>
            </a:ln>
            <a:effectLst/>
          </c:spPr>
          <c:invertIfNegative val="0"/>
          <c:cat>
            <c:strRef>
              <c:f>'GRAF-7'!$T$5:$T$31</c:f>
              <c:strCache>
                <c:ptCount val="27"/>
                <c:pt idx="0">
                  <c:v>Energetika</c:v>
                </c:pt>
                <c:pt idx="1">
                  <c:v>Výroba motor. voz.</c:v>
                </c:pt>
                <c:pt idx="2">
                  <c:v>Farmacie</c:v>
                </c:pt>
                <c:pt idx="3">
                  <c:v>Chemický pr.</c:v>
                </c:pt>
                <c:pt idx="4">
                  <c:v>Opravy, instal.strojů</c:v>
                </c:pt>
                <c:pt idx="5">
                  <c:v>Ost. dopravní pr.</c:v>
                </c:pt>
                <c:pt idx="6">
                  <c:v>Těžební pr.</c:v>
                </c:pt>
                <c:pt idx="7">
                  <c:v>Výroba nápojů</c:v>
                </c:pt>
                <c:pt idx="8">
                  <c:v>Vodní hospodářství</c:v>
                </c:pt>
                <c:pt idx="9">
                  <c:v>PC, elektr.,optic. př.</c:v>
                </c:pt>
                <c:pt idx="10">
                  <c:v>Strojírenský pr.</c:v>
                </c:pt>
                <c:pt idx="11">
                  <c:v>Staveb. materiály</c:v>
                </c:pt>
                <c:pt idx="12">
                  <c:v>Hutnictví, slévár.</c:v>
                </c:pt>
                <c:pt idx="13">
                  <c:v>Výroba elektric. zař.</c:v>
                </c:pt>
                <c:pt idx="14">
                  <c:v>Papírenský pr.</c:v>
                </c:pt>
                <c:pt idx="15">
                  <c:v>Gumáren., plastikář.</c:v>
                </c:pt>
                <c:pt idx="16">
                  <c:v>Kovodělný pr.</c:v>
                </c:pt>
                <c:pt idx="17">
                  <c:v>Ostatní zprac. pr.</c:v>
                </c:pt>
                <c:pt idx="18">
                  <c:v>Odpad. hospod.</c:v>
                </c:pt>
                <c:pt idx="19">
                  <c:v>Tiskařský pr.</c:v>
                </c:pt>
                <c:pt idx="20">
                  <c:v>Potravinářský pr.</c:v>
                </c:pt>
                <c:pt idx="21">
                  <c:v>Textilní pr.</c:v>
                </c:pt>
                <c:pt idx="22">
                  <c:v>Nábytkářský pr.</c:v>
                </c:pt>
                <c:pt idx="23">
                  <c:v>Dřevozprac. pr.</c:v>
                </c:pt>
                <c:pt idx="24">
                  <c:v>Kožedělný pr.</c:v>
                </c:pt>
                <c:pt idx="25">
                  <c:v>Oděvní pr.</c:v>
                </c:pt>
                <c:pt idx="26">
                  <c:v>Průmysl celkem</c:v>
                </c:pt>
              </c:strCache>
            </c:strRef>
          </c:cat>
          <c:val>
            <c:numRef>
              <c:f>'GRAF-7'!$V$5:$V$31</c:f>
              <c:numCache>
                <c:formatCode>#\ ##0.00__</c:formatCode>
                <c:ptCount val="27"/>
                <c:pt idx="0">
                  <c:v>15.856484424999998</c:v>
                </c:pt>
                <c:pt idx="1">
                  <c:v>8.3337218000000028</c:v>
                </c:pt>
                <c:pt idx="2">
                  <c:v>6.7241978499999995</c:v>
                </c:pt>
                <c:pt idx="3">
                  <c:v>7.6691419249999981</c:v>
                </c:pt>
                <c:pt idx="5">
                  <c:v>7.3907852250000019</c:v>
                </c:pt>
                <c:pt idx="6">
                  <c:v>9.8502417749999971</c:v>
                </c:pt>
                <c:pt idx="7">
                  <c:v>7.2128960749999997</c:v>
                </c:pt>
                <c:pt idx="8">
                  <c:v>7.7730463668310392</c:v>
                </c:pt>
                <c:pt idx="9">
                  <c:v>6.8479376500000022</c:v>
                </c:pt>
                <c:pt idx="10">
                  <c:v>7.540254400000002</c:v>
                </c:pt>
                <c:pt idx="11">
                  <c:v>7.2269701499999996</c:v>
                </c:pt>
                <c:pt idx="12">
                  <c:v>6.8878505499999996</c:v>
                </c:pt>
                <c:pt idx="13">
                  <c:v>8.7942742749999994</c:v>
                </c:pt>
                <c:pt idx="14">
                  <c:v>6.0543164499999982</c:v>
                </c:pt>
                <c:pt idx="15">
                  <c:v>5.6066756250000012</c:v>
                </c:pt>
                <c:pt idx="16">
                  <c:v>6.1371182749999988</c:v>
                </c:pt>
                <c:pt idx="17">
                  <c:v>6.45950925</c:v>
                </c:pt>
                <c:pt idx="18">
                  <c:v>5.2412504490511083</c:v>
                </c:pt>
                <c:pt idx="19">
                  <c:v>5.3075387250000006</c:v>
                </c:pt>
                <c:pt idx="20">
                  <c:v>4.6651444250000029</c:v>
                </c:pt>
                <c:pt idx="21">
                  <c:v>5.9331292999999992</c:v>
                </c:pt>
                <c:pt idx="22">
                  <c:v>4.2009088749999997</c:v>
                </c:pt>
                <c:pt idx="23">
                  <c:v>3.9321193249999986</c:v>
                </c:pt>
                <c:pt idx="24">
                  <c:v>3.5651809750000005</c:v>
                </c:pt>
                <c:pt idx="25">
                  <c:v>2.321709349999999</c:v>
                </c:pt>
                <c:pt idx="26">
                  <c:v>7.2624385481862639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CD-4610-A323-447AEADE4403}"/>
            </c:ext>
          </c:extLst>
        </c:ser>
        <c:ser>
          <c:idx val="2"/>
          <c:order val="2"/>
          <c:tx>
            <c:strRef>
              <c:f>'GRAF-7'!$W$4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9D3B9"/>
            </a:solidFill>
            <a:ln>
              <a:noFill/>
            </a:ln>
            <a:effectLst/>
          </c:spPr>
          <c:invertIfNegative val="0"/>
          <c:cat>
            <c:strRef>
              <c:f>'GRAF-7'!$T$5:$T$31</c:f>
              <c:strCache>
                <c:ptCount val="27"/>
                <c:pt idx="0">
                  <c:v>Energetika</c:v>
                </c:pt>
                <c:pt idx="1">
                  <c:v>Výroba motor. voz.</c:v>
                </c:pt>
                <c:pt idx="2">
                  <c:v>Farmacie</c:v>
                </c:pt>
                <c:pt idx="3">
                  <c:v>Chemický pr.</c:v>
                </c:pt>
                <c:pt idx="4">
                  <c:v>Opravy, instal.strojů</c:v>
                </c:pt>
                <c:pt idx="5">
                  <c:v>Ost. dopravní pr.</c:v>
                </c:pt>
                <c:pt idx="6">
                  <c:v>Těžební pr.</c:v>
                </c:pt>
                <c:pt idx="7">
                  <c:v>Výroba nápojů</c:v>
                </c:pt>
                <c:pt idx="8">
                  <c:v>Vodní hospodářství</c:v>
                </c:pt>
                <c:pt idx="9">
                  <c:v>PC, elektr.,optic. př.</c:v>
                </c:pt>
                <c:pt idx="10">
                  <c:v>Strojírenský pr.</c:v>
                </c:pt>
                <c:pt idx="11">
                  <c:v>Staveb. materiály</c:v>
                </c:pt>
                <c:pt idx="12">
                  <c:v>Hutnictví, slévár.</c:v>
                </c:pt>
                <c:pt idx="13">
                  <c:v>Výroba elektric. zař.</c:v>
                </c:pt>
                <c:pt idx="14">
                  <c:v>Papírenský pr.</c:v>
                </c:pt>
                <c:pt idx="15">
                  <c:v>Gumáren., plastikář.</c:v>
                </c:pt>
                <c:pt idx="16">
                  <c:v>Kovodělný pr.</c:v>
                </c:pt>
                <c:pt idx="17">
                  <c:v>Ostatní zprac. pr.</c:v>
                </c:pt>
                <c:pt idx="18">
                  <c:v>Odpad. hospod.</c:v>
                </c:pt>
                <c:pt idx="19">
                  <c:v>Tiskařský pr.</c:v>
                </c:pt>
                <c:pt idx="20">
                  <c:v>Potravinářský pr.</c:v>
                </c:pt>
                <c:pt idx="21">
                  <c:v>Textilní pr.</c:v>
                </c:pt>
                <c:pt idx="22">
                  <c:v>Nábytkářský pr.</c:v>
                </c:pt>
                <c:pt idx="23">
                  <c:v>Dřevozprac. pr.</c:v>
                </c:pt>
                <c:pt idx="24">
                  <c:v>Kožedělný pr.</c:v>
                </c:pt>
                <c:pt idx="25">
                  <c:v>Oděvní pr.</c:v>
                </c:pt>
                <c:pt idx="26">
                  <c:v>Průmysl celkem</c:v>
                </c:pt>
              </c:strCache>
            </c:strRef>
          </c:cat>
          <c:val>
            <c:numRef>
              <c:f>'GRAF-7'!$W$5:$W$31</c:f>
              <c:numCache>
                <c:formatCode>#\ ##0.00__</c:formatCode>
                <c:ptCount val="27"/>
                <c:pt idx="0">
                  <c:v>6.8927379174249097</c:v>
                </c:pt>
                <c:pt idx="1">
                  <c:v>11.548213269059357</c:v>
                </c:pt>
                <c:pt idx="2">
                  <c:v>8.11338963538741</c:v>
                </c:pt>
                <c:pt idx="3">
                  <c:v>9.4608301243692452</c:v>
                </c:pt>
                <c:pt idx="4">
                  <c:v>37.360918098589401</c:v>
                </c:pt>
                <c:pt idx="5">
                  <c:v>9.9697116629701164</c:v>
                </c:pt>
                <c:pt idx="6">
                  <c:v>4.6376810373383464</c:v>
                </c:pt>
                <c:pt idx="7">
                  <c:v>7.8674691400103072</c:v>
                </c:pt>
                <c:pt idx="8">
                  <c:v>8.1271875545484313</c:v>
                </c:pt>
                <c:pt idx="9">
                  <c:v>9.237242842204644</c:v>
                </c:pt>
                <c:pt idx="10">
                  <c:v>8.7898338255013826</c:v>
                </c:pt>
                <c:pt idx="11">
                  <c:v>8.9696051251935067</c:v>
                </c:pt>
                <c:pt idx="12">
                  <c:v>7.5912219284627653</c:v>
                </c:pt>
                <c:pt idx="13">
                  <c:v>9.1012253101693261</c:v>
                </c:pt>
                <c:pt idx="14">
                  <c:v>8.4023111796777812</c:v>
                </c:pt>
                <c:pt idx="15">
                  <c:v>9.2400668406930535</c:v>
                </c:pt>
                <c:pt idx="16">
                  <c:v>7.8900486393941378</c:v>
                </c:pt>
                <c:pt idx="17">
                  <c:v>8.5976170281021957</c:v>
                </c:pt>
                <c:pt idx="18">
                  <c:v>6.536442101107486</c:v>
                </c:pt>
                <c:pt idx="19">
                  <c:v>5.3223410769517017</c:v>
                </c:pt>
                <c:pt idx="20">
                  <c:v>7.4738673979141446</c:v>
                </c:pt>
                <c:pt idx="21">
                  <c:v>7.462269388712425</c:v>
                </c:pt>
                <c:pt idx="22">
                  <c:v>7.836081371860228</c:v>
                </c:pt>
                <c:pt idx="23">
                  <c:v>8.1521252271200844</c:v>
                </c:pt>
                <c:pt idx="24">
                  <c:v>6.906658412010577</c:v>
                </c:pt>
                <c:pt idx="25">
                  <c:v>5.9022245203215213</c:v>
                </c:pt>
                <c:pt idx="26">
                  <c:v>8.7736719586167133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DCD-4610-A323-447AEADE4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9"/>
        <c:overlap val="100"/>
        <c:axId val="211167600"/>
        <c:axId val="281211184"/>
      </c:barChart>
      <c:lineChart>
        <c:grouping val="standard"/>
        <c:varyColors val="0"/>
        <c:ser>
          <c:idx val="3"/>
          <c:order val="3"/>
          <c:tx>
            <c:strRef>
              <c:f>'GRAF-7'!$X$4</c:f>
              <c:strCache>
                <c:ptCount val="1"/>
                <c:pt idx="0">
                  <c:v>2019/2012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chemeClr val="bg1"/>
              </a:solidFill>
              <a:ln w="6350">
                <a:solidFill>
                  <a:schemeClr val="tx1">
                    <a:lumMod val="85000"/>
                    <a:lumOff val="15000"/>
                  </a:schemeClr>
                </a:solidFill>
              </a:ln>
              <a:effectLst/>
            </c:spPr>
          </c:marker>
          <c:cat>
            <c:strRef>
              <c:f>'GRAF-7'!$T$5:$T$31</c:f>
              <c:strCache>
                <c:ptCount val="27"/>
                <c:pt idx="0">
                  <c:v>Energetika</c:v>
                </c:pt>
                <c:pt idx="1">
                  <c:v>Výroba motor. voz.</c:v>
                </c:pt>
                <c:pt idx="2">
                  <c:v>Farmacie</c:v>
                </c:pt>
                <c:pt idx="3">
                  <c:v>Chemický pr.</c:v>
                </c:pt>
                <c:pt idx="4">
                  <c:v>Opravy, instal.strojů</c:v>
                </c:pt>
                <c:pt idx="5">
                  <c:v>Ost. dopravní pr.</c:v>
                </c:pt>
                <c:pt idx="6">
                  <c:v>Těžební pr.</c:v>
                </c:pt>
                <c:pt idx="7">
                  <c:v>Výroba nápojů</c:v>
                </c:pt>
                <c:pt idx="8">
                  <c:v>Vodní hospodářství</c:v>
                </c:pt>
                <c:pt idx="9">
                  <c:v>PC, elektr.,optic. př.</c:v>
                </c:pt>
                <c:pt idx="10">
                  <c:v>Strojírenský pr.</c:v>
                </c:pt>
                <c:pt idx="11">
                  <c:v>Staveb. materiály</c:v>
                </c:pt>
                <c:pt idx="12">
                  <c:v>Hutnictví, slévár.</c:v>
                </c:pt>
                <c:pt idx="13">
                  <c:v>Výroba elektric. zař.</c:v>
                </c:pt>
                <c:pt idx="14">
                  <c:v>Papírenský pr.</c:v>
                </c:pt>
                <c:pt idx="15">
                  <c:v>Gumáren., plastikář.</c:v>
                </c:pt>
                <c:pt idx="16">
                  <c:v>Kovodělný pr.</c:v>
                </c:pt>
                <c:pt idx="17">
                  <c:v>Ostatní zprac. pr.</c:v>
                </c:pt>
                <c:pt idx="18">
                  <c:v>Odpad. hospod.</c:v>
                </c:pt>
                <c:pt idx="19">
                  <c:v>Tiskařský pr.</c:v>
                </c:pt>
                <c:pt idx="20">
                  <c:v>Potravinářský pr.</c:v>
                </c:pt>
                <c:pt idx="21">
                  <c:v>Textilní pr.</c:v>
                </c:pt>
                <c:pt idx="22">
                  <c:v>Nábytkářský pr.</c:v>
                </c:pt>
                <c:pt idx="23">
                  <c:v>Dřevozprac. pr.</c:v>
                </c:pt>
                <c:pt idx="24">
                  <c:v>Kožedělný pr.</c:v>
                </c:pt>
                <c:pt idx="25">
                  <c:v>Oděvní pr.</c:v>
                </c:pt>
                <c:pt idx="26">
                  <c:v>Průmysl celkem</c:v>
                </c:pt>
              </c:strCache>
            </c:strRef>
          </c:cat>
          <c:val>
            <c:numRef>
              <c:f>'GRAF-7'!$X$5:$X$31</c:f>
              <c:numCache>
                <c:formatCode>0</c:formatCode>
                <c:ptCount val="27"/>
                <c:pt idx="0">
                  <c:v>16.369470370969879</c:v>
                </c:pt>
                <c:pt idx="1">
                  <c:v>40.717592817193008</c:v>
                </c:pt>
                <c:pt idx="2">
                  <c:v>26.918995445925376</c:v>
                </c:pt>
                <c:pt idx="3">
                  <c:v>33.620885969196109</c:v>
                </c:pt>
                <c:pt idx="5">
                  <c:v>36.605056880860076</c:v>
                </c:pt>
                <c:pt idx="6">
                  <c:v>14.275628504897654</c:v>
                </c:pt>
                <c:pt idx="7">
                  <c:v>26.943644260863991</c:v>
                </c:pt>
                <c:pt idx="8">
                  <c:v>30.141037811602388</c:v>
                </c:pt>
                <c:pt idx="9">
                  <c:v>36.076097984365731</c:v>
                </c:pt>
                <c:pt idx="10">
                  <c:v>33.802038805058373</c:v>
                </c:pt>
                <c:pt idx="11">
                  <c:v>35.091389552598343</c:v>
                </c:pt>
                <c:pt idx="12">
                  <c:v>28.22675723022374</c:v>
                </c:pt>
                <c:pt idx="13">
                  <c:v>36.398327047642596</c:v>
                </c:pt>
                <c:pt idx="14">
                  <c:v>35.242746254297032</c:v>
                </c:pt>
                <c:pt idx="15">
                  <c:v>40.321198968766851</c:v>
                </c:pt>
                <c:pt idx="16">
                  <c:v>34.492693436891471</c:v>
                </c:pt>
                <c:pt idx="17">
                  <c:v>42.26218561418321</c:v>
                </c:pt>
                <c:pt idx="18">
                  <c:v>30.614054840632008</c:v>
                </c:pt>
                <c:pt idx="19">
                  <c:v>24.229206087905823</c:v>
                </c:pt>
                <c:pt idx="20">
                  <c:v>39.025480272013965</c:v>
                </c:pt>
                <c:pt idx="21">
                  <c:v>39.599280040884423</c:v>
                </c:pt>
                <c:pt idx="22">
                  <c:v>44.46175023170278</c:v>
                </c:pt>
                <c:pt idx="23">
                  <c:v>48.283411400479082</c:v>
                </c:pt>
                <c:pt idx="24">
                  <c:v>46.224753625492639</c:v>
                </c:pt>
                <c:pt idx="25">
                  <c:v>47.435797140103716</c:v>
                </c:pt>
                <c:pt idx="26">
                  <c:v>35.250397228620187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DCD-4610-A323-447AEADE4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0"/>
        <c:noMultiLvlLbl val="0"/>
      </c:catAx>
      <c:valAx>
        <c:axId val="281211184"/>
        <c:scaling>
          <c:orientation val="minMax"/>
          <c:max val="5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5"/>
      </c:val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53930326490412173"/>
          <c:y val="0.96157471949557138"/>
          <c:w val="0.43488839000214896"/>
          <c:h val="3.3450015394171174E-2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869494306033927E-2"/>
          <c:y val="1.9655308638079141E-2"/>
          <c:w val="0.8409595794557313"/>
          <c:h val="0.726934201679721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'GRAF-10'!$B$4</c:f>
              <c:strCache>
                <c:ptCount val="1"/>
                <c:pt idx="0">
                  <c:v>Průmysl (mzda v tis. korun, rok 2018)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9FC-4644-9B67-CC41DAC2936E}"/>
              </c:ext>
            </c:extLst>
          </c:dPt>
          <c:cat>
            <c:strRef>
              <c:f>'GRAF-10'!$A$5:$A$19</c:f>
              <c:strCache>
                <c:ptCount val="15"/>
                <c:pt idx="0">
                  <c:v>Praha</c:v>
                </c:pt>
                <c:pt idx="1">
                  <c:v>Středočeský</c:v>
                </c:pt>
                <c:pt idx="2">
                  <c:v>Plzeňský</c:v>
                </c:pt>
                <c:pt idx="3">
                  <c:v>Ústecký</c:v>
                </c:pt>
                <c:pt idx="4">
                  <c:v>Liberecký</c:v>
                </c:pt>
                <c:pt idx="5">
                  <c:v>Královéhrad.</c:v>
                </c:pt>
                <c:pt idx="6">
                  <c:v>Moravskosl.</c:v>
                </c:pt>
                <c:pt idx="7">
                  <c:v>Vysočina</c:v>
                </c:pt>
                <c:pt idx="8">
                  <c:v>Jihomoravský</c:v>
                </c:pt>
                <c:pt idx="9">
                  <c:v>Jihočeský</c:v>
                </c:pt>
                <c:pt idx="10">
                  <c:v>Pardubický</c:v>
                </c:pt>
                <c:pt idx="11">
                  <c:v>Zlínský</c:v>
                </c:pt>
                <c:pt idx="12">
                  <c:v>Olomoucký</c:v>
                </c:pt>
                <c:pt idx="13">
                  <c:v>Karlovarský</c:v>
                </c:pt>
                <c:pt idx="14">
                  <c:v>ČR celkem</c:v>
                </c:pt>
              </c:strCache>
            </c:strRef>
          </c:cat>
          <c:val>
            <c:numRef>
              <c:f>'GRAF-10'!$B$5:$B$19</c:f>
              <c:numCache>
                <c:formatCode>#\ ##0.0</c:formatCode>
                <c:ptCount val="15"/>
                <c:pt idx="0">
                  <c:v>39.357999999999997</c:v>
                </c:pt>
                <c:pt idx="1">
                  <c:v>37.792999999999999</c:v>
                </c:pt>
                <c:pt idx="2">
                  <c:v>33.137999999999998</c:v>
                </c:pt>
                <c:pt idx="3">
                  <c:v>32.085000000000001</c:v>
                </c:pt>
                <c:pt idx="4">
                  <c:v>31.847000000000001</c:v>
                </c:pt>
                <c:pt idx="5">
                  <c:v>31.484999999999999</c:v>
                </c:pt>
                <c:pt idx="6">
                  <c:v>31.343</c:v>
                </c:pt>
                <c:pt idx="7">
                  <c:v>30.783999999999999</c:v>
                </c:pt>
                <c:pt idx="8">
                  <c:v>30.588000000000001</c:v>
                </c:pt>
                <c:pt idx="9">
                  <c:v>30.068999999999999</c:v>
                </c:pt>
                <c:pt idx="10">
                  <c:v>30.047000000000001</c:v>
                </c:pt>
                <c:pt idx="11">
                  <c:v>29.855</c:v>
                </c:pt>
                <c:pt idx="12">
                  <c:v>29.273</c:v>
                </c:pt>
                <c:pt idx="13">
                  <c:v>28.928999999999998</c:v>
                </c:pt>
                <c:pt idx="14">
                  <c:v>32.259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FC-4644-9B67-CC41DAC2936E}"/>
            </c:ext>
          </c:extLst>
        </c:ser>
        <c:ser>
          <c:idx val="1"/>
          <c:order val="1"/>
          <c:tx>
            <c:strRef>
              <c:f>'GRAF-10'!$C$4</c:f>
              <c:strCache>
                <c:ptCount val="1"/>
                <c:pt idx="0">
                  <c:v>Všechna odvětví (mzda v tis. korun, rok 2018)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'GRAF-10'!$A$5:$A$19</c:f>
              <c:strCache>
                <c:ptCount val="15"/>
                <c:pt idx="0">
                  <c:v>Praha</c:v>
                </c:pt>
                <c:pt idx="1">
                  <c:v>Středočeský</c:v>
                </c:pt>
                <c:pt idx="2">
                  <c:v>Plzeňský</c:v>
                </c:pt>
                <c:pt idx="3">
                  <c:v>Ústecký</c:v>
                </c:pt>
                <c:pt idx="4">
                  <c:v>Liberecký</c:v>
                </c:pt>
                <c:pt idx="5">
                  <c:v>Královéhrad.</c:v>
                </c:pt>
                <c:pt idx="6">
                  <c:v>Moravskosl.</c:v>
                </c:pt>
                <c:pt idx="7">
                  <c:v>Vysočina</c:v>
                </c:pt>
                <c:pt idx="8">
                  <c:v>Jihomoravský</c:v>
                </c:pt>
                <c:pt idx="9">
                  <c:v>Jihočeský</c:v>
                </c:pt>
                <c:pt idx="10">
                  <c:v>Pardubický</c:v>
                </c:pt>
                <c:pt idx="11">
                  <c:v>Zlínský</c:v>
                </c:pt>
                <c:pt idx="12">
                  <c:v>Olomoucký</c:v>
                </c:pt>
                <c:pt idx="13">
                  <c:v>Karlovarský</c:v>
                </c:pt>
                <c:pt idx="14">
                  <c:v>ČR celkem</c:v>
                </c:pt>
              </c:strCache>
            </c:strRef>
          </c:cat>
          <c:val>
            <c:numRef>
              <c:f>'GRAF-10'!$C$5:$C$19</c:f>
              <c:numCache>
                <c:formatCode>#\ ##0.0</c:formatCode>
                <c:ptCount val="15"/>
                <c:pt idx="0">
                  <c:v>40.006999999999998</c:v>
                </c:pt>
                <c:pt idx="1">
                  <c:v>32.819000000000003</c:v>
                </c:pt>
                <c:pt idx="2">
                  <c:v>31.273</c:v>
                </c:pt>
                <c:pt idx="3">
                  <c:v>29.396000000000001</c:v>
                </c:pt>
                <c:pt idx="4">
                  <c:v>29.939</c:v>
                </c:pt>
                <c:pt idx="5">
                  <c:v>29.905000000000001</c:v>
                </c:pt>
                <c:pt idx="6">
                  <c:v>29.08</c:v>
                </c:pt>
                <c:pt idx="7">
                  <c:v>29.483000000000001</c:v>
                </c:pt>
                <c:pt idx="8">
                  <c:v>30.92</c:v>
                </c:pt>
                <c:pt idx="9">
                  <c:v>28.984000000000002</c:v>
                </c:pt>
                <c:pt idx="10">
                  <c:v>28.978999999999999</c:v>
                </c:pt>
                <c:pt idx="11">
                  <c:v>28.635999999999999</c:v>
                </c:pt>
                <c:pt idx="12">
                  <c:v>28.904</c:v>
                </c:pt>
                <c:pt idx="13">
                  <c:v>28.001999999999999</c:v>
                </c:pt>
                <c:pt idx="14">
                  <c:v>32.097000000000001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9FC-4644-9B67-CC41DAC293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167600"/>
        <c:axId val="281211184"/>
      </c:barChart>
      <c:lineChart>
        <c:grouping val="standard"/>
        <c:varyColors val="0"/>
        <c:ser>
          <c:idx val="2"/>
          <c:order val="2"/>
          <c:tx>
            <c:strRef>
              <c:f>'GRAF-10'!$D$4</c:f>
              <c:strCache>
                <c:ptCount val="1"/>
                <c:pt idx="0">
                  <c:v>Index mzdy v prům. (úroveň ČR = 100, rok 2005)</c:v>
                </c:pt>
              </c:strCache>
            </c:strRef>
          </c:tx>
          <c:spPr>
            <a:ln w="19050" cap="rnd">
              <a:noFill/>
              <a:prstDash val="solid"/>
              <a:round/>
            </a:ln>
            <a:effectLst/>
          </c:spPr>
          <c:marker>
            <c:symbol val="circle"/>
            <c:size val="6"/>
            <c:spPr>
              <a:solidFill>
                <a:schemeClr val="accent6">
                  <a:lumMod val="20000"/>
                  <a:lumOff val="80000"/>
                </a:schemeClr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cat>
            <c:strRef>
              <c:f>'GRAF-10'!$A$5:$A$19</c:f>
              <c:strCache>
                <c:ptCount val="15"/>
                <c:pt idx="0">
                  <c:v>Praha</c:v>
                </c:pt>
                <c:pt idx="1">
                  <c:v>Středočeský</c:v>
                </c:pt>
                <c:pt idx="2">
                  <c:v>Plzeňský</c:v>
                </c:pt>
                <c:pt idx="3">
                  <c:v>Ústecký</c:v>
                </c:pt>
                <c:pt idx="4">
                  <c:v>Liberecký</c:v>
                </c:pt>
                <c:pt idx="5">
                  <c:v>Královéhrad.</c:v>
                </c:pt>
                <c:pt idx="6">
                  <c:v>Moravskosl.</c:v>
                </c:pt>
                <c:pt idx="7">
                  <c:v>Vysočina</c:v>
                </c:pt>
                <c:pt idx="8">
                  <c:v>Jihomoravský</c:v>
                </c:pt>
                <c:pt idx="9">
                  <c:v>Jihočeský</c:v>
                </c:pt>
                <c:pt idx="10">
                  <c:v>Pardubický</c:v>
                </c:pt>
                <c:pt idx="11">
                  <c:v>Zlínský</c:v>
                </c:pt>
                <c:pt idx="12">
                  <c:v>Olomoucký</c:v>
                </c:pt>
                <c:pt idx="13">
                  <c:v>Karlovarský</c:v>
                </c:pt>
                <c:pt idx="14">
                  <c:v>ČR celkem</c:v>
                </c:pt>
              </c:strCache>
            </c:strRef>
          </c:cat>
          <c:val>
            <c:numRef>
              <c:f>'GRAF-10'!$D$5:$D$19</c:f>
              <c:numCache>
                <c:formatCode>0.0</c:formatCode>
                <c:ptCount val="15"/>
                <c:pt idx="0">
                  <c:v>130.23295357932327</c:v>
                </c:pt>
                <c:pt idx="1">
                  <c:v>108.92705322224113</c:v>
                </c:pt>
                <c:pt idx="2">
                  <c:v>98.968429405429916</c:v>
                </c:pt>
                <c:pt idx="3">
                  <c:v>101.11659014906762</c:v>
                </c:pt>
                <c:pt idx="4">
                  <c:v>96.140112225811933</c:v>
                </c:pt>
                <c:pt idx="5">
                  <c:v>92.161197075327323</c:v>
                </c:pt>
                <c:pt idx="6">
                  <c:v>106.52950178541064</c:v>
                </c:pt>
                <c:pt idx="7">
                  <c:v>95.278580740236919</c:v>
                </c:pt>
                <c:pt idx="8">
                  <c:v>93.912599897976534</c:v>
                </c:pt>
                <c:pt idx="9">
                  <c:v>96.667233463696661</c:v>
                </c:pt>
                <c:pt idx="10">
                  <c:v>91.339341381851156</c:v>
                </c:pt>
                <c:pt idx="11">
                  <c:v>92.484271382417958</c:v>
                </c:pt>
                <c:pt idx="12">
                  <c:v>89.735305786997671</c:v>
                </c:pt>
                <c:pt idx="13">
                  <c:v>90.154735589185506</c:v>
                </c:pt>
                <c:pt idx="1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9FC-4644-9B67-CC41DAC2936E}"/>
            </c:ext>
          </c:extLst>
        </c:ser>
        <c:ser>
          <c:idx val="3"/>
          <c:order val="3"/>
          <c:tx>
            <c:strRef>
              <c:f>'GRAF-10'!$E$4</c:f>
              <c:strCache>
                <c:ptCount val="1"/>
                <c:pt idx="0">
                  <c:v>Index mzdy v prům. (úroveň ČR = 100, rok 2012)</c:v>
                </c:pt>
              </c:strCache>
            </c:strRef>
          </c:tx>
          <c:spPr>
            <a:ln w="6350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rgbClr val="27F92C"/>
              </a:solidFill>
              <a:ln w="6350"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cat>
            <c:strRef>
              <c:f>'GRAF-10'!$A$5:$A$19</c:f>
              <c:strCache>
                <c:ptCount val="15"/>
                <c:pt idx="0">
                  <c:v>Praha</c:v>
                </c:pt>
                <c:pt idx="1">
                  <c:v>Středočeský</c:v>
                </c:pt>
                <c:pt idx="2">
                  <c:v>Plzeňský</c:v>
                </c:pt>
                <c:pt idx="3">
                  <c:v>Ústecký</c:v>
                </c:pt>
                <c:pt idx="4">
                  <c:v>Liberecký</c:v>
                </c:pt>
                <c:pt idx="5">
                  <c:v>Královéhrad.</c:v>
                </c:pt>
                <c:pt idx="6">
                  <c:v>Moravskosl.</c:v>
                </c:pt>
                <c:pt idx="7">
                  <c:v>Vysočina</c:v>
                </c:pt>
                <c:pt idx="8">
                  <c:v>Jihomoravský</c:v>
                </c:pt>
                <c:pt idx="9">
                  <c:v>Jihočeský</c:v>
                </c:pt>
                <c:pt idx="10">
                  <c:v>Pardubický</c:v>
                </c:pt>
                <c:pt idx="11">
                  <c:v>Zlínský</c:v>
                </c:pt>
                <c:pt idx="12">
                  <c:v>Olomoucký</c:v>
                </c:pt>
                <c:pt idx="13">
                  <c:v>Karlovarský</c:v>
                </c:pt>
                <c:pt idx="14">
                  <c:v>ČR celkem</c:v>
                </c:pt>
              </c:strCache>
            </c:strRef>
          </c:cat>
          <c:val>
            <c:numRef>
              <c:f>'GRAF-10'!$E$5:$E$19</c:f>
              <c:numCache>
                <c:formatCode>0.0</c:formatCode>
                <c:ptCount val="15"/>
                <c:pt idx="0">
                  <c:v>131.36429258902791</c:v>
                </c:pt>
                <c:pt idx="1">
                  <c:v>112.48796920115495</c:v>
                </c:pt>
                <c:pt idx="2">
                  <c:v>100.48123195380174</c:v>
                </c:pt>
                <c:pt idx="3">
                  <c:v>97.73820981713186</c:v>
                </c:pt>
                <c:pt idx="4">
                  <c:v>98.937279435354512</c:v>
                </c:pt>
                <c:pt idx="5">
                  <c:v>94.910972088546671</c:v>
                </c:pt>
                <c:pt idx="6">
                  <c:v>101.35547000320821</c:v>
                </c:pt>
                <c:pt idx="7">
                  <c:v>92.697305101058717</c:v>
                </c:pt>
                <c:pt idx="8">
                  <c:v>96.466955405838945</c:v>
                </c:pt>
                <c:pt idx="9">
                  <c:v>93.88835418671799</c:v>
                </c:pt>
                <c:pt idx="10">
                  <c:v>90.210940006416422</c:v>
                </c:pt>
                <c:pt idx="11">
                  <c:v>91.582451074751361</c:v>
                </c:pt>
                <c:pt idx="12">
                  <c:v>91.654635867821625</c:v>
                </c:pt>
                <c:pt idx="13">
                  <c:v>88.855470003208211</c:v>
                </c:pt>
                <c:pt idx="1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9FC-4644-9B67-CC41DAC2936E}"/>
            </c:ext>
          </c:extLst>
        </c:ser>
        <c:ser>
          <c:idx val="4"/>
          <c:order val="4"/>
          <c:tx>
            <c:strRef>
              <c:f>'GRAF-10'!$F$4</c:f>
              <c:strCache>
                <c:ptCount val="1"/>
                <c:pt idx="0">
                  <c:v>Index mzdy v prům. (úroveň ČR = 100, rok 2018)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rgbClr val="00B050"/>
              </a:solidFill>
              <a:ln w="9525">
                <a:noFill/>
              </a:ln>
              <a:effectLst/>
            </c:spPr>
          </c:marker>
          <c:cat>
            <c:strRef>
              <c:f>'GRAF-10'!$A$5:$A$19</c:f>
              <c:strCache>
                <c:ptCount val="15"/>
                <c:pt idx="0">
                  <c:v>Praha</c:v>
                </c:pt>
                <c:pt idx="1">
                  <c:v>Středočeský</c:v>
                </c:pt>
                <c:pt idx="2">
                  <c:v>Plzeňský</c:v>
                </c:pt>
                <c:pt idx="3">
                  <c:v>Ústecký</c:v>
                </c:pt>
                <c:pt idx="4">
                  <c:v>Liberecký</c:v>
                </c:pt>
                <c:pt idx="5">
                  <c:v>Královéhrad.</c:v>
                </c:pt>
                <c:pt idx="6">
                  <c:v>Moravskosl.</c:v>
                </c:pt>
                <c:pt idx="7">
                  <c:v>Vysočina</c:v>
                </c:pt>
                <c:pt idx="8">
                  <c:v>Jihomoravský</c:v>
                </c:pt>
                <c:pt idx="9">
                  <c:v>Jihočeský</c:v>
                </c:pt>
                <c:pt idx="10">
                  <c:v>Pardubický</c:v>
                </c:pt>
                <c:pt idx="11">
                  <c:v>Zlínský</c:v>
                </c:pt>
                <c:pt idx="12">
                  <c:v>Olomoucký</c:v>
                </c:pt>
                <c:pt idx="13">
                  <c:v>Karlovarský</c:v>
                </c:pt>
                <c:pt idx="14">
                  <c:v>ČR celkem</c:v>
                </c:pt>
              </c:strCache>
            </c:strRef>
          </c:cat>
          <c:val>
            <c:numRef>
              <c:f>'GRAF-10'!$F$5:$F$19</c:f>
              <c:numCache>
                <c:formatCode>0.0</c:formatCode>
                <c:ptCount val="15"/>
                <c:pt idx="0">
                  <c:v>121.53172866520788</c:v>
                </c:pt>
                <c:pt idx="1">
                  <c:v>117.41169115348546</c:v>
                </c:pt>
                <c:pt idx="2">
                  <c:v>102.83526101906845</c:v>
                </c:pt>
                <c:pt idx="3">
                  <c:v>99.427946233197872</c:v>
                </c:pt>
                <c:pt idx="4">
                  <c:v>98.72460143794936</c:v>
                </c:pt>
                <c:pt idx="5">
                  <c:v>97.871209753047822</c:v>
                </c:pt>
                <c:pt idx="6">
                  <c:v>97.536730228196305</c:v>
                </c:pt>
                <c:pt idx="7">
                  <c:v>95.301656767739914</c:v>
                </c:pt>
                <c:pt idx="8">
                  <c:v>94.60143794935918</c:v>
                </c:pt>
                <c:pt idx="9">
                  <c:v>93.097843075961237</c:v>
                </c:pt>
                <c:pt idx="10">
                  <c:v>92.882150672085032</c:v>
                </c:pt>
                <c:pt idx="11">
                  <c:v>92.503907471084716</c:v>
                </c:pt>
                <c:pt idx="12">
                  <c:v>90.656455142231948</c:v>
                </c:pt>
                <c:pt idx="13">
                  <c:v>89.449828071272279</c:v>
                </c:pt>
                <c:pt idx="14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89FC-4644-9B67-CC41DAC293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11957727"/>
        <c:axId val="1111958143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100000" spcFirstLastPara="1" vertOverflow="ellipsis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0"/>
        <c:noMultiLvlLbl val="0"/>
      </c:catAx>
      <c:valAx>
        <c:axId val="281211184"/>
        <c:scaling>
          <c:orientation val="minMax"/>
          <c:max val="40.5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Výše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mzdy (v tis. korun)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5.5714770423843857E-5"/>
              <c:y val="0.2270198467250686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5"/>
      </c:valAx>
      <c:valAx>
        <c:axId val="1111958143"/>
        <c:scaling>
          <c:orientation val="minMax"/>
          <c:max val="136.30000000000001"/>
          <c:min val="88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Index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mzdy (ČR = 100)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6768188577178316"/>
              <c:y val="0.2335565209228286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11957727"/>
        <c:crosses val="max"/>
        <c:crossBetween val="between"/>
        <c:majorUnit val="6"/>
      </c:valAx>
      <c:catAx>
        <c:axId val="111195772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11958143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7.1112173596896214E-3"/>
          <c:y val="0.86764514440192131"/>
          <c:w val="0.98244487939956271"/>
          <c:h val="0.12458881787498935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768501558506524E-2"/>
          <c:y val="1.6893986268518412E-2"/>
          <c:w val="0.93814508161083487"/>
          <c:h val="0.7760943111837908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'GRAF-8'!$C$3</c:f>
              <c:strCache>
                <c:ptCount val="1"/>
                <c:pt idx="0">
                  <c:v>Průmysl (rok 2019)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'GRAF-8'!$A$4:$A$26</c:f>
              <c:strCache>
                <c:ptCount val="23"/>
                <c:pt idx="0">
                  <c:v>do 10</c:v>
                </c:pt>
                <c:pt idx="1">
                  <c:v>10,0 – 11,9</c:v>
                </c:pt>
                <c:pt idx="2">
                  <c:v>12,0 – 13,9</c:v>
                </c:pt>
                <c:pt idx="3">
                  <c:v>14,0 – 15,9</c:v>
                </c:pt>
                <c:pt idx="4">
                  <c:v>16,0 – 16,9</c:v>
                </c:pt>
                <c:pt idx="5">
                  <c:v>17,0 – 17,9</c:v>
                </c:pt>
                <c:pt idx="6">
                  <c:v>18,0 – 18,9</c:v>
                </c:pt>
                <c:pt idx="7">
                  <c:v>19,0 – 19,9</c:v>
                </c:pt>
                <c:pt idx="8">
                  <c:v>20,0 – 20,9</c:v>
                </c:pt>
                <c:pt idx="9">
                  <c:v>21,0 – 21,9</c:v>
                </c:pt>
                <c:pt idx="10">
                  <c:v>22,0 – 22,9</c:v>
                </c:pt>
                <c:pt idx="11">
                  <c:v>23,0 – 23,9</c:v>
                </c:pt>
                <c:pt idx="12">
                  <c:v>24,0 – 24,9</c:v>
                </c:pt>
                <c:pt idx="13">
                  <c:v>25,0 – 25,9</c:v>
                </c:pt>
                <c:pt idx="14">
                  <c:v>26,0 – 27,9</c:v>
                </c:pt>
                <c:pt idx="15">
                  <c:v>28,0 – 29,9</c:v>
                </c:pt>
                <c:pt idx="16">
                  <c:v>30,0 – 31,9</c:v>
                </c:pt>
                <c:pt idx="17">
                  <c:v>32,0 – 35,9</c:v>
                </c:pt>
                <c:pt idx="18">
                  <c:v>36,0 – 39,9</c:v>
                </c:pt>
                <c:pt idx="19">
                  <c:v>40,0 – 49,9</c:v>
                </c:pt>
                <c:pt idx="20">
                  <c:v>50,0 – 59,9</c:v>
                </c:pt>
                <c:pt idx="21">
                  <c:v>60,0 – 79,9</c:v>
                </c:pt>
                <c:pt idx="22">
                  <c:v>80,0 a více</c:v>
                </c:pt>
              </c:strCache>
            </c:strRef>
          </c:cat>
          <c:val>
            <c:numRef>
              <c:f>'GRAF-8'!$C$4:$C$26</c:f>
              <c:numCache>
                <c:formatCode>0.00</c:formatCode>
                <c:ptCount val="23"/>
                <c:pt idx="0">
                  <c:v>1.5692000000000001E-2</c:v>
                </c:pt>
                <c:pt idx="1">
                  <c:v>6.9904999999999995E-2</c:v>
                </c:pt>
                <c:pt idx="2">
                  <c:v>1.067823</c:v>
                </c:pt>
                <c:pt idx="3">
                  <c:v>2.2279070000000001</c:v>
                </c:pt>
                <c:pt idx="4">
                  <c:v>1.346427</c:v>
                </c:pt>
                <c:pt idx="5">
                  <c:v>1.5410410000000001</c:v>
                </c:pt>
                <c:pt idx="6">
                  <c:v>1.6788430000000001</c:v>
                </c:pt>
                <c:pt idx="7">
                  <c:v>1.8552420000000001</c:v>
                </c:pt>
                <c:pt idx="8">
                  <c:v>2.2509610000000002</c:v>
                </c:pt>
                <c:pt idx="9">
                  <c:v>2.3978660000000001</c:v>
                </c:pt>
                <c:pt idx="10">
                  <c:v>2.6214770000000001</c:v>
                </c:pt>
                <c:pt idx="11">
                  <c:v>3.0324430000000002</c:v>
                </c:pt>
                <c:pt idx="12">
                  <c:v>3.5436839999999998</c:v>
                </c:pt>
                <c:pt idx="13">
                  <c:v>3.6337950000000001</c:v>
                </c:pt>
                <c:pt idx="14">
                  <c:v>7.5540799999999999</c:v>
                </c:pt>
                <c:pt idx="15">
                  <c:v>7.746149</c:v>
                </c:pt>
                <c:pt idx="16">
                  <c:v>7.4370510000000003</c:v>
                </c:pt>
                <c:pt idx="17">
                  <c:v>12.817003</c:v>
                </c:pt>
                <c:pt idx="18">
                  <c:v>9.6561020000000006</c:v>
                </c:pt>
                <c:pt idx="19">
                  <c:v>13.678259000000001</c:v>
                </c:pt>
                <c:pt idx="20">
                  <c:v>6.444261</c:v>
                </c:pt>
                <c:pt idx="21">
                  <c:v>4.5208060000000003</c:v>
                </c:pt>
                <c:pt idx="22">
                  <c:v>2.8631709999999999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0D-4D76-96C0-4AD1A4993C56}"/>
            </c:ext>
          </c:extLst>
        </c:ser>
        <c:ser>
          <c:idx val="3"/>
          <c:order val="3"/>
          <c:tx>
            <c:strRef>
              <c:f>'GRAF-8'!$E$3</c:f>
              <c:strCache>
                <c:ptCount val="1"/>
                <c:pt idx="0">
                  <c:v>NH (rok 2019)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6350">
              <a:solidFill>
                <a:schemeClr val="accent4">
                  <a:lumMod val="75000"/>
                </a:schemeClr>
              </a:solidFill>
            </a:ln>
            <a:effectLst/>
          </c:spPr>
          <c:invertIfNegative val="0"/>
          <c:cat>
            <c:strRef>
              <c:f>'GRAF-8'!$A$4:$A$26</c:f>
              <c:strCache>
                <c:ptCount val="23"/>
                <c:pt idx="0">
                  <c:v>do 10</c:v>
                </c:pt>
                <c:pt idx="1">
                  <c:v>10,0 – 11,9</c:v>
                </c:pt>
                <c:pt idx="2">
                  <c:v>12,0 – 13,9</c:v>
                </c:pt>
                <c:pt idx="3">
                  <c:v>14,0 – 15,9</c:v>
                </c:pt>
                <c:pt idx="4">
                  <c:v>16,0 – 16,9</c:v>
                </c:pt>
                <c:pt idx="5">
                  <c:v>17,0 – 17,9</c:v>
                </c:pt>
                <c:pt idx="6">
                  <c:v>18,0 – 18,9</c:v>
                </c:pt>
                <c:pt idx="7">
                  <c:v>19,0 – 19,9</c:v>
                </c:pt>
                <c:pt idx="8">
                  <c:v>20,0 – 20,9</c:v>
                </c:pt>
                <c:pt idx="9">
                  <c:v>21,0 – 21,9</c:v>
                </c:pt>
                <c:pt idx="10">
                  <c:v>22,0 – 22,9</c:v>
                </c:pt>
                <c:pt idx="11">
                  <c:v>23,0 – 23,9</c:v>
                </c:pt>
                <c:pt idx="12">
                  <c:v>24,0 – 24,9</c:v>
                </c:pt>
                <c:pt idx="13">
                  <c:v>25,0 – 25,9</c:v>
                </c:pt>
                <c:pt idx="14">
                  <c:v>26,0 – 27,9</c:v>
                </c:pt>
                <c:pt idx="15">
                  <c:v>28,0 – 29,9</c:v>
                </c:pt>
                <c:pt idx="16">
                  <c:v>30,0 – 31,9</c:v>
                </c:pt>
                <c:pt idx="17">
                  <c:v>32,0 – 35,9</c:v>
                </c:pt>
                <c:pt idx="18">
                  <c:v>36,0 – 39,9</c:v>
                </c:pt>
                <c:pt idx="19">
                  <c:v>40,0 – 49,9</c:v>
                </c:pt>
                <c:pt idx="20">
                  <c:v>50,0 – 59,9</c:v>
                </c:pt>
                <c:pt idx="21">
                  <c:v>60,0 – 79,9</c:v>
                </c:pt>
                <c:pt idx="22">
                  <c:v>80,0 a více</c:v>
                </c:pt>
              </c:strCache>
            </c:strRef>
          </c:cat>
          <c:val>
            <c:numRef>
              <c:f>'GRAF-8'!$E$4:$E$26</c:f>
              <c:numCache>
                <c:formatCode>0.00</c:formatCode>
                <c:ptCount val="23"/>
                <c:pt idx="0">
                  <c:v>2.1496999999999999E-2</c:v>
                </c:pt>
                <c:pt idx="1">
                  <c:v>0.24426600000000001</c:v>
                </c:pt>
                <c:pt idx="2">
                  <c:v>2.359864</c:v>
                </c:pt>
                <c:pt idx="3">
                  <c:v>4.1713089999999999</c:v>
                </c:pt>
                <c:pt idx="4">
                  <c:v>2.3404060000000002</c:v>
                </c:pt>
                <c:pt idx="5">
                  <c:v>2.2763239999999998</c:v>
                </c:pt>
                <c:pt idx="6">
                  <c:v>2.1463269999999999</c:v>
                </c:pt>
                <c:pt idx="7">
                  <c:v>2.2721089999999999</c:v>
                </c:pt>
                <c:pt idx="8">
                  <c:v>2.6456360000000001</c:v>
                </c:pt>
                <c:pt idx="9">
                  <c:v>2.5258959999999999</c:v>
                </c:pt>
                <c:pt idx="10">
                  <c:v>2.663427</c:v>
                </c:pt>
                <c:pt idx="11">
                  <c:v>2.8403649999999998</c:v>
                </c:pt>
                <c:pt idx="12">
                  <c:v>3.084003</c:v>
                </c:pt>
                <c:pt idx="13">
                  <c:v>3.1440779999999999</c:v>
                </c:pt>
                <c:pt idx="14">
                  <c:v>6.4640269999999997</c:v>
                </c:pt>
                <c:pt idx="15">
                  <c:v>6.4263810000000001</c:v>
                </c:pt>
                <c:pt idx="16">
                  <c:v>6.1008820000000004</c:v>
                </c:pt>
                <c:pt idx="17">
                  <c:v>11.178801999999999</c:v>
                </c:pt>
                <c:pt idx="18">
                  <c:v>8.9115520000000004</c:v>
                </c:pt>
                <c:pt idx="19">
                  <c:v>13.792789000000001</c:v>
                </c:pt>
                <c:pt idx="20">
                  <c:v>6.0636950000000001</c:v>
                </c:pt>
                <c:pt idx="21">
                  <c:v>4.6482809999999999</c:v>
                </c:pt>
                <c:pt idx="22">
                  <c:v>3.6780729999999999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0D-4D76-96C0-4AD1A4993C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9"/>
        <c:axId val="211167600"/>
        <c:axId val="281211184"/>
      </c:barChart>
      <c:lineChart>
        <c:grouping val="standard"/>
        <c:varyColors val="0"/>
        <c:ser>
          <c:idx val="0"/>
          <c:order val="0"/>
          <c:tx>
            <c:strRef>
              <c:f>'GRAF-8'!$B$3</c:f>
              <c:strCache>
                <c:ptCount val="1"/>
                <c:pt idx="0">
                  <c:v>Průmysl (rok 2012)</c:v>
                </c:pt>
              </c:strCache>
            </c:strRef>
          </c:tx>
          <c:spPr>
            <a:ln w="12700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noFill/>
              </a:ln>
              <a:effectLst/>
            </c:spPr>
          </c:marker>
          <c:cat>
            <c:strRef>
              <c:f>'GRAF-8'!$A$4:$A$26</c:f>
              <c:strCache>
                <c:ptCount val="23"/>
                <c:pt idx="0">
                  <c:v>do 10</c:v>
                </c:pt>
                <c:pt idx="1">
                  <c:v>10,0 – 11,9</c:v>
                </c:pt>
                <c:pt idx="2">
                  <c:v>12,0 – 13,9</c:v>
                </c:pt>
                <c:pt idx="3">
                  <c:v>14,0 – 15,9</c:v>
                </c:pt>
                <c:pt idx="4">
                  <c:v>16,0 – 16,9</c:v>
                </c:pt>
                <c:pt idx="5">
                  <c:v>17,0 – 17,9</c:v>
                </c:pt>
                <c:pt idx="6">
                  <c:v>18,0 – 18,9</c:v>
                </c:pt>
                <c:pt idx="7">
                  <c:v>19,0 – 19,9</c:v>
                </c:pt>
                <c:pt idx="8">
                  <c:v>20,0 – 20,9</c:v>
                </c:pt>
                <c:pt idx="9">
                  <c:v>21,0 – 21,9</c:v>
                </c:pt>
                <c:pt idx="10">
                  <c:v>22,0 – 22,9</c:v>
                </c:pt>
                <c:pt idx="11">
                  <c:v>23,0 – 23,9</c:v>
                </c:pt>
                <c:pt idx="12">
                  <c:v>24,0 – 24,9</c:v>
                </c:pt>
                <c:pt idx="13">
                  <c:v>25,0 – 25,9</c:v>
                </c:pt>
                <c:pt idx="14">
                  <c:v>26,0 – 27,9</c:v>
                </c:pt>
                <c:pt idx="15">
                  <c:v>28,0 – 29,9</c:v>
                </c:pt>
                <c:pt idx="16">
                  <c:v>30,0 – 31,9</c:v>
                </c:pt>
                <c:pt idx="17">
                  <c:v>32,0 – 35,9</c:v>
                </c:pt>
                <c:pt idx="18">
                  <c:v>36,0 – 39,9</c:v>
                </c:pt>
                <c:pt idx="19">
                  <c:v>40,0 – 49,9</c:v>
                </c:pt>
                <c:pt idx="20">
                  <c:v>50,0 – 59,9</c:v>
                </c:pt>
                <c:pt idx="21">
                  <c:v>60,0 – 79,9</c:v>
                </c:pt>
                <c:pt idx="22">
                  <c:v>80,0 a více</c:v>
                </c:pt>
              </c:strCache>
            </c:strRef>
          </c:cat>
          <c:val>
            <c:numRef>
              <c:f>'GRAF-8'!$B$4:$B$26</c:f>
              <c:numCache>
                <c:formatCode>0.00</c:formatCode>
                <c:ptCount val="23"/>
                <c:pt idx="0">
                  <c:v>2.4550290000000001</c:v>
                </c:pt>
                <c:pt idx="1">
                  <c:v>3.9538060000000002</c:v>
                </c:pt>
                <c:pt idx="2">
                  <c:v>5.4337400000000002</c:v>
                </c:pt>
                <c:pt idx="3">
                  <c:v>7.7651789999999998</c:v>
                </c:pt>
                <c:pt idx="4">
                  <c:v>4.2685029999999999</c:v>
                </c:pt>
                <c:pt idx="5">
                  <c:v>4.7022380000000004</c:v>
                </c:pt>
                <c:pt idx="6">
                  <c:v>4.8064859999999996</c:v>
                </c:pt>
                <c:pt idx="7">
                  <c:v>4.7791090000000001</c:v>
                </c:pt>
                <c:pt idx="8">
                  <c:v>4.735589</c:v>
                </c:pt>
                <c:pt idx="9">
                  <c:v>4.7597849999999999</c:v>
                </c:pt>
                <c:pt idx="10">
                  <c:v>4.5097529999999999</c:v>
                </c:pt>
                <c:pt idx="11">
                  <c:v>4.2395750000000003</c:v>
                </c:pt>
                <c:pt idx="12">
                  <c:v>4.0041260000000003</c:v>
                </c:pt>
                <c:pt idx="13">
                  <c:v>3.7135739999999999</c:v>
                </c:pt>
                <c:pt idx="14">
                  <c:v>6.2230239999999997</c:v>
                </c:pt>
                <c:pt idx="15">
                  <c:v>5.0742779999999996</c:v>
                </c:pt>
                <c:pt idx="16">
                  <c:v>4.2693320000000003</c:v>
                </c:pt>
                <c:pt idx="17">
                  <c:v>6.2665649999999999</c:v>
                </c:pt>
                <c:pt idx="18">
                  <c:v>4.0157210000000001</c:v>
                </c:pt>
                <c:pt idx="19">
                  <c:v>5.1086150000000004</c:v>
                </c:pt>
                <c:pt idx="20">
                  <c:v>2.0075560000000001</c:v>
                </c:pt>
                <c:pt idx="21">
                  <c:v>1.4672339999999999</c:v>
                </c:pt>
                <c:pt idx="22">
                  <c:v>1.4411719999999999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C0D-4D76-96C0-4AD1A4993C56}"/>
            </c:ext>
          </c:extLst>
        </c:ser>
        <c:ser>
          <c:idx val="2"/>
          <c:order val="2"/>
          <c:tx>
            <c:strRef>
              <c:f>'GRAF-8'!$D$3</c:f>
              <c:strCache>
                <c:ptCount val="1"/>
                <c:pt idx="0">
                  <c:v>NH (rok 2012)</c:v>
                </c:pt>
              </c:strCache>
            </c:strRef>
          </c:tx>
          <c:spPr>
            <a:ln w="12700" cap="rnd">
              <a:solidFill>
                <a:schemeClr val="tx1">
                  <a:lumMod val="95000"/>
                  <a:lumOff val="5000"/>
                </a:schemeClr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tx1">
                    <a:lumMod val="95000"/>
                    <a:lumOff val="5000"/>
                  </a:schemeClr>
                </a:solidFill>
              </a:ln>
              <a:effectLst/>
            </c:spPr>
          </c:marker>
          <c:cat>
            <c:strRef>
              <c:f>'GRAF-8'!$A$4:$A$26</c:f>
              <c:strCache>
                <c:ptCount val="23"/>
                <c:pt idx="0">
                  <c:v>do 10</c:v>
                </c:pt>
                <c:pt idx="1">
                  <c:v>10,0 – 11,9</c:v>
                </c:pt>
                <c:pt idx="2">
                  <c:v>12,0 – 13,9</c:v>
                </c:pt>
                <c:pt idx="3">
                  <c:v>14,0 – 15,9</c:v>
                </c:pt>
                <c:pt idx="4">
                  <c:v>16,0 – 16,9</c:v>
                </c:pt>
                <c:pt idx="5">
                  <c:v>17,0 – 17,9</c:v>
                </c:pt>
                <c:pt idx="6">
                  <c:v>18,0 – 18,9</c:v>
                </c:pt>
                <c:pt idx="7">
                  <c:v>19,0 – 19,9</c:v>
                </c:pt>
                <c:pt idx="8">
                  <c:v>20,0 – 20,9</c:v>
                </c:pt>
                <c:pt idx="9">
                  <c:v>21,0 – 21,9</c:v>
                </c:pt>
                <c:pt idx="10">
                  <c:v>22,0 – 22,9</c:v>
                </c:pt>
                <c:pt idx="11">
                  <c:v>23,0 – 23,9</c:v>
                </c:pt>
                <c:pt idx="12">
                  <c:v>24,0 – 24,9</c:v>
                </c:pt>
                <c:pt idx="13">
                  <c:v>25,0 – 25,9</c:v>
                </c:pt>
                <c:pt idx="14">
                  <c:v>26,0 – 27,9</c:v>
                </c:pt>
                <c:pt idx="15">
                  <c:v>28,0 – 29,9</c:v>
                </c:pt>
                <c:pt idx="16">
                  <c:v>30,0 – 31,9</c:v>
                </c:pt>
                <c:pt idx="17">
                  <c:v>32,0 – 35,9</c:v>
                </c:pt>
                <c:pt idx="18">
                  <c:v>36,0 – 39,9</c:v>
                </c:pt>
                <c:pt idx="19">
                  <c:v>40,0 – 49,9</c:v>
                </c:pt>
                <c:pt idx="20">
                  <c:v>50,0 – 59,9</c:v>
                </c:pt>
                <c:pt idx="21">
                  <c:v>60,0 – 79,9</c:v>
                </c:pt>
                <c:pt idx="22">
                  <c:v>80,0 a více</c:v>
                </c:pt>
              </c:strCache>
            </c:strRef>
          </c:cat>
          <c:val>
            <c:numRef>
              <c:f>'GRAF-8'!$D$4:$D$26</c:f>
              <c:numCache>
                <c:formatCode>0.00</c:formatCode>
                <c:ptCount val="23"/>
                <c:pt idx="0">
                  <c:v>5.1378199999999996</c:v>
                </c:pt>
                <c:pt idx="1">
                  <c:v>5.9405749999999999</c:v>
                </c:pt>
                <c:pt idx="2">
                  <c:v>6.2338060000000004</c:v>
                </c:pt>
                <c:pt idx="3">
                  <c:v>7.3488810000000004</c:v>
                </c:pt>
                <c:pt idx="4">
                  <c:v>3.9139189999999999</c:v>
                </c:pt>
                <c:pt idx="5">
                  <c:v>4.2888979999999997</c:v>
                </c:pt>
                <c:pt idx="6">
                  <c:v>4.1906840000000001</c:v>
                </c:pt>
                <c:pt idx="7">
                  <c:v>4.2273250000000004</c:v>
                </c:pt>
                <c:pt idx="8">
                  <c:v>4.3625740000000004</c:v>
                </c:pt>
                <c:pt idx="9">
                  <c:v>4.3728309999999997</c:v>
                </c:pt>
                <c:pt idx="10">
                  <c:v>4.2560380000000002</c:v>
                </c:pt>
                <c:pt idx="11">
                  <c:v>4.0195470000000002</c:v>
                </c:pt>
                <c:pt idx="12">
                  <c:v>3.7558250000000002</c:v>
                </c:pt>
                <c:pt idx="13">
                  <c:v>3.567123</c:v>
                </c:pt>
                <c:pt idx="14">
                  <c:v>6.1209569999999998</c:v>
                </c:pt>
                <c:pt idx="15">
                  <c:v>4.8170130000000002</c:v>
                </c:pt>
                <c:pt idx="16">
                  <c:v>3.858247</c:v>
                </c:pt>
                <c:pt idx="17">
                  <c:v>5.5136919999999998</c:v>
                </c:pt>
                <c:pt idx="18">
                  <c:v>3.5142220000000002</c:v>
                </c:pt>
                <c:pt idx="19">
                  <c:v>4.7034909999999996</c:v>
                </c:pt>
                <c:pt idx="20">
                  <c:v>2.1344759999999998</c:v>
                </c:pt>
                <c:pt idx="21">
                  <c:v>1.894353</c:v>
                </c:pt>
                <c:pt idx="22">
                  <c:v>1.8276950000000001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C0D-4D76-96C0-4AD1A4993C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3000000" spcFirstLastPara="1" vertOverflow="ellipsis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0"/>
        <c:noMultiLvlLbl val="0"/>
      </c:catAx>
      <c:valAx>
        <c:axId val="281211184"/>
        <c:scaling>
          <c:orientation val="minMax"/>
          <c:max val="14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1"/>
      </c:val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5.3515036626388443E-2"/>
          <c:y val="0.93132234441614403"/>
          <c:w val="0.92700078469572744"/>
          <c:h val="6.3702390473598561E-2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13170416642486"/>
          <c:y val="1.6899627169865726E-2"/>
          <c:w val="0.78699579278473242"/>
          <c:h val="0.71929762300839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'GRAF-9'!$D$2</c:f>
              <c:strCache>
                <c:ptCount val="1"/>
                <c:pt idx="0">
                  <c:v>Průměrná mzda v průmyslu (v korunách)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3175">
              <a:solidFill>
                <a:schemeClr val="bg1">
                  <a:lumMod val="50000"/>
                </a:schemeClr>
              </a:solidFill>
            </a:ln>
            <a:effectLst/>
          </c:spPr>
          <c:invertIfNegative val="0"/>
          <c:cat>
            <c:multiLvlStrRef>
              <c:f>'GRAF-9'!$B$3:$C$38</c:f>
              <c:multiLvlStrCache>
                <c:ptCount val="35"/>
                <c:lvl>
                  <c:pt idx="0">
                    <c:v>2013</c:v>
                  </c:pt>
                  <c:pt idx="1">
                    <c:v>2016</c:v>
                  </c:pt>
                  <c:pt idx="2">
                    <c:v>2019</c:v>
                  </c:pt>
                  <c:pt idx="4">
                    <c:v>2013</c:v>
                  </c:pt>
                  <c:pt idx="5">
                    <c:v>2016</c:v>
                  </c:pt>
                  <c:pt idx="6">
                    <c:v>2019</c:v>
                  </c:pt>
                  <c:pt idx="8">
                    <c:v>2013</c:v>
                  </c:pt>
                  <c:pt idx="9">
                    <c:v>2016</c:v>
                  </c:pt>
                  <c:pt idx="10">
                    <c:v>2019</c:v>
                  </c:pt>
                  <c:pt idx="12">
                    <c:v>2013</c:v>
                  </c:pt>
                  <c:pt idx="13">
                    <c:v>2016</c:v>
                  </c:pt>
                  <c:pt idx="14">
                    <c:v>2019</c:v>
                  </c:pt>
                  <c:pt idx="16">
                    <c:v>2013</c:v>
                  </c:pt>
                  <c:pt idx="17">
                    <c:v>2016</c:v>
                  </c:pt>
                  <c:pt idx="18">
                    <c:v>2019</c:v>
                  </c:pt>
                  <c:pt idx="20">
                    <c:v>2013</c:v>
                  </c:pt>
                  <c:pt idx="21">
                    <c:v>2016</c:v>
                  </c:pt>
                  <c:pt idx="22">
                    <c:v>2019</c:v>
                  </c:pt>
                  <c:pt idx="24">
                    <c:v>2013</c:v>
                  </c:pt>
                  <c:pt idx="25">
                    <c:v>2016</c:v>
                  </c:pt>
                  <c:pt idx="26">
                    <c:v>2019</c:v>
                  </c:pt>
                  <c:pt idx="28">
                    <c:v>2013</c:v>
                  </c:pt>
                  <c:pt idx="29">
                    <c:v>2016</c:v>
                  </c:pt>
                  <c:pt idx="30">
                    <c:v>2019</c:v>
                  </c:pt>
                  <c:pt idx="32">
                    <c:v>2013</c:v>
                  </c:pt>
                  <c:pt idx="33">
                    <c:v>2016</c:v>
                  </c:pt>
                  <c:pt idx="34">
                    <c:v>2019</c:v>
                  </c:pt>
                </c:lvl>
                <c:lvl>
                  <c:pt idx="0">
                    <c:v>Řídící 
pracovníci</c:v>
                  </c:pt>
                  <c:pt idx="4">
                    <c:v>Specia-
listé</c:v>
                  </c:pt>
                  <c:pt idx="8">
                    <c:v>Techničtí 
a odborní 
pracovníci</c:v>
                  </c:pt>
                  <c:pt idx="12">
                    <c:v>Úředníci</c:v>
                  </c:pt>
                  <c:pt idx="16">
                    <c:v>Pracovn.
ve služb.
a prodeji</c:v>
                  </c:pt>
                  <c:pt idx="20">
                    <c:v>Řemesl-
níci a 
opraváři</c:v>
                  </c:pt>
                  <c:pt idx="24">
                    <c:v>Obsluha 
strojů a 
zařízení</c:v>
                  </c:pt>
                  <c:pt idx="28">
                    <c:v>Pomoc.
a nekval.
pracovn.</c:v>
                  </c:pt>
                  <c:pt idx="32">
                    <c:v>Zaměst-
nanci
celkem</c:v>
                  </c:pt>
                </c:lvl>
              </c:multiLvlStrCache>
            </c:multiLvlStrRef>
          </c:cat>
          <c:val>
            <c:numRef>
              <c:f>'GRAF-9'!$D$3:$D$38</c:f>
              <c:numCache>
                <c:formatCode>#,##0</c:formatCode>
                <c:ptCount val="36"/>
                <c:pt idx="0">
                  <c:v>66454</c:v>
                </c:pt>
                <c:pt idx="1">
                  <c:v>69616</c:v>
                </c:pt>
                <c:pt idx="2">
                  <c:v>88406</c:v>
                </c:pt>
                <c:pt idx="4">
                  <c:v>43047</c:v>
                </c:pt>
                <c:pt idx="5">
                  <c:v>45971</c:v>
                </c:pt>
                <c:pt idx="6">
                  <c:v>57198</c:v>
                </c:pt>
                <c:pt idx="8">
                  <c:v>31074</c:v>
                </c:pt>
                <c:pt idx="9">
                  <c:v>34013</c:v>
                </c:pt>
                <c:pt idx="10">
                  <c:v>41230</c:v>
                </c:pt>
                <c:pt idx="12">
                  <c:v>23489</c:v>
                </c:pt>
                <c:pt idx="13">
                  <c:v>25926</c:v>
                </c:pt>
                <c:pt idx="14">
                  <c:v>31045</c:v>
                </c:pt>
                <c:pt idx="16">
                  <c:v>16169</c:v>
                </c:pt>
                <c:pt idx="17">
                  <c:v>19099</c:v>
                </c:pt>
                <c:pt idx="18">
                  <c:v>25298</c:v>
                </c:pt>
                <c:pt idx="20">
                  <c:v>23412</c:v>
                </c:pt>
                <c:pt idx="21">
                  <c:v>26352</c:v>
                </c:pt>
                <c:pt idx="22">
                  <c:v>32711</c:v>
                </c:pt>
                <c:pt idx="24">
                  <c:v>22234</c:v>
                </c:pt>
                <c:pt idx="25">
                  <c:v>24835</c:v>
                </c:pt>
                <c:pt idx="26">
                  <c:v>30868</c:v>
                </c:pt>
                <c:pt idx="28">
                  <c:v>16870</c:v>
                </c:pt>
                <c:pt idx="29">
                  <c:v>19484</c:v>
                </c:pt>
                <c:pt idx="30">
                  <c:v>23892</c:v>
                </c:pt>
                <c:pt idx="32">
                  <c:v>26826</c:v>
                </c:pt>
                <c:pt idx="33">
                  <c:v>29665</c:v>
                </c:pt>
                <c:pt idx="34">
                  <c:v>36538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59-4632-9C15-84D5162668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axId val="211167600"/>
        <c:axId val="281211184"/>
      </c:barChart>
      <c:lineChart>
        <c:grouping val="standard"/>
        <c:varyColors val="0"/>
        <c:ser>
          <c:idx val="1"/>
          <c:order val="1"/>
          <c:tx>
            <c:strRef>
              <c:f>'GRAF-9'!$E$2</c:f>
              <c:strCache>
                <c:ptCount val="1"/>
                <c:pt idx="0">
                  <c:v>Poměr mzdy v průmyslu k NH (NH v dané třídě = 100)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'GRAF-9'!$B$3:$C$38</c:f>
              <c:multiLvlStrCache>
                <c:ptCount val="35"/>
                <c:lvl>
                  <c:pt idx="0">
                    <c:v>2013</c:v>
                  </c:pt>
                  <c:pt idx="1">
                    <c:v>2016</c:v>
                  </c:pt>
                  <c:pt idx="2">
                    <c:v>2019</c:v>
                  </c:pt>
                  <c:pt idx="4">
                    <c:v>2013</c:v>
                  </c:pt>
                  <c:pt idx="5">
                    <c:v>2016</c:v>
                  </c:pt>
                  <c:pt idx="6">
                    <c:v>2019</c:v>
                  </c:pt>
                  <c:pt idx="8">
                    <c:v>2013</c:v>
                  </c:pt>
                  <c:pt idx="9">
                    <c:v>2016</c:v>
                  </c:pt>
                  <c:pt idx="10">
                    <c:v>2019</c:v>
                  </c:pt>
                  <c:pt idx="12">
                    <c:v>2013</c:v>
                  </c:pt>
                  <c:pt idx="13">
                    <c:v>2016</c:v>
                  </c:pt>
                  <c:pt idx="14">
                    <c:v>2019</c:v>
                  </c:pt>
                  <c:pt idx="16">
                    <c:v>2013</c:v>
                  </c:pt>
                  <c:pt idx="17">
                    <c:v>2016</c:v>
                  </c:pt>
                  <c:pt idx="18">
                    <c:v>2019</c:v>
                  </c:pt>
                  <c:pt idx="20">
                    <c:v>2013</c:v>
                  </c:pt>
                  <c:pt idx="21">
                    <c:v>2016</c:v>
                  </c:pt>
                  <c:pt idx="22">
                    <c:v>2019</c:v>
                  </c:pt>
                  <c:pt idx="24">
                    <c:v>2013</c:v>
                  </c:pt>
                  <c:pt idx="25">
                    <c:v>2016</c:v>
                  </c:pt>
                  <c:pt idx="26">
                    <c:v>2019</c:v>
                  </c:pt>
                  <c:pt idx="28">
                    <c:v>2013</c:v>
                  </c:pt>
                  <c:pt idx="29">
                    <c:v>2016</c:v>
                  </c:pt>
                  <c:pt idx="30">
                    <c:v>2019</c:v>
                  </c:pt>
                  <c:pt idx="32">
                    <c:v>2013</c:v>
                  </c:pt>
                  <c:pt idx="33">
                    <c:v>2016</c:v>
                  </c:pt>
                  <c:pt idx="34">
                    <c:v>2019</c:v>
                  </c:pt>
                </c:lvl>
                <c:lvl>
                  <c:pt idx="0">
                    <c:v>Řídící 
pracovníci</c:v>
                  </c:pt>
                  <c:pt idx="4">
                    <c:v>Specia-
listé</c:v>
                  </c:pt>
                  <c:pt idx="8">
                    <c:v>Techničtí 
a odborní 
pracovníci</c:v>
                  </c:pt>
                  <c:pt idx="12">
                    <c:v>Úředníci</c:v>
                  </c:pt>
                  <c:pt idx="16">
                    <c:v>Pracovn.
ve služb.
a prodeji</c:v>
                  </c:pt>
                  <c:pt idx="20">
                    <c:v>Řemesl-
níci a 
opraváři</c:v>
                  </c:pt>
                  <c:pt idx="24">
                    <c:v>Obsluha 
strojů a 
zařízení</c:v>
                  </c:pt>
                  <c:pt idx="28">
                    <c:v>Pomoc.
a nekval.
pracovn.</c:v>
                  </c:pt>
                  <c:pt idx="32">
                    <c:v>Zaměst-
nanci
celkem</c:v>
                  </c:pt>
                </c:lvl>
              </c:multiLvlStrCache>
            </c:multiLvlStrRef>
          </c:cat>
          <c:val>
            <c:numRef>
              <c:f>'GRAF-9'!$E$3:$E$38</c:f>
              <c:numCache>
                <c:formatCode>#,##0</c:formatCode>
                <c:ptCount val="36"/>
                <c:pt idx="0">
                  <c:v>115.11770921752387</c:v>
                </c:pt>
                <c:pt idx="1">
                  <c:v>113.15810861331903</c:v>
                </c:pt>
                <c:pt idx="2">
                  <c:v>112.14481428861376</c:v>
                </c:pt>
                <c:pt idx="4">
                  <c:v>115.7395208775845</c:v>
                </c:pt>
                <c:pt idx="5">
                  <c:v>112.24484812970017</c:v>
                </c:pt>
                <c:pt idx="6">
                  <c:v>110.28884346920674</c:v>
                </c:pt>
                <c:pt idx="8">
                  <c:v>108.29441695127902</c:v>
                </c:pt>
                <c:pt idx="9">
                  <c:v>106.23418808757847</c:v>
                </c:pt>
                <c:pt idx="10">
                  <c:v>104.02422101677811</c:v>
                </c:pt>
                <c:pt idx="12">
                  <c:v>105.94470253935322</c:v>
                </c:pt>
                <c:pt idx="13">
                  <c:v>106.68696761450147</c:v>
                </c:pt>
                <c:pt idx="14">
                  <c:v>104.23381681439699</c:v>
                </c:pt>
                <c:pt idx="16">
                  <c:v>98.232077764277037</c:v>
                </c:pt>
                <c:pt idx="17">
                  <c:v>100.72249762683261</c:v>
                </c:pt>
                <c:pt idx="18">
                  <c:v>100.10288065843622</c:v>
                </c:pt>
                <c:pt idx="20">
                  <c:v>106.00860312429251</c:v>
                </c:pt>
                <c:pt idx="21">
                  <c:v>106.3567017798765</c:v>
                </c:pt>
                <c:pt idx="22">
                  <c:v>105.12935883014623</c:v>
                </c:pt>
                <c:pt idx="24">
                  <c:v>104.35068287417282</c:v>
                </c:pt>
                <c:pt idx="25">
                  <c:v>103.91213389121339</c:v>
                </c:pt>
                <c:pt idx="26">
                  <c:v>103.5665156852877</c:v>
                </c:pt>
                <c:pt idx="28">
                  <c:v>112.62434074370786</c:v>
                </c:pt>
                <c:pt idx="29">
                  <c:v>114.69272427595949</c:v>
                </c:pt>
                <c:pt idx="30">
                  <c:v>114.45269461077845</c:v>
                </c:pt>
                <c:pt idx="32">
                  <c:v>102.34634313837702</c:v>
                </c:pt>
                <c:pt idx="33">
                  <c:v>102.09595264317181</c:v>
                </c:pt>
                <c:pt idx="34">
                  <c:v>100.55592250110084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59-4632-9C15-84D5162668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1557823"/>
        <c:axId val="1141556159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noFill/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At val="100"/>
        <c:auto val="1"/>
        <c:lblAlgn val="ctr"/>
        <c:lblOffset val="0"/>
        <c:noMultiLvlLbl val="0"/>
      </c:catAx>
      <c:valAx>
        <c:axId val="281211184"/>
        <c:scaling>
          <c:orientation val="minMax"/>
          <c:max val="9000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Prům.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mzda (v korunách)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2.0812896982140075E-3"/>
              <c:y val="0.2365329667845703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10000"/>
      </c:valAx>
      <c:valAx>
        <c:axId val="1141556159"/>
        <c:scaling>
          <c:orientation val="minMax"/>
          <c:max val="125"/>
          <c:min val="8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Poměr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mzdy v průmyslu ke mzdě v NH (v %)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6866903743827193"/>
              <c:y val="9.3045263075085635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1141557823"/>
        <c:crosses val="max"/>
        <c:crossBetween val="between"/>
        <c:majorUnit val="5"/>
      </c:valAx>
      <c:catAx>
        <c:axId val="114155782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41556159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11016594253810302"/>
          <c:y val="0.92268168472657019"/>
          <c:w val="0.57111175942576786"/>
          <c:h val="6.6120269375485347E-2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165016903830951E-2"/>
          <c:y val="1.9575009990256693E-2"/>
          <c:w val="0.82355776269563863"/>
          <c:h val="0.78381112577845424"/>
        </c:manualLayout>
      </c:layout>
      <c:barChart>
        <c:barDir val="col"/>
        <c:grouping val="clustered"/>
        <c:varyColors val="0"/>
        <c:ser>
          <c:idx val="5"/>
          <c:order val="5"/>
          <c:tx>
            <c:strRef>
              <c:f>'GRAF-12'!$G$23</c:f>
              <c:strCache>
                <c:ptCount val="1"/>
                <c:pt idx="0">
                  <c:v>Soc. požitky a ost. sociál. nákl. v průmyslu (%)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6350">
              <a:solidFill>
                <a:schemeClr val="bg1">
                  <a:lumMod val="75000"/>
                </a:schemeClr>
              </a:solidFill>
            </a:ln>
            <a:effectLst/>
          </c:spPr>
          <c:invertIfNegative val="0"/>
          <c:cat>
            <c:strRef>
              <c:f>'GRAF-12'!$A$24:$A$34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'GRAF-12'!$G$24:$G$34</c:f>
              <c:numCache>
                <c:formatCode>0.0</c:formatCode>
                <c:ptCount val="11"/>
                <c:pt idx="0">
                  <c:v>2.8354414083872421</c:v>
                </c:pt>
                <c:pt idx="1">
                  <c:v>4.1737009941849559</c:v>
                </c:pt>
                <c:pt idx="2">
                  <c:v>2.9519291778711061</c:v>
                </c:pt>
                <c:pt idx="3">
                  <c:v>2.9130472931473195</c:v>
                </c:pt>
                <c:pt idx="4">
                  <c:v>3.0143051771117166</c:v>
                </c:pt>
                <c:pt idx="5">
                  <c:v>3.056070045462199</c:v>
                </c:pt>
                <c:pt idx="6">
                  <c:v>2.8127864286736957</c:v>
                </c:pt>
                <c:pt idx="7">
                  <c:v>2.6885715680229332</c:v>
                </c:pt>
                <c:pt idx="8">
                  <c:v>2.6372743667586822</c:v>
                </c:pt>
                <c:pt idx="9">
                  <c:v>2.7004082972933157</c:v>
                </c:pt>
                <c:pt idx="10">
                  <c:v>2.6437683172725803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A-464D-BBB4-7C2F69C855C0}"/>
            </c:ext>
          </c:extLst>
        </c:ser>
        <c:ser>
          <c:idx val="6"/>
          <c:order val="6"/>
          <c:tx>
            <c:strRef>
              <c:f>'GRAF-12'!$H$23</c:f>
              <c:strCache>
                <c:ptCount val="1"/>
                <c:pt idx="0">
                  <c:v>Personální náklady v průmyslu (v %)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25400">
              <a:noFill/>
            </a:ln>
            <a:effectLst/>
          </c:spPr>
          <c:invertIfNegative val="0"/>
          <c:cat>
            <c:strRef>
              <c:f>'GRAF-12'!$A$24:$A$34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'GRAF-12'!$H$24:$H$34</c:f>
              <c:numCache>
                <c:formatCode>0.0</c:formatCode>
                <c:ptCount val="11"/>
                <c:pt idx="0">
                  <c:v>1.4257667921856394</c:v>
                </c:pt>
                <c:pt idx="1">
                  <c:v>1.0942287250672169</c:v>
                </c:pt>
                <c:pt idx="2">
                  <c:v>1.0937547209716891</c:v>
                </c:pt>
                <c:pt idx="3">
                  <c:v>1.1231025708519786</c:v>
                </c:pt>
                <c:pt idx="4">
                  <c:v>1.1126248864668482</c:v>
                </c:pt>
                <c:pt idx="5">
                  <c:v>1.0720098782062075</c:v>
                </c:pt>
                <c:pt idx="6">
                  <c:v>1.1359052776517258</c:v>
                </c:pt>
                <c:pt idx="7">
                  <c:v>1.1894698643265473</c:v>
                </c:pt>
                <c:pt idx="8">
                  <c:v>1.1774949661564145</c:v>
                </c:pt>
                <c:pt idx="9">
                  <c:v>1.2433308695847509</c:v>
                </c:pt>
                <c:pt idx="10">
                  <c:v>1.2273078941958286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CA-464D-BBB4-7C2F69C855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8708864"/>
        <c:axId val="202400864"/>
      </c:barChart>
      <c:lineChart>
        <c:grouping val="standard"/>
        <c:varyColors val="0"/>
        <c:ser>
          <c:idx val="0"/>
          <c:order val="0"/>
          <c:tx>
            <c:strRef>
              <c:f>'GRAF-12'!$B$23</c:f>
              <c:strCache>
                <c:ptCount val="1"/>
                <c:pt idx="0">
                  <c:v>Celkové náklady práce na zam. (NH)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'GRAF-12'!$A$24:$A$34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'GRAF-12'!$B$24:$B$34</c:f>
              <c:numCache>
                <c:formatCode>0.0</c:formatCode>
                <c:ptCount val="11"/>
                <c:pt idx="0">
                  <c:v>100</c:v>
                </c:pt>
                <c:pt idx="1">
                  <c:v>100.44351361340395</c:v>
                </c:pt>
                <c:pt idx="2">
                  <c:v>102.48552420845141</c:v>
                </c:pt>
                <c:pt idx="3">
                  <c:v>104.86324996920044</c:v>
                </c:pt>
                <c:pt idx="4">
                  <c:v>107.14241714919307</c:v>
                </c:pt>
                <c:pt idx="5">
                  <c:v>107.22249599605766</c:v>
                </c:pt>
                <c:pt idx="6">
                  <c:v>110.13493811178883</c:v>
                </c:pt>
                <c:pt idx="7">
                  <c:v>113.90084206912496</c:v>
                </c:pt>
                <c:pt idx="8">
                  <c:v>118.70181104034128</c:v>
                </c:pt>
                <c:pt idx="9">
                  <c:v>126.58385045549959</c:v>
                </c:pt>
                <c:pt idx="10">
                  <c:v>136.86258626230716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6CA-464D-BBB4-7C2F69C855C0}"/>
            </c:ext>
          </c:extLst>
        </c:ser>
        <c:ser>
          <c:idx val="1"/>
          <c:order val="1"/>
          <c:tx>
            <c:strRef>
              <c:f>'GRAF-12'!$C$23</c:f>
              <c:strCache>
                <c:ptCount val="1"/>
                <c:pt idx="0">
                  <c:v>Celk. nákl. práce na zam. (těžba a dobývání)</c:v>
                </c:pt>
              </c:strCache>
            </c:strRef>
          </c:tx>
          <c:spPr>
            <a:ln w="19050" cap="rnd">
              <a:solidFill>
                <a:srgbClr val="996633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'GRAF-12'!$A$24:$A$34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'GRAF-12'!$C$24:$C$34</c:f>
              <c:numCache>
                <c:formatCode>0.0</c:formatCode>
                <c:ptCount val="11"/>
                <c:pt idx="0">
                  <c:v>100</c:v>
                </c:pt>
                <c:pt idx="1">
                  <c:v>95.783738278418269</c:v>
                </c:pt>
                <c:pt idx="2">
                  <c:v>102.31742394125763</c:v>
                </c:pt>
                <c:pt idx="3">
                  <c:v>106.66697846268971</c:v>
                </c:pt>
                <c:pt idx="4">
                  <c:v>109.83560554685126</c:v>
                </c:pt>
                <c:pt idx="5">
                  <c:v>107.76839791408462</c:v>
                </c:pt>
                <c:pt idx="6">
                  <c:v>106.66742473470148</c:v>
                </c:pt>
                <c:pt idx="7">
                  <c:v>107.85848000110467</c:v>
                </c:pt>
                <c:pt idx="8">
                  <c:v>106.87440409482124</c:v>
                </c:pt>
                <c:pt idx="9">
                  <c:v>115.3396228745364</c:v>
                </c:pt>
                <c:pt idx="10">
                  <c:v>121.62973505762061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6CA-464D-BBB4-7C2F69C855C0}"/>
            </c:ext>
          </c:extLst>
        </c:ser>
        <c:ser>
          <c:idx val="2"/>
          <c:order val="2"/>
          <c:tx>
            <c:strRef>
              <c:f>'GRAF-12'!$D$23</c:f>
              <c:strCache>
                <c:ptCount val="1"/>
                <c:pt idx="0">
                  <c:v>Celkové náklady práce na zam. (zprac.prům.)</c:v>
                </c:pt>
              </c:strCache>
            </c:strRef>
          </c:tx>
          <c:spPr>
            <a:ln w="19050" cap="rnd">
              <a:solidFill>
                <a:srgbClr val="FF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'GRAF-12'!$A$24:$A$34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'GRAF-12'!$D$24:$D$34</c:f>
              <c:numCache>
                <c:formatCode>0.0</c:formatCode>
                <c:ptCount val="11"/>
                <c:pt idx="0">
                  <c:v>100</c:v>
                </c:pt>
                <c:pt idx="1">
                  <c:v>102.63227513227513</c:v>
                </c:pt>
                <c:pt idx="2">
                  <c:v>106.17063492063492</c:v>
                </c:pt>
                <c:pt idx="3">
                  <c:v>109.92063492063492</c:v>
                </c:pt>
                <c:pt idx="4">
                  <c:v>113.28042328042326</c:v>
                </c:pt>
                <c:pt idx="5">
                  <c:v>114.8611111111111</c:v>
                </c:pt>
                <c:pt idx="6">
                  <c:v>118.6733649461369</c:v>
                </c:pt>
                <c:pt idx="7">
                  <c:v>122.26812897190609</c:v>
                </c:pt>
                <c:pt idx="8">
                  <c:v>127.76559625887664</c:v>
                </c:pt>
                <c:pt idx="9">
                  <c:v>136.45252049353604</c:v>
                </c:pt>
                <c:pt idx="10">
                  <c:v>147.43401084744048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6CA-464D-BBB4-7C2F69C855C0}"/>
            </c:ext>
          </c:extLst>
        </c:ser>
        <c:ser>
          <c:idx val="3"/>
          <c:order val="3"/>
          <c:tx>
            <c:strRef>
              <c:f>'GRAF-12'!$E$23</c:f>
              <c:strCache>
                <c:ptCount val="1"/>
                <c:pt idx="0">
                  <c:v>Celkové náklady práce na zam. (energetika)</c:v>
                </c:pt>
              </c:strCache>
            </c:strRef>
          </c:tx>
          <c:spPr>
            <a:ln w="19050" cap="rnd">
              <a:solidFill>
                <a:srgbClr val="00B050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'GRAF-12'!$A$24:$A$34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'GRAF-12'!$E$24:$E$34</c:f>
              <c:numCache>
                <c:formatCode>0.0</c:formatCode>
                <c:ptCount val="11"/>
                <c:pt idx="0">
                  <c:v>100</c:v>
                </c:pt>
                <c:pt idx="1">
                  <c:v>108.82633398227979</c:v>
                </c:pt>
                <c:pt idx="2">
                  <c:v>112.21145059398468</c:v>
                </c:pt>
                <c:pt idx="3">
                  <c:v>114.01525686360205</c:v>
                </c:pt>
                <c:pt idx="4">
                  <c:v>118.59231594421709</c:v>
                </c:pt>
                <c:pt idx="5">
                  <c:v>119.45448766339544</c:v>
                </c:pt>
                <c:pt idx="6">
                  <c:v>119.08443088970361</c:v>
                </c:pt>
                <c:pt idx="7">
                  <c:v>116.41258658657259</c:v>
                </c:pt>
                <c:pt idx="8">
                  <c:v>119.20209157724824</c:v>
                </c:pt>
                <c:pt idx="9">
                  <c:v>125.23939629253047</c:v>
                </c:pt>
                <c:pt idx="10">
                  <c:v>130.95869260241884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6CA-464D-BBB4-7C2F69C855C0}"/>
            </c:ext>
          </c:extLst>
        </c:ser>
        <c:ser>
          <c:idx val="4"/>
          <c:order val="4"/>
          <c:tx>
            <c:strRef>
              <c:f>'GRAF-12'!$F$23</c:f>
              <c:strCache>
                <c:ptCount val="1"/>
                <c:pt idx="0">
                  <c:v>Celk. nákl. práce na zam. (vod.a odpad.hosp.)</c:v>
                </c:pt>
              </c:strCache>
            </c:strRef>
          </c:tx>
          <c:spPr>
            <a:ln w="19050" cap="rnd">
              <a:solidFill>
                <a:srgbClr val="0070C0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'GRAF-12'!$A$24:$A$34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'GRAF-12'!$F$24:$F$34</c:f>
              <c:numCache>
                <c:formatCode>0.0</c:formatCode>
                <c:ptCount val="11"/>
                <c:pt idx="0">
                  <c:v>100</c:v>
                </c:pt>
                <c:pt idx="1">
                  <c:v>105.57114363949833</c:v>
                </c:pt>
                <c:pt idx="2">
                  <c:v>109.60751833947467</c:v>
                </c:pt>
                <c:pt idx="3">
                  <c:v>111.33497853351815</c:v>
                </c:pt>
                <c:pt idx="4">
                  <c:v>113.3092187552821</c:v>
                </c:pt>
                <c:pt idx="5">
                  <c:v>113.09962475913593</c:v>
                </c:pt>
                <c:pt idx="6">
                  <c:v>115.30002474871606</c:v>
                </c:pt>
                <c:pt idx="7">
                  <c:v>117.52483673429973</c:v>
                </c:pt>
                <c:pt idx="8">
                  <c:v>120.3889425373912</c:v>
                </c:pt>
                <c:pt idx="9">
                  <c:v>127.94949399441873</c:v>
                </c:pt>
                <c:pt idx="10">
                  <c:v>133.59633032982015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6CA-464D-BBB4-7C2F69C855C0}"/>
            </c:ext>
          </c:extLst>
        </c:ser>
        <c:ser>
          <c:idx val="7"/>
          <c:order val="7"/>
          <c:tx>
            <c:strRef>
              <c:f>'GRAF-12'!$I$23</c:f>
              <c:strCache>
                <c:ptCount val="1"/>
                <c:pt idx="0">
                  <c:v>Implicitní deflátor HDP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diamond"/>
            <c:size val="7"/>
            <c:spPr>
              <a:solidFill>
                <a:srgbClr val="FFFF00"/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cat>
            <c:strRef>
              <c:f>'GRAF-12'!$A$24:$A$34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strCache>
            </c:strRef>
          </c:cat>
          <c:val>
            <c:numRef>
              <c:f>'GRAF-12'!$I$24:$I$34</c:f>
              <c:numCache>
                <c:formatCode>0.0</c:formatCode>
                <c:ptCount val="11"/>
                <c:pt idx="0">
                  <c:v>100</c:v>
                </c:pt>
                <c:pt idx="1">
                  <c:v>102.586601918635</c:v>
                </c:pt>
                <c:pt idx="2">
                  <c:v>101.12701541917282</c:v>
                </c:pt>
                <c:pt idx="3">
                  <c:v>101.11114468221358</c:v>
                </c:pt>
                <c:pt idx="4">
                  <c:v>102.57599517522009</c:v>
                </c:pt>
                <c:pt idx="5">
                  <c:v>103.97629068165945</c:v>
                </c:pt>
                <c:pt idx="6">
                  <c:v>106.65546054363892</c:v>
                </c:pt>
                <c:pt idx="7">
                  <c:v>107.71456995904197</c:v>
                </c:pt>
                <c:pt idx="8">
                  <c:v>108.94464126224217</c:v>
                </c:pt>
                <c:pt idx="9">
                  <c:v>110.36041613883386</c:v>
                </c:pt>
                <c:pt idx="10">
                  <c:v>113.19257975954693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C6CA-464D-BBB4-7C2F69C855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0"/>
        <c:noMultiLvlLbl val="0"/>
      </c:catAx>
      <c:valAx>
        <c:axId val="281211184"/>
        <c:scaling>
          <c:orientation val="minMax"/>
          <c:max val="150"/>
          <c:min val="9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Úplné prac. náklady a deflátor HDP (2008=100)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5"/>
      </c:valAx>
      <c:valAx>
        <c:axId val="202400864"/>
        <c:scaling>
          <c:orientation val="minMax"/>
          <c:max val="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Podíl vybr. druhů pracovních nákladů v průmyslu (%)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6752977979729404"/>
              <c:y val="9.908577667107851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.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58708864"/>
        <c:crosses val="max"/>
        <c:crossBetween val="between"/>
        <c:majorUnit val="0.5"/>
      </c:valAx>
      <c:catAx>
        <c:axId val="3587088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2400864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"/>
          <c:y val="0.84226815869466642"/>
          <c:w val="0.99121649275741452"/>
          <c:h val="0.15013447559009865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78519601217514E-2"/>
          <c:y val="1.6076749112545415E-2"/>
          <c:w val="0.81475469740277862"/>
          <c:h val="0.75911476017733881"/>
        </c:manualLayout>
      </c:layout>
      <c:areaChart>
        <c:grouping val="standard"/>
        <c:varyColors val="0"/>
        <c:ser>
          <c:idx val="0"/>
          <c:order val="0"/>
          <c:tx>
            <c:strRef>
              <c:f>'GRAF-13'!$A$4</c:f>
              <c:strCache>
                <c:ptCount val="1"/>
                <c:pt idx="0">
                  <c:v>Produktivita na pracovníka (NH)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19050">
              <a:solidFill>
                <a:schemeClr val="tx1">
                  <a:lumMod val="65000"/>
                  <a:lumOff val="35000"/>
                </a:schemeClr>
              </a:solidFill>
            </a:ln>
            <a:effectLst/>
          </c:spPr>
          <c:cat>
            <c:strRef>
              <c:f>'GRAF-13'!$B$3:$Z$3</c:f>
              <c:strCache>
                <c:ptCount val="2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  <c:pt idx="24">
                  <c:v>2019</c:v>
                </c:pt>
              </c:strCache>
            </c:strRef>
          </c:cat>
          <c:val>
            <c:numRef>
              <c:f>'GRAF-13'!$B$4:$Z$4</c:f>
              <c:numCache>
                <c:formatCode>#\ ##0.0</c:formatCode>
                <c:ptCount val="25"/>
                <c:pt idx="0" formatCode="#,##0">
                  <c:v>62.318465591047335</c:v>
                </c:pt>
                <c:pt idx="1">
                  <c:v>64.432644740196523</c:v>
                </c:pt>
                <c:pt idx="2">
                  <c:v>64.088038533915835</c:v>
                </c:pt>
                <c:pt idx="3">
                  <c:v>65.00099081291043</c:v>
                </c:pt>
                <c:pt idx="4">
                  <c:v>67.381349763041271</c:v>
                </c:pt>
                <c:pt idx="5">
                  <c:v>70.846399190773795</c:v>
                </c:pt>
                <c:pt idx="6">
                  <c:v>73.216590520453352</c:v>
                </c:pt>
                <c:pt idx="7">
                  <c:v>74.234322036747002</c:v>
                </c:pt>
                <c:pt idx="8">
                  <c:v>77.054011980237931</c:v>
                </c:pt>
                <c:pt idx="9">
                  <c:v>80.947882938343113</c:v>
                </c:pt>
                <c:pt idx="10">
                  <c:v>84.7878124841843</c:v>
                </c:pt>
                <c:pt idx="11">
                  <c:v>89.75158476052539</c:v>
                </c:pt>
                <c:pt idx="12">
                  <c:v>92.564051630653353</c:v>
                </c:pt>
                <c:pt idx="13">
                  <c:v>93.82786470317042</c:v>
                </c:pt>
                <c:pt idx="14">
                  <c:v>90.508700207385161</c:v>
                </c:pt>
                <c:pt idx="15">
                  <c:v>94.200630928791838</c:v>
                </c:pt>
                <c:pt idx="16">
                  <c:v>96.117292710749808</c:v>
                </c:pt>
                <c:pt idx="17">
                  <c:v>94.912489655450727</c:v>
                </c:pt>
                <c:pt idx="18">
                  <c:v>94.592757813507802</c:v>
                </c:pt>
                <c:pt idx="19">
                  <c:v>96.762425591575393</c:v>
                </c:pt>
                <c:pt idx="20">
                  <c:v>100</c:v>
                </c:pt>
                <c:pt idx="21">
                  <c:v>100.89411665697874</c:v>
                </c:pt>
                <c:pt idx="22">
                  <c:v>104.52307280698054</c:v>
                </c:pt>
                <c:pt idx="23">
                  <c:v>106.62125286285449</c:v>
                </c:pt>
                <c:pt idx="24">
                  <c:v>108.69548574192768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FC-4EC0-8067-9E685671BB1F}"/>
            </c:ext>
          </c:extLst>
        </c:ser>
        <c:ser>
          <c:idx val="1"/>
          <c:order val="1"/>
          <c:tx>
            <c:strRef>
              <c:f>'GRAF-13'!$A$5</c:f>
              <c:strCache>
                <c:ptCount val="1"/>
                <c:pt idx="0">
                  <c:v>Hodinová produktivita (NH)</c:v>
                </c:pt>
              </c:strCache>
            </c:strRef>
          </c:tx>
          <c:spPr>
            <a:solidFill>
              <a:schemeClr val="bg1">
                <a:lumMod val="95000"/>
              </a:schemeClr>
            </a:solidFill>
            <a:ln w="19050">
              <a:solidFill>
                <a:schemeClr val="bg2">
                  <a:lumMod val="75000"/>
                </a:schemeClr>
              </a:solidFill>
              <a:prstDash val="sysDash"/>
            </a:ln>
            <a:effectLst/>
          </c:spPr>
          <c:cat>
            <c:strRef>
              <c:f>'GRAF-13'!$B$3:$Z$3</c:f>
              <c:strCache>
                <c:ptCount val="2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  <c:pt idx="24">
                  <c:v>2019</c:v>
                </c:pt>
              </c:strCache>
            </c:strRef>
          </c:cat>
          <c:val>
            <c:numRef>
              <c:f>'GRAF-13'!$B$5:$Z$5</c:f>
              <c:numCache>
                <c:formatCode>#\ ##0.0</c:formatCode>
                <c:ptCount val="25"/>
                <c:pt idx="0" formatCode="#,##0">
                  <c:v>59.589868207497496</c:v>
                </c:pt>
                <c:pt idx="1">
                  <c:v>61.688803686279471</c:v>
                </c:pt>
                <c:pt idx="2">
                  <c:v>61.07382419499158</c:v>
                </c:pt>
                <c:pt idx="3">
                  <c:v>61.179607060910278</c:v>
                </c:pt>
                <c:pt idx="4">
                  <c:v>62.422854121060226</c:v>
                </c:pt>
                <c:pt idx="5">
                  <c:v>65.299330361087613</c:v>
                </c:pt>
                <c:pt idx="6">
                  <c:v>70.331488554570115</c:v>
                </c:pt>
                <c:pt idx="7">
                  <c:v>71.746161138073845</c:v>
                </c:pt>
                <c:pt idx="8">
                  <c:v>75.016485291034556</c:v>
                </c:pt>
                <c:pt idx="9">
                  <c:v>78.172677985185445</c:v>
                </c:pt>
                <c:pt idx="10">
                  <c:v>82.368187755427883</c:v>
                </c:pt>
                <c:pt idx="11">
                  <c:v>87.857830227430028</c:v>
                </c:pt>
                <c:pt idx="12">
                  <c:v>91.336319269060908</c:v>
                </c:pt>
                <c:pt idx="13">
                  <c:v>91.828277272532503</c:v>
                </c:pt>
                <c:pt idx="14">
                  <c:v>89.118314067353381</c:v>
                </c:pt>
                <c:pt idx="15">
                  <c:v>91.706999166180765</c:v>
                </c:pt>
                <c:pt idx="16">
                  <c:v>93.242651365894957</c:v>
                </c:pt>
                <c:pt idx="17">
                  <c:v>93.578166337402777</c:v>
                </c:pt>
                <c:pt idx="18">
                  <c:v>93.905052172727707</c:v>
                </c:pt>
                <c:pt idx="19">
                  <c:v>95.544008692819943</c:v>
                </c:pt>
                <c:pt idx="20">
                  <c:v>100</c:v>
                </c:pt>
                <c:pt idx="21">
                  <c:v>99.610425593926792</c:v>
                </c:pt>
                <c:pt idx="22">
                  <c:v>103.05365901253147</c:v>
                </c:pt>
                <c:pt idx="23">
                  <c:v>104.65145754151138</c:v>
                </c:pt>
                <c:pt idx="24">
                  <c:v>106.71815677269085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FC-4EC0-8067-9E685671BB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1167600"/>
        <c:axId val="281211184"/>
      </c:areaChart>
      <c:lineChart>
        <c:grouping val="standard"/>
        <c:varyColors val="0"/>
        <c:ser>
          <c:idx val="2"/>
          <c:order val="2"/>
          <c:tx>
            <c:strRef>
              <c:f>'GRAF-13'!$A$6</c:f>
              <c:strCache>
                <c:ptCount val="1"/>
                <c:pt idx="0">
                  <c:v>Produktivita na pracovníka (průmysl)</c:v>
                </c:pt>
              </c:strCache>
            </c:strRef>
          </c:tx>
          <c:spPr>
            <a:ln w="2222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'GRAF-13'!$B$3:$Z$3</c:f>
              <c:strCache>
                <c:ptCount val="2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  <c:pt idx="24">
                  <c:v>2019</c:v>
                </c:pt>
              </c:strCache>
            </c:strRef>
          </c:cat>
          <c:val>
            <c:numRef>
              <c:f>'GRAF-13'!$B$6:$Z$6</c:f>
              <c:numCache>
                <c:formatCode>#\ ##0.0</c:formatCode>
                <c:ptCount val="25"/>
                <c:pt idx="0" formatCode="#,##0">
                  <c:v>45.168797794764245</c:v>
                </c:pt>
                <c:pt idx="1">
                  <c:v>47.272235525891141</c:v>
                </c:pt>
                <c:pt idx="2">
                  <c:v>46.851208342348322</c:v>
                </c:pt>
                <c:pt idx="3">
                  <c:v>47.036636469798935</c:v>
                </c:pt>
                <c:pt idx="4">
                  <c:v>51.490417995105474</c:v>
                </c:pt>
                <c:pt idx="5">
                  <c:v>57.254151071346207</c:v>
                </c:pt>
                <c:pt idx="6">
                  <c:v>59.423710562665796</c:v>
                </c:pt>
                <c:pt idx="7">
                  <c:v>61.54621480101099</c:v>
                </c:pt>
                <c:pt idx="8">
                  <c:v>63.839283411213557</c:v>
                </c:pt>
                <c:pt idx="9">
                  <c:v>68.573665804250311</c:v>
                </c:pt>
                <c:pt idx="10">
                  <c:v>74.557014354861565</c:v>
                </c:pt>
                <c:pt idx="11">
                  <c:v>87.285104305005063</c:v>
                </c:pt>
                <c:pt idx="12">
                  <c:v>89.361963691158692</c:v>
                </c:pt>
                <c:pt idx="13">
                  <c:v>95.606036669279902</c:v>
                </c:pt>
                <c:pt idx="14">
                  <c:v>90.42127518902771</c:v>
                </c:pt>
                <c:pt idx="15">
                  <c:v>100.56699201467364</c:v>
                </c:pt>
                <c:pt idx="16">
                  <c:v>103.74387227833677</c:v>
                </c:pt>
                <c:pt idx="17">
                  <c:v>99.40884612231126</c:v>
                </c:pt>
                <c:pt idx="18">
                  <c:v>96.419400538143208</c:v>
                </c:pt>
                <c:pt idx="19">
                  <c:v>97.880447905822635</c:v>
                </c:pt>
                <c:pt idx="20">
                  <c:v>100</c:v>
                </c:pt>
                <c:pt idx="21">
                  <c:v>100.83834427681273</c:v>
                </c:pt>
                <c:pt idx="22">
                  <c:v>107.04172779337391</c:v>
                </c:pt>
                <c:pt idx="23">
                  <c:v>107.80800267405715</c:v>
                </c:pt>
                <c:pt idx="24">
                  <c:v>111.27977776708831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6FC-4EC0-8067-9E685671BB1F}"/>
            </c:ext>
          </c:extLst>
        </c:ser>
        <c:ser>
          <c:idx val="4"/>
          <c:order val="4"/>
          <c:tx>
            <c:strRef>
              <c:f>'GRAF-13'!$A$8</c:f>
              <c:strCache>
                <c:ptCount val="1"/>
                <c:pt idx="0">
                  <c:v>Hodinová produktivita (průmysl)</c:v>
                </c:pt>
              </c:strCache>
            </c:strRef>
          </c:tx>
          <c:spPr>
            <a:ln w="22225" cap="rnd">
              <a:solidFill>
                <a:srgbClr val="C00000"/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'GRAF-13'!$B$3:$Z$3</c:f>
              <c:strCache>
                <c:ptCount val="2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  <c:pt idx="24">
                  <c:v>2019</c:v>
                </c:pt>
              </c:strCache>
            </c:strRef>
          </c:cat>
          <c:val>
            <c:numRef>
              <c:f>'GRAF-13'!$B$8:$Z$8</c:f>
              <c:numCache>
                <c:formatCode>#\ ##0.0</c:formatCode>
                <c:ptCount val="25"/>
                <c:pt idx="0" formatCode="#,##0">
                  <c:v>43.203682899100485</c:v>
                </c:pt>
                <c:pt idx="1">
                  <c:v>45.339457942163826</c:v>
                </c:pt>
                <c:pt idx="2">
                  <c:v>44.775072517276662</c:v>
                </c:pt>
                <c:pt idx="3">
                  <c:v>44.245605098300402</c:v>
                </c:pt>
                <c:pt idx="4">
                  <c:v>48.096826271506046</c:v>
                </c:pt>
                <c:pt idx="5">
                  <c:v>53.392621780912386</c:v>
                </c:pt>
                <c:pt idx="6">
                  <c:v>57.348217403722714</c:v>
                </c:pt>
                <c:pt idx="7">
                  <c:v>60.008031587751709</c:v>
                </c:pt>
                <c:pt idx="8">
                  <c:v>62.831252094629519</c:v>
                </c:pt>
                <c:pt idx="9">
                  <c:v>66.858985072542083</c:v>
                </c:pt>
                <c:pt idx="10">
                  <c:v>72.673444578451225</c:v>
                </c:pt>
                <c:pt idx="11">
                  <c:v>85.924411630266192</c:v>
                </c:pt>
                <c:pt idx="12">
                  <c:v>88.694892138449759</c:v>
                </c:pt>
                <c:pt idx="13">
                  <c:v>94.550220959717038</c:v>
                </c:pt>
                <c:pt idx="14">
                  <c:v>91.094870594996777</c:v>
                </c:pt>
                <c:pt idx="15">
                  <c:v>97.847191459617306</c:v>
                </c:pt>
                <c:pt idx="16">
                  <c:v>101.92410563956811</c:v>
                </c:pt>
                <c:pt idx="17">
                  <c:v>98.712912278441777</c:v>
                </c:pt>
                <c:pt idx="18">
                  <c:v>96.032478723431552</c:v>
                </c:pt>
                <c:pt idx="19">
                  <c:v>97.225328403859507</c:v>
                </c:pt>
                <c:pt idx="20">
                  <c:v>100</c:v>
                </c:pt>
                <c:pt idx="21">
                  <c:v>100.40622877511936</c:v>
                </c:pt>
                <c:pt idx="22">
                  <c:v>107.87201186399686</c:v>
                </c:pt>
                <c:pt idx="23">
                  <c:v>107.48226730199005</c:v>
                </c:pt>
                <c:pt idx="24">
                  <c:v>110.620180812033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6FC-4EC0-8067-9E685671BB1F}"/>
            </c:ext>
          </c:extLst>
        </c:ser>
        <c:ser>
          <c:idx val="5"/>
          <c:order val="5"/>
          <c:tx>
            <c:strRef>
              <c:f>'GRAF-13'!$A$9</c:f>
              <c:strCache>
                <c:ptCount val="1"/>
                <c:pt idx="0">
                  <c:v>Produk. na prac. (zpracovatel. prům.)</c:v>
                </c:pt>
              </c:strCache>
            </c:strRef>
          </c:tx>
          <c:spPr>
            <a:ln w="22225" cap="rnd">
              <a:solidFill>
                <a:schemeClr val="accent2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'GRAF-13'!$B$3:$Z$3</c:f>
              <c:strCache>
                <c:ptCount val="2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  <c:pt idx="24">
                  <c:v>2019</c:v>
                </c:pt>
              </c:strCache>
            </c:strRef>
          </c:cat>
          <c:val>
            <c:numRef>
              <c:f>'GRAF-13'!$B$9:$Z$9</c:f>
              <c:numCache>
                <c:formatCode>#\ ##0.0</c:formatCode>
                <c:ptCount val="25"/>
                <c:pt idx="0" formatCode="#,##0">
                  <c:v>35.793876597069548</c:v>
                </c:pt>
                <c:pt idx="1">
                  <c:v>37.475411084254809</c:v>
                </c:pt>
                <c:pt idx="2">
                  <c:v>38.162257162858417</c:v>
                </c:pt>
                <c:pt idx="3">
                  <c:v>38.973870185007392</c:v>
                </c:pt>
                <c:pt idx="4">
                  <c:v>43.344245930645329</c:v>
                </c:pt>
                <c:pt idx="5">
                  <c:v>48.155390368028904</c:v>
                </c:pt>
                <c:pt idx="6">
                  <c:v>50.107255506272793</c:v>
                </c:pt>
                <c:pt idx="7">
                  <c:v>52.206680296936916</c:v>
                </c:pt>
                <c:pt idx="8">
                  <c:v>53.974641757625342</c:v>
                </c:pt>
                <c:pt idx="9">
                  <c:v>58.041290776423715</c:v>
                </c:pt>
                <c:pt idx="10">
                  <c:v>64.461185264230295</c:v>
                </c:pt>
                <c:pt idx="11">
                  <c:v>77.297350748404327</c:v>
                </c:pt>
                <c:pt idx="12">
                  <c:v>79.779086550183493</c:v>
                </c:pt>
                <c:pt idx="13">
                  <c:v>85.62326985640621</c:v>
                </c:pt>
                <c:pt idx="14">
                  <c:v>81.336698966230074</c:v>
                </c:pt>
                <c:pt idx="15">
                  <c:v>93.991767157366098</c:v>
                </c:pt>
                <c:pt idx="16">
                  <c:v>99.949517461755036</c:v>
                </c:pt>
                <c:pt idx="17">
                  <c:v>95.387338138319535</c:v>
                </c:pt>
                <c:pt idx="18">
                  <c:v>94.024356143126752</c:v>
                </c:pt>
                <c:pt idx="19">
                  <c:v>96.101673035765032</c:v>
                </c:pt>
                <c:pt idx="20">
                  <c:v>100</c:v>
                </c:pt>
                <c:pt idx="21">
                  <c:v>101.99250292528379</c:v>
                </c:pt>
                <c:pt idx="22">
                  <c:v>109.17211713196554</c:v>
                </c:pt>
                <c:pt idx="23">
                  <c:v>110.47085482031891</c:v>
                </c:pt>
                <c:pt idx="24">
                  <c:v>115.20289785445459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6FC-4EC0-8067-9E685671BB1F}"/>
            </c:ext>
          </c:extLst>
        </c:ser>
        <c:ser>
          <c:idx val="6"/>
          <c:order val="6"/>
          <c:tx>
            <c:strRef>
              <c:f>'GRAF-13'!$A$10</c:f>
              <c:strCache>
                <c:ptCount val="1"/>
                <c:pt idx="0">
                  <c:v>Hod. produktivita (zpracovat. prům.)</c:v>
                </c:pt>
              </c:strCache>
            </c:strRef>
          </c:tx>
          <c:spPr>
            <a:ln w="22225" cap="rnd">
              <a:solidFill>
                <a:schemeClr val="accent2">
                  <a:lumMod val="60000"/>
                  <a:lumOff val="40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'GRAF-13'!$B$3:$Z$3</c:f>
              <c:strCache>
                <c:ptCount val="2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  <c:pt idx="24">
                  <c:v>2019</c:v>
                </c:pt>
              </c:strCache>
            </c:strRef>
          </c:cat>
          <c:val>
            <c:numRef>
              <c:f>'GRAF-13'!$B$10:$Z$10</c:f>
              <c:numCache>
                <c:formatCode>#\ ##0.0</c:formatCode>
                <c:ptCount val="25"/>
                <c:pt idx="0" formatCode="#,##0">
                  <c:v>34.026304021471347</c:v>
                </c:pt>
                <c:pt idx="1">
                  <c:v>35.698493281206886</c:v>
                </c:pt>
                <c:pt idx="2">
                  <c:v>36.322302192234176</c:v>
                </c:pt>
                <c:pt idx="3">
                  <c:v>36.479620531531417</c:v>
                </c:pt>
                <c:pt idx="4">
                  <c:v>40.314217335465614</c:v>
                </c:pt>
                <c:pt idx="5">
                  <c:v>44.654301480031656</c:v>
                </c:pt>
                <c:pt idx="6">
                  <c:v>48.052548817482318</c:v>
                </c:pt>
                <c:pt idx="7">
                  <c:v>50.679381310369777</c:v>
                </c:pt>
                <c:pt idx="8">
                  <c:v>52.89429509767961</c:v>
                </c:pt>
                <c:pt idx="9">
                  <c:v>56.393835001763705</c:v>
                </c:pt>
                <c:pt idx="10">
                  <c:v>62.573000083564899</c:v>
                </c:pt>
                <c:pt idx="11">
                  <c:v>75.911952731709675</c:v>
                </c:pt>
                <c:pt idx="12">
                  <c:v>78.989508879989216</c:v>
                </c:pt>
                <c:pt idx="13">
                  <c:v>84.620445793883164</c:v>
                </c:pt>
                <c:pt idx="14">
                  <c:v>82.006442255338982</c:v>
                </c:pt>
                <c:pt idx="15">
                  <c:v>91.380506915009249</c:v>
                </c:pt>
                <c:pt idx="16">
                  <c:v>98.168814829612984</c:v>
                </c:pt>
                <c:pt idx="17">
                  <c:v>94.688695199020941</c:v>
                </c:pt>
                <c:pt idx="18">
                  <c:v>93.669503327019484</c:v>
                </c:pt>
                <c:pt idx="19">
                  <c:v>95.481797788101019</c:v>
                </c:pt>
                <c:pt idx="20">
                  <c:v>100</c:v>
                </c:pt>
                <c:pt idx="21">
                  <c:v>101.57876869127035</c:v>
                </c:pt>
                <c:pt idx="22">
                  <c:v>110.0277919817694</c:v>
                </c:pt>
                <c:pt idx="23">
                  <c:v>110.12869881162206</c:v>
                </c:pt>
                <c:pt idx="24">
                  <c:v>114.59756840444012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6FC-4EC0-8067-9E685671BB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lineChart>
        <c:grouping val="standard"/>
        <c:varyColors val="0"/>
        <c:ser>
          <c:idx val="3"/>
          <c:order val="3"/>
          <c:tx>
            <c:strRef>
              <c:f>'GRAF-13'!$A$7</c:f>
              <c:strCache>
                <c:ptCount val="1"/>
                <c:pt idx="0">
                  <c:v>Hod. produktivita (průmysl, pravá osa)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iamond"/>
            <c:size val="6"/>
            <c:spPr>
              <a:solidFill>
                <a:srgbClr val="92D050"/>
              </a:solidFill>
              <a:ln w="9525">
                <a:noFill/>
              </a:ln>
              <a:effectLst/>
            </c:spPr>
          </c:marker>
          <c:cat>
            <c:strRef>
              <c:f>'GRAF-13'!$B$3:$Z$3</c:f>
              <c:strCache>
                <c:ptCount val="2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  <c:pt idx="24">
                  <c:v>2019</c:v>
                </c:pt>
              </c:strCache>
            </c:strRef>
          </c:cat>
          <c:val>
            <c:numRef>
              <c:f>'GRAF-13'!$B$7:$Z$7</c:f>
              <c:numCache>
                <c:formatCode>#\ ##0.0</c:formatCode>
                <c:ptCount val="25"/>
                <c:pt idx="1">
                  <c:v>4.9435022658862522</c:v>
                </c:pt>
                <c:pt idx="2">
                  <c:v>-1.2447996745067229</c:v>
                </c:pt>
                <c:pt idx="3">
                  <c:v>-1.182504883206974</c:v>
                </c:pt>
                <c:pt idx="4">
                  <c:v>8.7041891836475003</c:v>
                </c:pt>
                <c:pt idx="5">
                  <c:v>11.010696380488042</c:v>
                </c:pt>
                <c:pt idx="6">
                  <c:v>7.4085060648294103</c:v>
                </c:pt>
                <c:pt idx="7">
                  <c:v>4.6380067322830882</c:v>
                </c:pt>
                <c:pt idx="8">
                  <c:v>4.704737736230058</c:v>
                </c:pt>
                <c:pt idx="9">
                  <c:v>6.410397443371707</c:v>
                </c:pt>
                <c:pt idx="10">
                  <c:v>8.6966015107774268</c:v>
                </c:pt>
                <c:pt idx="11">
                  <c:v>18.233575040619556</c:v>
                </c:pt>
                <c:pt idx="12">
                  <c:v>3.22432293177053</c:v>
                </c:pt>
                <c:pt idx="13">
                  <c:v>6.6016527897990898</c:v>
                </c:pt>
                <c:pt idx="14">
                  <c:v>-3.6545132625257537</c:v>
                </c:pt>
                <c:pt idx="15">
                  <c:v>7.4124051338093437</c:v>
                </c:pt>
                <c:pt idx="16">
                  <c:v>4.1666133888302852</c:v>
                </c:pt>
                <c:pt idx="17">
                  <c:v>-3.1505730081969006</c:v>
                </c:pt>
                <c:pt idx="18">
                  <c:v>-2.7153829151038309</c:v>
                </c:pt>
                <c:pt idx="19">
                  <c:v>1.2421315124680774</c:v>
                </c:pt>
                <c:pt idx="20">
                  <c:v>2.8538567487423876</c:v>
                </c:pt>
                <c:pt idx="21">
                  <c:v>0.4062287751193594</c:v>
                </c:pt>
                <c:pt idx="22">
                  <c:v>7.4355776329361873</c:v>
                </c:pt>
                <c:pt idx="23">
                  <c:v>-0.36130276544596995</c:v>
                </c:pt>
                <c:pt idx="24">
                  <c:v>2.919470893953573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6FC-4EC0-8067-9E685671BB1F}"/>
            </c:ext>
          </c:extLst>
        </c:ser>
        <c:ser>
          <c:idx val="7"/>
          <c:order val="7"/>
          <c:tx>
            <c:strRef>
              <c:f>'GRAF-13'!$A$11</c:f>
              <c:strCache>
                <c:ptCount val="1"/>
                <c:pt idx="0">
                  <c:v>Hodinová produktivita (NH, pravá osa)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strRef>
              <c:f>'GRAF-13'!$B$3:$Z$3</c:f>
              <c:strCache>
                <c:ptCount val="2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  <c:pt idx="15">
                  <c:v>2010</c:v>
                </c:pt>
                <c:pt idx="16">
                  <c:v>2011</c:v>
                </c:pt>
                <c:pt idx="17">
                  <c:v>2012</c:v>
                </c:pt>
                <c:pt idx="18">
                  <c:v>2013</c:v>
                </c:pt>
                <c:pt idx="19">
                  <c:v>2014</c:v>
                </c:pt>
                <c:pt idx="20">
                  <c:v>2015</c:v>
                </c:pt>
                <c:pt idx="21">
                  <c:v>2016</c:v>
                </c:pt>
                <c:pt idx="22">
                  <c:v>2017</c:v>
                </c:pt>
                <c:pt idx="23">
                  <c:v>2018</c:v>
                </c:pt>
                <c:pt idx="24">
                  <c:v>2019</c:v>
                </c:pt>
              </c:strCache>
            </c:strRef>
          </c:cat>
          <c:val>
            <c:numRef>
              <c:f>'GRAF-13'!$B$11:$Z$11</c:f>
              <c:numCache>
                <c:formatCode>#\ ##0.0</c:formatCode>
                <c:ptCount val="25"/>
                <c:pt idx="1">
                  <c:v>3.5223026026392148</c:v>
                </c:pt>
                <c:pt idx="2">
                  <c:v>-0.99690617184829478</c:v>
                </c:pt>
                <c:pt idx="3">
                  <c:v>0.17320491603894084</c:v>
                </c:pt>
                <c:pt idx="4">
                  <c:v>2.0321265857627537</c:v>
                </c:pt>
                <c:pt idx="5">
                  <c:v>4.6080498569464226</c:v>
                </c:pt>
                <c:pt idx="6">
                  <c:v>7.7062937179539688</c:v>
                </c:pt>
                <c:pt idx="7">
                  <c:v>2.011435578256112</c:v>
                </c:pt>
                <c:pt idx="8">
                  <c:v>4.5581869483818593</c:v>
                </c:pt>
                <c:pt idx="9">
                  <c:v>4.2073321376042969</c:v>
                </c:pt>
                <c:pt idx="10">
                  <c:v>5.3669771566960094</c:v>
                </c:pt>
                <c:pt idx="11">
                  <c:v>6.6647605363156686</c:v>
                </c:pt>
                <c:pt idx="12">
                  <c:v>3.9592248438487587</c:v>
                </c:pt>
                <c:pt idx="13">
                  <c:v>0.53862254074677196</c:v>
                </c:pt>
                <c:pt idx="14">
                  <c:v>-2.951120597783131</c:v>
                </c:pt>
                <c:pt idx="15">
                  <c:v>2.9047734193791968</c:v>
                </c:pt>
                <c:pt idx="16">
                  <c:v>1.6745201714990969</c:v>
                </c:pt>
                <c:pt idx="17">
                  <c:v>0.35982993468431346</c:v>
                </c:pt>
                <c:pt idx="18">
                  <c:v>0.34931848754797556</c:v>
                </c:pt>
                <c:pt idx="19">
                  <c:v>1.7453336984229111</c:v>
                </c:pt>
                <c:pt idx="20">
                  <c:v>4.6638102882058803</c:v>
                </c:pt>
                <c:pt idx="21">
                  <c:v>-0.38957440607320848</c:v>
                </c:pt>
                <c:pt idx="22">
                  <c:v>3.4566998364623345</c:v>
                </c:pt>
                <c:pt idx="23">
                  <c:v>1.5504529817671084</c:v>
                </c:pt>
                <c:pt idx="24">
                  <c:v>1.9748403698627044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6FC-4EC0-8067-9E685671BB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8438815"/>
        <c:axId val="738432991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94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0"/>
        <c:noMultiLvlLbl val="0"/>
      </c:catAx>
      <c:valAx>
        <c:axId val="281211184"/>
        <c:scaling>
          <c:orientation val="minMax"/>
          <c:max val="120"/>
          <c:min val="3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Produktivita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(úroveň roku 2015 = 100)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midCat"/>
        <c:majorUnit val="10"/>
        <c:minorUnit val="1"/>
      </c:valAx>
      <c:valAx>
        <c:axId val="738432991"/>
        <c:scaling>
          <c:orientation val="minMax"/>
          <c:max val="35"/>
          <c:min val="-1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Produktivita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(meziroční změna v %)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738438815"/>
        <c:crosses val="max"/>
        <c:crossBetween val="between"/>
      </c:valAx>
      <c:catAx>
        <c:axId val="738438815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38432991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4.8716844526170755E-2"/>
          <c:y val="0.8640369983606252"/>
          <c:w val="0.91140532583127709"/>
          <c:h val="0.1288058825883073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614237686674525E-2"/>
          <c:y val="2.0864272307841863E-2"/>
          <c:w val="0.89277335047707873"/>
          <c:h val="0.7438225747609214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'GRAF-14'!$E$4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'GRAF-14'!$B$5:$B$31</c:f>
              <c:strCache>
                <c:ptCount val="27"/>
                <c:pt idx="0">
                  <c:v>Energetika</c:v>
                </c:pt>
                <c:pt idx="1">
                  <c:v>PC, elektr.,optic. př.</c:v>
                </c:pt>
                <c:pt idx="2">
                  <c:v>Farmaceutický pr.</c:v>
                </c:pt>
                <c:pt idx="3">
                  <c:v>(Petro-)chemic. pr.</c:v>
                </c:pt>
                <c:pt idx="4">
                  <c:v>Výroba nápojů</c:v>
                </c:pt>
                <c:pt idx="5">
                  <c:v>Výroba motor. voz.</c:v>
                </c:pt>
                <c:pt idx="6">
                  <c:v>Těžební pr.</c:v>
                </c:pt>
                <c:pt idx="7">
                  <c:v>Úprava, rozvod vody</c:v>
                </c:pt>
                <c:pt idx="8">
                  <c:v>Papírenský pr.</c:v>
                </c:pt>
                <c:pt idx="9">
                  <c:v>Stavební materiály</c:v>
                </c:pt>
                <c:pt idx="10">
                  <c:v>Gumáren., plastikář.</c:v>
                </c:pt>
                <c:pt idx="11">
                  <c:v>Ostatní dopravní pr.</c:v>
                </c:pt>
                <c:pt idx="12">
                  <c:v>Opravy, instal.strojů</c:v>
                </c:pt>
                <c:pt idx="13">
                  <c:v>Výroba elektric. zař.</c:v>
                </c:pt>
                <c:pt idx="14">
                  <c:v>Hutnictví, slévárenství</c:v>
                </c:pt>
                <c:pt idx="15">
                  <c:v>Strojírenský pr.</c:v>
                </c:pt>
                <c:pt idx="16">
                  <c:v>Kovodělný pr.</c:v>
                </c:pt>
                <c:pt idx="17">
                  <c:v>Odpadové hosp.</c:v>
                </c:pt>
                <c:pt idx="18">
                  <c:v>Ostatní zprac. pr.</c:v>
                </c:pt>
                <c:pt idx="19">
                  <c:v>Textilní pr.</c:v>
                </c:pt>
                <c:pt idx="20">
                  <c:v>Potravinář. pr.</c:v>
                </c:pt>
                <c:pt idx="21">
                  <c:v>Tiskařský pr.</c:v>
                </c:pt>
                <c:pt idx="22">
                  <c:v>Dřevozprac. pr.</c:v>
                </c:pt>
                <c:pt idx="23">
                  <c:v>Nábytkářský pr.</c:v>
                </c:pt>
                <c:pt idx="24">
                  <c:v>Kožedělný pr.</c:v>
                </c:pt>
                <c:pt idx="25">
                  <c:v>Oděvní pr.</c:v>
                </c:pt>
                <c:pt idx="26">
                  <c:v>Průmysl celkem</c:v>
                </c:pt>
              </c:strCache>
            </c:strRef>
          </c:cat>
          <c:val>
            <c:numRef>
              <c:f>'GRAF-14'!$E$5:$E$31</c:f>
              <c:numCache>
                <c:formatCode>0.0</c:formatCode>
                <c:ptCount val="27"/>
                <c:pt idx="0">
                  <c:v>381.62876952462062</c:v>
                </c:pt>
                <c:pt idx="1">
                  <c:v>168.72524265363336</c:v>
                </c:pt>
                <c:pt idx="2">
                  <c:v>163.8748752688104</c:v>
                </c:pt>
                <c:pt idx="3">
                  <c:v>163.60669915228786</c:v>
                </c:pt>
                <c:pt idx="4">
                  <c:v>161.7537234486916</c:v>
                </c:pt>
                <c:pt idx="5">
                  <c:v>149.82390445603781</c:v>
                </c:pt>
                <c:pt idx="6">
                  <c:v>129.11950166157447</c:v>
                </c:pt>
                <c:pt idx="7">
                  <c:v>125.34303368899442</c:v>
                </c:pt>
                <c:pt idx="8">
                  <c:v>121.90856169675128</c:v>
                </c:pt>
                <c:pt idx="9">
                  <c:v>107.18371727405224</c:v>
                </c:pt>
                <c:pt idx="10">
                  <c:v>102.37483399920684</c:v>
                </c:pt>
                <c:pt idx="11">
                  <c:v>100.09980670453157</c:v>
                </c:pt>
                <c:pt idx="12">
                  <c:v>94.483909453673931</c:v>
                </c:pt>
                <c:pt idx="13">
                  <c:v>90.181236998343223</c:v>
                </c:pt>
                <c:pt idx="14">
                  <c:v>87.403747992806842</c:v>
                </c:pt>
                <c:pt idx="15">
                  <c:v>84.394366279276781</c:v>
                </c:pt>
                <c:pt idx="16">
                  <c:v>76.69808288134108</c:v>
                </c:pt>
                <c:pt idx="17">
                  <c:v>75.367111803307424</c:v>
                </c:pt>
                <c:pt idx="18">
                  <c:v>70.281132819466947</c:v>
                </c:pt>
                <c:pt idx="19">
                  <c:v>66.147329968986853</c:v>
                </c:pt>
                <c:pt idx="20">
                  <c:v>65.722654428973911</c:v>
                </c:pt>
                <c:pt idx="21">
                  <c:v>65.195954667017773</c:v>
                </c:pt>
                <c:pt idx="22">
                  <c:v>59.983136869707586</c:v>
                </c:pt>
                <c:pt idx="23">
                  <c:v>52.351197440235687</c:v>
                </c:pt>
                <c:pt idx="24">
                  <c:v>51.081023755378098</c:v>
                </c:pt>
                <c:pt idx="25">
                  <c:v>38.262786792666894</c:v>
                </c:pt>
                <c:pt idx="26">
                  <c:v>105.60827657782892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73-43BB-99CC-502D089068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overlap val="54"/>
        <c:axId val="211167600"/>
        <c:axId val="281211184"/>
      </c:barChart>
      <c:lineChart>
        <c:grouping val="standard"/>
        <c:varyColors val="0"/>
        <c:ser>
          <c:idx val="0"/>
          <c:order val="0"/>
          <c:tx>
            <c:strRef>
              <c:f>'GRAF-14'!$C$4</c:f>
              <c:strCache>
                <c:ptCount val="1"/>
                <c:pt idx="0">
                  <c:v>2005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cat>
            <c:strRef>
              <c:f>'GRAF-14'!$B$5:$B$31</c:f>
              <c:strCache>
                <c:ptCount val="27"/>
                <c:pt idx="0">
                  <c:v>Energetika</c:v>
                </c:pt>
                <c:pt idx="1">
                  <c:v>PC, elektr.,optic. př.</c:v>
                </c:pt>
                <c:pt idx="2">
                  <c:v>Farmaceutický pr.</c:v>
                </c:pt>
                <c:pt idx="3">
                  <c:v>(Petro-)chemic. pr.</c:v>
                </c:pt>
                <c:pt idx="4">
                  <c:v>Výroba nápojů</c:v>
                </c:pt>
                <c:pt idx="5">
                  <c:v>Výroba motor. voz.</c:v>
                </c:pt>
                <c:pt idx="6">
                  <c:v>Těžební pr.</c:v>
                </c:pt>
                <c:pt idx="7">
                  <c:v>Úprava, rozvod vody</c:v>
                </c:pt>
                <c:pt idx="8">
                  <c:v>Papírenský pr.</c:v>
                </c:pt>
                <c:pt idx="9">
                  <c:v>Stavební materiály</c:v>
                </c:pt>
                <c:pt idx="10">
                  <c:v>Gumáren., plastikář.</c:v>
                </c:pt>
                <c:pt idx="11">
                  <c:v>Ostatní dopravní pr.</c:v>
                </c:pt>
                <c:pt idx="12">
                  <c:v>Opravy, instal.strojů</c:v>
                </c:pt>
                <c:pt idx="13">
                  <c:v>Výroba elektric. zař.</c:v>
                </c:pt>
                <c:pt idx="14">
                  <c:v>Hutnictví, slévárenství</c:v>
                </c:pt>
                <c:pt idx="15">
                  <c:v>Strojírenský pr.</c:v>
                </c:pt>
                <c:pt idx="16">
                  <c:v>Kovodělný pr.</c:v>
                </c:pt>
                <c:pt idx="17">
                  <c:v>Odpadové hosp.</c:v>
                </c:pt>
                <c:pt idx="18">
                  <c:v>Ostatní zprac. pr.</c:v>
                </c:pt>
                <c:pt idx="19">
                  <c:v>Textilní pr.</c:v>
                </c:pt>
                <c:pt idx="20">
                  <c:v>Potravinář. pr.</c:v>
                </c:pt>
                <c:pt idx="21">
                  <c:v>Tiskařský pr.</c:v>
                </c:pt>
                <c:pt idx="22">
                  <c:v>Dřevozprac. pr.</c:v>
                </c:pt>
                <c:pt idx="23">
                  <c:v>Nábytkářský pr.</c:v>
                </c:pt>
                <c:pt idx="24">
                  <c:v>Kožedělný pr.</c:v>
                </c:pt>
                <c:pt idx="25">
                  <c:v>Oděvní pr.</c:v>
                </c:pt>
                <c:pt idx="26">
                  <c:v>Průmysl celkem</c:v>
                </c:pt>
              </c:strCache>
            </c:strRef>
          </c:cat>
          <c:val>
            <c:numRef>
              <c:f>'GRAF-14'!$C$5:$C$31</c:f>
              <c:numCache>
                <c:formatCode>0.0</c:formatCode>
                <c:ptCount val="27"/>
                <c:pt idx="0">
                  <c:v>473.53542221208801</c:v>
                </c:pt>
                <c:pt idx="1">
                  <c:v>126.73838581822766</c:v>
                </c:pt>
                <c:pt idx="2">
                  <c:v>204.05227922016263</c:v>
                </c:pt>
                <c:pt idx="3">
                  <c:v>168.87364036429119</c:v>
                </c:pt>
                <c:pt idx="4">
                  <c:v>168.3387681002672</c:v>
                </c:pt>
                <c:pt idx="5">
                  <c:v>152.99990534443711</c:v>
                </c:pt>
                <c:pt idx="6">
                  <c:v>151.3777347535426</c:v>
                </c:pt>
                <c:pt idx="7">
                  <c:v>121.95301422880618</c:v>
                </c:pt>
                <c:pt idx="8">
                  <c:v>131.72335953230134</c:v>
                </c:pt>
                <c:pt idx="9">
                  <c:v>109.1967279139859</c:v>
                </c:pt>
                <c:pt idx="10">
                  <c:v>108.50351547393289</c:v>
                </c:pt>
                <c:pt idx="11">
                  <c:v>106.07014604789349</c:v>
                </c:pt>
                <c:pt idx="12">
                  <c:v>95.406339610978392</c:v>
                </c:pt>
                <c:pt idx="13">
                  <c:v>80.622511155371342</c:v>
                </c:pt>
                <c:pt idx="14">
                  <c:v>152.72092349137472</c:v>
                </c:pt>
                <c:pt idx="15">
                  <c:v>83.075168477742679</c:v>
                </c:pt>
                <c:pt idx="16">
                  <c:v>69.645016502408893</c:v>
                </c:pt>
                <c:pt idx="17">
                  <c:v>94.225468667161522</c:v>
                </c:pt>
                <c:pt idx="18">
                  <c:v>60.195946308672831</c:v>
                </c:pt>
                <c:pt idx="19">
                  <c:v>59.846689863522585</c:v>
                </c:pt>
                <c:pt idx="20">
                  <c:v>71.404963831102251</c:v>
                </c:pt>
                <c:pt idx="21">
                  <c:v>68.5300824010273</c:v>
                </c:pt>
                <c:pt idx="22">
                  <c:v>46.507745638215525</c:v>
                </c:pt>
                <c:pt idx="23">
                  <c:v>60.950001081624869</c:v>
                </c:pt>
                <c:pt idx="24">
                  <c:v>37.986215115287067</c:v>
                </c:pt>
                <c:pt idx="25">
                  <c:v>33.084625750870337</c:v>
                </c:pt>
                <c:pt idx="26">
                  <c:v>104.63687264760789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173-43BB-99CC-502D08906891}"/>
            </c:ext>
          </c:extLst>
        </c:ser>
        <c:ser>
          <c:idx val="1"/>
          <c:order val="1"/>
          <c:tx>
            <c:strRef>
              <c:f>'GRAF-14'!$D$4</c:f>
              <c:strCache>
                <c:ptCount val="1"/>
                <c:pt idx="0">
                  <c:v>2013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00B0F0"/>
                </a:solidFill>
              </a:ln>
              <a:effectLst/>
            </c:spPr>
          </c:marker>
          <c:cat>
            <c:strRef>
              <c:f>'GRAF-14'!$B$5:$B$31</c:f>
              <c:strCache>
                <c:ptCount val="27"/>
                <c:pt idx="0">
                  <c:v>Energetika</c:v>
                </c:pt>
                <c:pt idx="1">
                  <c:v>PC, elektr.,optic. př.</c:v>
                </c:pt>
                <c:pt idx="2">
                  <c:v>Farmaceutický pr.</c:v>
                </c:pt>
                <c:pt idx="3">
                  <c:v>(Petro-)chemic. pr.</c:v>
                </c:pt>
                <c:pt idx="4">
                  <c:v>Výroba nápojů</c:v>
                </c:pt>
                <c:pt idx="5">
                  <c:v>Výroba motor. voz.</c:v>
                </c:pt>
                <c:pt idx="6">
                  <c:v>Těžební pr.</c:v>
                </c:pt>
                <c:pt idx="7">
                  <c:v>Úprava, rozvod vody</c:v>
                </c:pt>
                <c:pt idx="8">
                  <c:v>Papírenský pr.</c:v>
                </c:pt>
                <c:pt idx="9">
                  <c:v>Stavební materiály</c:v>
                </c:pt>
                <c:pt idx="10">
                  <c:v>Gumáren., plastikář.</c:v>
                </c:pt>
                <c:pt idx="11">
                  <c:v>Ostatní dopravní pr.</c:v>
                </c:pt>
                <c:pt idx="12">
                  <c:v>Opravy, instal.strojů</c:v>
                </c:pt>
                <c:pt idx="13">
                  <c:v>Výroba elektric. zař.</c:v>
                </c:pt>
                <c:pt idx="14">
                  <c:v>Hutnictví, slévárenství</c:v>
                </c:pt>
                <c:pt idx="15">
                  <c:v>Strojírenský pr.</c:v>
                </c:pt>
                <c:pt idx="16">
                  <c:v>Kovodělný pr.</c:v>
                </c:pt>
                <c:pt idx="17">
                  <c:v>Odpadové hosp.</c:v>
                </c:pt>
                <c:pt idx="18">
                  <c:v>Ostatní zprac. pr.</c:v>
                </c:pt>
                <c:pt idx="19">
                  <c:v>Textilní pr.</c:v>
                </c:pt>
                <c:pt idx="20">
                  <c:v>Potravinář. pr.</c:v>
                </c:pt>
                <c:pt idx="21">
                  <c:v>Tiskařský pr.</c:v>
                </c:pt>
                <c:pt idx="22">
                  <c:v>Dřevozprac. pr.</c:v>
                </c:pt>
                <c:pt idx="23">
                  <c:v>Nábytkářský pr.</c:v>
                </c:pt>
                <c:pt idx="24">
                  <c:v>Kožedělný pr.</c:v>
                </c:pt>
                <c:pt idx="25">
                  <c:v>Oděvní pr.</c:v>
                </c:pt>
                <c:pt idx="26">
                  <c:v>Průmysl celkem</c:v>
                </c:pt>
              </c:strCache>
            </c:strRef>
          </c:cat>
          <c:val>
            <c:numRef>
              <c:f>'GRAF-14'!$D$5:$D$31</c:f>
              <c:numCache>
                <c:formatCode>0.0</c:formatCode>
                <c:ptCount val="27"/>
                <c:pt idx="0">
                  <c:v>619.64670343749708</c:v>
                </c:pt>
                <c:pt idx="1">
                  <c:v>166.22226306718261</c:v>
                </c:pt>
                <c:pt idx="2">
                  <c:v>182.41277726826235</c:v>
                </c:pt>
                <c:pt idx="3">
                  <c:v>144.27805768926308</c:v>
                </c:pt>
                <c:pt idx="4">
                  <c:v>176.08711687908664</c:v>
                </c:pt>
                <c:pt idx="5">
                  <c:v>147.29790139889062</c:v>
                </c:pt>
                <c:pt idx="6">
                  <c:v>160.30843840189397</c:v>
                </c:pt>
                <c:pt idx="7">
                  <c:v>132.99114729385835</c:v>
                </c:pt>
                <c:pt idx="8">
                  <c:v>96.487331756581668</c:v>
                </c:pt>
                <c:pt idx="9">
                  <c:v>100.33956582870324</c:v>
                </c:pt>
                <c:pt idx="10">
                  <c:v>110.58167180485012</c:v>
                </c:pt>
                <c:pt idx="11">
                  <c:v>121.73505570017649</c:v>
                </c:pt>
                <c:pt idx="12">
                  <c:v>99.806957458073654</c:v>
                </c:pt>
                <c:pt idx="13">
                  <c:v>99.286747656514009</c:v>
                </c:pt>
                <c:pt idx="14">
                  <c:v>99.449990126735827</c:v>
                </c:pt>
                <c:pt idx="15">
                  <c:v>100.29814628986655</c:v>
                </c:pt>
                <c:pt idx="16">
                  <c:v>73.63932342824711</c:v>
                </c:pt>
                <c:pt idx="17">
                  <c:v>82.691244164908781</c:v>
                </c:pt>
                <c:pt idx="18">
                  <c:v>67.954399233120313</c:v>
                </c:pt>
                <c:pt idx="19">
                  <c:v>72.131450699153845</c:v>
                </c:pt>
                <c:pt idx="20">
                  <c:v>66.635505865333016</c:v>
                </c:pt>
                <c:pt idx="21">
                  <c:v>65.130232442545477</c:v>
                </c:pt>
                <c:pt idx="22">
                  <c:v>45.355095467385162</c:v>
                </c:pt>
                <c:pt idx="23">
                  <c:v>45.990364921470203</c:v>
                </c:pt>
                <c:pt idx="24">
                  <c:v>48.076408063117242</c:v>
                </c:pt>
                <c:pt idx="25">
                  <c:v>35.008100474384591</c:v>
                </c:pt>
                <c:pt idx="26">
                  <c:v>111.36968974783869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173-43BB-99CC-502D089068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3000000" spcFirstLastPara="1" vertOverflow="ellipsis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At val="0"/>
        <c:auto val="1"/>
        <c:lblAlgn val="ctr"/>
        <c:lblOffset val="0"/>
        <c:noMultiLvlLbl val="0"/>
      </c:catAx>
      <c:valAx>
        <c:axId val="281211184"/>
        <c:scaling>
          <c:orientation val="minMax"/>
          <c:max val="23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Produktivita práce (NH = 100)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2.445972464213012E-3"/>
              <c:y val="0.191474666342113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At val="1"/>
        <c:crossBetween val="between"/>
        <c:majorUnit val="10"/>
      </c:val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6693137028075149"/>
          <c:y val="0.94142186368383385"/>
          <c:w val="0.24541444623659822"/>
          <c:h val="5.3676033498304361E-2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720528067116867E-2"/>
          <c:y val="1.6076749112545415E-2"/>
          <c:w val="0.93474964167894681"/>
          <c:h val="0.78059973389145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'GRAF-11'!$B$59</c:f>
              <c:strCache>
                <c:ptCount val="1"/>
                <c:pt idx="0">
                  <c:v>Muži (2018)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16"/>
            <c:invertIfNegative val="0"/>
            <c:bubble3D val="0"/>
            <c:spPr>
              <a:solidFill>
                <a:srgbClr val="69A4D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A78-418D-B4A3-BD00851EF9E9}"/>
              </c:ext>
            </c:extLst>
          </c:dPt>
          <c:cat>
            <c:strRef>
              <c:f>'GRAF-11'!$A$60:$A$91</c:f>
              <c:strCache>
                <c:ptCount val="32"/>
                <c:pt idx="0">
                  <c:v>Dánsko</c:v>
                </c:pt>
                <c:pt idx="1">
                  <c:v>Německo</c:v>
                </c:pt>
                <c:pt idx="2">
                  <c:v>Belgie</c:v>
                </c:pt>
                <c:pt idx="3">
                  <c:v>Irsko</c:v>
                </c:pt>
                <c:pt idx="4">
                  <c:v>Švédsko</c:v>
                </c:pt>
                <c:pt idx="5">
                  <c:v>Nizozemsko</c:v>
                </c:pt>
                <c:pt idx="6">
                  <c:v>Finsko</c:v>
                </c:pt>
                <c:pt idx="7">
                  <c:v>Lucembursko</c:v>
                </c:pt>
                <c:pt idx="8">
                  <c:v>Rakousko</c:v>
                </c:pt>
                <c:pt idx="9">
                  <c:v>Francie</c:v>
                </c:pt>
                <c:pt idx="10">
                  <c:v>Itálie</c:v>
                </c:pt>
                <c:pt idx="11">
                  <c:v>Malta</c:v>
                </c:pt>
                <c:pt idx="12">
                  <c:v>Španělsko</c:v>
                </c:pt>
                <c:pt idx="13">
                  <c:v>Slovinsko</c:v>
                </c:pt>
                <c:pt idx="14">
                  <c:v>Kypr</c:v>
                </c:pt>
                <c:pt idx="15">
                  <c:v>Polsko</c:v>
                </c:pt>
                <c:pt idx="16">
                  <c:v>Česko</c:v>
                </c:pt>
                <c:pt idx="17">
                  <c:v>Estonsko</c:v>
                </c:pt>
                <c:pt idx="18">
                  <c:v>Slovensko</c:v>
                </c:pt>
                <c:pt idx="19">
                  <c:v>Maďarsko</c:v>
                </c:pt>
                <c:pt idx="20">
                  <c:v>Chorvatsko</c:v>
                </c:pt>
                <c:pt idx="21">
                  <c:v>Rumunsko</c:v>
                </c:pt>
                <c:pt idx="22">
                  <c:v>Litva</c:v>
                </c:pt>
                <c:pt idx="23">
                  <c:v>Lotyšsko</c:v>
                </c:pt>
                <c:pt idx="24">
                  <c:v>Portugalsko</c:v>
                </c:pt>
                <c:pt idx="25">
                  <c:v>Bulharsko</c:v>
                </c:pt>
                <c:pt idx="26">
                  <c:v>Norsko</c:v>
                </c:pt>
                <c:pt idx="27">
                  <c:v>Švýcarsko</c:v>
                </c:pt>
                <c:pt idx="28">
                  <c:v>Island</c:v>
                </c:pt>
                <c:pt idx="29">
                  <c:v>Velká Británie</c:v>
                </c:pt>
                <c:pt idx="30">
                  <c:v>Srbsko</c:v>
                </c:pt>
                <c:pt idx="31">
                  <c:v>Albánie</c:v>
                </c:pt>
              </c:strCache>
            </c:strRef>
          </c:cat>
          <c:val>
            <c:numRef>
              <c:f>'GRAF-11'!$B$60:$B$91</c:f>
              <c:numCache>
                <c:formatCode>#,##0.00</c:formatCode>
                <c:ptCount val="32"/>
                <c:pt idx="0" formatCode="#\ ##0.0">
                  <c:v>24.7</c:v>
                </c:pt>
                <c:pt idx="1">
                  <c:v>23.02</c:v>
                </c:pt>
                <c:pt idx="2">
                  <c:v>19.489999999999998</c:v>
                </c:pt>
                <c:pt idx="3">
                  <c:v>18.600000000000001</c:v>
                </c:pt>
                <c:pt idx="4">
                  <c:v>17.98</c:v>
                </c:pt>
                <c:pt idx="5">
                  <c:v>18.510000000000002</c:v>
                </c:pt>
                <c:pt idx="6">
                  <c:v>17.690000000000001</c:v>
                </c:pt>
                <c:pt idx="7">
                  <c:v>17.61</c:v>
                </c:pt>
                <c:pt idx="8">
                  <c:v>18.04</c:v>
                </c:pt>
                <c:pt idx="9">
                  <c:v>17.5</c:v>
                </c:pt>
                <c:pt idx="10">
                  <c:v>15.01</c:v>
                </c:pt>
                <c:pt idx="11">
                  <c:v>14.39</c:v>
                </c:pt>
                <c:pt idx="12">
                  <c:v>14.02</c:v>
                </c:pt>
                <c:pt idx="13">
                  <c:v>11.38</c:v>
                </c:pt>
                <c:pt idx="14">
                  <c:v>11.01</c:v>
                </c:pt>
                <c:pt idx="15">
                  <c:v>10.46</c:v>
                </c:pt>
                <c:pt idx="16">
                  <c:v>10.62</c:v>
                </c:pt>
                <c:pt idx="17">
                  <c:v>10.01</c:v>
                </c:pt>
                <c:pt idx="18">
                  <c:v>9.49</c:v>
                </c:pt>
                <c:pt idx="19">
                  <c:v>9.1999999999999993</c:v>
                </c:pt>
                <c:pt idx="20">
                  <c:v>8.94</c:v>
                </c:pt>
                <c:pt idx="21">
                  <c:v>9.1300000000000008</c:v>
                </c:pt>
                <c:pt idx="22">
                  <c:v>8.91</c:v>
                </c:pt>
                <c:pt idx="23">
                  <c:v>8.31</c:v>
                </c:pt>
                <c:pt idx="24">
                  <c:v>8.14</c:v>
                </c:pt>
                <c:pt idx="25">
                  <c:v>6.58</c:v>
                </c:pt>
                <c:pt idx="26">
                  <c:v>23.59</c:v>
                </c:pt>
                <c:pt idx="27">
                  <c:v>23.82</c:v>
                </c:pt>
                <c:pt idx="28">
                  <c:v>17.89</c:v>
                </c:pt>
                <c:pt idx="29">
                  <c:v>17.09</c:v>
                </c:pt>
                <c:pt idx="30">
                  <c:v>6.63</c:v>
                </c:pt>
                <c:pt idx="31">
                  <c:v>4.37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78-418D-B4A3-BD00851EF9E9}"/>
            </c:ext>
          </c:extLst>
        </c:ser>
        <c:ser>
          <c:idx val="1"/>
          <c:order val="1"/>
          <c:tx>
            <c:strRef>
              <c:f>'GRAF-11'!$C$59</c:f>
              <c:strCache>
                <c:ptCount val="1"/>
                <c:pt idx="0">
                  <c:v>Ženy (2018)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Pt>
            <c:idx val="16"/>
            <c:invertIfNegative val="0"/>
            <c:bubble3D val="0"/>
            <c:spPr>
              <a:solidFill>
                <a:srgbClr val="F19B6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3A78-418D-B4A3-BD00851EF9E9}"/>
              </c:ext>
            </c:extLst>
          </c:dPt>
          <c:cat>
            <c:strRef>
              <c:f>'GRAF-11'!$A$60:$A$91</c:f>
              <c:strCache>
                <c:ptCount val="32"/>
                <c:pt idx="0">
                  <c:v>Dánsko</c:v>
                </c:pt>
                <c:pt idx="1">
                  <c:v>Německo</c:v>
                </c:pt>
                <c:pt idx="2">
                  <c:v>Belgie</c:v>
                </c:pt>
                <c:pt idx="3">
                  <c:v>Irsko</c:v>
                </c:pt>
                <c:pt idx="4">
                  <c:v>Švédsko</c:v>
                </c:pt>
                <c:pt idx="5">
                  <c:v>Nizozemsko</c:v>
                </c:pt>
                <c:pt idx="6">
                  <c:v>Finsko</c:v>
                </c:pt>
                <c:pt idx="7">
                  <c:v>Lucembursko</c:v>
                </c:pt>
                <c:pt idx="8">
                  <c:v>Rakousko</c:v>
                </c:pt>
                <c:pt idx="9">
                  <c:v>Francie</c:v>
                </c:pt>
                <c:pt idx="10">
                  <c:v>Itálie</c:v>
                </c:pt>
                <c:pt idx="11">
                  <c:v>Malta</c:v>
                </c:pt>
                <c:pt idx="12">
                  <c:v>Španělsko</c:v>
                </c:pt>
                <c:pt idx="13">
                  <c:v>Slovinsko</c:v>
                </c:pt>
                <c:pt idx="14">
                  <c:v>Kypr</c:v>
                </c:pt>
                <c:pt idx="15">
                  <c:v>Polsko</c:v>
                </c:pt>
                <c:pt idx="16">
                  <c:v>Česko</c:v>
                </c:pt>
                <c:pt idx="17">
                  <c:v>Estonsko</c:v>
                </c:pt>
                <c:pt idx="18">
                  <c:v>Slovensko</c:v>
                </c:pt>
                <c:pt idx="19">
                  <c:v>Maďarsko</c:v>
                </c:pt>
                <c:pt idx="20">
                  <c:v>Chorvatsko</c:v>
                </c:pt>
                <c:pt idx="21">
                  <c:v>Rumunsko</c:v>
                </c:pt>
                <c:pt idx="22">
                  <c:v>Litva</c:v>
                </c:pt>
                <c:pt idx="23">
                  <c:v>Lotyšsko</c:v>
                </c:pt>
                <c:pt idx="24">
                  <c:v>Portugalsko</c:v>
                </c:pt>
                <c:pt idx="25">
                  <c:v>Bulharsko</c:v>
                </c:pt>
                <c:pt idx="26">
                  <c:v>Norsko</c:v>
                </c:pt>
                <c:pt idx="27">
                  <c:v>Švýcarsko</c:v>
                </c:pt>
                <c:pt idx="28">
                  <c:v>Island</c:v>
                </c:pt>
                <c:pt idx="29">
                  <c:v>Velká Británie</c:v>
                </c:pt>
                <c:pt idx="30">
                  <c:v>Srbsko</c:v>
                </c:pt>
                <c:pt idx="31">
                  <c:v>Albánie</c:v>
                </c:pt>
              </c:strCache>
            </c:strRef>
          </c:cat>
          <c:val>
            <c:numRef>
              <c:f>'GRAF-11'!$C$60:$C$91</c:f>
              <c:numCache>
                <c:formatCode>#,##0.00</c:formatCode>
                <c:ptCount val="32"/>
                <c:pt idx="0">
                  <c:v>22.06</c:v>
                </c:pt>
                <c:pt idx="1">
                  <c:v>17.829999999999998</c:v>
                </c:pt>
                <c:pt idx="2">
                  <c:v>17.39</c:v>
                </c:pt>
                <c:pt idx="3">
                  <c:v>16.739999999999998</c:v>
                </c:pt>
                <c:pt idx="4">
                  <c:v>17.22</c:v>
                </c:pt>
                <c:pt idx="5">
                  <c:v>14.94</c:v>
                </c:pt>
                <c:pt idx="6">
                  <c:v>16.190000000000001</c:v>
                </c:pt>
                <c:pt idx="7">
                  <c:v>15.84</c:v>
                </c:pt>
                <c:pt idx="8">
                  <c:v>14.21</c:v>
                </c:pt>
                <c:pt idx="9">
                  <c:v>15.16</c:v>
                </c:pt>
                <c:pt idx="10">
                  <c:v>12.81</c:v>
                </c:pt>
                <c:pt idx="11">
                  <c:v>11.09</c:v>
                </c:pt>
                <c:pt idx="12">
                  <c:v>11.72</c:v>
                </c:pt>
                <c:pt idx="13">
                  <c:v>9.7200000000000006</c:v>
                </c:pt>
                <c:pt idx="14">
                  <c:v>8.0299999999999994</c:v>
                </c:pt>
                <c:pt idx="15">
                  <c:v>8.4600000000000009</c:v>
                </c:pt>
                <c:pt idx="16">
                  <c:v>8.19</c:v>
                </c:pt>
                <c:pt idx="17">
                  <c:v>7.22</c:v>
                </c:pt>
                <c:pt idx="18">
                  <c:v>7.21</c:v>
                </c:pt>
                <c:pt idx="19">
                  <c:v>7.17</c:v>
                </c:pt>
                <c:pt idx="20">
                  <c:v>7.23</c:v>
                </c:pt>
                <c:pt idx="21">
                  <c:v>7.09</c:v>
                </c:pt>
                <c:pt idx="22">
                  <c:v>6.81</c:v>
                </c:pt>
                <c:pt idx="23">
                  <c:v>6.72</c:v>
                </c:pt>
                <c:pt idx="24">
                  <c:v>6.28</c:v>
                </c:pt>
                <c:pt idx="25">
                  <c:v>4.9400000000000004</c:v>
                </c:pt>
                <c:pt idx="26">
                  <c:v>21.37</c:v>
                </c:pt>
                <c:pt idx="27" formatCode="General">
                  <c:v>19.399999999999999</c:v>
                </c:pt>
                <c:pt idx="28">
                  <c:v>15.11</c:v>
                </c:pt>
                <c:pt idx="29">
                  <c:v>14.54</c:v>
                </c:pt>
                <c:pt idx="30" formatCode="#\ ##0.0">
                  <c:v>5.2</c:v>
                </c:pt>
                <c:pt idx="31">
                  <c:v>2.84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A78-418D-B4A3-BD00851EF9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40"/>
        <c:overlap val="24"/>
        <c:axId val="211167600"/>
        <c:axId val="281211184"/>
      </c:barChart>
      <c:lineChart>
        <c:grouping val="standard"/>
        <c:varyColors val="0"/>
        <c:ser>
          <c:idx val="2"/>
          <c:order val="2"/>
          <c:tx>
            <c:strRef>
              <c:f>'GRAF-11'!$D$59</c:f>
              <c:strCache>
                <c:ptCount val="1"/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none"/>
          </c:marker>
          <c:cat>
            <c:strRef>
              <c:f>'GRAF-11'!$A$60:$A$91</c:f>
              <c:strCache>
                <c:ptCount val="32"/>
                <c:pt idx="0">
                  <c:v>Dánsko</c:v>
                </c:pt>
                <c:pt idx="1">
                  <c:v>Německo</c:v>
                </c:pt>
                <c:pt idx="2">
                  <c:v>Belgie</c:v>
                </c:pt>
                <c:pt idx="3">
                  <c:v>Irsko</c:v>
                </c:pt>
                <c:pt idx="4">
                  <c:v>Švédsko</c:v>
                </c:pt>
                <c:pt idx="5">
                  <c:v>Nizozemsko</c:v>
                </c:pt>
                <c:pt idx="6">
                  <c:v>Finsko</c:v>
                </c:pt>
                <c:pt idx="7">
                  <c:v>Lucembursko</c:v>
                </c:pt>
                <c:pt idx="8">
                  <c:v>Rakousko</c:v>
                </c:pt>
                <c:pt idx="9">
                  <c:v>Francie</c:v>
                </c:pt>
                <c:pt idx="10">
                  <c:v>Itálie</c:v>
                </c:pt>
                <c:pt idx="11">
                  <c:v>Malta</c:v>
                </c:pt>
                <c:pt idx="12">
                  <c:v>Španělsko</c:v>
                </c:pt>
                <c:pt idx="13">
                  <c:v>Slovinsko</c:v>
                </c:pt>
                <c:pt idx="14">
                  <c:v>Kypr</c:v>
                </c:pt>
                <c:pt idx="15">
                  <c:v>Polsko</c:v>
                </c:pt>
                <c:pt idx="16">
                  <c:v>Česko</c:v>
                </c:pt>
                <c:pt idx="17">
                  <c:v>Estonsko</c:v>
                </c:pt>
                <c:pt idx="18">
                  <c:v>Slovensko</c:v>
                </c:pt>
                <c:pt idx="19">
                  <c:v>Maďarsko</c:v>
                </c:pt>
                <c:pt idx="20">
                  <c:v>Chorvatsko</c:v>
                </c:pt>
                <c:pt idx="21">
                  <c:v>Rumunsko</c:v>
                </c:pt>
                <c:pt idx="22">
                  <c:v>Litva</c:v>
                </c:pt>
                <c:pt idx="23">
                  <c:v>Lotyšsko</c:v>
                </c:pt>
                <c:pt idx="24">
                  <c:v>Portugalsko</c:v>
                </c:pt>
                <c:pt idx="25">
                  <c:v>Bulharsko</c:v>
                </c:pt>
                <c:pt idx="26">
                  <c:v>Norsko</c:v>
                </c:pt>
                <c:pt idx="27">
                  <c:v>Švýcarsko</c:v>
                </c:pt>
                <c:pt idx="28">
                  <c:v>Island</c:v>
                </c:pt>
                <c:pt idx="29">
                  <c:v>Velká Británie</c:v>
                </c:pt>
                <c:pt idx="30">
                  <c:v>Srbsko</c:v>
                </c:pt>
                <c:pt idx="31">
                  <c:v>Albánie</c:v>
                </c:pt>
              </c:strCache>
            </c:strRef>
          </c:cat>
          <c:val>
            <c:numRef>
              <c:f>'GRAF-11'!$D$60:$D$91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3A78-418D-B4A3-BD00851EF9E9}"/>
            </c:ext>
          </c:extLst>
        </c:ser>
        <c:ser>
          <c:idx val="3"/>
          <c:order val="3"/>
          <c:tx>
            <c:strRef>
              <c:f>'GRAF-11'!$E$59</c:f>
              <c:strCache>
                <c:ptCount val="1"/>
                <c:pt idx="0">
                  <c:v>Obě pohlaví (2014)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7"/>
            <c:spPr>
              <a:solidFill>
                <a:srgbClr val="C00000"/>
              </a:solidFill>
              <a:ln w="9525">
                <a:noFill/>
              </a:ln>
              <a:effectLst/>
            </c:spPr>
          </c:marker>
          <c:cat>
            <c:strRef>
              <c:f>'GRAF-11'!$A$60:$A$91</c:f>
              <c:strCache>
                <c:ptCount val="32"/>
                <c:pt idx="0">
                  <c:v>Dánsko</c:v>
                </c:pt>
                <c:pt idx="1">
                  <c:v>Německo</c:v>
                </c:pt>
                <c:pt idx="2">
                  <c:v>Belgie</c:v>
                </c:pt>
                <c:pt idx="3">
                  <c:v>Irsko</c:v>
                </c:pt>
                <c:pt idx="4">
                  <c:v>Švédsko</c:v>
                </c:pt>
                <c:pt idx="5">
                  <c:v>Nizozemsko</c:v>
                </c:pt>
                <c:pt idx="6">
                  <c:v>Finsko</c:v>
                </c:pt>
                <c:pt idx="7">
                  <c:v>Lucembursko</c:v>
                </c:pt>
                <c:pt idx="8">
                  <c:v>Rakousko</c:v>
                </c:pt>
                <c:pt idx="9">
                  <c:v>Francie</c:v>
                </c:pt>
                <c:pt idx="10">
                  <c:v>Itálie</c:v>
                </c:pt>
                <c:pt idx="11">
                  <c:v>Malta</c:v>
                </c:pt>
                <c:pt idx="12">
                  <c:v>Španělsko</c:v>
                </c:pt>
                <c:pt idx="13">
                  <c:v>Slovinsko</c:v>
                </c:pt>
                <c:pt idx="14">
                  <c:v>Kypr</c:v>
                </c:pt>
                <c:pt idx="15">
                  <c:v>Polsko</c:v>
                </c:pt>
                <c:pt idx="16">
                  <c:v>Česko</c:v>
                </c:pt>
                <c:pt idx="17">
                  <c:v>Estonsko</c:v>
                </c:pt>
                <c:pt idx="18">
                  <c:v>Slovensko</c:v>
                </c:pt>
                <c:pt idx="19">
                  <c:v>Maďarsko</c:v>
                </c:pt>
                <c:pt idx="20">
                  <c:v>Chorvatsko</c:v>
                </c:pt>
                <c:pt idx="21">
                  <c:v>Rumunsko</c:v>
                </c:pt>
                <c:pt idx="22">
                  <c:v>Litva</c:v>
                </c:pt>
                <c:pt idx="23">
                  <c:v>Lotyšsko</c:v>
                </c:pt>
                <c:pt idx="24">
                  <c:v>Portugalsko</c:v>
                </c:pt>
                <c:pt idx="25">
                  <c:v>Bulharsko</c:v>
                </c:pt>
                <c:pt idx="26">
                  <c:v>Norsko</c:v>
                </c:pt>
                <c:pt idx="27">
                  <c:v>Švýcarsko</c:v>
                </c:pt>
                <c:pt idx="28">
                  <c:v>Island</c:v>
                </c:pt>
                <c:pt idx="29">
                  <c:v>Velká Británie</c:v>
                </c:pt>
                <c:pt idx="30">
                  <c:v>Srbsko</c:v>
                </c:pt>
                <c:pt idx="31">
                  <c:v>Albánie</c:v>
                </c:pt>
              </c:strCache>
            </c:strRef>
          </c:cat>
          <c:val>
            <c:numRef>
              <c:f>'GRAF-11'!$E$60:$E$91</c:f>
              <c:numCache>
                <c:formatCode>#,##0.00</c:formatCode>
                <c:ptCount val="32"/>
                <c:pt idx="0">
                  <c:v>22.39</c:v>
                </c:pt>
                <c:pt idx="1">
                  <c:v>20.68</c:v>
                </c:pt>
                <c:pt idx="2">
                  <c:v>18.78</c:v>
                </c:pt>
                <c:pt idx="3">
                  <c:v>19.27</c:v>
                </c:pt>
                <c:pt idx="4" formatCode="#,##0">
                  <c:v>18</c:v>
                </c:pt>
                <c:pt idx="5">
                  <c:v>17.38</c:v>
                </c:pt>
                <c:pt idx="6">
                  <c:v>17.579999999999998</c:v>
                </c:pt>
                <c:pt idx="7">
                  <c:v>17.39</c:v>
                </c:pt>
                <c:pt idx="8">
                  <c:v>16.59</c:v>
                </c:pt>
                <c:pt idx="9">
                  <c:v>16.809999999999999</c:v>
                </c:pt>
                <c:pt idx="10">
                  <c:v>14.03</c:v>
                </c:pt>
                <c:pt idx="11">
                  <c:v>11.14</c:v>
                </c:pt>
                <c:pt idx="12">
                  <c:v>13.59</c:v>
                </c:pt>
                <c:pt idx="13">
                  <c:v>10.57</c:v>
                </c:pt>
                <c:pt idx="14">
                  <c:v>10.06</c:v>
                </c:pt>
                <c:pt idx="15">
                  <c:v>9.35</c:v>
                </c:pt>
                <c:pt idx="16">
                  <c:v>8.4499999999999993</c:v>
                </c:pt>
                <c:pt idx="17">
                  <c:v>7.71</c:v>
                </c:pt>
                <c:pt idx="18">
                  <c:v>7.98</c:v>
                </c:pt>
                <c:pt idx="19" formatCode="#,##0">
                  <c:v>8</c:v>
                </c:pt>
                <c:pt idx="20">
                  <c:v>7.62</c:v>
                </c:pt>
                <c:pt idx="21">
                  <c:v>5.01</c:v>
                </c:pt>
                <c:pt idx="22">
                  <c:v>6.33</c:v>
                </c:pt>
                <c:pt idx="23">
                  <c:v>6.01</c:v>
                </c:pt>
                <c:pt idx="24" formatCode="#\ ##0.0">
                  <c:v>7.1</c:v>
                </c:pt>
                <c:pt idx="25">
                  <c:v>4.55</c:v>
                </c:pt>
                <c:pt idx="26">
                  <c:v>24.61</c:v>
                </c:pt>
                <c:pt idx="27" formatCode="#\ ##0.0">
                  <c:v>22.5</c:v>
                </c:pt>
                <c:pt idx="28">
                  <c:v>13.86</c:v>
                </c:pt>
                <c:pt idx="29">
                  <c:v>16.170000000000002</c:v>
                </c:pt>
                <c:pt idx="30">
                  <c:v>5.96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A78-418D-B4A3-BD00851EF9E9}"/>
            </c:ext>
          </c:extLst>
        </c:ser>
        <c:ser>
          <c:idx val="4"/>
          <c:order val="4"/>
          <c:tx>
            <c:strRef>
              <c:f>'GRAF-11'!$F$59</c:f>
              <c:strCache>
                <c:ptCount val="1"/>
                <c:pt idx="0">
                  <c:v>Obě pohlaví (2010)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6"/>
            <c:spPr>
              <a:solidFill>
                <a:schemeClr val="bg1"/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</c:marker>
          <c:cat>
            <c:strRef>
              <c:f>'GRAF-11'!$A$60:$A$91</c:f>
              <c:strCache>
                <c:ptCount val="32"/>
                <c:pt idx="0">
                  <c:v>Dánsko</c:v>
                </c:pt>
                <c:pt idx="1">
                  <c:v>Německo</c:v>
                </c:pt>
                <c:pt idx="2">
                  <c:v>Belgie</c:v>
                </c:pt>
                <c:pt idx="3">
                  <c:v>Irsko</c:v>
                </c:pt>
                <c:pt idx="4">
                  <c:v>Švédsko</c:v>
                </c:pt>
                <c:pt idx="5">
                  <c:v>Nizozemsko</c:v>
                </c:pt>
                <c:pt idx="6">
                  <c:v>Finsko</c:v>
                </c:pt>
                <c:pt idx="7">
                  <c:v>Lucembursko</c:v>
                </c:pt>
                <c:pt idx="8">
                  <c:v>Rakousko</c:v>
                </c:pt>
                <c:pt idx="9">
                  <c:v>Francie</c:v>
                </c:pt>
                <c:pt idx="10">
                  <c:v>Itálie</c:v>
                </c:pt>
                <c:pt idx="11">
                  <c:v>Malta</c:v>
                </c:pt>
                <c:pt idx="12">
                  <c:v>Španělsko</c:v>
                </c:pt>
                <c:pt idx="13">
                  <c:v>Slovinsko</c:v>
                </c:pt>
                <c:pt idx="14">
                  <c:v>Kypr</c:v>
                </c:pt>
                <c:pt idx="15">
                  <c:v>Polsko</c:v>
                </c:pt>
                <c:pt idx="16">
                  <c:v>Česko</c:v>
                </c:pt>
                <c:pt idx="17">
                  <c:v>Estonsko</c:v>
                </c:pt>
                <c:pt idx="18">
                  <c:v>Slovensko</c:v>
                </c:pt>
                <c:pt idx="19">
                  <c:v>Maďarsko</c:v>
                </c:pt>
                <c:pt idx="20">
                  <c:v>Chorvatsko</c:v>
                </c:pt>
                <c:pt idx="21">
                  <c:v>Rumunsko</c:v>
                </c:pt>
                <c:pt idx="22">
                  <c:v>Litva</c:v>
                </c:pt>
                <c:pt idx="23">
                  <c:v>Lotyšsko</c:v>
                </c:pt>
                <c:pt idx="24">
                  <c:v>Portugalsko</c:v>
                </c:pt>
                <c:pt idx="25">
                  <c:v>Bulharsko</c:v>
                </c:pt>
                <c:pt idx="26">
                  <c:v>Norsko</c:v>
                </c:pt>
                <c:pt idx="27">
                  <c:v>Švýcarsko</c:v>
                </c:pt>
                <c:pt idx="28">
                  <c:v>Island</c:v>
                </c:pt>
                <c:pt idx="29">
                  <c:v>Velká Británie</c:v>
                </c:pt>
                <c:pt idx="30">
                  <c:v>Srbsko</c:v>
                </c:pt>
                <c:pt idx="31">
                  <c:v>Albánie</c:v>
                </c:pt>
              </c:strCache>
            </c:strRef>
          </c:cat>
          <c:val>
            <c:numRef>
              <c:f>'GRAF-11'!$F$60:$F$91</c:f>
              <c:numCache>
                <c:formatCode>#,##0.00</c:formatCode>
                <c:ptCount val="32"/>
                <c:pt idx="0">
                  <c:v>21.62</c:v>
                </c:pt>
                <c:pt idx="1">
                  <c:v>18.14</c:v>
                </c:pt>
                <c:pt idx="2">
                  <c:v>17.059999999999999</c:v>
                </c:pt>
                <c:pt idx="3">
                  <c:v>19.22</c:v>
                </c:pt>
                <c:pt idx="4">
                  <c:v>15.53</c:v>
                </c:pt>
                <c:pt idx="5">
                  <c:v>16.75</c:v>
                </c:pt>
                <c:pt idx="6">
                  <c:v>16.440000000000001</c:v>
                </c:pt>
                <c:pt idx="7">
                  <c:v>17.34</c:v>
                </c:pt>
                <c:pt idx="8">
                  <c:v>14.77</c:v>
                </c:pt>
                <c:pt idx="9">
                  <c:v>14.97</c:v>
                </c:pt>
                <c:pt idx="10">
                  <c:v>12.54</c:v>
                </c:pt>
                <c:pt idx="11">
                  <c:v>10.93</c:v>
                </c:pt>
                <c:pt idx="12">
                  <c:v>12.86</c:v>
                </c:pt>
                <c:pt idx="13">
                  <c:v>9.84</c:v>
                </c:pt>
                <c:pt idx="14">
                  <c:v>10.63</c:v>
                </c:pt>
                <c:pt idx="15">
                  <c:v>7.69</c:v>
                </c:pt>
                <c:pt idx="16">
                  <c:v>7.15</c:v>
                </c:pt>
                <c:pt idx="17">
                  <c:v>6.94</c:v>
                </c:pt>
                <c:pt idx="18">
                  <c:v>6.93</c:v>
                </c:pt>
                <c:pt idx="19">
                  <c:v>7.19</c:v>
                </c:pt>
                <c:pt idx="20" formatCode="#\ ##0.0">
                  <c:v>7.7</c:v>
                </c:pt>
                <c:pt idx="21">
                  <c:v>4.91</c:v>
                </c:pt>
                <c:pt idx="22">
                  <c:v>5.65</c:v>
                </c:pt>
                <c:pt idx="23">
                  <c:v>5.35</c:v>
                </c:pt>
                <c:pt idx="24">
                  <c:v>7.09</c:v>
                </c:pt>
                <c:pt idx="25">
                  <c:v>4.21</c:v>
                </c:pt>
                <c:pt idx="26" formatCode="#\ ##0.0">
                  <c:v>21.8</c:v>
                </c:pt>
                <c:pt idx="27">
                  <c:v>18.59</c:v>
                </c:pt>
                <c:pt idx="28">
                  <c:v>11.39</c:v>
                </c:pt>
                <c:pt idx="29">
                  <c:v>17.170000000000002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3A78-418D-B4A3-BD00851EF9E9}"/>
            </c:ext>
          </c:extLst>
        </c:ser>
        <c:ser>
          <c:idx val="5"/>
          <c:order val="5"/>
          <c:tx>
            <c:strRef>
              <c:f>'GRAF-11'!$G$59</c:f>
              <c:strCache>
                <c:ptCount val="1"/>
                <c:pt idx="0">
                  <c:v>Obě pohlaví (2006)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7"/>
            <c:spPr>
              <a:solidFill>
                <a:schemeClr val="tx1">
                  <a:lumMod val="95000"/>
                  <a:lumOff val="5000"/>
                </a:schemeClr>
              </a:solidFill>
              <a:ln w="9525">
                <a:noFill/>
              </a:ln>
              <a:effectLst/>
            </c:spPr>
          </c:marker>
          <c:cat>
            <c:strRef>
              <c:f>'GRAF-11'!$A$60:$A$91</c:f>
              <c:strCache>
                <c:ptCount val="32"/>
                <c:pt idx="0">
                  <c:v>Dánsko</c:v>
                </c:pt>
                <c:pt idx="1">
                  <c:v>Německo</c:v>
                </c:pt>
                <c:pt idx="2">
                  <c:v>Belgie</c:v>
                </c:pt>
                <c:pt idx="3">
                  <c:v>Irsko</c:v>
                </c:pt>
                <c:pt idx="4">
                  <c:v>Švédsko</c:v>
                </c:pt>
                <c:pt idx="5">
                  <c:v>Nizozemsko</c:v>
                </c:pt>
                <c:pt idx="6">
                  <c:v>Finsko</c:v>
                </c:pt>
                <c:pt idx="7">
                  <c:v>Lucembursko</c:v>
                </c:pt>
                <c:pt idx="8">
                  <c:v>Rakousko</c:v>
                </c:pt>
                <c:pt idx="9">
                  <c:v>Francie</c:v>
                </c:pt>
                <c:pt idx="10">
                  <c:v>Itálie</c:v>
                </c:pt>
                <c:pt idx="11">
                  <c:v>Malta</c:v>
                </c:pt>
                <c:pt idx="12">
                  <c:v>Španělsko</c:v>
                </c:pt>
                <c:pt idx="13">
                  <c:v>Slovinsko</c:v>
                </c:pt>
                <c:pt idx="14">
                  <c:v>Kypr</c:v>
                </c:pt>
                <c:pt idx="15">
                  <c:v>Polsko</c:v>
                </c:pt>
                <c:pt idx="16">
                  <c:v>Česko</c:v>
                </c:pt>
                <c:pt idx="17">
                  <c:v>Estonsko</c:v>
                </c:pt>
                <c:pt idx="18">
                  <c:v>Slovensko</c:v>
                </c:pt>
                <c:pt idx="19">
                  <c:v>Maďarsko</c:v>
                </c:pt>
                <c:pt idx="20">
                  <c:v>Chorvatsko</c:v>
                </c:pt>
                <c:pt idx="21">
                  <c:v>Rumunsko</c:v>
                </c:pt>
                <c:pt idx="22">
                  <c:v>Litva</c:v>
                </c:pt>
                <c:pt idx="23">
                  <c:v>Lotyšsko</c:v>
                </c:pt>
                <c:pt idx="24">
                  <c:v>Portugalsko</c:v>
                </c:pt>
                <c:pt idx="25">
                  <c:v>Bulharsko</c:v>
                </c:pt>
                <c:pt idx="26">
                  <c:v>Norsko</c:v>
                </c:pt>
                <c:pt idx="27">
                  <c:v>Švýcarsko</c:v>
                </c:pt>
                <c:pt idx="28">
                  <c:v>Island</c:v>
                </c:pt>
                <c:pt idx="29">
                  <c:v>Velká Británie</c:v>
                </c:pt>
                <c:pt idx="30">
                  <c:v>Srbsko</c:v>
                </c:pt>
                <c:pt idx="31">
                  <c:v>Albánie</c:v>
                </c:pt>
              </c:strCache>
            </c:strRef>
          </c:cat>
          <c:val>
            <c:numRef>
              <c:f>'GRAF-11'!$G$60:$G$91</c:f>
              <c:numCache>
                <c:formatCode>#,##0.00</c:formatCode>
                <c:ptCount val="32"/>
                <c:pt idx="0">
                  <c:v>17.73</c:v>
                </c:pt>
                <c:pt idx="1">
                  <c:v>17.29</c:v>
                </c:pt>
                <c:pt idx="2">
                  <c:v>15.21</c:v>
                </c:pt>
                <c:pt idx="3">
                  <c:v>15.72</c:v>
                </c:pt>
                <c:pt idx="4">
                  <c:v>14.31</c:v>
                </c:pt>
                <c:pt idx="5">
                  <c:v>16.41</c:v>
                </c:pt>
                <c:pt idx="6">
                  <c:v>13.69</c:v>
                </c:pt>
                <c:pt idx="7">
                  <c:v>16.28</c:v>
                </c:pt>
                <c:pt idx="8">
                  <c:v>14.16</c:v>
                </c:pt>
                <c:pt idx="9">
                  <c:v>14.88</c:v>
                </c:pt>
                <c:pt idx="10">
                  <c:v>11.08</c:v>
                </c:pt>
                <c:pt idx="12">
                  <c:v>11.53</c:v>
                </c:pt>
                <c:pt idx="13">
                  <c:v>8.0500000000000007</c:v>
                </c:pt>
                <c:pt idx="14">
                  <c:v>5.78</c:v>
                </c:pt>
                <c:pt idx="15">
                  <c:v>6.08</c:v>
                </c:pt>
                <c:pt idx="16">
                  <c:v>6.66</c:v>
                </c:pt>
                <c:pt idx="17">
                  <c:v>5.12</c:v>
                </c:pt>
                <c:pt idx="18">
                  <c:v>5.53</c:v>
                </c:pt>
                <c:pt idx="19">
                  <c:v>5.67</c:v>
                </c:pt>
                <c:pt idx="21">
                  <c:v>2.92</c:v>
                </c:pt>
                <c:pt idx="22">
                  <c:v>4.55</c:v>
                </c:pt>
                <c:pt idx="23">
                  <c:v>4.0999999999999996</c:v>
                </c:pt>
                <c:pt idx="24">
                  <c:v>6.05</c:v>
                </c:pt>
                <c:pt idx="25">
                  <c:v>2.4500000000000002</c:v>
                </c:pt>
                <c:pt idx="26">
                  <c:v>18.309999999999999</c:v>
                </c:pt>
                <c:pt idx="29">
                  <c:v>18.100000000000001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3A78-418D-B4A3-BD00851EF9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94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0"/>
        <c:noMultiLvlLbl val="0"/>
      </c:catAx>
      <c:valAx>
        <c:axId val="281211184"/>
        <c:scaling>
          <c:orientation val="minMax"/>
          <c:max val="26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2"/>
        <c:minorUnit val="1"/>
      </c:val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1.9473652749927999E-2"/>
          <c:y val="0.93560818887129982"/>
          <c:w val="0.96134374507534381"/>
          <c:h val="5.4299991490354513E-2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949849763974712E-2"/>
          <c:y val="1.7071298480717631E-2"/>
          <c:w val="0.81499313853361788"/>
          <c:h val="0.78833075412436326"/>
        </c:manualLayout>
      </c:layout>
      <c:barChart>
        <c:barDir val="col"/>
        <c:grouping val="clustered"/>
        <c:varyColors val="0"/>
        <c:ser>
          <c:idx val="4"/>
          <c:order val="4"/>
          <c:tx>
            <c:strRef>
              <c:f>'Graf-2'!$P$4</c:f>
              <c:strCache>
                <c:ptCount val="1"/>
                <c:pt idx="0">
                  <c:v>Vývoz průmyslového zboží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cat>
            <c:numRef>
              <c:f>'Graf-2'!$K$5:$K$19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'Graf-2'!$P$5:$P$19</c:f>
              <c:numCache>
                <c:formatCode>#\ ##0_ ;\-#\ ##0\ </c:formatCode>
                <c:ptCount val="15"/>
                <c:pt idx="0">
                  <c:v>1834.373</c:v>
                </c:pt>
                <c:pt idx="1">
                  <c:v>2039.1220000000001</c:v>
                </c:pt>
                <c:pt idx="2">
                  <c:v>2249.328</c:v>
                </c:pt>
                <c:pt idx="3">
                  <c:v>2216.7869999999998</c:v>
                </c:pt>
                <c:pt idx="4">
                  <c:v>1969.6959999999999</c:v>
                </c:pt>
                <c:pt idx="5">
                  <c:v>2266.6930000000002</c:v>
                </c:pt>
                <c:pt idx="6">
                  <c:v>2500.4569999999999</c:v>
                </c:pt>
                <c:pt idx="7">
                  <c:v>2649.5929999999998</c:v>
                </c:pt>
                <c:pt idx="8">
                  <c:v>2708.002</c:v>
                </c:pt>
                <c:pt idx="9">
                  <c:v>3062.09</c:v>
                </c:pt>
                <c:pt idx="10">
                  <c:v>3177.8180000000002</c:v>
                </c:pt>
                <c:pt idx="11">
                  <c:v>3211.55</c:v>
                </c:pt>
                <c:pt idx="12">
                  <c:v>3429.3240000000001</c:v>
                </c:pt>
                <c:pt idx="13">
                  <c:v>3538.9789999999998</c:v>
                </c:pt>
                <c:pt idx="14">
                  <c:v>3608.0520000000001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8F-4DE6-B0DA-1BAE830EB406}"/>
            </c:ext>
          </c:extLst>
        </c:ser>
        <c:ser>
          <c:idx val="5"/>
          <c:order val="5"/>
          <c:tx>
            <c:strRef>
              <c:f>'Graf-2'!$Q$4</c:f>
              <c:strCache>
                <c:ptCount val="1"/>
                <c:pt idx="0">
                  <c:v>z toho dopravní prostředky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9526312953719317E-3"/>
                  <c:y val="1.52169222422096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19,1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48F-4DE6-B0DA-1BAE830EB406}"/>
                </c:ext>
              </c:extLst>
            </c:dLbl>
            <c:dLbl>
              <c:idx val="1"/>
              <c:layout>
                <c:manualLayout>
                  <c:x val="1.3260998588695614E-2"/>
                  <c:y val="1.52025576208356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48F-4DE6-B0DA-1BAE830EB406}"/>
                </c:ext>
              </c:extLst>
            </c:dLbl>
            <c:dLbl>
              <c:idx val="2"/>
              <c:layout>
                <c:manualLayout>
                  <c:x val="1.326099858869559E-2"/>
                  <c:y val="1.14019182156267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48F-4DE6-B0DA-1BAE830EB406}"/>
                </c:ext>
              </c:extLst>
            </c:dLbl>
            <c:dLbl>
              <c:idx val="3"/>
              <c:layout>
                <c:manualLayout>
                  <c:x val="1.3260998588695566E-2"/>
                  <c:y val="1.52025576208356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48F-4DE6-B0DA-1BAE830EB406}"/>
                </c:ext>
              </c:extLst>
            </c:dLbl>
            <c:dLbl>
              <c:idx val="4"/>
              <c:layout>
                <c:manualLayout>
                  <c:x val="1.3260998588695614E-2"/>
                  <c:y val="1.14019182156267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48F-4DE6-B0DA-1BAE830EB406}"/>
                </c:ext>
              </c:extLst>
            </c:dLbl>
            <c:dLbl>
              <c:idx val="5"/>
              <c:layout>
                <c:manualLayout>
                  <c:x val="1.591319830643469E-2"/>
                  <c:y val="1.14019182156265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48F-4DE6-B0DA-1BAE830EB406}"/>
                </c:ext>
              </c:extLst>
            </c:dLbl>
            <c:dLbl>
              <c:idx val="6"/>
              <c:layout>
                <c:manualLayout>
                  <c:x val="1.3260998588695663E-2"/>
                  <c:y val="1.140191821562659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48F-4DE6-B0DA-1BAE830EB406}"/>
                </c:ext>
              </c:extLst>
            </c:dLbl>
            <c:dLbl>
              <c:idx val="7"/>
              <c:layout>
                <c:manualLayout>
                  <c:x val="1.3260998588695517E-2"/>
                  <c:y val="1.14019182156267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48F-4DE6-B0DA-1BAE830EB406}"/>
                </c:ext>
              </c:extLst>
            </c:dLbl>
            <c:dLbl>
              <c:idx val="8"/>
              <c:layout>
                <c:manualLayout>
                  <c:x val="1.5913198306434739E-2"/>
                  <c:y val="1.14019182156267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48F-4DE6-B0DA-1BAE830EB406}"/>
                </c:ext>
              </c:extLst>
            </c:dLbl>
            <c:dLbl>
              <c:idx val="9"/>
              <c:layout>
                <c:manualLayout>
                  <c:x val="1.3260998588695614E-2"/>
                  <c:y val="1.520255762083564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48F-4DE6-B0DA-1BAE830EB406}"/>
                </c:ext>
              </c:extLst>
            </c:dLbl>
            <c:dLbl>
              <c:idx val="10"/>
              <c:layout>
                <c:manualLayout>
                  <c:x val="1.3260998588695614E-2"/>
                  <c:y val="1.52025576208355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48F-4DE6-B0DA-1BAE830EB406}"/>
                </c:ext>
              </c:extLst>
            </c:dLbl>
            <c:dLbl>
              <c:idx val="11"/>
              <c:layout>
                <c:manualLayout>
                  <c:x val="1.3260998588695614E-2"/>
                  <c:y val="1.52025576208355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48F-4DE6-B0DA-1BAE830EB406}"/>
                </c:ext>
              </c:extLst>
            </c:dLbl>
            <c:dLbl>
              <c:idx val="12"/>
              <c:layout>
                <c:manualLayout>
                  <c:x val="1.3260998588695614E-2"/>
                  <c:y val="1.520255762083571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548F-4DE6-B0DA-1BAE830EB406}"/>
                </c:ext>
              </c:extLst>
            </c:dLbl>
            <c:dLbl>
              <c:idx val="13"/>
              <c:layout>
                <c:manualLayout>
                  <c:x val="1.3260998588695712E-2"/>
                  <c:y val="1.520255762083557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548F-4DE6-B0DA-1BAE830EB406}"/>
                </c:ext>
              </c:extLst>
            </c:dLbl>
            <c:dLbl>
              <c:idx val="14"/>
              <c:layout>
                <c:manualLayout>
                  <c:x val="0"/>
                  <c:y val="1.140191821562673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29,9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548F-4DE6-B0DA-1BAE830EB40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'Graf-2'!$K$5:$K$19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'Graf-2'!$Q$5:$Q$19</c:f>
              <c:numCache>
                <c:formatCode>#\ ##0_ ;\-#\ ##0\ </c:formatCode>
                <c:ptCount val="15"/>
                <c:pt idx="0">
                  <c:v>349.91300000000001</c:v>
                </c:pt>
                <c:pt idx="1">
                  <c:v>416.84899999999999</c:v>
                </c:pt>
                <c:pt idx="2">
                  <c:v>467.27800000000002</c:v>
                </c:pt>
                <c:pt idx="3">
                  <c:v>443.13099999999997</c:v>
                </c:pt>
                <c:pt idx="4">
                  <c:v>423.24700000000001</c:v>
                </c:pt>
                <c:pt idx="5">
                  <c:v>493.74900000000002</c:v>
                </c:pt>
                <c:pt idx="6">
                  <c:v>552.68299999999999</c:v>
                </c:pt>
                <c:pt idx="7">
                  <c:v>593.45100000000002</c:v>
                </c:pt>
                <c:pt idx="8">
                  <c:v>627.995</c:v>
                </c:pt>
                <c:pt idx="9">
                  <c:v>764.52200000000005</c:v>
                </c:pt>
                <c:pt idx="10">
                  <c:v>897.86099999999999</c:v>
                </c:pt>
                <c:pt idx="11">
                  <c:v>969.30799999999999</c:v>
                </c:pt>
                <c:pt idx="12">
                  <c:v>1043.5609999999999</c:v>
                </c:pt>
                <c:pt idx="13">
                  <c:v>1036.8219999999999</c:v>
                </c:pt>
                <c:pt idx="14">
                  <c:v>1079.2059999999999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48F-4DE6-B0DA-1BAE830EB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4928528"/>
        <c:axId val="432872944"/>
      </c:barChart>
      <c:lineChart>
        <c:grouping val="standard"/>
        <c:varyColors val="0"/>
        <c:ser>
          <c:idx val="0"/>
          <c:order val="0"/>
          <c:tx>
            <c:strRef>
              <c:f>'Graf-2'!$L$4</c:f>
              <c:strCache>
                <c:ptCount val="1"/>
                <c:pt idx="0">
                  <c:v>Vývoz zboží / produkce v NH (v %)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'Graf-2'!$K$5:$K$19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'Graf-2'!$L$5:$L$19</c:f>
              <c:numCache>
                <c:formatCode>#\ ##0.0</c:formatCode>
                <c:ptCount val="15"/>
                <c:pt idx="0">
                  <c:v>22.821236919515261</c:v>
                </c:pt>
                <c:pt idx="1">
                  <c:v>23.111580607709271</c:v>
                </c:pt>
                <c:pt idx="2">
                  <c:v>23.406680286176421</c:v>
                </c:pt>
                <c:pt idx="3">
                  <c:v>22.205625048421425</c:v>
                </c:pt>
                <c:pt idx="4">
                  <c:v>21.644077738451315</c:v>
                </c:pt>
                <c:pt idx="5">
                  <c:v>23.653449364958554</c:v>
                </c:pt>
                <c:pt idx="6">
                  <c:v>25.107465507442118</c:v>
                </c:pt>
                <c:pt idx="7">
                  <c:v>27.232793946548504</c:v>
                </c:pt>
                <c:pt idx="8">
                  <c:v>27.716509143129674</c:v>
                </c:pt>
                <c:pt idx="9">
                  <c:v>29.812781430411345</c:v>
                </c:pt>
                <c:pt idx="10">
                  <c:v>29.683327799588348</c:v>
                </c:pt>
                <c:pt idx="11">
                  <c:v>29.519903167910616</c:v>
                </c:pt>
                <c:pt idx="12">
                  <c:v>29.420017035165447</c:v>
                </c:pt>
                <c:pt idx="13">
                  <c:v>28.584393900554939</c:v>
                </c:pt>
                <c:pt idx="14">
                  <c:v>27.854989200296593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1-548F-4DE6-B0DA-1BAE830EB406}"/>
            </c:ext>
          </c:extLst>
        </c:ser>
        <c:ser>
          <c:idx val="1"/>
          <c:order val="1"/>
          <c:tx>
            <c:strRef>
              <c:f>'Graf-2'!$M$4</c:f>
              <c:strCache>
                <c:ptCount val="1"/>
                <c:pt idx="0">
                  <c:v>Vývoz zboží / HDP (v %)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'Graf-2'!$K$5:$K$19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'Graf-2'!$M$5:$M$19</c:f>
              <c:numCache>
                <c:formatCode>#\ ##0.0</c:formatCode>
                <c:ptCount val="15"/>
                <c:pt idx="0">
                  <c:v>52.149573997145261</c:v>
                </c:pt>
                <c:pt idx="1">
                  <c:v>54.761794911494462</c:v>
                </c:pt>
                <c:pt idx="2">
                  <c:v>55.995608677084185</c:v>
                </c:pt>
                <c:pt idx="3">
                  <c:v>52.872589853471609</c:v>
                </c:pt>
                <c:pt idx="4">
                  <c:v>48.494472718503367</c:v>
                </c:pt>
                <c:pt idx="5">
                  <c:v>54.976256383423873</c:v>
                </c:pt>
                <c:pt idx="6">
                  <c:v>59.988852403755885</c:v>
                </c:pt>
                <c:pt idx="7">
                  <c:v>64.142480514451279</c:v>
                </c:pt>
                <c:pt idx="8">
                  <c:v>64.698374895334453</c:v>
                </c:pt>
                <c:pt idx="9">
                  <c:v>69.92393495238079</c:v>
                </c:pt>
                <c:pt idx="10">
                  <c:v>68.217357808831352</c:v>
                </c:pt>
                <c:pt idx="11">
                  <c:v>66.647917156781773</c:v>
                </c:pt>
                <c:pt idx="12">
                  <c:v>66.665995749774055</c:v>
                </c:pt>
                <c:pt idx="13">
                  <c:v>64.767391503079068</c:v>
                </c:pt>
                <c:pt idx="14">
                  <c:v>62.320936908553001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548F-4DE6-B0DA-1BAE830EB406}"/>
            </c:ext>
          </c:extLst>
        </c:ser>
        <c:ser>
          <c:idx val="2"/>
          <c:order val="2"/>
          <c:tx>
            <c:strRef>
              <c:f>'Graf-2'!$N$4</c:f>
              <c:strCache>
                <c:ptCount val="1"/>
                <c:pt idx="0">
                  <c:v>Vývoz zboží i služeb / produkce v NH (v %)</c:v>
                </c:pt>
              </c:strCache>
            </c:strRef>
          </c:tx>
          <c:spPr>
            <a:ln w="19050" cap="rnd">
              <a:solidFill>
                <a:srgbClr val="00B0F0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'Graf-2'!$K$5:$K$19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'Graf-2'!$N$5:$N$19</c:f>
              <c:numCache>
                <c:formatCode>0.0</c:formatCode>
                <c:ptCount val="15"/>
                <c:pt idx="0">
                  <c:v>27.020018023060398</c:v>
                </c:pt>
                <c:pt idx="1">
                  <c:v>27.38543049268911</c:v>
                </c:pt>
                <c:pt idx="2">
                  <c:v>27.640033997171663</c:v>
                </c:pt>
                <c:pt idx="3">
                  <c:v>26.414911666326091</c:v>
                </c:pt>
                <c:pt idx="4">
                  <c:v>26.050551858522219</c:v>
                </c:pt>
                <c:pt idx="5">
                  <c:v>28.169382355530015</c:v>
                </c:pt>
                <c:pt idx="6">
                  <c:v>29.610162239114917</c:v>
                </c:pt>
                <c:pt idx="7">
                  <c:v>32.103841113308619</c:v>
                </c:pt>
                <c:pt idx="8">
                  <c:v>32.57306854857103</c:v>
                </c:pt>
                <c:pt idx="9">
                  <c:v>34.932827656540177</c:v>
                </c:pt>
                <c:pt idx="10">
                  <c:v>35.071973006232113</c:v>
                </c:pt>
                <c:pt idx="11">
                  <c:v>35.021653367465603</c:v>
                </c:pt>
                <c:pt idx="12">
                  <c:v>34.911921882115863</c:v>
                </c:pt>
                <c:pt idx="13">
                  <c:v>34.012071903258501</c:v>
                </c:pt>
                <c:pt idx="14">
                  <c:v>33.274720471750378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548F-4DE6-B0DA-1BAE830EB406}"/>
            </c:ext>
          </c:extLst>
        </c:ser>
        <c:ser>
          <c:idx val="3"/>
          <c:order val="3"/>
          <c:tx>
            <c:strRef>
              <c:f>'Graf-2'!$O$4</c:f>
              <c:strCache>
                <c:ptCount val="1"/>
                <c:pt idx="0">
                  <c:v>Vývoz zboží i služeb / HDP (v %)</c:v>
                </c:pt>
              </c:strCache>
            </c:strRef>
          </c:tx>
          <c:spPr>
            <a:ln w="19050" cap="rnd">
              <a:solidFill>
                <a:schemeClr val="accent2">
                  <a:lumMod val="7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'Graf-2'!$K$5:$K$19</c:f>
              <c:numCache>
                <c:formatCode>General</c:formatCode>
                <c:ptCount val="15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</c:v>
                </c:pt>
                <c:pt idx="13">
                  <c:v>2018</c:v>
                </c:pt>
                <c:pt idx="14">
                  <c:v>2019</c:v>
                </c:pt>
              </c:numCache>
            </c:numRef>
          </c:cat>
          <c:val>
            <c:numRef>
              <c:f>'Graf-2'!$O$5:$O$19</c:f>
              <c:numCache>
                <c:formatCode>0.0</c:formatCode>
                <c:ptCount val="15"/>
                <c:pt idx="0">
                  <c:v>61.744349540178931</c:v>
                </c:pt>
                <c:pt idx="1">
                  <c:v>64.888479661290887</c:v>
                </c:pt>
                <c:pt idx="2">
                  <c:v>66.123025931233173</c:v>
                </c:pt>
                <c:pt idx="3">
                  <c:v>62.895090208173464</c:v>
                </c:pt>
                <c:pt idx="4">
                  <c:v>58.367364582172101</c:v>
                </c:pt>
                <c:pt idx="5">
                  <c:v>65.472361457545418</c:v>
                </c:pt>
                <c:pt idx="6">
                  <c:v>70.747071291884183</c:v>
                </c:pt>
                <c:pt idx="7">
                  <c:v>75.615451249372214</c:v>
                </c:pt>
                <c:pt idx="8">
                  <c:v>76.034993785256717</c:v>
                </c:pt>
                <c:pt idx="9">
                  <c:v>81.932669531698295</c:v>
                </c:pt>
                <c:pt idx="10">
                  <c:v>80.601384985580722</c:v>
                </c:pt>
                <c:pt idx="11">
                  <c:v>79.069373603693336</c:v>
                </c:pt>
                <c:pt idx="12">
                  <c:v>79.110696401963892</c:v>
                </c:pt>
                <c:pt idx="13">
                  <c:v>77.065589861832009</c:v>
                </c:pt>
                <c:pt idx="14">
                  <c:v>74.446690331066861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548F-4DE6-B0DA-1BAE830EB4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50"/>
        <c:noMultiLvlLbl val="0"/>
      </c:catAx>
      <c:valAx>
        <c:axId val="281211184"/>
        <c:scaling>
          <c:orientation val="minMax"/>
          <c:max val="9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Poměr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vývozu k HDP, podíl vývozu na produkci (v %)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4.3953191509653208E-4"/>
              <c:y val="5.2864149913788419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5"/>
      </c:valAx>
      <c:valAx>
        <c:axId val="432872944"/>
        <c:scaling>
          <c:orientation val="minMax"/>
          <c:max val="4500"/>
          <c:min val="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Hodnota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vývozu (v mld. korun)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6788991301207283"/>
              <c:y val="0.195359280764591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\ ##0_ ;\-#\ ##0\ 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404928528"/>
        <c:crosses val="max"/>
        <c:crossBetween val="between"/>
        <c:majorUnit val="500"/>
      </c:valAx>
      <c:catAx>
        <c:axId val="404928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32872944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1.5748457406313053E-2"/>
          <c:y val="0.89544454890398839"/>
          <c:w val="0.95786874510868703"/>
          <c:h val="0.10075180773343503"/>
        </c:manualLayout>
      </c:layout>
      <c:overlay val="0"/>
      <c:spPr>
        <a:noFill/>
        <a:ln w="6350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5109301663547582E-2"/>
          <c:y val="1.7245776101239653E-2"/>
          <c:w val="0.94132724109261579"/>
          <c:h val="0.7026049428758417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'GRAF-16'!$B$51</c:f>
              <c:strCache>
                <c:ptCount val="1"/>
                <c:pt idx="0">
                  <c:v>Mzdy a platy (rok 2019)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25400"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BD7-471C-B986-EAEFF2AEECAF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BD7-471C-B986-EAEFF2AEECAF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6-EBD7-471C-B986-EAEFF2AEECAF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BD7-471C-B986-EAEFF2AEECAF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BD7-471C-B986-EAEFF2AEECAF}"/>
              </c:ext>
            </c:extLst>
          </c:dPt>
          <c:cat>
            <c:strRef>
              <c:f>'GRAF-16'!$A$52:$A$88</c:f>
              <c:strCache>
                <c:ptCount val="37"/>
                <c:pt idx="0">
                  <c:v>Dánsko</c:v>
                </c:pt>
                <c:pt idx="1">
                  <c:v>Belgie</c:v>
                </c:pt>
                <c:pt idx="2">
                  <c:v>Německo</c:v>
                </c:pt>
                <c:pt idx="3">
                  <c:v>Švédsko</c:v>
                </c:pt>
                <c:pt idx="4">
                  <c:v>Nizozemsko</c:v>
                </c:pt>
                <c:pt idx="5">
                  <c:v>Francie</c:v>
                </c:pt>
                <c:pt idx="6">
                  <c:v>Rakousko</c:v>
                </c:pt>
                <c:pt idx="7">
                  <c:v>Finsko</c:v>
                </c:pt>
                <c:pt idx="8">
                  <c:v>Lucembursko</c:v>
                </c:pt>
                <c:pt idx="9">
                  <c:v>EU15</c:v>
                </c:pt>
                <c:pt idx="10">
                  <c:v>eurozóna (19)</c:v>
                </c:pt>
                <c:pt idx="11">
                  <c:v>Irsko</c:v>
                </c:pt>
                <c:pt idx="12">
                  <c:v>Itálie</c:v>
                </c:pt>
                <c:pt idx="13">
                  <c:v>EU27</c:v>
                </c:pt>
                <c:pt idx="14">
                  <c:v>Španělsko</c:v>
                </c:pt>
                <c:pt idx="15">
                  <c:v>Slovinsko</c:v>
                </c:pt>
                <c:pt idx="16">
                  <c:v>Řecko</c:v>
                </c:pt>
                <c:pt idx="17">
                  <c:v>Malta</c:v>
                </c:pt>
                <c:pt idx="18">
                  <c:v>Kypr</c:v>
                </c:pt>
                <c:pt idx="19">
                  <c:v>Česko</c:v>
                </c:pt>
                <c:pt idx="20">
                  <c:v>Slovensko</c:v>
                </c:pt>
                <c:pt idx="21">
                  <c:v>Estonsko</c:v>
                </c:pt>
                <c:pt idx="22">
                  <c:v>Portugalsko</c:v>
                </c:pt>
                <c:pt idx="23">
                  <c:v>Maďarsko</c:v>
                </c:pt>
                <c:pt idx="24">
                  <c:v>Chorvatsko</c:v>
                </c:pt>
                <c:pt idx="25">
                  <c:v>Polsko</c:v>
                </c:pt>
                <c:pt idx="26">
                  <c:v>Lotyšsko</c:v>
                </c:pt>
                <c:pt idx="27">
                  <c:v>Litva</c:v>
                </c:pt>
                <c:pt idx="28">
                  <c:v>Rumunsko</c:v>
                </c:pt>
                <c:pt idx="29">
                  <c:v>Bulharsko</c:v>
                </c:pt>
                <c:pt idx="30">
                  <c:v>Velká Británie</c:v>
                </c:pt>
                <c:pt idx="31">
                  <c:v>Černá Hora</c:v>
                </c:pt>
                <c:pt idx="32">
                  <c:v>Srbsko</c:v>
                </c:pt>
                <c:pt idx="33">
                  <c:v>Bosna a H.</c:v>
                </c:pt>
                <c:pt idx="34">
                  <c:v>Turecko</c:v>
                </c:pt>
                <c:pt idx="35">
                  <c:v>S. Makedonie</c:v>
                </c:pt>
                <c:pt idx="36">
                  <c:v>Albánie</c:v>
                </c:pt>
              </c:strCache>
            </c:strRef>
          </c:cat>
          <c:val>
            <c:numRef>
              <c:f>'GRAF-16'!$B$52:$B$88</c:f>
              <c:numCache>
                <c:formatCode>#\ ##0.0</c:formatCode>
                <c:ptCount val="37"/>
                <c:pt idx="0">
                  <c:v>41.3</c:v>
                </c:pt>
                <c:pt idx="1">
                  <c:v>32.200000000000003</c:v>
                </c:pt>
                <c:pt idx="2">
                  <c:v>32.299999999999997</c:v>
                </c:pt>
                <c:pt idx="3">
                  <c:v>27.1</c:v>
                </c:pt>
                <c:pt idx="4">
                  <c:v>30.3</c:v>
                </c:pt>
                <c:pt idx="5">
                  <c:v>26.7</c:v>
                </c:pt>
                <c:pt idx="6">
                  <c:v>28.8</c:v>
                </c:pt>
                <c:pt idx="7">
                  <c:v>29.7</c:v>
                </c:pt>
                <c:pt idx="8">
                  <c:v>31.3</c:v>
                </c:pt>
                <c:pt idx="9">
                  <c:v>26.5</c:v>
                </c:pt>
                <c:pt idx="10">
                  <c:v>25.5</c:v>
                </c:pt>
                <c:pt idx="11">
                  <c:v>27.8</c:v>
                </c:pt>
                <c:pt idx="12">
                  <c:v>20.399999999999999</c:v>
                </c:pt>
                <c:pt idx="13">
                  <c:v>21.2</c:v>
                </c:pt>
                <c:pt idx="14">
                  <c:v>17.600000000000001</c:v>
                </c:pt>
                <c:pt idx="15">
                  <c:v>16</c:v>
                </c:pt>
                <c:pt idx="16">
                  <c:v>12.9</c:v>
                </c:pt>
                <c:pt idx="17">
                  <c:v>13.2</c:v>
                </c:pt>
                <c:pt idx="18">
                  <c:v>11.7</c:v>
                </c:pt>
                <c:pt idx="19">
                  <c:v>9.9</c:v>
                </c:pt>
                <c:pt idx="20">
                  <c:v>9.5</c:v>
                </c:pt>
                <c:pt idx="21">
                  <c:v>9.5</c:v>
                </c:pt>
                <c:pt idx="22">
                  <c:v>9.6999999999999993</c:v>
                </c:pt>
                <c:pt idx="23">
                  <c:v>8.6</c:v>
                </c:pt>
                <c:pt idx="24">
                  <c:v>8.8000000000000007</c:v>
                </c:pt>
                <c:pt idx="25">
                  <c:v>8.4</c:v>
                </c:pt>
                <c:pt idx="26">
                  <c:v>7.6</c:v>
                </c:pt>
                <c:pt idx="27">
                  <c:v>8.9</c:v>
                </c:pt>
                <c:pt idx="28">
                  <c:v>5.5</c:v>
                </c:pt>
                <c:pt idx="29">
                  <c:v>4.5999999999999996</c:v>
                </c:pt>
                <c:pt idx="30">
                  <c:v>23</c:v>
                </c:pt>
                <c:pt idx="32">
                  <c:v>5.7</c:v>
                </c:pt>
                <c:pt idx="34">
                  <c:v>4.9000000000000004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BD7-471C-B986-EAEFF2AEECAF}"/>
            </c:ext>
          </c:extLst>
        </c:ser>
        <c:ser>
          <c:idx val="1"/>
          <c:order val="1"/>
          <c:tx>
            <c:strRef>
              <c:f>'GRAF-16'!$C$51</c:f>
              <c:strCache>
                <c:ptCount val="1"/>
                <c:pt idx="0">
                  <c:v>Ostatní pracovní náklady (rok 2019)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 w="25400"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EBD7-471C-B986-EAEFF2AEECAF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EBD7-471C-B986-EAEFF2AEECAF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EBD7-471C-B986-EAEFF2AEECAF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E-EBD7-471C-B986-EAEFF2AEECAF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EBD7-471C-B986-EAEFF2AEECAF}"/>
              </c:ext>
            </c:extLst>
          </c:dPt>
          <c:cat>
            <c:strRef>
              <c:f>'GRAF-16'!$A$52:$A$88</c:f>
              <c:strCache>
                <c:ptCount val="37"/>
                <c:pt idx="0">
                  <c:v>Dánsko</c:v>
                </c:pt>
                <c:pt idx="1">
                  <c:v>Belgie</c:v>
                </c:pt>
                <c:pt idx="2">
                  <c:v>Německo</c:v>
                </c:pt>
                <c:pt idx="3">
                  <c:v>Švédsko</c:v>
                </c:pt>
                <c:pt idx="4">
                  <c:v>Nizozemsko</c:v>
                </c:pt>
                <c:pt idx="5">
                  <c:v>Francie</c:v>
                </c:pt>
                <c:pt idx="6">
                  <c:v>Rakousko</c:v>
                </c:pt>
                <c:pt idx="7">
                  <c:v>Finsko</c:v>
                </c:pt>
                <c:pt idx="8">
                  <c:v>Lucembursko</c:v>
                </c:pt>
                <c:pt idx="9">
                  <c:v>EU15</c:v>
                </c:pt>
                <c:pt idx="10">
                  <c:v>eurozóna (19)</c:v>
                </c:pt>
                <c:pt idx="11">
                  <c:v>Irsko</c:v>
                </c:pt>
                <c:pt idx="12">
                  <c:v>Itálie</c:v>
                </c:pt>
                <c:pt idx="13">
                  <c:v>EU27</c:v>
                </c:pt>
                <c:pt idx="14">
                  <c:v>Španělsko</c:v>
                </c:pt>
                <c:pt idx="15">
                  <c:v>Slovinsko</c:v>
                </c:pt>
                <c:pt idx="16">
                  <c:v>Řecko</c:v>
                </c:pt>
                <c:pt idx="17">
                  <c:v>Malta</c:v>
                </c:pt>
                <c:pt idx="18">
                  <c:v>Kypr</c:v>
                </c:pt>
                <c:pt idx="19">
                  <c:v>Česko</c:v>
                </c:pt>
                <c:pt idx="20">
                  <c:v>Slovensko</c:v>
                </c:pt>
                <c:pt idx="21">
                  <c:v>Estonsko</c:v>
                </c:pt>
                <c:pt idx="22">
                  <c:v>Portugalsko</c:v>
                </c:pt>
                <c:pt idx="23">
                  <c:v>Maďarsko</c:v>
                </c:pt>
                <c:pt idx="24">
                  <c:v>Chorvatsko</c:v>
                </c:pt>
                <c:pt idx="25">
                  <c:v>Polsko</c:v>
                </c:pt>
                <c:pt idx="26">
                  <c:v>Lotyšsko</c:v>
                </c:pt>
                <c:pt idx="27">
                  <c:v>Litva</c:v>
                </c:pt>
                <c:pt idx="28">
                  <c:v>Rumunsko</c:v>
                </c:pt>
                <c:pt idx="29">
                  <c:v>Bulharsko</c:v>
                </c:pt>
                <c:pt idx="30">
                  <c:v>Velká Británie</c:v>
                </c:pt>
                <c:pt idx="31">
                  <c:v>Černá Hora</c:v>
                </c:pt>
                <c:pt idx="32">
                  <c:v>Srbsko</c:v>
                </c:pt>
                <c:pt idx="33">
                  <c:v>Bosna a H.</c:v>
                </c:pt>
                <c:pt idx="34">
                  <c:v>Turecko</c:v>
                </c:pt>
                <c:pt idx="35">
                  <c:v>S. Makedonie</c:v>
                </c:pt>
                <c:pt idx="36">
                  <c:v>Albánie</c:v>
                </c:pt>
              </c:strCache>
            </c:strRef>
          </c:cat>
          <c:val>
            <c:numRef>
              <c:f>'GRAF-16'!$C$52:$C$88</c:f>
              <c:numCache>
                <c:formatCode>#\ ##0.0</c:formatCode>
                <c:ptCount val="37"/>
                <c:pt idx="0">
                  <c:v>6.1</c:v>
                </c:pt>
                <c:pt idx="1">
                  <c:v>11.8</c:v>
                </c:pt>
                <c:pt idx="2">
                  <c:v>9</c:v>
                </c:pt>
                <c:pt idx="3">
                  <c:v>13.4</c:v>
                </c:pt>
                <c:pt idx="4">
                  <c:v>8.9</c:v>
                </c:pt>
                <c:pt idx="5">
                  <c:v>12.4</c:v>
                </c:pt>
                <c:pt idx="6">
                  <c:v>10.199999999999999</c:v>
                </c:pt>
                <c:pt idx="7">
                  <c:v>7.4</c:v>
                </c:pt>
                <c:pt idx="8">
                  <c:v>4.3</c:v>
                </c:pt>
                <c:pt idx="9">
                  <c:v>8.5</c:v>
                </c:pt>
                <c:pt idx="10">
                  <c:v>8.5</c:v>
                </c:pt>
                <c:pt idx="11">
                  <c:v>6</c:v>
                </c:pt>
                <c:pt idx="12">
                  <c:v>8.4</c:v>
                </c:pt>
                <c:pt idx="13">
                  <c:v>6.9</c:v>
                </c:pt>
                <c:pt idx="14">
                  <c:v>6.3</c:v>
                </c:pt>
                <c:pt idx="15">
                  <c:v>3.2</c:v>
                </c:pt>
                <c:pt idx="16">
                  <c:v>4.0999999999999996</c:v>
                </c:pt>
                <c:pt idx="17">
                  <c:v>1.1000000000000001</c:v>
                </c:pt>
                <c:pt idx="18">
                  <c:v>2.4</c:v>
                </c:pt>
                <c:pt idx="19">
                  <c:v>3.7</c:v>
                </c:pt>
                <c:pt idx="20">
                  <c:v>3.6</c:v>
                </c:pt>
                <c:pt idx="21">
                  <c:v>3.4</c:v>
                </c:pt>
                <c:pt idx="22">
                  <c:v>2.5</c:v>
                </c:pt>
                <c:pt idx="23">
                  <c:v>2</c:v>
                </c:pt>
                <c:pt idx="24">
                  <c:v>1.7</c:v>
                </c:pt>
                <c:pt idx="25">
                  <c:v>2.1</c:v>
                </c:pt>
                <c:pt idx="26">
                  <c:v>2.2000000000000002</c:v>
                </c:pt>
                <c:pt idx="27">
                  <c:v>0.3</c:v>
                </c:pt>
                <c:pt idx="28">
                  <c:v>1.4</c:v>
                </c:pt>
                <c:pt idx="29">
                  <c:v>1</c:v>
                </c:pt>
                <c:pt idx="30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EBD7-471C-B986-EAEFF2AEEC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8"/>
        <c:overlap val="100"/>
        <c:axId val="211167600"/>
        <c:axId val="281211184"/>
      </c:barChart>
      <c:lineChart>
        <c:grouping val="standard"/>
        <c:varyColors val="0"/>
        <c:ser>
          <c:idx val="2"/>
          <c:order val="2"/>
          <c:tx>
            <c:strRef>
              <c:f>'GRAF-16'!$D$51</c:f>
              <c:strCache>
                <c:ptCount val="1"/>
                <c:pt idx="0">
                  <c:v>Celkové prac. náklady (rok 2008)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chemeClr val="bg1">
                  <a:lumMod val="65000"/>
                </a:schemeClr>
              </a:solidFill>
              <a:ln w="9525">
                <a:noFill/>
              </a:ln>
              <a:effectLst/>
            </c:spPr>
          </c:marker>
          <c:cat>
            <c:strRef>
              <c:f>'GRAF-16'!$A$52:$A$88</c:f>
              <c:strCache>
                <c:ptCount val="37"/>
                <c:pt idx="0">
                  <c:v>Dánsko</c:v>
                </c:pt>
                <c:pt idx="1">
                  <c:v>Belgie</c:v>
                </c:pt>
                <c:pt idx="2">
                  <c:v>Německo</c:v>
                </c:pt>
                <c:pt idx="3">
                  <c:v>Švédsko</c:v>
                </c:pt>
                <c:pt idx="4">
                  <c:v>Nizozemsko</c:v>
                </c:pt>
                <c:pt idx="5">
                  <c:v>Francie</c:v>
                </c:pt>
                <c:pt idx="6">
                  <c:v>Rakousko</c:v>
                </c:pt>
                <c:pt idx="7">
                  <c:v>Finsko</c:v>
                </c:pt>
                <c:pt idx="8">
                  <c:v>Lucembursko</c:v>
                </c:pt>
                <c:pt idx="9">
                  <c:v>EU15</c:v>
                </c:pt>
                <c:pt idx="10">
                  <c:v>eurozóna (19)</c:v>
                </c:pt>
                <c:pt idx="11">
                  <c:v>Irsko</c:v>
                </c:pt>
                <c:pt idx="12">
                  <c:v>Itálie</c:v>
                </c:pt>
                <c:pt idx="13">
                  <c:v>EU27</c:v>
                </c:pt>
                <c:pt idx="14">
                  <c:v>Španělsko</c:v>
                </c:pt>
                <c:pt idx="15">
                  <c:v>Slovinsko</c:v>
                </c:pt>
                <c:pt idx="16">
                  <c:v>Řecko</c:v>
                </c:pt>
                <c:pt idx="17">
                  <c:v>Malta</c:v>
                </c:pt>
                <c:pt idx="18">
                  <c:v>Kypr</c:v>
                </c:pt>
                <c:pt idx="19">
                  <c:v>Česko</c:v>
                </c:pt>
                <c:pt idx="20">
                  <c:v>Slovensko</c:v>
                </c:pt>
                <c:pt idx="21">
                  <c:v>Estonsko</c:v>
                </c:pt>
                <c:pt idx="22">
                  <c:v>Portugalsko</c:v>
                </c:pt>
                <c:pt idx="23">
                  <c:v>Maďarsko</c:v>
                </c:pt>
                <c:pt idx="24">
                  <c:v>Chorvatsko</c:v>
                </c:pt>
                <c:pt idx="25">
                  <c:v>Polsko</c:v>
                </c:pt>
                <c:pt idx="26">
                  <c:v>Lotyšsko</c:v>
                </c:pt>
                <c:pt idx="27">
                  <c:v>Litva</c:v>
                </c:pt>
                <c:pt idx="28">
                  <c:v>Rumunsko</c:v>
                </c:pt>
                <c:pt idx="29">
                  <c:v>Bulharsko</c:v>
                </c:pt>
                <c:pt idx="30">
                  <c:v>Velká Británie</c:v>
                </c:pt>
                <c:pt idx="31">
                  <c:v>Černá Hora</c:v>
                </c:pt>
                <c:pt idx="32">
                  <c:v>Srbsko</c:v>
                </c:pt>
                <c:pt idx="33">
                  <c:v>Bosna a H.</c:v>
                </c:pt>
                <c:pt idx="34">
                  <c:v>Turecko</c:v>
                </c:pt>
                <c:pt idx="35">
                  <c:v>S. Makedonie</c:v>
                </c:pt>
                <c:pt idx="36">
                  <c:v>Albánie</c:v>
                </c:pt>
              </c:strCache>
            </c:strRef>
          </c:cat>
          <c:val>
            <c:numRef>
              <c:f>'GRAF-16'!$D$52:$D$88</c:f>
              <c:numCache>
                <c:formatCode>#\ ##0.0</c:formatCode>
                <c:ptCount val="37"/>
                <c:pt idx="0">
                  <c:v>34.799999999999997</c:v>
                </c:pt>
                <c:pt idx="1">
                  <c:v>37.4</c:v>
                </c:pt>
                <c:pt idx="2">
                  <c:v>32.5</c:v>
                </c:pt>
                <c:pt idx="3">
                  <c:v>34.700000000000003</c:v>
                </c:pt>
                <c:pt idx="4">
                  <c:v>30.8</c:v>
                </c:pt>
                <c:pt idx="5">
                  <c:v>33.1</c:v>
                </c:pt>
                <c:pt idx="6">
                  <c:v>29.6</c:v>
                </c:pt>
                <c:pt idx="7">
                  <c:v>30</c:v>
                </c:pt>
                <c:pt idx="8">
                  <c:v>29.9</c:v>
                </c:pt>
                <c:pt idx="9">
                  <c:v>28.8</c:v>
                </c:pt>
                <c:pt idx="10">
                  <c:v>26.9</c:v>
                </c:pt>
                <c:pt idx="11">
                  <c:v>29</c:v>
                </c:pt>
                <c:pt idx="12">
                  <c:v>24.2</c:v>
                </c:pt>
                <c:pt idx="13">
                  <c:v>21.8</c:v>
                </c:pt>
                <c:pt idx="14">
                  <c:v>20.8</c:v>
                </c:pt>
                <c:pt idx="15">
                  <c:v>12.8</c:v>
                </c:pt>
                <c:pt idx="16">
                  <c:v>17.399999999999999</c:v>
                </c:pt>
                <c:pt idx="17">
                  <c:v>12.4</c:v>
                </c:pt>
                <c:pt idx="18">
                  <c:v>14.2</c:v>
                </c:pt>
                <c:pt idx="19">
                  <c:v>9</c:v>
                </c:pt>
                <c:pt idx="20">
                  <c:v>7.2</c:v>
                </c:pt>
                <c:pt idx="21">
                  <c:v>7.4</c:v>
                </c:pt>
                <c:pt idx="22">
                  <c:v>10.199999999999999</c:v>
                </c:pt>
                <c:pt idx="23">
                  <c:v>7.7</c:v>
                </c:pt>
                <c:pt idx="24">
                  <c:v>8.6999999999999993</c:v>
                </c:pt>
                <c:pt idx="25">
                  <c:v>7.5</c:v>
                </c:pt>
                <c:pt idx="26">
                  <c:v>5.5</c:v>
                </c:pt>
                <c:pt idx="27">
                  <c:v>5.7</c:v>
                </c:pt>
                <c:pt idx="28">
                  <c:v>3.9</c:v>
                </c:pt>
                <c:pt idx="29">
                  <c:v>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EBD7-471C-B986-EAEFF2AEECAF}"/>
            </c:ext>
          </c:extLst>
        </c:ser>
        <c:ser>
          <c:idx val="3"/>
          <c:order val="3"/>
          <c:tx>
            <c:strRef>
              <c:f>'GRAF-16'!$E$51</c:f>
              <c:strCache>
                <c:ptCount val="1"/>
                <c:pt idx="0">
                  <c:v>Celkové prac. náklady (rok 2012)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cat>
            <c:strRef>
              <c:f>'GRAF-16'!$A$52:$A$88</c:f>
              <c:strCache>
                <c:ptCount val="37"/>
                <c:pt idx="0">
                  <c:v>Dánsko</c:v>
                </c:pt>
                <c:pt idx="1">
                  <c:v>Belgie</c:v>
                </c:pt>
                <c:pt idx="2">
                  <c:v>Německo</c:v>
                </c:pt>
                <c:pt idx="3">
                  <c:v>Švédsko</c:v>
                </c:pt>
                <c:pt idx="4">
                  <c:v>Nizozemsko</c:v>
                </c:pt>
                <c:pt idx="5">
                  <c:v>Francie</c:v>
                </c:pt>
                <c:pt idx="6">
                  <c:v>Rakousko</c:v>
                </c:pt>
                <c:pt idx="7">
                  <c:v>Finsko</c:v>
                </c:pt>
                <c:pt idx="8">
                  <c:v>Lucembursko</c:v>
                </c:pt>
                <c:pt idx="9">
                  <c:v>EU15</c:v>
                </c:pt>
                <c:pt idx="10">
                  <c:v>eurozóna (19)</c:v>
                </c:pt>
                <c:pt idx="11">
                  <c:v>Irsko</c:v>
                </c:pt>
                <c:pt idx="12">
                  <c:v>Itálie</c:v>
                </c:pt>
                <c:pt idx="13">
                  <c:v>EU27</c:v>
                </c:pt>
                <c:pt idx="14">
                  <c:v>Španělsko</c:v>
                </c:pt>
                <c:pt idx="15">
                  <c:v>Slovinsko</c:v>
                </c:pt>
                <c:pt idx="16">
                  <c:v>Řecko</c:v>
                </c:pt>
                <c:pt idx="17">
                  <c:v>Malta</c:v>
                </c:pt>
                <c:pt idx="18">
                  <c:v>Kypr</c:v>
                </c:pt>
                <c:pt idx="19">
                  <c:v>Česko</c:v>
                </c:pt>
                <c:pt idx="20">
                  <c:v>Slovensko</c:v>
                </c:pt>
                <c:pt idx="21">
                  <c:v>Estonsko</c:v>
                </c:pt>
                <c:pt idx="22">
                  <c:v>Portugalsko</c:v>
                </c:pt>
                <c:pt idx="23">
                  <c:v>Maďarsko</c:v>
                </c:pt>
                <c:pt idx="24">
                  <c:v>Chorvatsko</c:v>
                </c:pt>
                <c:pt idx="25">
                  <c:v>Polsko</c:v>
                </c:pt>
                <c:pt idx="26">
                  <c:v>Lotyšsko</c:v>
                </c:pt>
                <c:pt idx="27">
                  <c:v>Litva</c:v>
                </c:pt>
                <c:pt idx="28">
                  <c:v>Rumunsko</c:v>
                </c:pt>
                <c:pt idx="29">
                  <c:v>Bulharsko</c:v>
                </c:pt>
                <c:pt idx="30">
                  <c:v>Velká Británie</c:v>
                </c:pt>
                <c:pt idx="31">
                  <c:v>Černá Hora</c:v>
                </c:pt>
                <c:pt idx="32">
                  <c:v>Srbsko</c:v>
                </c:pt>
                <c:pt idx="33">
                  <c:v>Bosna a H.</c:v>
                </c:pt>
                <c:pt idx="34">
                  <c:v>Turecko</c:v>
                </c:pt>
                <c:pt idx="35">
                  <c:v>S. Makedonie</c:v>
                </c:pt>
                <c:pt idx="36">
                  <c:v>Albánie</c:v>
                </c:pt>
              </c:strCache>
            </c:strRef>
          </c:cat>
          <c:val>
            <c:numRef>
              <c:f>'GRAF-16'!$E$52:$E$88</c:f>
              <c:numCache>
                <c:formatCode>#\ ##0.0</c:formatCode>
                <c:ptCount val="37"/>
                <c:pt idx="0">
                  <c:v>40.700000000000003</c:v>
                </c:pt>
                <c:pt idx="1">
                  <c:v>42.9</c:v>
                </c:pt>
                <c:pt idx="2">
                  <c:v>35.200000000000003</c:v>
                </c:pt>
                <c:pt idx="3">
                  <c:v>41.7</c:v>
                </c:pt>
                <c:pt idx="4">
                  <c:v>33.9</c:v>
                </c:pt>
                <c:pt idx="5">
                  <c:v>36.4</c:v>
                </c:pt>
                <c:pt idx="6">
                  <c:v>33</c:v>
                </c:pt>
                <c:pt idx="7">
                  <c:v>35</c:v>
                </c:pt>
                <c:pt idx="8">
                  <c:v>32.1</c:v>
                </c:pt>
                <c:pt idx="9">
                  <c:v>32.299999999999997</c:v>
                </c:pt>
                <c:pt idx="10">
                  <c:v>30.5</c:v>
                </c:pt>
                <c:pt idx="11">
                  <c:v>31.8</c:v>
                </c:pt>
                <c:pt idx="12">
                  <c:v>27.2</c:v>
                </c:pt>
                <c:pt idx="13">
                  <c:v>24.8</c:v>
                </c:pt>
                <c:pt idx="14">
                  <c:v>23</c:v>
                </c:pt>
                <c:pt idx="15">
                  <c:v>15.1</c:v>
                </c:pt>
                <c:pt idx="16">
                  <c:v>16.3</c:v>
                </c:pt>
                <c:pt idx="17">
                  <c:v>11.6</c:v>
                </c:pt>
                <c:pt idx="18">
                  <c:v>15.3</c:v>
                </c:pt>
                <c:pt idx="19">
                  <c:v>9.9</c:v>
                </c:pt>
                <c:pt idx="20">
                  <c:v>9.1999999999999993</c:v>
                </c:pt>
                <c:pt idx="21">
                  <c:v>8.6</c:v>
                </c:pt>
                <c:pt idx="22">
                  <c:v>11</c:v>
                </c:pt>
                <c:pt idx="23">
                  <c:v>7.8</c:v>
                </c:pt>
                <c:pt idx="24">
                  <c:v>8.5</c:v>
                </c:pt>
                <c:pt idx="25">
                  <c:v>7.7</c:v>
                </c:pt>
                <c:pt idx="26">
                  <c:v>5.9</c:v>
                </c:pt>
                <c:pt idx="27">
                  <c:v>5.7</c:v>
                </c:pt>
                <c:pt idx="28">
                  <c:v>4.2</c:v>
                </c:pt>
                <c:pt idx="29">
                  <c:v>3.3</c:v>
                </c:pt>
                <c:pt idx="31">
                  <c:v>7.3</c:v>
                </c:pt>
                <c:pt idx="32">
                  <c:v>5</c:v>
                </c:pt>
                <c:pt idx="33">
                  <c:v>4.9000000000000004</c:v>
                </c:pt>
                <c:pt idx="34">
                  <c:v>5.7</c:v>
                </c:pt>
                <c:pt idx="35">
                  <c:v>2.8</c:v>
                </c:pt>
                <c:pt idx="36">
                  <c:v>1.8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3-EBD7-471C-B986-EAEFF2AEECAF}"/>
            </c:ext>
          </c:extLst>
        </c:ser>
        <c:ser>
          <c:idx val="4"/>
          <c:order val="4"/>
          <c:tx>
            <c:strRef>
              <c:f>'GRAF-16'!$F$51</c:f>
              <c:strCache>
                <c:ptCount val="1"/>
                <c:pt idx="0">
                  <c:v>Celkové prac. náklady (rok 2016)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dash"/>
            <c:size val="7"/>
            <c:spPr>
              <a:solidFill>
                <a:schemeClr val="tx1">
                  <a:lumMod val="95000"/>
                  <a:lumOff val="5000"/>
                </a:schemeClr>
              </a:solidFill>
              <a:ln w="9525">
                <a:noFill/>
              </a:ln>
              <a:effectLst/>
            </c:spPr>
          </c:marker>
          <c:cat>
            <c:strRef>
              <c:f>'GRAF-16'!$A$52:$A$88</c:f>
              <c:strCache>
                <c:ptCount val="37"/>
                <c:pt idx="0">
                  <c:v>Dánsko</c:v>
                </c:pt>
                <c:pt idx="1">
                  <c:v>Belgie</c:v>
                </c:pt>
                <c:pt idx="2">
                  <c:v>Německo</c:v>
                </c:pt>
                <c:pt idx="3">
                  <c:v>Švédsko</c:v>
                </c:pt>
                <c:pt idx="4">
                  <c:v>Nizozemsko</c:v>
                </c:pt>
                <c:pt idx="5">
                  <c:v>Francie</c:v>
                </c:pt>
                <c:pt idx="6">
                  <c:v>Rakousko</c:v>
                </c:pt>
                <c:pt idx="7">
                  <c:v>Finsko</c:v>
                </c:pt>
                <c:pt idx="8">
                  <c:v>Lucembursko</c:v>
                </c:pt>
                <c:pt idx="9">
                  <c:v>EU15</c:v>
                </c:pt>
                <c:pt idx="10">
                  <c:v>eurozóna (19)</c:v>
                </c:pt>
                <c:pt idx="11">
                  <c:v>Irsko</c:v>
                </c:pt>
                <c:pt idx="12">
                  <c:v>Itálie</c:v>
                </c:pt>
                <c:pt idx="13">
                  <c:v>EU27</c:v>
                </c:pt>
                <c:pt idx="14">
                  <c:v>Španělsko</c:v>
                </c:pt>
                <c:pt idx="15">
                  <c:v>Slovinsko</c:v>
                </c:pt>
                <c:pt idx="16">
                  <c:v>Řecko</c:v>
                </c:pt>
                <c:pt idx="17">
                  <c:v>Malta</c:v>
                </c:pt>
                <c:pt idx="18">
                  <c:v>Kypr</c:v>
                </c:pt>
                <c:pt idx="19">
                  <c:v>Česko</c:v>
                </c:pt>
                <c:pt idx="20">
                  <c:v>Slovensko</c:v>
                </c:pt>
                <c:pt idx="21">
                  <c:v>Estonsko</c:v>
                </c:pt>
                <c:pt idx="22">
                  <c:v>Portugalsko</c:v>
                </c:pt>
                <c:pt idx="23">
                  <c:v>Maďarsko</c:v>
                </c:pt>
                <c:pt idx="24">
                  <c:v>Chorvatsko</c:v>
                </c:pt>
                <c:pt idx="25">
                  <c:v>Polsko</c:v>
                </c:pt>
                <c:pt idx="26">
                  <c:v>Lotyšsko</c:v>
                </c:pt>
                <c:pt idx="27">
                  <c:v>Litva</c:v>
                </c:pt>
                <c:pt idx="28">
                  <c:v>Rumunsko</c:v>
                </c:pt>
                <c:pt idx="29">
                  <c:v>Bulharsko</c:v>
                </c:pt>
                <c:pt idx="30">
                  <c:v>Velká Británie</c:v>
                </c:pt>
                <c:pt idx="31">
                  <c:v>Černá Hora</c:v>
                </c:pt>
                <c:pt idx="32">
                  <c:v>Srbsko</c:v>
                </c:pt>
                <c:pt idx="33">
                  <c:v>Bosna a H.</c:v>
                </c:pt>
                <c:pt idx="34">
                  <c:v>Turecko</c:v>
                </c:pt>
                <c:pt idx="35">
                  <c:v>S. Makedonie</c:v>
                </c:pt>
                <c:pt idx="36">
                  <c:v>Albánie</c:v>
                </c:pt>
              </c:strCache>
            </c:strRef>
          </c:cat>
          <c:val>
            <c:numRef>
              <c:f>'GRAF-16'!$F$52:$F$88</c:f>
              <c:numCache>
                <c:formatCode>#\ ##0.0</c:formatCode>
                <c:ptCount val="37"/>
                <c:pt idx="0">
                  <c:v>43.9</c:v>
                </c:pt>
                <c:pt idx="1">
                  <c:v>41.9</c:v>
                </c:pt>
                <c:pt idx="2">
                  <c:v>38.4</c:v>
                </c:pt>
                <c:pt idx="3">
                  <c:v>42.5</c:v>
                </c:pt>
                <c:pt idx="4">
                  <c:v>36.700000000000003</c:v>
                </c:pt>
                <c:pt idx="5">
                  <c:v>36.799999999999997</c:v>
                </c:pt>
                <c:pt idx="6">
                  <c:v>36.1</c:v>
                </c:pt>
                <c:pt idx="7">
                  <c:v>37.1</c:v>
                </c:pt>
                <c:pt idx="8">
                  <c:v>33.9</c:v>
                </c:pt>
                <c:pt idx="9">
                  <c:v>32.9</c:v>
                </c:pt>
                <c:pt idx="10">
                  <c:v>31.9</c:v>
                </c:pt>
                <c:pt idx="11">
                  <c:v>31.8</c:v>
                </c:pt>
                <c:pt idx="12">
                  <c:v>27.5</c:v>
                </c:pt>
                <c:pt idx="13">
                  <c:v>25.9</c:v>
                </c:pt>
                <c:pt idx="14">
                  <c:v>23.2</c:v>
                </c:pt>
                <c:pt idx="15">
                  <c:v>16.8</c:v>
                </c:pt>
                <c:pt idx="16">
                  <c:v>16</c:v>
                </c:pt>
                <c:pt idx="17">
                  <c:v>13.1</c:v>
                </c:pt>
                <c:pt idx="18">
                  <c:v>12.8</c:v>
                </c:pt>
                <c:pt idx="19">
                  <c:v>10.4</c:v>
                </c:pt>
                <c:pt idx="20">
                  <c:v>10.6</c:v>
                </c:pt>
                <c:pt idx="21">
                  <c:v>10.6</c:v>
                </c:pt>
                <c:pt idx="22">
                  <c:v>11.1</c:v>
                </c:pt>
                <c:pt idx="23">
                  <c:v>8.5</c:v>
                </c:pt>
                <c:pt idx="24">
                  <c:v>8.9</c:v>
                </c:pt>
                <c:pt idx="25">
                  <c:v>8.5</c:v>
                </c:pt>
                <c:pt idx="26">
                  <c:v>7.6</c:v>
                </c:pt>
                <c:pt idx="27">
                  <c:v>7.4</c:v>
                </c:pt>
                <c:pt idx="28">
                  <c:v>5.0999999999999996</c:v>
                </c:pt>
                <c:pt idx="29">
                  <c:v>4.2</c:v>
                </c:pt>
                <c:pt idx="30">
                  <c:v>27.5</c:v>
                </c:pt>
                <c:pt idx="31">
                  <c:v>6.1</c:v>
                </c:pt>
                <c:pt idx="32">
                  <c:v>4.9000000000000004</c:v>
                </c:pt>
                <c:pt idx="33">
                  <c:v>5</c:v>
                </c:pt>
                <c:pt idx="34">
                  <c:v>6.3</c:v>
                </c:pt>
                <c:pt idx="35">
                  <c:v>3.2</c:v>
                </c:pt>
                <c:pt idx="36">
                  <c:v>2.1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4-EBD7-471C-B986-EAEFF2AEEC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360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At val="0"/>
        <c:auto val="1"/>
        <c:lblAlgn val="ctr"/>
        <c:lblOffset val="0"/>
        <c:noMultiLvlLbl val="0"/>
      </c:catAx>
      <c:valAx>
        <c:axId val="281211184"/>
        <c:scaling>
          <c:orientation val="minMax"/>
          <c:max val="5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At val="1"/>
        <c:crossBetween val="between"/>
        <c:majorUnit val="5"/>
      </c:val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5.2047755438876679E-2"/>
          <c:y val="0.88251476898563808"/>
          <c:w val="0.93721497860830116"/>
          <c:h val="0.10642753800900578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75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135170480106283E-2"/>
          <c:y val="1.7245647665912554E-2"/>
          <c:w val="0.92201291024554577"/>
          <c:h val="0.78000879299227577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'GRAF-15'!$E$2</c:f>
              <c:strCache>
                <c:ptCount val="1"/>
                <c:pt idx="0">
                  <c:v>rok 2019</c:v>
                </c:pt>
              </c:strCache>
            </c:strRef>
          </c:tx>
          <c:spPr>
            <a:solidFill>
              <a:srgbClr val="CFE5C1"/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rgbClr val="B3D69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3C4-4BB5-98E0-255A03008D2B}"/>
              </c:ext>
            </c:extLst>
          </c:dPt>
          <c:dPt>
            <c:idx val="10"/>
            <c:invertIfNegative val="0"/>
            <c:bubble3D val="0"/>
            <c:spPr>
              <a:solidFill>
                <a:srgbClr val="B3D69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3C4-4BB5-98E0-255A03008D2B}"/>
              </c:ext>
            </c:extLst>
          </c:dPt>
          <c:dPt>
            <c:idx val="18"/>
            <c:invertIfNegative val="0"/>
            <c:bubble3D val="0"/>
            <c:spPr>
              <a:solidFill>
                <a:srgbClr val="B3D69E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3C4-4BB5-98E0-255A03008D2B}"/>
              </c:ext>
            </c:extLst>
          </c:dPt>
          <c:cat>
            <c:strRef>
              <c:f>'GRAF-15'!$B$3:$B$35</c:f>
              <c:strCache>
                <c:ptCount val="33"/>
                <c:pt idx="0">
                  <c:v>Irsko</c:v>
                </c:pt>
                <c:pt idx="1">
                  <c:v>Dánsko</c:v>
                </c:pt>
                <c:pt idx="2">
                  <c:v>Belgie</c:v>
                </c:pt>
                <c:pt idx="3">
                  <c:v>Nizozemsko</c:v>
                </c:pt>
                <c:pt idx="4">
                  <c:v>Švédsko</c:v>
                </c:pt>
                <c:pt idx="5">
                  <c:v>Rakousko</c:v>
                </c:pt>
                <c:pt idx="6">
                  <c:v>Francie</c:v>
                </c:pt>
                <c:pt idx="7">
                  <c:v>Finsko</c:v>
                </c:pt>
                <c:pt idx="8">
                  <c:v>EU15</c:v>
                </c:pt>
                <c:pt idx="9">
                  <c:v>Španělsko</c:v>
                </c:pt>
                <c:pt idx="10">
                  <c:v>eurozóna (19)</c:v>
                </c:pt>
                <c:pt idx="11">
                  <c:v>Německo</c:v>
                </c:pt>
                <c:pt idx="12">
                  <c:v>Lucembursko</c:v>
                </c:pt>
                <c:pt idx="13">
                  <c:v>Itálie</c:v>
                </c:pt>
                <c:pt idx="14">
                  <c:v>Řecko</c:v>
                </c:pt>
                <c:pt idx="15">
                  <c:v>Slovinsko</c:v>
                </c:pt>
                <c:pt idx="16">
                  <c:v>Litva</c:v>
                </c:pt>
                <c:pt idx="17">
                  <c:v>Malta</c:v>
                </c:pt>
                <c:pt idx="18">
                  <c:v>Česko</c:v>
                </c:pt>
                <c:pt idx="19">
                  <c:v>Rumunsko</c:v>
                </c:pt>
                <c:pt idx="20">
                  <c:v>Polsko</c:v>
                </c:pt>
                <c:pt idx="21">
                  <c:v>Slovensko</c:v>
                </c:pt>
                <c:pt idx="22">
                  <c:v>Maďarsko</c:v>
                </c:pt>
                <c:pt idx="23">
                  <c:v>Portugalsko</c:v>
                </c:pt>
                <c:pt idx="24">
                  <c:v>Estonsko</c:v>
                </c:pt>
                <c:pt idx="25">
                  <c:v>Kypr</c:v>
                </c:pt>
                <c:pt idx="26">
                  <c:v>Lotyšsko</c:v>
                </c:pt>
                <c:pt idx="27">
                  <c:v>Chorvatsko</c:v>
                </c:pt>
                <c:pt idx="28">
                  <c:v>Bulharsko</c:v>
                </c:pt>
                <c:pt idx="29">
                  <c:v>Norsko</c:v>
                </c:pt>
                <c:pt idx="30">
                  <c:v>Švýcarsko</c:v>
                </c:pt>
                <c:pt idx="31">
                  <c:v>Velká Británie</c:v>
                </c:pt>
                <c:pt idx="32">
                  <c:v>Island</c:v>
                </c:pt>
              </c:strCache>
            </c:strRef>
          </c:cat>
          <c:val>
            <c:numRef>
              <c:f>'GRAF-15'!$E$3:$E$35</c:f>
              <c:numCache>
                <c:formatCode>#,##0</c:formatCode>
                <c:ptCount val="33"/>
                <c:pt idx="0">
                  <c:v>537.40159378120893</c:v>
                </c:pt>
                <c:pt idx="1">
                  <c:v>156.71611295379543</c:v>
                </c:pt>
                <c:pt idx="2">
                  <c:v>144.45595631358907</c:v>
                </c:pt>
                <c:pt idx="3">
                  <c:v>144.22857084844748</c:v>
                </c:pt>
                <c:pt idx="4">
                  <c:v>133.33373766428625</c:v>
                </c:pt>
                <c:pt idx="5">
                  <c:v>129.31034109298113</c:v>
                </c:pt>
                <c:pt idx="6">
                  <c:v>125.93146705717902</c:v>
                </c:pt>
                <c:pt idx="7">
                  <c:v>122.71694832497779</c:v>
                </c:pt>
                <c:pt idx="8">
                  <c:v>118.83912267783255</c:v>
                </c:pt>
                <c:pt idx="9">
                  <c:v>116.97749396508583</c:v>
                </c:pt>
                <c:pt idx="10">
                  <c:v>114.90822356952812</c:v>
                </c:pt>
                <c:pt idx="11">
                  <c:v>112.44005693138001</c:v>
                </c:pt>
                <c:pt idx="12">
                  <c:v>107.19583526326062</c:v>
                </c:pt>
                <c:pt idx="13">
                  <c:v>100.58620916303505</c:v>
                </c:pt>
                <c:pt idx="14">
                  <c:v>84.742204147459987</c:v>
                </c:pt>
                <c:pt idx="15">
                  <c:v>76.987841351365333</c:v>
                </c:pt>
                <c:pt idx="16">
                  <c:v>73.631289960931539</c:v>
                </c:pt>
                <c:pt idx="17">
                  <c:v>73.263636535604945</c:v>
                </c:pt>
                <c:pt idx="18">
                  <c:v>71.684502589880253</c:v>
                </c:pt>
                <c:pt idx="19">
                  <c:v>67.499593555396558</c:v>
                </c:pt>
                <c:pt idx="20">
                  <c:v>65.954070598641039</c:v>
                </c:pt>
                <c:pt idx="21">
                  <c:v>63.816511586471634</c:v>
                </c:pt>
                <c:pt idx="22">
                  <c:v>63.731461527413138</c:v>
                </c:pt>
                <c:pt idx="23">
                  <c:v>62.569968473211937</c:v>
                </c:pt>
                <c:pt idx="24">
                  <c:v>59.029637896362971</c:v>
                </c:pt>
                <c:pt idx="25">
                  <c:v>58.211798450257454</c:v>
                </c:pt>
                <c:pt idx="26">
                  <c:v>51.667683748112694</c:v>
                </c:pt>
                <c:pt idx="27">
                  <c:v>50.36781088871134</c:v>
                </c:pt>
                <c:pt idx="28">
                  <c:v>40.940011928156196</c:v>
                </c:pt>
                <c:pt idx="29">
                  <c:v>243.42600832766027</c:v>
                </c:pt>
                <c:pt idx="30">
                  <c:v>161.47694176502017</c:v>
                </c:pt>
                <c:pt idx="31">
                  <c:v>121.50337475491339</c:v>
                </c:pt>
                <c:pt idx="32">
                  <c:v>105.21882202536742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3C4-4BB5-98E0-255A03008D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overlap val="54"/>
        <c:axId val="211167600"/>
        <c:axId val="281211184"/>
      </c:barChart>
      <c:lineChart>
        <c:grouping val="standard"/>
        <c:varyColors val="0"/>
        <c:ser>
          <c:idx val="0"/>
          <c:order val="0"/>
          <c:tx>
            <c:strRef>
              <c:f>'GRAF-15'!$C$2</c:f>
              <c:strCache>
                <c:ptCount val="1"/>
                <c:pt idx="0">
                  <c:v>rok 2005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cat>
            <c:strRef>
              <c:f>'GRAF-15'!$B$3:$B$35</c:f>
              <c:strCache>
                <c:ptCount val="33"/>
                <c:pt idx="0">
                  <c:v>Irsko</c:v>
                </c:pt>
                <c:pt idx="1">
                  <c:v>Dánsko</c:v>
                </c:pt>
                <c:pt idx="2">
                  <c:v>Belgie</c:v>
                </c:pt>
                <c:pt idx="3">
                  <c:v>Nizozemsko</c:v>
                </c:pt>
                <c:pt idx="4">
                  <c:v>Švédsko</c:v>
                </c:pt>
                <c:pt idx="5">
                  <c:v>Rakousko</c:v>
                </c:pt>
                <c:pt idx="6">
                  <c:v>Francie</c:v>
                </c:pt>
                <c:pt idx="7">
                  <c:v>Finsko</c:v>
                </c:pt>
                <c:pt idx="8">
                  <c:v>EU15</c:v>
                </c:pt>
                <c:pt idx="9">
                  <c:v>Španělsko</c:v>
                </c:pt>
                <c:pt idx="10">
                  <c:v>eurozóna (19)</c:v>
                </c:pt>
                <c:pt idx="11">
                  <c:v>Německo</c:v>
                </c:pt>
                <c:pt idx="12">
                  <c:v>Lucembursko</c:v>
                </c:pt>
                <c:pt idx="13">
                  <c:v>Itálie</c:v>
                </c:pt>
                <c:pt idx="14">
                  <c:v>Řecko</c:v>
                </c:pt>
                <c:pt idx="15">
                  <c:v>Slovinsko</c:v>
                </c:pt>
                <c:pt idx="16">
                  <c:v>Litva</c:v>
                </c:pt>
                <c:pt idx="17">
                  <c:v>Malta</c:v>
                </c:pt>
                <c:pt idx="18">
                  <c:v>Česko</c:v>
                </c:pt>
                <c:pt idx="19">
                  <c:v>Rumunsko</c:v>
                </c:pt>
                <c:pt idx="20">
                  <c:v>Polsko</c:v>
                </c:pt>
                <c:pt idx="21">
                  <c:v>Slovensko</c:v>
                </c:pt>
                <c:pt idx="22">
                  <c:v>Maďarsko</c:v>
                </c:pt>
                <c:pt idx="23">
                  <c:v>Portugalsko</c:v>
                </c:pt>
                <c:pt idx="24">
                  <c:v>Estonsko</c:v>
                </c:pt>
                <c:pt idx="25">
                  <c:v>Kypr</c:v>
                </c:pt>
                <c:pt idx="26">
                  <c:v>Lotyšsko</c:v>
                </c:pt>
                <c:pt idx="27">
                  <c:v>Chorvatsko</c:v>
                </c:pt>
                <c:pt idx="28">
                  <c:v>Bulharsko</c:v>
                </c:pt>
                <c:pt idx="29">
                  <c:v>Norsko</c:v>
                </c:pt>
                <c:pt idx="30">
                  <c:v>Švýcarsko</c:v>
                </c:pt>
                <c:pt idx="31">
                  <c:v>Velká Británie</c:v>
                </c:pt>
                <c:pt idx="32">
                  <c:v>Island</c:v>
                </c:pt>
              </c:strCache>
            </c:strRef>
          </c:cat>
          <c:val>
            <c:numRef>
              <c:f>'GRAF-15'!$C$3:$C$35</c:f>
              <c:numCache>
                <c:formatCode>#,##0</c:formatCode>
                <c:ptCount val="33"/>
                <c:pt idx="0">
                  <c:v>196.70474328968018</c:v>
                </c:pt>
                <c:pt idx="1">
                  <c:v>139.2308771429031</c:v>
                </c:pt>
                <c:pt idx="2">
                  <c:v>157.97084460998408</c:v>
                </c:pt>
                <c:pt idx="3">
                  <c:v>176.13710635043304</c:v>
                </c:pt>
                <c:pt idx="4">
                  <c:v>143.28531650503717</c:v>
                </c:pt>
                <c:pt idx="5">
                  <c:v>142.87897355774447</c:v>
                </c:pt>
                <c:pt idx="6">
                  <c:v>132.92434731999469</c:v>
                </c:pt>
                <c:pt idx="7">
                  <c:v>145.0419050338877</c:v>
                </c:pt>
                <c:pt idx="8">
                  <c:v>123.94089668085076</c:v>
                </c:pt>
                <c:pt idx="9">
                  <c:v>106.84992156462299</c:v>
                </c:pt>
                <c:pt idx="10">
                  <c:v>117.29716087739146</c:v>
                </c:pt>
                <c:pt idx="11">
                  <c:v>123.39497940557204</c:v>
                </c:pt>
                <c:pt idx="12">
                  <c:v>129.38119772424824</c:v>
                </c:pt>
                <c:pt idx="13">
                  <c:v>104.38831456021127</c:v>
                </c:pt>
                <c:pt idx="14">
                  <c:v>101.38308534189252</c:v>
                </c:pt>
                <c:pt idx="15">
                  <c:v>73.130208855956383</c:v>
                </c:pt>
                <c:pt idx="16">
                  <c:v>61.510912388058571</c:v>
                </c:pt>
                <c:pt idx="17">
                  <c:v>68.304563881469946</c:v>
                </c:pt>
                <c:pt idx="18">
                  <c:v>67.883975487352899</c:v>
                </c:pt>
                <c:pt idx="19">
                  <c:v>38.067551256039813</c:v>
                </c:pt>
                <c:pt idx="20">
                  <c:v>56.699456545694652</c:v>
                </c:pt>
                <c:pt idx="21">
                  <c:v>67.901020913922622</c:v>
                </c:pt>
                <c:pt idx="22">
                  <c:v>60.083965878564115</c:v>
                </c:pt>
                <c:pt idx="23">
                  <c:v>63.061233370243343</c:v>
                </c:pt>
                <c:pt idx="24">
                  <c:v>43.3043426266605</c:v>
                </c:pt>
                <c:pt idx="25">
                  <c:v>69.128245161420054</c:v>
                </c:pt>
                <c:pt idx="26">
                  <c:v>38.91929726121019</c:v>
                </c:pt>
                <c:pt idx="27">
                  <c:v>53.106556002068842</c:v>
                </c:pt>
                <c:pt idx="28">
                  <c:v>30.843456557772864</c:v>
                </c:pt>
                <c:pt idx="29">
                  <c:v>404.58381063437059</c:v>
                </c:pt>
                <c:pt idx="30">
                  <c:v>153.65622463006241</c:v>
                </c:pt>
                <c:pt idx="31">
                  <c:v>143.24561270782013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D3C4-4BB5-98E0-255A03008D2B}"/>
            </c:ext>
          </c:extLst>
        </c:ser>
        <c:ser>
          <c:idx val="1"/>
          <c:order val="1"/>
          <c:tx>
            <c:strRef>
              <c:f>'GRAF-15'!$D$2</c:f>
              <c:strCache>
                <c:ptCount val="1"/>
                <c:pt idx="0">
                  <c:v>rok 2013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27F92C"/>
                </a:solidFill>
              </a:ln>
              <a:effectLst/>
            </c:spPr>
          </c:marker>
          <c:cat>
            <c:strRef>
              <c:f>'GRAF-15'!$B$3:$B$35</c:f>
              <c:strCache>
                <c:ptCount val="33"/>
                <c:pt idx="0">
                  <c:v>Irsko</c:v>
                </c:pt>
                <c:pt idx="1">
                  <c:v>Dánsko</c:v>
                </c:pt>
                <c:pt idx="2">
                  <c:v>Belgie</c:v>
                </c:pt>
                <c:pt idx="3">
                  <c:v>Nizozemsko</c:v>
                </c:pt>
                <c:pt idx="4">
                  <c:v>Švédsko</c:v>
                </c:pt>
                <c:pt idx="5">
                  <c:v>Rakousko</c:v>
                </c:pt>
                <c:pt idx="6">
                  <c:v>Francie</c:v>
                </c:pt>
                <c:pt idx="7">
                  <c:v>Finsko</c:v>
                </c:pt>
                <c:pt idx="8">
                  <c:v>EU15</c:v>
                </c:pt>
                <c:pt idx="9">
                  <c:v>Španělsko</c:v>
                </c:pt>
                <c:pt idx="10">
                  <c:v>eurozóna (19)</c:v>
                </c:pt>
                <c:pt idx="11">
                  <c:v>Německo</c:v>
                </c:pt>
                <c:pt idx="12">
                  <c:v>Lucembursko</c:v>
                </c:pt>
                <c:pt idx="13">
                  <c:v>Itálie</c:v>
                </c:pt>
                <c:pt idx="14">
                  <c:v>Řecko</c:v>
                </c:pt>
                <c:pt idx="15">
                  <c:v>Slovinsko</c:v>
                </c:pt>
                <c:pt idx="16">
                  <c:v>Litva</c:v>
                </c:pt>
                <c:pt idx="17">
                  <c:v>Malta</c:v>
                </c:pt>
                <c:pt idx="18">
                  <c:v>Česko</c:v>
                </c:pt>
                <c:pt idx="19">
                  <c:v>Rumunsko</c:v>
                </c:pt>
                <c:pt idx="20">
                  <c:v>Polsko</c:v>
                </c:pt>
                <c:pt idx="21">
                  <c:v>Slovensko</c:v>
                </c:pt>
                <c:pt idx="22">
                  <c:v>Maďarsko</c:v>
                </c:pt>
                <c:pt idx="23">
                  <c:v>Portugalsko</c:v>
                </c:pt>
                <c:pt idx="24">
                  <c:v>Estonsko</c:v>
                </c:pt>
                <c:pt idx="25">
                  <c:v>Kypr</c:v>
                </c:pt>
                <c:pt idx="26">
                  <c:v>Lotyšsko</c:v>
                </c:pt>
                <c:pt idx="27">
                  <c:v>Chorvatsko</c:v>
                </c:pt>
                <c:pt idx="28">
                  <c:v>Bulharsko</c:v>
                </c:pt>
                <c:pt idx="29">
                  <c:v>Norsko</c:v>
                </c:pt>
                <c:pt idx="30">
                  <c:v>Švýcarsko</c:v>
                </c:pt>
                <c:pt idx="31">
                  <c:v>Velká Británie</c:v>
                </c:pt>
                <c:pt idx="32">
                  <c:v>Island</c:v>
                </c:pt>
              </c:strCache>
            </c:strRef>
          </c:cat>
          <c:val>
            <c:numRef>
              <c:f>'GRAF-15'!$D$3:$D$35</c:f>
              <c:numCache>
                <c:formatCode>#,##0</c:formatCode>
                <c:ptCount val="33"/>
                <c:pt idx="0">
                  <c:v>257.08459953506099</c:v>
                </c:pt>
                <c:pt idx="1">
                  <c:v>157.66060638533244</c:v>
                </c:pt>
                <c:pt idx="2">
                  <c:v>143.48486842965914</c:v>
                </c:pt>
                <c:pt idx="3">
                  <c:v>173.05821928701991</c:v>
                </c:pt>
                <c:pt idx="4">
                  <c:v>131.91514051502077</c:v>
                </c:pt>
                <c:pt idx="5">
                  <c:v>133.20110789534323</c:v>
                </c:pt>
                <c:pt idx="6">
                  <c:v>125.49983419392075</c:v>
                </c:pt>
                <c:pt idx="7">
                  <c:v>115.4146548283401</c:v>
                </c:pt>
                <c:pt idx="8">
                  <c:v>120.64508690310593</c:v>
                </c:pt>
                <c:pt idx="9">
                  <c:v>124.78102812711404</c:v>
                </c:pt>
                <c:pt idx="10">
                  <c:v>114.73589033993044</c:v>
                </c:pt>
                <c:pt idx="11">
                  <c:v>116.4006264635205</c:v>
                </c:pt>
                <c:pt idx="12">
                  <c:v>102.64052886978649</c:v>
                </c:pt>
                <c:pt idx="13">
                  <c:v>97.033177184371027</c:v>
                </c:pt>
                <c:pt idx="14">
                  <c:v>97.326041692586713</c:v>
                </c:pt>
                <c:pt idx="15">
                  <c:v>76.209873621792354</c:v>
                </c:pt>
                <c:pt idx="16">
                  <c:v>82.239753545541916</c:v>
                </c:pt>
                <c:pt idx="17">
                  <c:v>65.70348733533497</c:v>
                </c:pt>
                <c:pt idx="18">
                  <c:v>69.767592251214865</c:v>
                </c:pt>
                <c:pt idx="19">
                  <c:v>63.977639744335157</c:v>
                </c:pt>
                <c:pt idx="20">
                  <c:v>65.122930966732113</c:v>
                </c:pt>
                <c:pt idx="21">
                  <c:v>72.548651896471313</c:v>
                </c:pt>
                <c:pt idx="22">
                  <c:v>68.437055275540843</c:v>
                </c:pt>
                <c:pt idx="23">
                  <c:v>66.931226810307834</c:v>
                </c:pt>
                <c:pt idx="24">
                  <c:v>60.990856262344785</c:v>
                </c:pt>
                <c:pt idx="25">
                  <c:v>53.71206351001139</c:v>
                </c:pt>
                <c:pt idx="26">
                  <c:v>50.396679303460836</c:v>
                </c:pt>
                <c:pt idx="27">
                  <c:v>58.701721089641303</c:v>
                </c:pt>
                <c:pt idx="28">
                  <c:v>38.011588837561895</c:v>
                </c:pt>
                <c:pt idx="29">
                  <c:v>352.40569364495775</c:v>
                </c:pt>
                <c:pt idx="30">
                  <c:v>159.89329653797122</c:v>
                </c:pt>
                <c:pt idx="31">
                  <c:v>138.2729004176457</c:v>
                </c:pt>
                <c:pt idx="32">
                  <c:v>113.26821111538305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D3C4-4BB5-98E0-255A03008D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3300000" spcFirstLastPara="1" vertOverflow="ellipsis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At val="0"/>
        <c:auto val="1"/>
        <c:lblAlgn val="ctr"/>
        <c:lblOffset val="0"/>
        <c:noMultiLvlLbl val="0"/>
      </c:catAx>
      <c:valAx>
        <c:axId val="281211184"/>
        <c:scaling>
          <c:orientation val="minMax"/>
          <c:max val="25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At val="1"/>
        <c:crossBetween val="between"/>
        <c:majorUnit val="25"/>
      </c:val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0.4065673040869891"/>
          <c:y val="0.93780311390458149"/>
          <c:w val="0.37315773028371452"/>
          <c:h val="4.6483472679181438E-2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147680951222731E-2"/>
          <c:y val="2.055840501757536E-2"/>
          <c:w val="0.93481989421424139"/>
          <c:h val="0.7503271492772803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'Graf-3'!$Q$4</c:f>
              <c:strCache>
                <c:ptCount val="1"/>
                <c:pt idx="0">
                  <c:v>rok 2019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25400"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732-4C94-A675-C32E959DBE8C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0732-4C94-A675-C32E959DBE8C}"/>
              </c:ext>
            </c:extLst>
          </c:dPt>
          <c:dPt>
            <c:idx val="8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0732-4C94-A675-C32E959DBE8C}"/>
              </c:ext>
            </c:extLst>
          </c:dPt>
          <c:dPt>
            <c:idx val="1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0732-4C94-A675-C32E959DBE8C}"/>
              </c:ext>
            </c:extLst>
          </c:dPt>
          <c:dPt>
            <c:idx val="12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732-4C94-A675-C32E959DBE8C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0732-4C94-A675-C32E959DBE8C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0732-4C94-A675-C32E959DBE8C}"/>
              </c:ext>
            </c:extLst>
          </c:dPt>
          <c:dPt>
            <c:idx val="17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0732-4C94-A675-C32E959DBE8C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0732-4C94-A675-C32E959DBE8C}"/>
              </c:ext>
            </c:extLst>
          </c:dPt>
          <c:dPt>
            <c:idx val="19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0732-4C94-A675-C32E959DBE8C}"/>
              </c:ext>
            </c:extLst>
          </c:dPt>
          <c:dPt>
            <c:idx val="2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0732-4C94-A675-C32E959DBE8C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0732-4C94-A675-C32E959DBE8C}"/>
              </c:ext>
            </c:extLst>
          </c:dPt>
          <c:dPt>
            <c:idx val="23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0732-4C94-A675-C32E959DBE8C}"/>
              </c:ext>
            </c:extLst>
          </c:dPt>
          <c:dPt>
            <c:idx val="24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0732-4C94-A675-C32E959DBE8C}"/>
              </c:ext>
            </c:extLst>
          </c:dPt>
          <c:dPt>
            <c:idx val="27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 w="2540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0732-4C94-A675-C32E959DBE8C}"/>
              </c:ext>
            </c:extLst>
          </c:dPt>
          <c:dPt>
            <c:idx val="28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0732-4C94-A675-C32E959DBE8C}"/>
              </c:ext>
            </c:extLst>
          </c:dPt>
          <c:dPt>
            <c:idx val="29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0732-4C94-A675-C32E959DBE8C}"/>
              </c:ext>
            </c:extLst>
          </c:dPt>
          <c:dPt>
            <c:idx val="30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0732-4C94-A675-C32E959DBE8C}"/>
              </c:ext>
            </c:extLst>
          </c:dPt>
          <c:dPt>
            <c:idx val="31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0732-4C94-A675-C32E959DBE8C}"/>
              </c:ext>
            </c:extLst>
          </c:dPt>
          <c:dPt>
            <c:idx val="32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0732-4C94-A675-C32E959DBE8C}"/>
              </c:ext>
            </c:extLst>
          </c:dPt>
          <c:dPt>
            <c:idx val="33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0732-4C94-A675-C32E959DBE8C}"/>
              </c:ext>
            </c:extLst>
          </c:dPt>
          <c:dPt>
            <c:idx val="34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0732-4C94-A675-C32E959DBE8C}"/>
              </c:ext>
            </c:extLst>
          </c:dPt>
          <c:dPt>
            <c:idx val="35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0732-4C94-A675-C32E959DBE8C}"/>
              </c:ext>
            </c:extLst>
          </c:dPt>
          <c:dPt>
            <c:idx val="36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0732-4C94-A675-C32E959DBE8C}"/>
              </c:ext>
            </c:extLst>
          </c:dPt>
          <c:dPt>
            <c:idx val="37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9525"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0732-4C94-A675-C32E959DBE8C}"/>
              </c:ext>
            </c:extLst>
          </c:dPt>
          <c:cat>
            <c:strRef>
              <c:f>'Graf-3'!$L$5:$L$42</c:f>
              <c:strCache>
                <c:ptCount val="38"/>
                <c:pt idx="0">
                  <c:v>Irsko</c:v>
                </c:pt>
                <c:pt idx="1">
                  <c:v>Česko</c:v>
                </c:pt>
                <c:pt idx="2">
                  <c:v>Slovinsko</c:v>
                </c:pt>
                <c:pt idx="3">
                  <c:v>Polsko</c:v>
                </c:pt>
                <c:pt idx="4">
                  <c:v>Slovensko</c:v>
                </c:pt>
                <c:pt idx="5">
                  <c:v>Německo</c:v>
                </c:pt>
                <c:pt idx="6">
                  <c:v>Maďarsko</c:v>
                </c:pt>
                <c:pt idx="7">
                  <c:v>Rumunsko</c:v>
                </c:pt>
                <c:pt idx="8">
                  <c:v>Rakousko</c:v>
                </c:pt>
                <c:pt idx="9">
                  <c:v>Bulharsko</c:v>
                </c:pt>
                <c:pt idx="10">
                  <c:v>Litva</c:v>
                </c:pt>
                <c:pt idx="11">
                  <c:v>Finsko</c:v>
                </c:pt>
                <c:pt idx="12">
                  <c:v>EU27</c:v>
                </c:pt>
                <c:pt idx="13">
                  <c:v>Itálie</c:v>
                </c:pt>
                <c:pt idx="14">
                  <c:v>Estonsko</c:v>
                </c:pt>
                <c:pt idx="15">
                  <c:v>Chorvatsko</c:v>
                </c:pt>
                <c:pt idx="16">
                  <c:v>Švédsko</c:v>
                </c:pt>
                <c:pt idx="17">
                  <c:v>Dánsko</c:v>
                </c:pt>
                <c:pt idx="18">
                  <c:v>Portugalsko</c:v>
                </c:pt>
                <c:pt idx="19">
                  <c:v>Belgie</c:v>
                </c:pt>
                <c:pt idx="20">
                  <c:v>Španělsko</c:v>
                </c:pt>
                <c:pt idx="21">
                  <c:v>Lotyšsko</c:v>
                </c:pt>
                <c:pt idx="22">
                  <c:v>Nizozemsko</c:v>
                </c:pt>
                <c:pt idx="23">
                  <c:v>Řecko</c:v>
                </c:pt>
                <c:pt idx="24">
                  <c:v>Francie</c:v>
                </c:pt>
                <c:pt idx="25">
                  <c:v>Malta</c:v>
                </c:pt>
                <c:pt idx="26">
                  <c:v>Kypr</c:v>
                </c:pt>
                <c:pt idx="27">
                  <c:v>Lucembursko</c:v>
                </c:pt>
                <c:pt idx="28">
                  <c:v>Norsko</c:v>
                </c:pt>
                <c:pt idx="29">
                  <c:v>Turecko</c:v>
                </c:pt>
                <c:pt idx="30">
                  <c:v>Srbsko</c:v>
                </c:pt>
                <c:pt idx="31">
                  <c:v>Bosna a H.</c:v>
                </c:pt>
                <c:pt idx="32">
                  <c:v>S. Makedonie</c:v>
                </c:pt>
                <c:pt idx="33">
                  <c:v>Švýcarsko</c:v>
                </c:pt>
                <c:pt idx="34">
                  <c:v>Island</c:v>
                </c:pt>
                <c:pt idx="35">
                  <c:v>Velká Británie</c:v>
                </c:pt>
                <c:pt idx="36">
                  <c:v>Albánie</c:v>
                </c:pt>
                <c:pt idx="37">
                  <c:v>Černá Hora</c:v>
                </c:pt>
              </c:strCache>
            </c:strRef>
          </c:cat>
          <c:val>
            <c:numRef>
              <c:f>'Graf-3'!$Q$5:$Q$42</c:f>
              <c:numCache>
                <c:formatCode>#,##0.0</c:formatCode>
                <c:ptCount val="38"/>
                <c:pt idx="0">
                  <c:v>35</c:v>
                </c:pt>
                <c:pt idx="1">
                  <c:v>29.2</c:v>
                </c:pt>
                <c:pt idx="2">
                  <c:v>26.7</c:v>
                </c:pt>
                <c:pt idx="3">
                  <c:v>25.1</c:v>
                </c:pt>
                <c:pt idx="4">
                  <c:v>24.5</c:v>
                </c:pt>
                <c:pt idx="5">
                  <c:v>24.2</c:v>
                </c:pt>
                <c:pt idx="6">
                  <c:v>24.1</c:v>
                </c:pt>
                <c:pt idx="7">
                  <c:v>24.1</c:v>
                </c:pt>
                <c:pt idx="8">
                  <c:v>21.9</c:v>
                </c:pt>
                <c:pt idx="9">
                  <c:v>21.3</c:v>
                </c:pt>
                <c:pt idx="10">
                  <c:v>20.8</c:v>
                </c:pt>
                <c:pt idx="11">
                  <c:v>20.5</c:v>
                </c:pt>
                <c:pt idx="12">
                  <c:v>19.7</c:v>
                </c:pt>
                <c:pt idx="13">
                  <c:v>19.600000000000001</c:v>
                </c:pt>
                <c:pt idx="14">
                  <c:v>19.2</c:v>
                </c:pt>
                <c:pt idx="15">
                  <c:v>19.2</c:v>
                </c:pt>
                <c:pt idx="16">
                  <c:v>18.2</c:v>
                </c:pt>
                <c:pt idx="17">
                  <c:v>17.899999999999999</c:v>
                </c:pt>
                <c:pt idx="18">
                  <c:v>17.399999999999999</c:v>
                </c:pt>
                <c:pt idx="19">
                  <c:v>16</c:v>
                </c:pt>
                <c:pt idx="20">
                  <c:v>15.8</c:v>
                </c:pt>
                <c:pt idx="21">
                  <c:v>15.2</c:v>
                </c:pt>
                <c:pt idx="22">
                  <c:v>14.9</c:v>
                </c:pt>
                <c:pt idx="23">
                  <c:v>14.8</c:v>
                </c:pt>
                <c:pt idx="24">
                  <c:v>13.5</c:v>
                </c:pt>
                <c:pt idx="25">
                  <c:v>9.8000000000000007</c:v>
                </c:pt>
                <c:pt idx="26">
                  <c:v>8</c:v>
                </c:pt>
                <c:pt idx="27">
                  <c:v>6.5</c:v>
                </c:pt>
                <c:pt idx="28">
                  <c:v>26.1</c:v>
                </c:pt>
                <c:pt idx="29">
                  <c:v>24.9</c:v>
                </c:pt>
                <c:pt idx="30">
                  <c:v>24</c:v>
                </c:pt>
                <c:pt idx="31">
                  <c:v>23.2</c:v>
                </c:pt>
                <c:pt idx="32">
                  <c:v>21.4</c:v>
                </c:pt>
                <c:pt idx="33">
                  <c:v>21</c:v>
                </c:pt>
                <c:pt idx="34">
                  <c:v>14.4</c:v>
                </c:pt>
                <c:pt idx="35">
                  <c:v>13.3</c:v>
                </c:pt>
                <c:pt idx="36">
                  <c:v>13.2</c:v>
                </c:pt>
                <c:pt idx="37">
                  <c:v>12.5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2-0732-4C94-A675-C32E959DB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axId val="211167600"/>
        <c:axId val="281211184"/>
      </c:barChart>
      <c:lineChart>
        <c:grouping val="standard"/>
        <c:varyColors val="0"/>
        <c:ser>
          <c:idx val="0"/>
          <c:order val="0"/>
          <c:tx>
            <c:strRef>
              <c:f>'Graf-3'!$O$4</c:f>
              <c:strCache>
                <c:ptCount val="1"/>
                <c:pt idx="0">
                  <c:v>rok 2005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noFill/>
              </a:ln>
              <a:effectLst/>
            </c:spPr>
          </c:marker>
          <c:cat>
            <c:strRef>
              <c:f>'Graf-3'!$L$5:$L$42</c:f>
              <c:strCache>
                <c:ptCount val="38"/>
                <c:pt idx="0">
                  <c:v>Irsko</c:v>
                </c:pt>
                <c:pt idx="1">
                  <c:v>Česko</c:v>
                </c:pt>
                <c:pt idx="2">
                  <c:v>Slovinsko</c:v>
                </c:pt>
                <c:pt idx="3">
                  <c:v>Polsko</c:v>
                </c:pt>
                <c:pt idx="4">
                  <c:v>Slovensko</c:v>
                </c:pt>
                <c:pt idx="5">
                  <c:v>Německo</c:v>
                </c:pt>
                <c:pt idx="6">
                  <c:v>Maďarsko</c:v>
                </c:pt>
                <c:pt idx="7">
                  <c:v>Rumunsko</c:v>
                </c:pt>
                <c:pt idx="8">
                  <c:v>Rakousko</c:v>
                </c:pt>
                <c:pt idx="9">
                  <c:v>Bulharsko</c:v>
                </c:pt>
                <c:pt idx="10">
                  <c:v>Litva</c:v>
                </c:pt>
                <c:pt idx="11">
                  <c:v>Finsko</c:v>
                </c:pt>
                <c:pt idx="12">
                  <c:v>EU27</c:v>
                </c:pt>
                <c:pt idx="13">
                  <c:v>Itálie</c:v>
                </c:pt>
                <c:pt idx="14">
                  <c:v>Estonsko</c:v>
                </c:pt>
                <c:pt idx="15">
                  <c:v>Chorvatsko</c:v>
                </c:pt>
                <c:pt idx="16">
                  <c:v>Švédsko</c:v>
                </c:pt>
                <c:pt idx="17">
                  <c:v>Dánsko</c:v>
                </c:pt>
                <c:pt idx="18">
                  <c:v>Portugalsko</c:v>
                </c:pt>
                <c:pt idx="19">
                  <c:v>Belgie</c:v>
                </c:pt>
                <c:pt idx="20">
                  <c:v>Španělsko</c:v>
                </c:pt>
                <c:pt idx="21">
                  <c:v>Lotyšsko</c:v>
                </c:pt>
                <c:pt idx="22">
                  <c:v>Nizozemsko</c:v>
                </c:pt>
                <c:pt idx="23">
                  <c:v>Řecko</c:v>
                </c:pt>
                <c:pt idx="24">
                  <c:v>Francie</c:v>
                </c:pt>
                <c:pt idx="25">
                  <c:v>Malta</c:v>
                </c:pt>
                <c:pt idx="26">
                  <c:v>Kypr</c:v>
                </c:pt>
                <c:pt idx="27">
                  <c:v>Lucembursko</c:v>
                </c:pt>
                <c:pt idx="28">
                  <c:v>Norsko</c:v>
                </c:pt>
                <c:pt idx="29">
                  <c:v>Turecko</c:v>
                </c:pt>
                <c:pt idx="30">
                  <c:v>Srbsko</c:v>
                </c:pt>
                <c:pt idx="31">
                  <c:v>Bosna a H.</c:v>
                </c:pt>
                <c:pt idx="32">
                  <c:v>S. Makedonie</c:v>
                </c:pt>
                <c:pt idx="33">
                  <c:v>Švýcarsko</c:v>
                </c:pt>
                <c:pt idx="34">
                  <c:v>Island</c:v>
                </c:pt>
                <c:pt idx="35">
                  <c:v>Velká Británie</c:v>
                </c:pt>
                <c:pt idx="36">
                  <c:v>Albánie</c:v>
                </c:pt>
                <c:pt idx="37">
                  <c:v>Černá Hora</c:v>
                </c:pt>
              </c:strCache>
            </c:strRef>
          </c:cat>
          <c:val>
            <c:numRef>
              <c:f>'Graf-3'!$O$5:$O$42</c:f>
              <c:numCache>
                <c:formatCode>#,##0.0</c:formatCode>
                <c:ptCount val="38"/>
                <c:pt idx="0">
                  <c:v>24.4</c:v>
                </c:pt>
                <c:pt idx="1">
                  <c:v>30.5</c:v>
                </c:pt>
                <c:pt idx="2">
                  <c:v>27.4</c:v>
                </c:pt>
                <c:pt idx="3">
                  <c:v>25.2</c:v>
                </c:pt>
                <c:pt idx="4">
                  <c:v>29.7</c:v>
                </c:pt>
                <c:pt idx="5">
                  <c:v>25.2</c:v>
                </c:pt>
                <c:pt idx="6">
                  <c:v>25.8</c:v>
                </c:pt>
                <c:pt idx="7">
                  <c:v>28.5</c:v>
                </c:pt>
                <c:pt idx="8">
                  <c:v>23.4</c:v>
                </c:pt>
                <c:pt idx="9">
                  <c:v>22.4</c:v>
                </c:pt>
                <c:pt idx="10">
                  <c:v>24.9</c:v>
                </c:pt>
                <c:pt idx="11">
                  <c:v>27</c:v>
                </c:pt>
                <c:pt idx="12">
                  <c:v>21</c:v>
                </c:pt>
                <c:pt idx="13">
                  <c:v>19.899999999999999</c:v>
                </c:pt>
                <c:pt idx="14">
                  <c:v>21.1</c:v>
                </c:pt>
                <c:pt idx="15">
                  <c:v>21.3</c:v>
                </c:pt>
                <c:pt idx="16">
                  <c:v>23.2</c:v>
                </c:pt>
                <c:pt idx="17">
                  <c:v>20.8</c:v>
                </c:pt>
                <c:pt idx="18">
                  <c:v>17.7</c:v>
                </c:pt>
                <c:pt idx="19">
                  <c:v>20.399999999999999</c:v>
                </c:pt>
                <c:pt idx="20">
                  <c:v>18.399999999999999</c:v>
                </c:pt>
                <c:pt idx="21">
                  <c:v>16</c:v>
                </c:pt>
                <c:pt idx="22">
                  <c:v>18.100000000000001</c:v>
                </c:pt>
                <c:pt idx="23">
                  <c:v>13.5</c:v>
                </c:pt>
                <c:pt idx="24">
                  <c:v>16.399999999999999</c:v>
                </c:pt>
                <c:pt idx="25">
                  <c:v>16.2</c:v>
                </c:pt>
                <c:pt idx="26">
                  <c:v>10.1</c:v>
                </c:pt>
                <c:pt idx="27">
                  <c:v>10.8</c:v>
                </c:pt>
                <c:pt idx="28">
                  <c:v>37.799999999999997</c:v>
                </c:pt>
                <c:pt idx="29">
                  <c:v>22.6</c:v>
                </c:pt>
                <c:pt idx="30">
                  <c:v>30.6</c:v>
                </c:pt>
                <c:pt idx="31">
                  <c:v>20.2</c:v>
                </c:pt>
                <c:pt idx="32">
                  <c:v>17.600000000000001</c:v>
                </c:pt>
                <c:pt idx="33">
                  <c:v>22</c:v>
                </c:pt>
                <c:pt idx="34">
                  <c:v>13.9</c:v>
                </c:pt>
                <c:pt idx="35">
                  <c:v>16.100000000000001</c:v>
                </c:pt>
                <c:pt idx="36">
                  <c:v>11.1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3-0732-4C94-A675-C32E959DBE8C}"/>
            </c:ext>
          </c:extLst>
        </c:ser>
        <c:ser>
          <c:idx val="1"/>
          <c:order val="1"/>
          <c:tx>
            <c:strRef>
              <c:f>'Graf-3'!$P$4</c:f>
              <c:strCache>
                <c:ptCount val="1"/>
                <c:pt idx="0">
                  <c:v>rok 2013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noFill/>
              </a:ln>
              <a:effectLst/>
            </c:spPr>
          </c:marker>
          <c:cat>
            <c:strRef>
              <c:f>'Graf-3'!$L$5:$L$42</c:f>
              <c:strCache>
                <c:ptCount val="38"/>
                <c:pt idx="0">
                  <c:v>Irsko</c:v>
                </c:pt>
                <c:pt idx="1">
                  <c:v>Česko</c:v>
                </c:pt>
                <c:pt idx="2">
                  <c:v>Slovinsko</c:v>
                </c:pt>
                <c:pt idx="3">
                  <c:v>Polsko</c:v>
                </c:pt>
                <c:pt idx="4">
                  <c:v>Slovensko</c:v>
                </c:pt>
                <c:pt idx="5">
                  <c:v>Německo</c:v>
                </c:pt>
                <c:pt idx="6">
                  <c:v>Maďarsko</c:v>
                </c:pt>
                <c:pt idx="7">
                  <c:v>Rumunsko</c:v>
                </c:pt>
                <c:pt idx="8">
                  <c:v>Rakousko</c:v>
                </c:pt>
                <c:pt idx="9">
                  <c:v>Bulharsko</c:v>
                </c:pt>
                <c:pt idx="10">
                  <c:v>Litva</c:v>
                </c:pt>
                <c:pt idx="11">
                  <c:v>Finsko</c:v>
                </c:pt>
                <c:pt idx="12">
                  <c:v>EU27</c:v>
                </c:pt>
                <c:pt idx="13">
                  <c:v>Itálie</c:v>
                </c:pt>
                <c:pt idx="14">
                  <c:v>Estonsko</c:v>
                </c:pt>
                <c:pt idx="15">
                  <c:v>Chorvatsko</c:v>
                </c:pt>
                <c:pt idx="16">
                  <c:v>Švédsko</c:v>
                </c:pt>
                <c:pt idx="17">
                  <c:v>Dánsko</c:v>
                </c:pt>
                <c:pt idx="18">
                  <c:v>Portugalsko</c:v>
                </c:pt>
                <c:pt idx="19">
                  <c:v>Belgie</c:v>
                </c:pt>
                <c:pt idx="20">
                  <c:v>Španělsko</c:v>
                </c:pt>
                <c:pt idx="21">
                  <c:v>Lotyšsko</c:v>
                </c:pt>
                <c:pt idx="22">
                  <c:v>Nizozemsko</c:v>
                </c:pt>
                <c:pt idx="23">
                  <c:v>Řecko</c:v>
                </c:pt>
                <c:pt idx="24">
                  <c:v>Francie</c:v>
                </c:pt>
                <c:pt idx="25">
                  <c:v>Malta</c:v>
                </c:pt>
                <c:pt idx="26">
                  <c:v>Kypr</c:v>
                </c:pt>
                <c:pt idx="27">
                  <c:v>Lucembursko</c:v>
                </c:pt>
                <c:pt idx="28">
                  <c:v>Norsko</c:v>
                </c:pt>
                <c:pt idx="29">
                  <c:v>Turecko</c:v>
                </c:pt>
                <c:pt idx="30">
                  <c:v>Srbsko</c:v>
                </c:pt>
                <c:pt idx="31">
                  <c:v>Bosna a H.</c:v>
                </c:pt>
                <c:pt idx="32">
                  <c:v>S. Makedonie</c:v>
                </c:pt>
                <c:pt idx="33">
                  <c:v>Švýcarsko</c:v>
                </c:pt>
                <c:pt idx="34">
                  <c:v>Island</c:v>
                </c:pt>
                <c:pt idx="35">
                  <c:v>Velká Británie</c:v>
                </c:pt>
                <c:pt idx="36">
                  <c:v>Albánie</c:v>
                </c:pt>
                <c:pt idx="37">
                  <c:v>Černá Hora</c:v>
                </c:pt>
              </c:strCache>
            </c:strRef>
          </c:cat>
          <c:val>
            <c:numRef>
              <c:f>'Graf-3'!$P$5:$P$42</c:f>
              <c:numCache>
                <c:formatCode>#,##0.0</c:formatCode>
                <c:ptCount val="38"/>
                <c:pt idx="0">
                  <c:v>24.4</c:v>
                </c:pt>
                <c:pt idx="1">
                  <c:v>30.7</c:v>
                </c:pt>
                <c:pt idx="2">
                  <c:v>26.5</c:v>
                </c:pt>
                <c:pt idx="3">
                  <c:v>24.9</c:v>
                </c:pt>
                <c:pt idx="4">
                  <c:v>24.3</c:v>
                </c:pt>
                <c:pt idx="5">
                  <c:v>25.3</c:v>
                </c:pt>
                <c:pt idx="6">
                  <c:v>25.6</c:v>
                </c:pt>
                <c:pt idx="7">
                  <c:v>28.6</c:v>
                </c:pt>
                <c:pt idx="8">
                  <c:v>22.2</c:v>
                </c:pt>
                <c:pt idx="9">
                  <c:v>22.1</c:v>
                </c:pt>
                <c:pt idx="10">
                  <c:v>23.5</c:v>
                </c:pt>
                <c:pt idx="11">
                  <c:v>20.399999999999999</c:v>
                </c:pt>
                <c:pt idx="12">
                  <c:v>19.8</c:v>
                </c:pt>
                <c:pt idx="13">
                  <c:v>18.600000000000001</c:v>
                </c:pt>
                <c:pt idx="14">
                  <c:v>21.8</c:v>
                </c:pt>
                <c:pt idx="15">
                  <c:v>20.6</c:v>
                </c:pt>
                <c:pt idx="16">
                  <c:v>19</c:v>
                </c:pt>
                <c:pt idx="17">
                  <c:v>18.7</c:v>
                </c:pt>
                <c:pt idx="18">
                  <c:v>17</c:v>
                </c:pt>
                <c:pt idx="19">
                  <c:v>16.899999999999999</c:v>
                </c:pt>
                <c:pt idx="20">
                  <c:v>16.399999999999999</c:v>
                </c:pt>
                <c:pt idx="21">
                  <c:v>16.5</c:v>
                </c:pt>
                <c:pt idx="22">
                  <c:v>17.100000000000001</c:v>
                </c:pt>
                <c:pt idx="23">
                  <c:v>13.6</c:v>
                </c:pt>
                <c:pt idx="24">
                  <c:v>14.1</c:v>
                </c:pt>
                <c:pt idx="25">
                  <c:v>12.6</c:v>
                </c:pt>
                <c:pt idx="26">
                  <c:v>7.2</c:v>
                </c:pt>
                <c:pt idx="27">
                  <c:v>7.1</c:v>
                </c:pt>
                <c:pt idx="28">
                  <c:v>34</c:v>
                </c:pt>
                <c:pt idx="29">
                  <c:v>22.4</c:v>
                </c:pt>
                <c:pt idx="30">
                  <c:v>28.2</c:v>
                </c:pt>
                <c:pt idx="31">
                  <c:v>21.6</c:v>
                </c:pt>
                <c:pt idx="32">
                  <c:v>17.3</c:v>
                </c:pt>
                <c:pt idx="33">
                  <c:v>21.2</c:v>
                </c:pt>
                <c:pt idx="34">
                  <c:v>18.600000000000001</c:v>
                </c:pt>
                <c:pt idx="35">
                  <c:v>15.3</c:v>
                </c:pt>
                <c:pt idx="36">
                  <c:v>14.6</c:v>
                </c:pt>
                <c:pt idx="37">
                  <c:v>14.3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4-0732-4C94-A675-C32E959DBE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50"/>
        <c:noMultiLvlLbl val="0"/>
      </c:catAx>
      <c:valAx>
        <c:axId val="281211184"/>
        <c:scaling>
          <c:orientation val="minMax"/>
          <c:max val="36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4"/>
      </c:valAx>
      <c:spPr>
        <a:noFill/>
        <a:ln w="6350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10045462803781111"/>
          <c:y val="0.94863090831594765"/>
          <c:w val="0.37472748609452167"/>
          <c:h val="4.8796165436585381E-2"/>
        </c:manualLayout>
      </c:layout>
      <c:overlay val="0"/>
      <c:spPr>
        <a:noFill/>
        <a:ln w="6350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147680951222731E-2"/>
          <c:y val="2.055840501757536E-2"/>
          <c:w val="0.93481989421424139"/>
          <c:h val="0.75032714927728039"/>
        </c:manualLayout>
      </c:layout>
      <c:barChart>
        <c:barDir val="col"/>
        <c:grouping val="clustered"/>
        <c:varyColors val="0"/>
        <c:ser>
          <c:idx val="2"/>
          <c:order val="2"/>
          <c:tx>
            <c:strRef>
              <c:f>'Graf-4'!$U$3</c:f>
              <c:strCache>
                <c:ptCount val="1"/>
                <c:pt idx="0">
                  <c:v>rok 2019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266-4730-9809-F8B5C75BD9A0}"/>
              </c:ext>
            </c:extLst>
          </c:dPt>
          <c:dPt>
            <c:idx val="1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266-4730-9809-F8B5C75BD9A0}"/>
              </c:ext>
            </c:extLst>
          </c:dPt>
          <c:dPt>
            <c:idx val="12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266-4730-9809-F8B5C75BD9A0}"/>
              </c:ext>
            </c:extLst>
          </c:dPt>
          <c:dPt>
            <c:idx val="13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bg1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266-4730-9809-F8B5C75BD9A0}"/>
              </c:ext>
            </c:extLst>
          </c:dPt>
          <c:dPt>
            <c:idx val="14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266-4730-9809-F8B5C75BD9A0}"/>
              </c:ext>
            </c:extLst>
          </c:dPt>
          <c:dPt>
            <c:idx val="15"/>
            <c:invertIfNegative val="0"/>
            <c:bubble3D val="0"/>
            <c:spPr>
              <a:solidFill>
                <a:schemeClr val="bg1">
                  <a:lumMod val="8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266-4730-9809-F8B5C75BD9A0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E266-4730-9809-F8B5C75BD9A0}"/>
              </c:ext>
            </c:extLst>
          </c:dPt>
          <c:dPt>
            <c:idx val="17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E266-4730-9809-F8B5C75BD9A0}"/>
              </c:ext>
            </c:extLst>
          </c:dPt>
          <c:dPt>
            <c:idx val="18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E266-4730-9809-F8B5C75BD9A0}"/>
              </c:ext>
            </c:extLst>
          </c:dPt>
          <c:dPt>
            <c:idx val="19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E266-4730-9809-F8B5C75BD9A0}"/>
              </c:ext>
            </c:extLst>
          </c:dPt>
          <c:dPt>
            <c:idx val="20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E266-4730-9809-F8B5C75BD9A0}"/>
              </c:ext>
            </c:extLst>
          </c:dPt>
          <c:dPt>
            <c:idx val="21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E266-4730-9809-F8B5C75BD9A0}"/>
              </c:ext>
            </c:extLst>
          </c:dPt>
          <c:dPt>
            <c:idx val="23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E266-4730-9809-F8B5C75BD9A0}"/>
              </c:ext>
            </c:extLst>
          </c:dPt>
          <c:dPt>
            <c:idx val="24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E266-4730-9809-F8B5C75BD9A0}"/>
              </c:ext>
            </c:extLst>
          </c:dPt>
          <c:dPt>
            <c:idx val="26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E266-4730-9809-F8B5C75BD9A0}"/>
              </c:ext>
            </c:extLst>
          </c:dPt>
          <c:dPt>
            <c:idx val="27"/>
            <c:invertIfNegative val="0"/>
            <c:bubble3D val="0"/>
            <c:spPr>
              <a:solidFill>
                <a:schemeClr val="bg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F-E266-4730-9809-F8B5C75BD9A0}"/>
              </c:ext>
            </c:extLst>
          </c:dPt>
          <c:dPt>
            <c:idx val="28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>
                <a:solidFill>
                  <a:schemeClr val="bg1">
                    <a:lumMod val="7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E266-4730-9809-F8B5C75BD9A0}"/>
              </c:ext>
            </c:extLst>
          </c:dPt>
          <c:dPt>
            <c:idx val="29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E266-4730-9809-F8B5C75BD9A0}"/>
              </c:ext>
            </c:extLst>
          </c:dPt>
          <c:dPt>
            <c:idx val="30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E266-4730-9809-F8B5C75BD9A0}"/>
              </c:ext>
            </c:extLst>
          </c:dPt>
          <c:dPt>
            <c:idx val="31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E266-4730-9809-F8B5C75BD9A0}"/>
              </c:ext>
            </c:extLst>
          </c:dPt>
          <c:dPt>
            <c:idx val="32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>
                <a:solidFill>
                  <a:schemeClr val="bg1">
                    <a:lumMod val="65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E266-4730-9809-F8B5C75BD9A0}"/>
              </c:ext>
            </c:extLst>
          </c:dPt>
          <c:cat>
            <c:strRef>
              <c:f>'Graf-4'!$P$4:$P$36</c:f>
              <c:strCache>
                <c:ptCount val="33"/>
                <c:pt idx="0">
                  <c:v>Česko</c:v>
                </c:pt>
                <c:pt idx="1">
                  <c:v>Polsko</c:v>
                </c:pt>
                <c:pt idx="2">
                  <c:v>Slovensko</c:v>
                </c:pt>
                <c:pt idx="3">
                  <c:v>Slovinsko</c:v>
                </c:pt>
                <c:pt idx="4">
                  <c:v>Rumunsko</c:v>
                </c:pt>
                <c:pt idx="5">
                  <c:v>Maďarsko</c:v>
                </c:pt>
                <c:pt idx="6">
                  <c:v>Chorvatsko</c:v>
                </c:pt>
                <c:pt idx="7">
                  <c:v>Estonsko</c:v>
                </c:pt>
                <c:pt idx="8">
                  <c:v>Bulharsko</c:v>
                </c:pt>
                <c:pt idx="9">
                  <c:v>Německo</c:v>
                </c:pt>
                <c:pt idx="10">
                  <c:v>Litva</c:v>
                </c:pt>
                <c:pt idx="11">
                  <c:v>Portugalsko</c:v>
                </c:pt>
                <c:pt idx="12">
                  <c:v>Itálie</c:v>
                </c:pt>
                <c:pt idx="13">
                  <c:v>EU27</c:v>
                </c:pt>
                <c:pt idx="14">
                  <c:v>Rakousko</c:v>
                </c:pt>
                <c:pt idx="15">
                  <c:v>Lotyšsko</c:v>
                </c:pt>
                <c:pt idx="16">
                  <c:v>Finsko</c:v>
                </c:pt>
                <c:pt idx="17">
                  <c:v>Švédsko</c:v>
                </c:pt>
                <c:pt idx="18">
                  <c:v>Belgie</c:v>
                </c:pt>
                <c:pt idx="19">
                  <c:v>Španělsko</c:v>
                </c:pt>
                <c:pt idx="20">
                  <c:v>Irsko</c:v>
                </c:pt>
                <c:pt idx="21">
                  <c:v>Dánsko</c:v>
                </c:pt>
                <c:pt idx="22">
                  <c:v>Malta</c:v>
                </c:pt>
                <c:pt idx="23">
                  <c:v>Francie</c:v>
                </c:pt>
                <c:pt idx="24">
                  <c:v>Řecko</c:v>
                </c:pt>
                <c:pt idx="25">
                  <c:v>Kypr</c:v>
                </c:pt>
                <c:pt idx="26">
                  <c:v>Nizozemsko</c:v>
                </c:pt>
                <c:pt idx="27">
                  <c:v>Lucembursko</c:v>
                </c:pt>
                <c:pt idx="28">
                  <c:v>S. Makedonie</c:v>
                </c:pt>
                <c:pt idx="29">
                  <c:v>Švýcarsko</c:v>
                </c:pt>
                <c:pt idx="30">
                  <c:v>Island</c:v>
                </c:pt>
                <c:pt idx="31">
                  <c:v>Norsko</c:v>
                </c:pt>
                <c:pt idx="32">
                  <c:v>Velká Británie</c:v>
                </c:pt>
              </c:strCache>
            </c:strRef>
          </c:cat>
          <c:val>
            <c:numRef>
              <c:f>'Graf-4'!$U$4:$U$36</c:f>
              <c:numCache>
                <c:formatCode>#,##0.0</c:formatCode>
                <c:ptCount val="33"/>
                <c:pt idx="0">
                  <c:v>28.746572681254289</c:v>
                </c:pt>
                <c:pt idx="1">
                  <c:v>24.127773737571275</c:v>
                </c:pt>
                <c:pt idx="2">
                  <c:v>23.853098674329001</c:v>
                </c:pt>
                <c:pt idx="3">
                  <c:v>23.16194413343668</c:v>
                </c:pt>
                <c:pt idx="4">
                  <c:v>21.632719155186969</c:v>
                </c:pt>
                <c:pt idx="5">
                  <c:v>21.166640324535059</c:v>
                </c:pt>
                <c:pt idx="6">
                  <c:v>20.983954178488293</c:v>
                </c:pt>
                <c:pt idx="7">
                  <c:v>20.145963205108711</c:v>
                </c:pt>
                <c:pt idx="8">
                  <c:v>19.99671721030796</c:v>
                </c:pt>
                <c:pt idx="9">
                  <c:v>18.487487841542137</c:v>
                </c:pt>
                <c:pt idx="10">
                  <c:v>18.013756903687252</c:v>
                </c:pt>
                <c:pt idx="11">
                  <c:v>17.060862998180632</c:v>
                </c:pt>
                <c:pt idx="12">
                  <c:v>16.828825437162006</c:v>
                </c:pt>
                <c:pt idx="13">
                  <c:v>16.167393170082278</c:v>
                </c:pt>
                <c:pt idx="14">
                  <c:v>16.063983719962209</c:v>
                </c:pt>
                <c:pt idx="15">
                  <c:v>15.752320604746817</c:v>
                </c:pt>
                <c:pt idx="16">
                  <c:v>14.119277740316175</c:v>
                </c:pt>
                <c:pt idx="17">
                  <c:v>12.460269485014527</c:v>
                </c:pt>
                <c:pt idx="18">
                  <c:v>11.583808414556898</c:v>
                </c:pt>
                <c:pt idx="19">
                  <c:v>11.255127088525505</c:v>
                </c:pt>
                <c:pt idx="20">
                  <c:v>11.065316255464992</c:v>
                </c:pt>
                <c:pt idx="21">
                  <c:v>10.654939395758705</c:v>
                </c:pt>
                <c:pt idx="22">
                  <c:v>10.621564142690902</c:v>
                </c:pt>
                <c:pt idx="23">
                  <c:v>10.2161307327359</c:v>
                </c:pt>
                <c:pt idx="24">
                  <c:v>9.4958780287073328</c:v>
                </c:pt>
                <c:pt idx="25">
                  <c:v>9.3006752890008002</c:v>
                </c:pt>
                <c:pt idx="26">
                  <c:v>9.1269841269841265</c:v>
                </c:pt>
                <c:pt idx="27">
                  <c:v>8.1195570368777545</c:v>
                </c:pt>
                <c:pt idx="28">
                  <c:v>19.76437857002167</c:v>
                </c:pt>
                <c:pt idx="29">
                  <c:v>14.022103266397773</c:v>
                </c:pt>
                <c:pt idx="30">
                  <c:v>12.124199112863481</c:v>
                </c:pt>
                <c:pt idx="31">
                  <c:v>10.993657505285412</c:v>
                </c:pt>
                <c:pt idx="32">
                  <c:v>8.9942578943661147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A-E266-4730-9809-F8B5C75BD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axId val="211167600"/>
        <c:axId val="281211184"/>
      </c:barChart>
      <c:lineChart>
        <c:grouping val="standard"/>
        <c:varyColors val="0"/>
        <c:ser>
          <c:idx val="0"/>
          <c:order val="0"/>
          <c:tx>
            <c:strRef>
              <c:f>'Graf-4'!$S$3</c:f>
              <c:strCache>
                <c:ptCount val="1"/>
                <c:pt idx="0">
                  <c:v>rok 2005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noFill/>
              </a:ln>
              <a:effectLst/>
            </c:spPr>
          </c:marker>
          <c:cat>
            <c:strRef>
              <c:f>'Graf-4'!$P$4:$P$36</c:f>
              <c:strCache>
                <c:ptCount val="33"/>
                <c:pt idx="0">
                  <c:v>Česko</c:v>
                </c:pt>
                <c:pt idx="1">
                  <c:v>Polsko</c:v>
                </c:pt>
                <c:pt idx="2">
                  <c:v>Slovensko</c:v>
                </c:pt>
                <c:pt idx="3">
                  <c:v>Slovinsko</c:v>
                </c:pt>
                <c:pt idx="4">
                  <c:v>Rumunsko</c:v>
                </c:pt>
                <c:pt idx="5">
                  <c:v>Maďarsko</c:v>
                </c:pt>
                <c:pt idx="6">
                  <c:v>Chorvatsko</c:v>
                </c:pt>
                <c:pt idx="7">
                  <c:v>Estonsko</c:v>
                </c:pt>
                <c:pt idx="8">
                  <c:v>Bulharsko</c:v>
                </c:pt>
                <c:pt idx="9">
                  <c:v>Německo</c:v>
                </c:pt>
                <c:pt idx="10">
                  <c:v>Litva</c:v>
                </c:pt>
                <c:pt idx="11">
                  <c:v>Portugalsko</c:v>
                </c:pt>
                <c:pt idx="12">
                  <c:v>Itálie</c:v>
                </c:pt>
                <c:pt idx="13">
                  <c:v>EU27</c:v>
                </c:pt>
                <c:pt idx="14">
                  <c:v>Rakousko</c:v>
                </c:pt>
                <c:pt idx="15">
                  <c:v>Lotyšsko</c:v>
                </c:pt>
                <c:pt idx="16">
                  <c:v>Finsko</c:v>
                </c:pt>
                <c:pt idx="17">
                  <c:v>Švédsko</c:v>
                </c:pt>
                <c:pt idx="18">
                  <c:v>Belgie</c:v>
                </c:pt>
                <c:pt idx="19">
                  <c:v>Španělsko</c:v>
                </c:pt>
                <c:pt idx="20">
                  <c:v>Irsko</c:v>
                </c:pt>
                <c:pt idx="21">
                  <c:v>Dánsko</c:v>
                </c:pt>
                <c:pt idx="22">
                  <c:v>Malta</c:v>
                </c:pt>
                <c:pt idx="23">
                  <c:v>Francie</c:v>
                </c:pt>
                <c:pt idx="24">
                  <c:v>Řecko</c:v>
                </c:pt>
                <c:pt idx="25">
                  <c:v>Kypr</c:v>
                </c:pt>
                <c:pt idx="26">
                  <c:v>Nizozemsko</c:v>
                </c:pt>
                <c:pt idx="27">
                  <c:v>Lucembursko</c:v>
                </c:pt>
                <c:pt idx="28">
                  <c:v>S. Makedonie</c:v>
                </c:pt>
                <c:pt idx="29">
                  <c:v>Švýcarsko</c:v>
                </c:pt>
                <c:pt idx="30">
                  <c:v>Island</c:v>
                </c:pt>
                <c:pt idx="31">
                  <c:v>Norsko</c:v>
                </c:pt>
                <c:pt idx="32">
                  <c:v>Velká Británie</c:v>
                </c:pt>
              </c:strCache>
            </c:strRef>
          </c:cat>
          <c:val>
            <c:numRef>
              <c:f>'Graf-4'!$S$4:$S$36</c:f>
              <c:numCache>
                <c:formatCode>#,##0.0</c:formatCode>
                <c:ptCount val="33"/>
                <c:pt idx="0">
                  <c:v>30.022305104578027</c:v>
                </c:pt>
                <c:pt idx="1">
                  <c:v>23.574020061179485</c:v>
                </c:pt>
                <c:pt idx="2">
                  <c:v>26.644517954339825</c:v>
                </c:pt>
                <c:pt idx="3">
                  <c:v>27.263243929193642</c:v>
                </c:pt>
                <c:pt idx="4">
                  <c:v>23.893177277243396</c:v>
                </c:pt>
                <c:pt idx="5">
                  <c:v>24.968402564668608</c:v>
                </c:pt>
                <c:pt idx="6">
                  <c:v>22.249091630789898</c:v>
                </c:pt>
                <c:pt idx="7">
                  <c:v>25.657357504491262</c:v>
                </c:pt>
                <c:pt idx="8">
                  <c:v>22.511851731053682</c:v>
                </c:pt>
                <c:pt idx="9">
                  <c:v>19.897738546462822</c:v>
                </c:pt>
                <c:pt idx="10">
                  <c:v>20.448786530773127</c:v>
                </c:pt>
                <c:pt idx="11">
                  <c:v>18.599631816162002</c:v>
                </c:pt>
                <c:pt idx="12">
                  <c:v>19.742725655629357</c:v>
                </c:pt>
                <c:pt idx="13">
                  <c:v>18.434541419829067</c:v>
                </c:pt>
                <c:pt idx="14">
                  <c:v>17.490769191045469</c:v>
                </c:pt>
                <c:pt idx="15">
                  <c:v>18.881494092761699</c:v>
                </c:pt>
                <c:pt idx="16">
                  <c:v>18.256232171648271</c:v>
                </c:pt>
                <c:pt idx="17">
                  <c:v>16.456308443502692</c:v>
                </c:pt>
                <c:pt idx="18">
                  <c:v>15.087054198258917</c:v>
                </c:pt>
                <c:pt idx="19">
                  <c:v>15.216905868739977</c:v>
                </c:pt>
                <c:pt idx="20">
                  <c:v>15.077714926361924</c:v>
                </c:pt>
                <c:pt idx="21">
                  <c:v>13.590307420342345</c:v>
                </c:pt>
                <c:pt idx="22">
                  <c:v>20.236678566706335</c:v>
                </c:pt>
                <c:pt idx="23">
                  <c:v>13.077010751871128</c:v>
                </c:pt>
                <c:pt idx="24">
                  <c:v>11.629978889015616</c:v>
                </c:pt>
                <c:pt idx="25">
                  <c:v>11.542869617420729</c:v>
                </c:pt>
                <c:pt idx="26">
                  <c:v>10.899280575539569</c:v>
                </c:pt>
                <c:pt idx="27">
                  <c:v>12.34684260131951</c:v>
                </c:pt>
                <c:pt idx="28">
                  <c:v>22.22884183291346</c:v>
                </c:pt>
                <c:pt idx="29">
                  <c:v>16.13425467951533</c:v>
                </c:pt>
                <c:pt idx="31">
                  <c:v>12.812769628990509</c:v>
                </c:pt>
                <c:pt idx="32">
                  <c:v>11.16294061480289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B-E266-4730-9809-F8B5C75BD9A0}"/>
            </c:ext>
          </c:extLst>
        </c:ser>
        <c:ser>
          <c:idx val="1"/>
          <c:order val="1"/>
          <c:tx>
            <c:strRef>
              <c:f>'Graf-4'!$T$3</c:f>
              <c:strCache>
                <c:ptCount val="1"/>
                <c:pt idx="0">
                  <c:v>rok 2013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noFill/>
              </a:ln>
              <a:effectLst/>
            </c:spPr>
          </c:marker>
          <c:cat>
            <c:strRef>
              <c:f>'Graf-4'!$P$4:$P$36</c:f>
              <c:strCache>
                <c:ptCount val="33"/>
                <c:pt idx="0">
                  <c:v>Česko</c:v>
                </c:pt>
                <c:pt idx="1">
                  <c:v>Polsko</c:v>
                </c:pt>
                <c:pt idx="2">
                  <c:v>Slovensko</c:v>
                </c:pt>
                <c:pt idx="3">
                  <c:v>Slovinsko</c:v>
                </c:pt>
                <c:pt idx="4">
                  <c:v>Rumunsko</c:v>
                </c:pt>
                <c:pt idx="5">
                  <c:v>Maďarsko</c:v>
                </c:pt>
                <c:pt idx="6">
                  <c:v>Chorvatsko</c:v>
                </c:pt>
                <c:pt idx="7">
                  <c:v>Estonsko</c:v>
                </c:pt>
                <c:pt idx="8">
                  <c:v>Bulharsko</c:v>
                </c:pt>
                <c:pt idx="9">
                  <c:v>Německo</c:v>
                </c:pt>
                <c:pt idx="10">
                  <c:v>Litva</c:v>
                </c:pt>
                <c:pt idx="11">
                  <c:v>Portugalsko</c:v>
                </c:pt>
                <c:pt idx="12">
                  <c:v>Itálie</c:v>
                </c:pt>
                <c:pt idx="13">
                  <c:v>EU27</c:v>
                </c:pt>
                <c:pt idx="14">
                  <c:v>Rakousko</c:v>
                </c:pt>
                <c:pt idx="15">
                  <c:v>Lotyšsko</c:v>
                </c:pt>
                <c:pt idx="16">
                  <c:v>Finsko</c:v>
                </c:pt>
                <c:pt idx="17">
                  <c:v>Švédsko</c:v>
                </c:pt>
                <c:pt idx="18">
                  <c:v>Belgie</c:v>
                </c:pt>
                <c:pt idx="19">
                  <c:v>Španělsko</c:v>
                </c:pt>
                <c:pt idx="20">
                  <c:v>Irsko</c:v>
                </c:pt>
                <c:pt idx="21">
                  <c:v>Dánsko</c:v>
                </c:pt>
                <c:pt idx="22">
                  <c:v>Malta</c:v>
                </c:pt>
                <c:pt idx="23">
                  <c:v>Francie</c:v>
                </c:pt>
                <c:pt idx="24">
                  <c:v>Řecko</c:v>
                </c:pt>
                <c:pt idx="25">
                  <c:v>Kypr</c:v>
                </c:pt>
                <c:pt idx="26">
                  <c:v>Nizozemsko</c:v>
                </c:pt>
                <c:pt idx="27">
                  <c:v>Lucembursko</c:v>
                </c:pt>
                <c:pt idx="28">
                  <c:v>S. Makedonie</c:v>
                </c:pt>
                <c:pt idx="29">
                  <c:v>Švýcarsko</c:v>
                </c:pt>
                <c:pt idx="30">
                  <c:v>Island</c:v>
                </c:pt>
                <c:pt idx="31">
                  <c:v>Norsko</c:v>
                </c:pt>
                <c:pt idx="32">
                  <c:v>Velká Británie</c:v>
                </c:pt>
              </c:strCache>
            </c:strRef>
          </c:cat>
          <c:val>
            <c:numRef>
              <c:f>'Graf-4'!$T$4:$T$36</c:f>
              <c:numCache>
                <c:formatCode>#,##0.0</c:formatCode>
                <c:ptCount val="33"/>
                <c:pt idx="0">
                  <c:v>28.36665728518204</c:v>
                </c:pt>
                <c:pt idx="1">
                  <c:v>22.870187146755651</c:v>
                </c:pt>
                <c:pt idx="2">
                  <c:v>23.630972744896795</c:v>
                </c:pt>
                <c:pt idx="3">
                  <c:v>22.613747830679845</c:v>
                </c:pt>
                <c:pt idx="4">
                  <c:v>20.658389152099328</c:v>
                </c:pt>
                <c:pt idx="5">
                  <c:v>21.486335439132169</c:v>
                </c:pt>
                <c:pt idx="6">
                  <c:v>20.433507170795306</c:v>
                </c:pt>
                <c:pt idx="7">
                  <c:v>21.401231486104177</c:v>
                </c:pt>
                <c:pt idx="8">
                  <c:v>19.885549950607615</c:v>
                </c:pt>
                <c:pt idx="9">
                  <c:v>18.935064935064936</c:v>
                </c:pt>
                <c:pt idx="10">
                  <c:v>17.852762156032306</c:v>
                </c:pt>
                <c:pt idx="11">
                  <c:v>16.493527213567123</c:v>
                </c:pt>
                <c:pt idx="12">
                  <c:v>17.509491018456131</c:v>
                </c:pt>
                <c:pt idx="13">
                  <c:v>16.467574400340819</c:v>
                </c:pt>
                <c:pt idx="14">
                  <c:v>16.157041734502116</c:v>
                </c:pt>
                <c:pt idx="15">
                  <c:v>16.757255550679133</c:v>
                </c:pt>
                <c:pt idx="16">
                  <c:v>15.323057515669966</c:v>
                </c:pt>
                <c:pt idx="17">
                  <c:v>13.722174657534246</c:v>
                </c:pt>
                <c:pt idx="18">
                  <c:v>12.711120859837683</c:v>
                </c:pt>
                <c:pt idx="19">
                  <c:v>11.529647021816793</c:v>
                </c:pt>
                <c:pt idx="20">
                  <c:v>11.537095072196328</c:v>
                </c:pt>
                <c:pt idx="21">
                  <c:v>10.95936957779063</c:v>
                </c:pt>
                <c:pt idx="22">
                  <c:v>14.32303245887061</c:v>
                </c:pt>
                <c:pt idx="23">
                  <c:v>10.945200441338727</c:v>
                </c:pt>
                <c:pt idx="24">
                  <c:v>9.7530836403841192</c:v>
                </c:pt>
                <c:pt idx="25">
                  <c:v>9.5267628421194548</c:v>
                </c:pt>
                <c:pt idx="26">
                  <c:v>9.5499828237718987</c:v>
                </c:pt>
                <c:pt idx="27">
                  <c:v>9.3609967104411123</c:v>
                </c:pt>
                <c:pt idx="28">
                  <c:v>18.211964985768756</c:v>
                </c:pt>
                <c:pt idx="29">
                  <c:v>14.851865858476595</c:v>
                </c:pt>
                <c:pt idx="30">
                  <c:v>13.829169087739688</c:v>
                </c:pt>
                <c:pt idx="31">
                  <c:v>12.453113278319581</c:v>
                </c:pt>
                <c:pt idx="32">
                  <c:v>9.4492435032955768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C-E266-4730-9809-F8B5C75BD9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50"/>
        <c:noMultiLvlLbl val="0"/>
      </c:catAx>
      <c:valAx>
        <c:axId val="281211184"/>
        <c:scaling>
          <c:orientation val="minMax"/>
          <c:max val="32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4"/>
      </c:valAx>
      <c:spPr>
        <a:noFill/>
        <a:ln w="6350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0.29784875242363829"/>
          <c:y val="0.94863090831594765"/>
          <c:w val="0.3746443361160427"/>
          <c:h val="4.8796165436585381E-2"/>
        </c:manualLayout>
      </c:layout>
      <c:overlay val="0"/>
      <c:spPr>
        <a:noFill/>
        <a:ln w="6350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147680951222731E-2"/>
          <c:y val="2.055840501757536E-2"/>
          <c:w val="0.93481989421424139"/>
          <c:h val="0.69303145971019553"/>
        </c:manualLayout>
      </c:layout>
      <c:barChart>
        <c:barDir val="col"/>
        <c:grouping val="stacked"/>
        <c:varyColors val="0"/>
        <c:ser>
          <c:idx val="2"/>
          <c:order val="2"/>
          <c:tx>
            <c:strRef>
              <c:f>'Graf-5'!$O$4</c:f>
              <c:strCache>
                <c:ptCount val="1"/>
                <c:pt idx="0">
                  <c:v>Vývoz zboží  / produkce (2018)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25400">
              <a:noFill/>
            </a:ln>
            <a:effectLst/>
          </c:spPr>
          <c:invertIfNegative val="0"/>
          <c:cat>
            <c:strRef>
              <c:f>'Graf-5'!$L$5:$L$40</c:f>
              <c:strCache>
                <c:ptCount val="36"/>
                <c:pt idx="0">
                  <c:v>Irsko</c:v>
                </c:pt>
                <c:pt idx="1">
                  <c:v>Lucembursko</c:v>
                </c:pt>
                <c:pt idx="2">
                  <c:v>Malta</c:v>
                </c:pt>
                <c:pt idx="3">
                  <c:v>Slovinsko</c:v>
                </c:pt>
                <c:pt idx="4">
                  <c:v>Maďarsko</c:v>
                </c:pt>
                <c:pt idx="5">
                  <c:v>Nizozemsko</c:v>
                </c:pt>
                <c:pt idx="6">
                  <c:v>Litva</c:v>
                </c:pt>
                <c:pt idx="7">
                  <c:v>Slovensko</c:v>
                </c:pt>
                <c:pt idx="8">
                  <c:v>Belgie</c:v>
                </c:pt>
                <c:pt idx="9">
                  <c:v>Kypr</c:v>
                </c:pt>
                <c:pt idx="10">
                  <c:v>Estonsko</c:v>
                </c:pt>
                <c:pt idx="11">
                  <c:v>Česko</c:v>
                </c:pt>
                <c:pt idx="12">
                  <c:v>Lotyšsko</c:v>
                </c:pt>
                <c:pt idx="13">
                  <c:v>Bulharsko</c:v>
                </c:pt>
                <c:pt idx="14">
                  <c:v>Dánsko</c:v>
                </c:pt>
                <c:pt idx="15">
                  <c:v>Chorvatsko</c:v>
                </c:pt>
                <c:pt idx="16">
                  <c:v>Rakousko</c:v>
                </c:pt>
                <c:pt idx="17">
                  <c:v>Polsko</c:v>
                </c:pt>
                <c:pt idx="18">
                  <c:v>Německo</c:v>
                </c:pt>
                <c:pt idx="19">
                  <c:v>Švédsko</c:v>
                </c:pt>
                <c:pt idx="20">
                  <c:v>Portugalsko</c:v>
                </c:pt>
                <c:pt idx="21">
                  <c:v>Řecko</c:v>
                </c:pt>
                <c:pt idx="22">
                  <c:v>Rumunsko</c:v>
                </c:pt>
                <c:pt idx="23">
                  <c:v>Finsko</c:v>
                </c:pt>
                <c:pt idx="24">
                  <c:v>Španělsko</c:v>
                </c:pt>
                <c:pt idx="25">
                  <c:v>Francie</c:v>
                </c:pt>
                <c:pt idx="26">
                  <c:v>Itálie</c:v>
                </c:pt>
                <c:pt idx="27">
                  <c:v>Švýcarsko</c:v>
                </c:pt>
                <c:pt idx="28">
                  <c:v>S. Makedonie</c:v>
                </c:pt>
                <c:pt idx="29">
                  <c:v>Černá Hora</c:v>
                </c:pt>
                <c:pt idx="30">
                  <c:v>Island</c:v>
                </c:pt>
                <c:pt idx="31">
                  <c:v>Srbsko</c:v>
                </c:pt>
                <c:pt idx="32">
                  <c:v>Bosna a H.</c:v>
                </c:pt>
                <c:pt idx="33">
                  <c:v>Norsko</c:v>
                </c:pt>
                <c:pt idx="34">
                  <c:v>Albánie</c:v>
                </c:pt>
                <c:pt idx="35">
                  <c:v>Velká Británie</c:v>
                </c:pt>
              </c:strCache>
            </c:strRef>
          </c:cat>
          <c:val>
            <c:numRef>
              <c:f>'Graf-5'!$O$5:$O$40</c:f>
              <c:numCache>
                <c:formatCode>0.0</c:formatCode>
                <c:ptCount val="36"/>
                <c:pt idx="0">
                  <c:v>33.183936942774814</c:v>
                </c:pt>
                <c:pt idx="1">
                  <c:v>9.8931627462549621</c:v>
                </c:pt>
                <c:pt idx="2">
                  <c:v>10.445261321504447</c:v>
                </c:pt>
                <c:pt idx="3">
                  <c:v>35.177615199600929</c:v>
                </c:pt>
                <c:pt idx="4">
                  <c:v>34.284656891545268</c:v>
                </c:pt>
                <c:pt idx="5">
                  <c:v>32.018976810522425</c:v>
                </c:pt>
                <c:pt idx="6">
                  <c:v>30.490662765440867</c:v>
                </c:pt>
                <c:pt idx="7">
                  <c:v>36.071718898818212</c:v>
                </c:pt>
                <c:pt idx="8">
                  <c:v>29.151189225092971</c:v>
                </c:pt>
                <c:pt idx="9">
                  <c:v>9.2143163571734998</c:v>
                </c:pt>
                <c:pt idx="10">
                  <c:v>24.521405893680882</c:v>
                </c:pt>
                <c:pt idx="11">
                  <c:v>28.505324605091619</c:v>
                </c:pt>
                <c:pt idx="12">
                  <c:v>23.448798151173566</c:v>
                </c:pt>
                <c:pt idx="13">
                  <c:v>24.192999658004414</c:v>
                </c:pt>
                <c:pt idx="14">
                  <c:v>19.116806094125309</c:v>
                </c:pt>
                <c:pt idx="15">
                  <c:v>14.174496267083828</c:v>
                </c:pt>
                <c:pt idx="16">
                  <c:v>21.189023580600484</c:v>
                </c:pt>
                <c:pt idx="17">
                  <c:v>21.677143882142463</c:v>
                </c:pt>
                <c:pt idx="18">
                  <c:v>20.923104563014391</c:v>
                </c:pt>
                <c:pt idx="19">
                  <c:v>17.710155479981175</c:v>
                </c:pt>
                <c:pt idx="20">
                  <c:v>15.360670773222449</c:v>
                </c:pt>
                <c:pt idx="21">
                  <c:v>12.372916272660955</c:v>
                </c:pt>
                <c:pt idx="22">
                  <c:v>15.826397232569484</c:v>
                </c:pt>
                <c:pt idx="23">
                  <c:v>14.412672817393057</c:v>
                </c:pt>
                <c:pt idx="24">
                  <c:v>13.436129363758614</c:v>
                </c:pt>
                <c:pt idx="25">
                  <c:v>12.45516910007685</c:v>
                </c:pt>
                <c:pt idx="26">
                  <c:v>13.438090437520946</c:v>
                </c:pt>
                <c:pt idx="27">
                  <c:v>24.846189236197262</c:v>
                </c:pt>
                <c:pt idx="28">
                  <c:v>21.744959166948956</c:v>
                </c:pt>
                <c:pt idx="29">
                  <c:v>5.5761558919803607</c:v>
                </c:pt>
                <c:pt idx="30">
                  <c:v>11.146511804008272</c:v>
                </c:pt>
                <c:pt idx="31">
                  <c:v>18.213390747494355</c:v>
                </c:pt>
                <c:pt idx="32">
                  <c:v>18.158811164677953</c:v>
                </c:pt>
                <c:pt idx="33">
                  <c:v>16.876466645173743</c:v>
                </c:pt>
                <c:pt idx="34">
                  <c:v>4.8321328043992935</c:v>
                </c:pt>
                <c:pt idx="35">
                  <c:v>9.3873422534314965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D2-4EE9-BA5F-6B060E4C8996}"/>
            </c:ext>
          </c:extLst>
        </c:ser>
        <c:ser>
          <c:idx val="3"/>
          <c:order val="3"/>
          <c:tx>
            <c:strRef>
              <c:f>'Graf-5'!$P$4</c:f>
              <c:strCache>
                <c:ptCount val="1"/>
                <c:pt idx="0">
                  <c:v>Vývoz služeb  / produkce (2018)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25400">
              <a:noFill/>
            </a:ln>
            <a:effectLst/>
          </c:spPr>
          <c:invertIfNegative val="0"/>
          <c:cat>
            <c:strRef>
              <c:f>'Graf-5'!$L$5:$L$40</c:f>
              <c:strCache>
                <c:ptCount val="36"/>
                <c:pt idx="0">
                  <c:v>Irsko</c:v>
                </c:pt>
                <c:pt idx="1">
                  <c:v>Lucembursko</c:v>
                </c:pt>
                <c:pt idx="2">
                  <c:v>Malta</c:v>
                </c:pt>
                <c:pt idx="3">
                  <c:v>Slovinsko</c:v>
                </c:pt>
                <c:pt idx="4">
                  <c:v>Maďarsko</c:v>
                </c:pt>
                <c:pt idx="5">
                  <c:v>Nizozemsko</c:v>
                </c:pt>
                <c:pt idx="6">
                  <c:v>Litva</c:v>
                </c:pt>
                <c:pt idx="7">
                  <c:v>Slovensko</c:v>
                </c:pt>
                <c:pt idx="8">
                  <c:v>Belgie</c:v>
                </c:pt>
                <c:pt idx="9">
                  <c:v>Kypr</c:v>
                </c:pt>
                <c:pt idx="10">
                  <c:v>Estonsko</c:v>
                </c:pt>
                <c:pt idx="11">
                  <c:v>Česko</c:v>
                </c:pt>
                <c:pt idx="12">
                  <c:v>Lotyšsko</c:v>
                </c:pt>
                <c:pt idx="13">
                  <c:v>Bulharsko</c:v>
                </c:pt>
                <c:pt idx="14">
                  <c:v>Dánsko</c:v>
                </c:pt>
                <c:pt idx="15">
                  <c:v>Chorvatsko</c:v>
                </c:pt>
                <c:pt idx="16">
                  <c:v>Rakousko</c:v>
                </c:pt>
                <c:pt idx="17">
                  <c:v>Polsko</c:v>
                </c:pt>
                <c:pt idx="18">
                  <c:v>Německo</c:v>
                </c:pt>
                <c:pt idx="19">
                  <c:v>Švédsko</c:v>
                </c:pt>
                <c:pt idx="20">
                  <c:v>Portugalsko</c:v>
                </c:pt>
                <c:pt idx="21">
                  <c:v>Řecko</c:v>
                </c:pt>
                <c:pt idx="22">
                  <c:v>Rumunsko</c:v>
                </c:pt>
                <c:pt idx="23">
                  <c:v>Finsko</c:v>
                </c:pt>
                <c:pt idx="24">
                  <c:v>Španělsko</c:v>
                </c:pt>
                <c:pt idx="25">
                  <c:v>Francie</c:v>
                </c:pt>
                <c:pt idx="26">
                  <c:v>Itálie</c:v>
                </c:pt>
                <c:pt idx="27">
                  <c:v>Švýcarsko</c:v>
                </c:pt>
                <c:pt idx="28">
                  <c:v>S. Makedonie</c:v>
                </c:pt>
                <c:pt idx="29">
                  <c:v>Černá Hora</c:v>
                </c:pt>
                <c:pt idx="30">
                  <c:v>Island</c:v>
                </c:pt>
                <c:pt idx="31">
                  <c:v>Srbsko</c:v>
                </c:pt>
                <c:pt idx="32">
                  <c:v>Bosna a H.</c:v>
                </c:pt>
                <c:pt idx="33">
                  <c:v>Norsko</c:v>
                </c:pt>
                <c:pt idx="34">
                  <c:v>Albánie</c:v>
                </c:pt>
                <c:pt idx="35">
                  <c:v>Velká Británie</c:v>
                </c:pt>
              </c:strCache>
            </c:strRef>
          </c:cat>
          <c:val>
            <c:numRef>
              <c:f>'Graf-5'!$P$5:$P$40</c:f>
              <c:numCache>
                <c:formatCode>0.0</c:formatCode>
                <c:ptCount val="36"/>
                <c:pt idx="0">
                  <c:v>29.575965459395469</c:v>
                </c:pt>
                <c:pt idx="1">
                  <c:v>51.854803982654865</c:v>
                </c:pt>
                <c:pt idx="2">
                  <c:v>46.248539594790984</c:v>
                </c:pt>
                <c:pt idx="3">
                  <c:v>9.0967931207285648</c:v>
                </c:pt>
                <c:pt idx="4">
                  <c:v>9.6761465887519051</c:v>
                </c:pt>
                <c:pt idx="5">
                  <c:v>11.259178067719613</c:v>
                </c:pt>
                <c:pt idx="6">
                  <c:v>12.018747741292101</c:v>
                </c:pt>
                <c:pt idx="7">
                  <c:v>4.8421456255068867</c:v>
                </c:pt>
                <c:pt idx="8">
                  <c:v>11.098420097816089</c:v>
                </c:pt>
                <c:pt idx="9">
                  <c:v>30.224612367469511</c:v>
                </c:pt>
                <c:pt idx="10">
                  <c:v>12.747152338561838</c:v>
                </c:pt>
                <c:pt idx="11">
                  <c:v>5.4276780027035647</c:v>
                </c:pt>
                <c:pt idx="12">
                  <c:v>9.8038413016214445</c:v>
                </c:pt>
                <c:pt idx="13">
                  <c:v>8.0203092763739026</c:v>
                </c:pt>
                <c:pt idx="14">
                  <c:v>12.526839300463937</c:v>
                </c:pt>
                <c:pt idx="15">
                  <c:v>16.019612251334074</c:v>
                </c:pt>
                <c:pt idx="16">
                  <c:v>8.8694981277805507</c:v>
                </c:pt>
                <c:pt idx="17">
                  <c:v>5.8943305797913625</c:v>
                </c:pt>
                <c:pt idx="18">
                  <c:v>4.6972905491460271</c:v>
                </c:pt>
                <c:pt idx="19">
                  <c:v>7.0818254581005231</c:v>
                </c:pt>
                <c:pt idx="20">
                  <c:v>9.0059699056936644</c:v>
                </c:pt>
                <c:pt idx="21">
                  <c:v>10.164975819306731</c:v>
                </c:pt>
                <c:pt idx="22">
                  <c:v>5.9546676192944066</c:v>
                </c:pt>
                <c:pt idx="23">
                  <c:v>6.2031022382658252</c:v>
                </c:pt>
                <c:pt idx="24">
                  <c:v>6.1063804672111983</c:v>
                </c:pt>
                <c:pt idx="25">
                  <c:v>5.4268016302232267</c:v>
                </c:pt>
                <c:pt idx="26">
                  <c:v>3.0977159278321871</c:v>
                </c:pt>
                <c:pt idx="27">
                  <c:v>9.6982920420064964</c:v>
                </c:pt>
                <c:pt idx="28">
                  <c:v>7.7705756805566226</c:v>
                </c:pt>
                <c:pt idx="29">
                  <c:v>19.989003682487724</c:v>
                </c:pt>
                <c:pt idx="30">
                  <c:v>14.198847707656306</c:v>
                </c:pt>
                <c:pt idx="31">
                  <c:v>6.9839405694271983</c:v>
                </c:pt>
                <c:pt idx="32">
                  <c:v>6.3945564003081543</c:v>
                </c:pt>
                <c:pt idx="33">
                  <c:v>6.2276481828664183</c:v>
                </c:pt>
                <c:pt idx="34">
                  <c:v>15.036248099470113</c:v>
                </c:pt>
                <c:pt idx="35">
                  <c:v>8.2397820339080443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6D2-4EE9-BA5F-6B060E4C89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overlap val="100"/>
        <c:axId val="211167600"/>
        <c:axId val="281211184"/>
      </c:barChart>
      <c:lineChart>
        <c:grouping val="standard"/>
        <c:varyColors val="0"/>
        <c:ser>
          <c:idx val="0"/>
          <c:order val="0"/>
          <c:tx>
            <c:strRef>
              <c:f>'Graf-5'!$M$4</c:f>
              <c:strCache>
                <c:ptCount val="1"/>
                <c:pt idx="0">
                  <c:v>Vývoz zboží i služeb / produkce (2005)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accent1"/>
              </a:solidFill>
              <a:ln w="9525">
                <a:noFill/>
              </a:ln>
              <a:effectLst/>
            </c:spPr>
          </c:marker>
          <c:cat>
            <c:strRef>
              <c:f>'Graf-5'!$L$5:$L$40</c:f>
              <c:strCache>
                <c:ptCount val="36"/>
                <c:pt idx="0">
                  <c:v>Irsko</c:v>
                </c:pt>
                <c:pt idx="1">
                  <c:v>Lucembursko</c:v>
                </c:pt>
                <c:pt idx="2">
                  <c:v>Malta</c:v>
                </c:pt>
                <c:pt idx="3">
                  <c:v>Slovinsko</c:v>
                </c:pt>
                <c:pt idx="4">
                  <c:v>Maďarsko</c:v>
                </c:pt>
                <c:pt idx="5">
                  <c:v>Nizozemsko</c:v>
                </c:pt>
                <c:pt idx="6">
                  <c:v>Litva</c:v>
                </c:pt>
                <c:pt idx="7">
                  <c:v>Slovensko</c:v>
                </c:pt>
                <c:pt idx="8">
                  <c:v>Belgie</c:v>
                </c:pt>
                <c:pt idx="9">
                  <c:v>Kypr</c:v>
                </c:pt>
                <c:pt idx="10">
                  <c:v>Estonsko</c:v>
                </c:pt>
                <c:pt idx="11">
                  <c:v>Česko</c:v>
                </c:pt>
                <c:pt idx="12">
                  <c:v>Lotyšsko</c:v>
                </c:pt>
                <c:pt idx="13">
                  <c:v>Bulharsko</c:v>
                </c:pt>
                <c:pt idx="14">
                  <c:v>Dánsko</c:v>
                </c:pt>
                <c:pt idx="15">
                  <c:v>Chorvatsko</c:v>
                </c:pt>
                <c:pt idx="16">
                  <c:v>Rakousko</c:v>
                </c:pt>
                <c:pt idx="17">
                  <c:v>Polsko</c:v>
                </c:pt>
                <c:pt idx="18">
                  <c:v>Německo</c:v>
                </c:pt>
                <c:pt idx="19">
                  <c:v>Švédsko</c:v>
                </c:pt>
                <c:pt idx="20">
                  <c:v>Portugalsko</c:v>
                </c:pt>
                <c:pt idx="21">
                  <c:v>Řecko</c:v>
                </c:pt>
                <c:pt idx="22">
                  <c:v>Rumunsko</c:v>
                </c:pt>
                <c:pt idx="23">
                  <c:v>Finsko</c:v>
                </c:pt>
                <c:pt idx="24">
                  <c:v>Španělsko</c:v>
                </c:pt>
                <c:pt idx="25">
                  <c:v>Francie</c:v>
                </c:pt>
                <c:pt idx="26">
                  <c:v>Itálie</c:v>
                </c:pt>
                <c:pt idx="27">
                  <c:v>Švýcarsko</c:v>
                </c:pt>
                <c:pt idx="28">
                  <c:v>S. Makedonie</c:v>
                </c:pt>
                <c:pt idx="29">
                  <c:v>Černá Hora</c:v>
                </c:pt>
                <c:pt idx="30">
                  <c:v>Island</c:v>
                </c:pt>
                <c:pt idx="31">
                  <c:v>Srbsko</c:v>
                </c:pt>
                <c:pt idx="32">
                  <c:v>Bosna a H.</c:v>
                </c:pt>
                <c:pt idx="33">
                  <c:v>Norsko</c:v>
                </c:pt>
                <c:pt idx="34">
                  <c:v>Albánie</c:v>
                </c:pt>
                <c:pt idx="35">
                  <c:v>Velká Británie</c:v>
                </c:pt>
              </c:strCache>
            </c:strRef>
          </c:cat>
          <c:val>
            <c:numRef>
              <c:f>'Graf-5'!$M$5:$M$40</c:f>
              <c:numCache>
                <c:formatCode>0.0</c:formatCode>
                <c:ptCount val="36"/>
                <c:pt idx="0">
                  <c:v>39.367828954673264</c:v>
                </c:pt>
                <c:pt idx="1">
                  <c:v>62.250517011704396</c:v>
                </c:pt>
                <c:pt idx="2">
                  <c:v>47.874614740517714</c:v>
                </c:pt>
                <c:pt idx="3">
                  <c:v>31.107109553361845</c:v>
                </c:pt>
                <c:pt idx="4">
                  <c:v>31.015701992171067</c:v>
                </c:pt>
                <c:pt idx="5">
                  <c:v>35.622509150561839</c:v>
                </c:pt>
                <c:pt idx="6">
                  <c:v>30.923654143809575</c:v>
                </c:pt>
                <c:pt idx="7">
                  <c:v>34.228794606227403</c:v>
                </c:pt>
                <c:pt idx="8">
                  <c:v>36.693471101254865</c:v>
                </c:pt>
                <c:pt idx="9">
                  <c:v>31.689892126377217</c:v>
                </c:pt>
                <c:pt idx="10">
                  <c:v>32.126471606648202</c:v>
                </c:pt>
                <c:pt idx="11">
                  <c:v>27.077735014081266</c:v>
                </c:pt>
                <c:pt idx="12">
                  <c:v>21.665418070568439</c:v>
                </c:pt>
                <c:pt idx="13">
                  <c:v>19.650836547674619</c:v>
                </c:pt>
                <c:pt idx="14">
                  <c:v>27.908720204940462</c:v>
                </c:pt>
                <c:pt idx="15">
                  <c:v>20.689301961131193</c:v>
                </c:pt>
                <c:pt idx="16">
                  <c:v>27.211061475157056</c:v>
                </c:pt>
                <c:pt idx="17">
                  <c:v>17.413138258990955</c:v>
                </c:pt>
                <c:pt idx="18">
                  <c:v>20.775499766463152</c:v>
                </c:pt>
                <c:pt idx="19">
                  <c:v>24.356018499204588</c:v>
                </c:pt>
                <c:pt idx="20">
                  <c:v>14.622181346552168</c:v>
                </c:pt>
                <c:pt idx="21">
                  <c:v>13.207845889076243</c:v>
                </c:pt>
                <c:pt idx="22">
                  <c:v>12.940766128980361</c:v>
                </c:pt>
                <c:pt idx="23">
                  <c:v>21.618106732985009</c:v>
                </c:pt>
                <c:pt idx="24">
                  <c:v>12.756847429102619</c:v>
                </c:pt>
                <c:pt idx="25">
                  <c:v>15.346922661961859</c:v>
                </c:pt>
                <c:pt idx="26">
                  <c:v>12.578785878878454</c:v>
                </c:pt>
                <c:pt idx="27">
                  <c:v>27.216479121913139</c:v>
                </c:pt>
                <c:pt idx="28">
                  <c:v>17.392148826600618</c:v>
                </c:pt>
                <c:pt idx="30">
                  <c:v>16.886088224902078</c:v>
                </c:pt>
                <c:pt idx="31">
                  <c:v>11.863218427450544</c:v>
                </c:pt>
                <c:pt idx="33">
                  <c:v>27.019506362701843</c:v>
                </c:pt>
                <c:pt idx="34">
                  <c:v>13.847644631345801</c:v>
                </c:pt>
                <c:pt idx="35">
                  <c:v>14.884858978020182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6D2-4EE9-BA5F-6B060E4C8996}"/>
            </c:ext>
          </c:extLst>
        </c:ser>
        <c:ser>
          <c:idx val="1"/>
          <c:order val="1"/>
          <c:tx>
            <c:strRef>
              <c:f>'Graf-5'!$N$4</c:f>
              <c:strCache>
                <c:ptCount val="1"/>
                <c:pt idx="0">
                  <c:v>Vývoz zboží i služeb / produkce (2012)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4"/>
            <c:spPr>
              <a:solidFill>
                <a:schemeClr val="accent2"/>
              </a:solidFill>
              <a:ln w="9525">
                <a:noFill/>
              </a:ln>
              <a:effectLst/>
            </c:spPr>
          </c:marker>
          <c:cat>
            <c:strRef>
              <c:f>'Graf-5'!$L$5:$L$40</c:f>
              <c:strCache>
                <c:ptCount val="36"/>
                <c:pt idx="0">
                  <c:v>Irsko</c:v>
                </c:pt>
                <c:pt idx="1">
                  <c:v>Lucembursko</c:v>
                </c:pt>
                <c:pt idx="2">
                  <c:v>Malta</c:v>
                </c:pt>
                <c:pt idx="3">
                  <c:v>Slovinsko</c:v>
                </c:pt>
                <c:pt idx="4">
                  <c:v>Maďarsko</c:v>
                </c:pt>
                <c:pt idx="5">
                  <c:v>Nizozemsko</c:v>
                </c:pt>
                <c:pt idx="6">
                  <c:v>Litva</c:v>
                </c:pt>
                <c:pt idx="7">
                  <c:v>Slovensko</c:v>
                </c:pt>
                <c:pt idx="8">
                  <c:v>Belgie</c:v>
                </c:pt>
                <c:pt idx="9">
                  <c:v>Kypr</c:v>
                </c:pt>
                <c:pt idx="10">
                  <c:v>Estonsko</c:v>
                </c:pt>
                <c:pt idx="11">
                  <c:v>Česko</c:v>
                </c:pt>
                <c:pt idx="12">
                  <c:v>Lotyšsko</c:v>
                </c:pt>
                <c:pt idx="13">
                  <c:v>Bulharsko</c:v>
                </c:pt>
                <c:pt idx="14">
                  <c:v>Dánsko</c:v>
                </c:pt>
                <c:pt idx="15">
                  <c:v>Chorvatsko</c:v>
                </c:pt>
                <c:pt idx="16">
                  <c:v>Rakousko</c:v>
                </c:pt>
                <c:pt idx="17">
                  <c:v>Polsko</c:v>
                </c:pt>
                <c:pt idx="18">
                  <c:v>Německo</c:v>
                </c:pt>
                <c:pt idx="19">
                  <c:v>Švédsko</c:v>
                </c:pt>
                <c:pt idx="20">
                  <c:v>Portugalsko</c:v>
                </c:pt>
                <c:pt idx="21">
                  <c:v>Řecko</c:v>
                </c:pt>
                <c:pt idx="22">
                  <c:v>Rumunsko</c:v>
                </c:pt>
                <c:pt idx="23">
                  <c:v>Finsko</c:v>
                </c:pt>
                <c:pt idx="24">
                  <c:v>Španělsko</c:v>
                </c:pt>
                <c:pt idx="25">
                  <c:v>Francie</c:v>
                </c:pt>
                <c:pt idx="26">
                  <c:v>Itálie</c:v>
                </c:pt>
                <c:pt idx="27">
                  <c:v>Švýcarsko</c:v>
                </c:pt>
                <c:pt idx="28">
                  <c:v>S. Makedonie</c:v>
                </c:pt>
                <c:pt idx="29">
                  <c:v>Černá Hora</c:v>
                </c:pt>
                <c:pt idx="30">
                  <c:v>Island</c:v>
                </c:pt>
                <c:pt idx="31">
                  <c:v>Srbsko</c:v>
                </c:pt>
                <c:pt idx="32">
                  <c:v>Bosna a H.</c:v>
                </c:pt>
                <c:pt idx="33">
                  <c:v>Norsko</c:v>
                </c:pt>
                <c:pt idx="34">
                  <c:v>Albánie</c:v>
                </c:pt>
                <c:pt idx="35">
                  <c:v>Velká Británie</c:v>
                </c:pt>
              </c:strCache>
            </c:strRef>
          </c:cat>
          <c:val>
            <c:numRef>
              <c:f>'Graf-5'!$N$5:$N$40</c:f>
              <c:numCache>
                <c:formatCode>0.0</c:formatCode>
                <c:ptCount val="36"/>
                <c:pt idx="0">
                  <c:v>49.110451401066889</c:v>
                </c:pt>
                <c:pt idx="1">
                  <c:v>62.637612041239244</c:v>
                </c:pt>
                <c:pt idx="2">
                  <c:v>59.096465188215632</c:v>
                </c:pt>
                <c:pt idx="3">
                  <c:v>37.927164275072975</c:v>
                </c:pt>
                <c:pt idx="4">
                  <c:v>42.783432801162178</c:v>
                </c:pt>
                <c:pt idx="5">
                  <c:v>40.566602432761478</c:v>
                </c:pt>
                <c:pt idx="6">
                  <c:v>43.960324762374128</c:v>
                </c:pt>
                <c:pt idx="7">
                  <c:v>40.140420397139742</c:v>
                </c:pt>
                <c:pt idx="8">
                  <c:v>37.687082508743536</c:v>
                </c:pt>
                <c:pt idx="9">
                  <c:v>31.477616353103382</c:v>
                </c:pt>
                <c:pt idx="10">
                  <c:v>41.598707244815515</c:v>
                </c:pt>
                <c:pt idx="11">
                  <c:v>32.125839236717049</c:v>
                </c:pt>
                <c:pt idx="12">
                  <c:v>29.443194909210597</c:v>
                </c:pt>
                <c:pt idx="13">
                  <c:v>28.678789439882795</c:v>
                </c:pt>
                <c:pt idx="14">
                  <c:v>30.760440954015738</c:v>
                </c:pt>
                <c:pt idx="15">
                  <c:v>22.828699127774897</c:v>
                </c:pt>
                <c:pt idx="16">
                  <c:v>28.355619773859097</c:v>
                </c:pt>
                <c:pt idx="17">
                  <c:v>21.883344030614772</c:v>
                </c:pt>
                <c:pt idx="18">
                  <c:v>24.450449850934408</c:v>
                </c:pt>
                <c:pt idx="19">
                  <c:v>24.168723723943344</c:v>
                </c:pt>
                <c:pt idx="20">
                  <c:v>20.554536825579923</c:v>
                </c:pt>
                <c:pt idx="21">
                  <c:v>17.87104605032707</c:v>
                </c:pt>
                <c:pt idx="22">
                  <c:v>18.198784644697106</c:v>
                </c:pt>
                <c:pt idx="23">
                  <c:v>20.280531012557869</c:v>
                </c:pt>
                <c:pt idx="24">
                  <c:v>17.193814287615165</c:v>
                </c:pt>
                <c:pt idx="25">
                  <c:v>16.296657656218358</c:v>
                </c:pt>
                <c:pt idx="26">
                  <c:v>14.590788478074002</c:v>
                </c:pt>
                <c:pt idx="27">
                  <c:v>33.616335482554945</c:v>
                </c:pt>
                <c:pt idx="28">
                  <c:v>23.804257165531709</c:v>
                </c:pt>
                <c:pt idx="29">
                  <c:v>26.457091719187343</c:v>
                </c:pt>
                <c:pt idx="30">
                  <c:v>28.640227640996901</c:v>
                </c:pt>
                <c:pt idx="31">
                  <c:v>17.19132355885252</c:v>
                </c:pt>
                <c:pt idx="32">
                  <c:v>18.327431735545048</c:v>
                </c:pt>
                <c:pt idx="33">
                  <c:v>24.923030689342436</c:v>
                </c:pt>
                <c:pt idx="34">
                  <c:v>17.600522865341865</c:v>
                </c:pt>
                <c:pt idx="35">
                  <c:v>17.357789192496046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6D2-4EE9-BA5F-6B060E4C89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50"/>
        <c:noMultiLvlLbl val="0"/>
      </c:catAx>
      <c:valAx>
        <c:axId val="281211184"/>
        <c:scaling>
          <c:orientation val="minMax"/>
          <c:max val="65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5"/>
      </c:valAx>
      <c:spPr>
        <a:noFill/>
        <a:ln w="6350">
          <a:solidFill>
            <a:schemeClr val="tx1"/>
          </a:solidFill>
        </a:ln>
        <a:effectLst/>
      </c:spPr>
    </c:plotArea>
    <c:legend>
      <c:legendPos val="b"/>
      <c:layout>
        <c:manualLayout>
          <c:xMode val="edge"/>
          <c:yMode val="edge"/>
          <c:x val="4.4665295816956004E-2"/>
          <c:y val="0.91412713300034176"/>
          <c:w val="0.94203397559664381"/>
          <c:h val="8.3439556205058843E-2"/>
        </c:manualLayout>
      </c:layout>
      <c:overlay val="0"/>
      <c:spPr>
        <a:noFill/>
        <a:ln w="6350"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96906441378063E-2"/>
          <c:y val="1.6970485526915973E-2"/>
          <c:w val="0.84751581377003204"/>
          <c:h val="0.81110587672267465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'GRAF-1'!$A$25</c:f>
              <c:strCache>
                <c:ptCount val="1"/>
                <c:pt idx="0">
                  <c:v>Pracovníci celkem (průmysl)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'GRAF-1'!$B$23:$AA$23</c:f>
              <c:numCache>
                <c:formatCode>General</c:formatCode>
                <c:ptCount val="26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  <c:pt idx="24">
                  <c:v>2018</c:v>
                </c:pt>
                <c:pt idx="25">
                  <c:v>2019</c:v>
                </c:pt>
              </c:numCache>
            </c:numRef>
          </c:cat>
          <c:val>
            <c:numRef>
              <c:f>'GRAF-1'!$B$25:$AA$25</c:f>
              <c:numCache>
                <c:formatCode>0.0</c:formatCode>
                <c:ptCount val="26"/>
                <c:pt idx="0">
                  <c:v>0.30813470358059197</c:v>
                </c:pt>
                <c:pt idx="1">
                  <c:v>7.386410184989245E-2</c:v>
                </c:pt>
                <c:pt idx="2">
                  <c:v>4.3682567708995208</c:v>
                </c:pt>
                <c:pt idx="3">
                  <c:v>0.54731391358313886</c:v>
                </c:pt>
                <c:pt idx="4">
                  <c:v>-1.3039193720616851</c:v>
                </c:pt>
                <c:pt idx="5">
                  <c:v>-4.5886318079206774</c:v>
                </c:pt>
                <c:pt idx="6">
                  <c:v>-2.4017406472684115</c:v>
                </c:pt>
                <c:pt idx="7">
                  <c:v>0.25709192768015043</c:v>
                </c:pt>
                <c:pt idx="8">
                  <c:v>0.23922877843635604</c:v>
                </c:pt>
                <c:pt idx="9">
                  <c:v>-3.8830549554948988</c:v>
                </c:pt>
                <c:pt idx="10">
                  <c:v>1.0715822270463491</c:v>
                </c:pt>
                <c:pt idx="11">
                  <c:v>2.2104458520754093</c:v>
                </c:pt>
                <c:pt idx="12">
                  <c:v>-0.55127631934421117</c:v>
                </c:pt>
                <c:pt idx="13">
                  <c:v>2.5746579644970069</c:v>
                </c:pt>
                <c:pt idx="14">
                  <c:v>0.91819744046792096</c:v>
                </c:pt>
                <c:pt idx="15">
                  <c:v>-7.0509549256075559</c:v>
                </c:pt>
                <c:pt idx="16">
                  <c:v>-3.4160620486700282</c:v>
                </c:pt>
                <c:pt idx="17">
                  <c:v>3.4507336785245144</c:v>
                </c:pt>
                <c:pt idx="18">
                  <c:v>0.22961638547080554</c:v>
                </c:pt>
                <c:pt idx="19">
                  <c:v>-0.27105948253701229</c:v>
                </c:pt>
                <c:pt idx="20">
                  <c:v>1.4743360147426472</c:v>
                </c:pt>
                <c:pt idx="21">
                  <c:v>3.1270832368465875</c:v>
                </c:pt>
                <c:pt idx="22">
                  <c:v>2.0193531836946619</c:v>
                </c:pt>
                <c:pt idx="23">
                  <c:v>1.2307694359923858</c:v>
                </c:pt>
                <c:pt idx="24">
                  <c:v>0.77858210690892804</c:v>
                </c:pt>
                <c:pt idx="25">
                  <c:v>-0.84801278262733604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A3-43EB-B184-E5DB4919BB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211167600"/>
        <c:axId val="281211184"/>
      </c:barChart>
      <c:lineChart>
        <c:grouping val="standard"/>
        <c:varyColors val="0"/>
        <c:ser>
          <c:idx val="0"/>
          <c:order val="0"/>
          <c:tx>
            <c:strRef>
              <c:f>'GRAF-1'!$A$24</c:f>
              <c:strCache>
                <c:ptCount val="1"/>
                <c:pt idx="0">
                  <c:v>Pracovníci celkem (NH)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noFill/>
              </a:ln>
              <a:effectLst/>
            </c:spPr>
          </c:marker>
          <c:cat>
            <c:numRef>
              <c:f>'GRAF-1'!$B$23:$AA$23</c:f>
              <c:numCache>
                <c:formatCode>General</c:formatCode>
                <c:ptCount val="26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  <c:pt idx="24">
                  <c:v>2018</c:v>
                </c:pt>
                <c:pt idx="25">
                  <c:v>2019</c:v>
                </c:pt>
              </c:numCache>
            </c:numRef>
          </c:cat>
          <c:val>
            <c:numRef>
              <c:f>'GRAF-1'!$B$24:$AA$24</c:f>
              <c:numCache>
                <c:formatCode>0.0</c:formatCode>
                <c:ptCount val="26"/>
                <c:pt idx="0">
                  <c:v>1.209514621271552</c:v>
                </c:pt>
                <c:pt idx="1">
                  <c:v>0.99298979848391866</c:v>
                </c:pt>
                <c:pt idx="2">
                  <c:v>0.25032501085983938</c:v>
                </c:pt>
                <c:pt idx="3">
                  <c:v>-0.52157372366565369</c:v>
                </c:pt>
                <c:pt idx="4">
                  <c:v>-1.3805699657039412</c:v>
                </c:pt>
                <c:pt idx="5">
                  <c:v>-2.1074784721762683</c:v>
                </c:pt>
                <c:pt idx="6">
                  <c:v>-0.94223933221093148</c:v>
                </c:pt>
                <c:pt idx="7">
                  <c:v>-6.4868691257714772E-2</c:v>
                </c:pt>
                <c:pt idx="8">
                  <c:v>1.2636626843329992</c:v>
                </c:pt>
                <c:pt idx="9">
                  <c:v>-1.2678793142353868</c:v>
                </c:pt>
                <c:pt idx="10">
                  <c:v>-0.11378146347524876</c:v>
                </c:pt>
                <c:pt idx="11">
                  <c:v>1.514640384121904</c:v>
                </c:pt>
                <c:pt idx="12">
                  <c:v>0.40841243183827203</c:v>
                </c:pt>
                <c:pt idx="13">
                  <c:v>1.9657856990307891</c:v>
                </c:pt>
                <c:pt idx="14">
                  <c:v>2.2957458900292949</c:v>
                </c:pt>
                <c:pt idx="15">
                  <c:v>-1.8395839269729777</c:v>
                </c:pt>
                <c:pt idx="16">
                  <c:v>-0.90904659729640969</c:v>
                </c:pt>
                <c:pt idx="17">
                  <c:v>-0.10762084642082925</c:v>
                </c:pt>
                <c:pt idx="18">
                  <c:v>9.4259726216165518E-2</c:v>
                </c:pt>
                <c:pt idx="19">
                  <c:v>7.9830205455238001E-2</c:v>
                </c:pt>
                <c:pt idx="20">
                  <c:v>0.65747679844861295</c:v>
                </c:pt>
                <c:pt idx="21">
                  <c:v>1.3109120746584324</c:v>
                </c:pt>
                <c:pt idx="22">
                  <c:v>1.2505069279832526</c:v>
                </c:pt>
                <c:pt idx="23">
                  <c:v>1.2827293652871106</c:v>
                </c:pt>
                <c:pt idx="24">
                  <c:v>1.2035297652906536</c:v>
                </c:pt>
                <c:pt idx="25">
                  <c:v>0.24131851335911847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1A3-43EB-B184-E5DB4919BB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lineChart>
        <c:grouping val="standard"/>
        <c:varyColors val="0"/>
        <c:ser>
          <c:idx val="2"/>
          <c:order val="2"/>
          <c:tx>
            <c:strRef>
              <c:f>'GRAF-1'!$A$26</c:f>
              <c:strCache>
                <c:ptCount val="1"/>
                <c:pt idx="0">
                  <c:v>Zaměstnanci v průmyslu (pravá osa)</c:v>
                </c:pt>
              </c:strCache>
            </c:strRef>
          </c:tx>
          <c:spPr>
            <a:ln w="19050" cap="rnd">
              <a:solidFill>
                <a:srgbClr val="92D050"/>
              </a:solidFill>
              <a:round/>
            </a:ln>
            <a:effectLst/>
          </c:spPr>
          <c:marker>
            <c:symbol val="none"/>
          </c:marker>
          <c:cat>
            <c:numRef>
              <c:f>'GRAF-1'!$B$23:$AA$23</c:f>
              <c:numCache>
                <c:formatCode>General</c:formatCode>
                <c:ptCount val="26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  <c:pt idx="24">
                  <c:v>2018</c:v>
                </c:pt>
                <c:pt idx="25">
                  <c:v>2019</c:v>
                </c:pt>
              </c:numCache>
            </c:numRef>
          </c:cat>
          <c:val>
            <c:numRef>
              <c:f>'GRAF-1'!$B$26:$AA$26</c:f>
              <c:numCache>
                <c:formatCode>0.0</c:formatCode>
                <c:ptCount val="26"/>
                <c:pt idx="0">
                  <c:v>106.62964658622676</c:v>
                </c:pt>
                <c:pt idx="1">
                  <c:v>105.67263812379082</c:v>
                </c:pt>
                <c:pt idx="2">
                  <c:v>110.39912274224277</c:v>
                </c:pt>
                <c:pt idx="3">
                  <c:v>111.00419429634772</c:v>
                </c:pt>
                <c:pt idx="4">
                  <c:v>108.88784687864602</c:v>
                </c:pt>
                <c:pt idx="5">
                  <c:v>103.30330374680628</c:v>
                </c:pt>
                <c:pt idx="6">
                  <c:v>100.56519620150345</c:v>
                </c:pt>
                <c:pt idx="7">
                  <c:v>100.73215577971082</c:v>
                </c:pt>
                <c:pt idx="8">
                  <c:v>100.6636292478327</c:v>
                </c:pt>
                <c:pt idx="9">
                  <c:v>95.918166915272266</c:v>
                </c:pt>
                <c:pt idx="10">
                  <c:v>97.235678102523963</c:v>
                </c:pt>
                <c:pt idx="11">
                  <c:v>100</c:v>
                </c:pt>
                <c:pt idx="12">
                  <c:v>99.530283115003471</c:v>
                </c:pt>
                <c:pt idx="13">
                  <c:v>102.28618688248585</c:v>
                </c:pt>
                <c:pt idx="14">
                  <c:v>102.83100234821521</c:v>
                </c:pt>
                <c:pt idx="15">
                  <c:v>95.153963166989115</c:v>
                </c:pt>
                <c:pt idx="16">
                  <c:v>91.061127438673182</c:v>
                </c:pt>
                <c:pt idx="17">
                  <c:v>94.051261981066588</c:v>
                </c:pt>
                <c:pt idx="18">
                  <c:v>94.706768471887884</c:v>
                </c:pt>
                <c:pt idx="19">
                  <c:v>94.456070653217353</c:v>
                </c:pt>
                <c:pt idx="20">
                  <c:v>95.707344449203234</c:v>
                </c:pt>
                <c:pt idx="21">
                  <c:v>98.945075393953715</c:v>
                </c:pt>
                <c:pt idx="22">
                  <c:v>101.29321675946301</c:v>
                </c:pt>
                <c:pt idx="23">
                  <c:v>102.66522426193676</c:v>
                </c:pt>
                <c:pt idx="24">
                  <c:v>103.57408692826866</c:v>
                </c:pt>
                <c:pt idx="25">
                  <c:v>103.00217099141942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1A3-43EB-B184-E5DB4919BB38}"/>
            </c:ext>
          </c:extLst>
        </c:ser>
        <c:ser>
          <c:idx val="3"/>
          <c:order val="3"/>
          <c:tx>
            <c:strRef>
              <c:f>'GRAF-1'!$A$27</c:f>
              <c:strCache>
                <c:ptCount val="1"/>
                <c:pt idx="0">
                  <c:v>Sebezaměstnaní v průmyslu (pravá osa)</c:v>
                </c:pt>
              </c:strCache>
            </c:strRef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'GRAF-1'!$B$23:$AA$23</c:f>
              <c:numCache>
                <c:formatCode>General</c:formatCode>
                <c:ptCount val="26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  <c:pt idx="17">
                  <c:v>2011</c:v>
                </c:pt>
                <c:pt idx="18">
                  <c:v>2012</c:v>
                </c:pt>
                <c:pt idx="19">
                  <c:v>2013</c:v>
                </c:pt>
                <c:pt idx="20">
                  <c:v>2014</c:v>
                </c:pt>
                <c:pt idx="21">
                  <c:v>2015</c:v>
                </c:pt>
                <c:pt idx="22">
                  <c:v>2016</c:v>
                </c:pt>
                <c:pt idx="23">
                  <c:v>2017</c:v>
                </c:pt>
                <c:pt idx="24">
                  <c:v>2018</c:v>
                </c:pt>
                <c:pt idx="25">
                  <c:v>2019</c:v>
                </c:pt>
              </c:numCache>
            </c:numRef>
          </c:cat>
          <c:val>
            <c:numRef>
              <c:f>'GRAF-1'!$B$27:$AA$27</c:f>
              <c:numCache>
                <c:formatCode>0.0</c:formatCode>
                <c:ptCount val="26"/>
                <c:pt idx="0">
                  <c:v>70.936597298727435</c:v>
                </c:pt>
                <c:pt idx="1">
                  <c:v>83.156515930915432</c:v>
                </c:pt>
                <c:pt idx="2">
                  <c:v>85.49172008778703</c:v>
                </c:pt>
                <c:pt idx="3">
                  <c:v>85.94973932806495</c:v>
                </c:pt>
                <c:pt idx="4">
                  <c:v>92.687306447835255</c:v>
                </c:pt>
                <c:pt idx="5">
                  <c:v>95.342603596491998</c:v>
                </c:pt>
                <c:pt idx="6">
                  <c:v>96.07213803034378</c:v>
                </c:pt>
                <c:pt idx="7">
                  <c:v>97.395015570919256</c:v>
                </c:pt>
                <c:pt idx="8">
                  <c:v>101.26389021417603</c:v>
                </c:pt>
                <c:pt idx="9">
                  <c:v>107.16002047207209</c:v>
                </c:pt>
                <c:pt idx="10">
                  <c:v>104.90549015865855</c:v>
                </c:pt>
                <c:pt idx="11">
                  <c:v>100</c:v>
                </c:pt>
                <c:pt idx="12">
                  <c:v>98.490618412720437</c:v>
                </c:pt>
                <c:pt idx="13">
                  <c:v>98.755193920835538</c:v>
                </c:pt>
                <c:pt idx="14">
                  <c:v>104.29479783828799</c:v>
                </c:pt>
                <c:pt idx="15">
                  <c:v>101.95091907459295</c:v>
                </c:pt>
                <c:pt idx="16">
                  <c:v>108.36318843848403</c:v>
                </c:pt>
                <c:pt idx="17">
                  <c:v>113.88978044570131</c:v>
                </c:pt>
                <c:pt idx="18">
                  <c:v>108.98776012977211</c:v>
                </c:pt>
                <c:pt idx="19">
                  <c:v>108.6216917218227</c:v>
                </c:pt>
                <c:pt idx="20">
                  <c:v>111.8833438874383</c:v>
                </c:pt>
                <c:pt idx="21">
                  <c:v>112.50531319667935</c:v>
                </c:pt>
                <c:pt idx="22">
                  <c:v>110.66456162874418</c:v>
                </c:pt>
                <c:pt idx="23">
                  <c:v>110.55439412208641</c:v>
                </c:pt>
                <c:pt idx="24">
                  <c:v>110.12847092705522</c:v>
                </c:pt>
                <c:pt idx="25">
                  <c:v>105.5951214011225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1A3-43EB-B184-E5DB4919BB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708864"/>
        <c:axId val="20240086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3000000" spcFirstLastPara="1" vertOverflow="ellipsis" wrap="square" anchor="ctr" anchorCtr="1"/>
          <a:lstStyle/>
          <a:p>
            <a:pPr>
              <a:defRPr sz="7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0"/>
        <c:noMultiLvlLbl val="0"/>
      </c:catAx>
      <c:valAx>
        <c:axId val="281211184"/>
        <c:scaling>
          <c:orientation val="minMax"/>
          <c:max val="6"/>
          <c:min val="-8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Pracovníci celkem (meziročně)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1"/>
      </c:valAx>
      <c:valAx>
        <c:axId val="202400864"/>
        <c:scaling>
          <c:orientation val="minMax"/>
          <c:max val="14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Zaměstnanci,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sebezaměstnaní (2005 = 100)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6752985642249578"/>
              <c:y val="0.152267163185798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58708864"/>
        <c:crosses val="max"/>
        <c:crossBetween val="between"/>
        <c:majorUnit val="10"/>
      </c:valAx>
      <c:catAx>
        <c:axId val="3587088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2400864"/>
        <c:crosses val="autoZero"/>
        <c:auto val="1"/>
        <c:lblAlgn val="ctr"/>
        <c:lblOffset val="100"/>
        <c:noMultiLvlLbl val="0"/>
      </c:cat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2.1533628848452207E-2"/>
          <c:y val="0.90684553319723926"/>
          <c:w val="0.9368368008586736"/>
          <c:h val="7.7959784941412244E-2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869551739103478"/>
          <c:y val="2.0864272307841863E-2"/>
          <c:w val="0.80767292867919072"/>
          <c:h val="0.659225092555454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'GRAF-2'!$B$29</c:f>
              <c:strCache>
                <c:ptCount val="1"/>
                <c:pt idx="0">
                  <c:v>Celková zaměstnanost (rok 2019)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'GRAF-2'!$A$30:$A$53</c:f>
              <c:strCache>
                <c:ptCount val="24"/>
                <c:pt idx="0">
                  <c:v>Výroba motor. voz.</c:v>
                </c:pt>
                <c:pt idx="1">
                  <c:v>Kovodělný pr.</c:v>
                </c:pt>
                <c:pt idx="2">
                  <c:v>Strojírenský pr.</c:v>
                </c:pt>
                <c:pt idx="3">
                  <c:v>Výroba elektric. zař.</c:v>
                </c:pt>
                <c:pt idx="4">
                  <c:v>Potravinářství</c:v>
                </c:pt>
                <c:pt idx="5">
                  <c:v>Gumáren., plastikář.</c:v>
                </c:pt>
                <c:pt idx="6">
                  <c:v>Vodní, odpad.hospod.</c:v>
                </c:pt>
                <c:pt idx="7">
                  <c:v>Staveb. materiály</c:v>
                </c:pt>
                <c:pt idx="8">
                  <c:v>Dřevozprac. pr.</c:v>
                </c:pt>
                <c:pt idx="9">
                  <c:v>Opravy, instal.strojů</c:v>
                </c:pt>
                <c:pt idx="10">
                  <c:v>PC, elektr.,optic. př.</c:v>
                </c:pt>
                <c:pt idx="11">
                  <c:v>Hutnictví, slévár.</c:v>
                </c:pt>
                <c:pt idx="12">
                  <c:v>Ostatní zprac. pr.</c:v>
                </c:pt>
                <c:pt idx="13">
                  <c:v>Energetika</c:v>
                </c:pt>
                <c:pt idx="14">
                  <c:v>(Petro-)chemic. pr.</c:v>
                </c:pt>
                <c:pt idx="15">
                  <c:v>Nábytkářský pr.</c:v>
                </c:pt>
                <c:pt idx="16">
                  <c:v>Oděvní, kožeděl. pr.</c:v>
                </c:pt>
                <c:pt idx="17">
                  <c:v>Ost. dopravní pr.</c:v>
                </c:pt>
                <c:pt idx="18">
                  <c:v>Těžební pr.</c:v>
                </c:pt>
                <c:pt idx="19">
                  <c:v>Výroba textilií</c:v>
                </c:pt>
                <c:pt idx="20">
                  <c:v>Tiskařský pr.</c:v>
                </c:pt>
                <c:pt idx="21">
                  <c:v>Papírenský pr.</c:v>
                </c:pt>
                <c:pt idx="22">
                  <c:v>Výroba nápojů</c:v>
                </c:pt>
                <c:pt idx="23">
                  <c:v>Farmacie</c:v>
                </c:pt>
              </c:strCache>
            </c:strRef>
          </c:cat>
          <c:val>
            <c:numRef>
              <c:f>'GRAF-2'!$B$30:$B$53</c:f>
              <c:numCache>
                <c:formatCode>0.000</c:formatCode>
                <c:ptCount val="24"/>
                <c:pt idx="0">
                  <c:v>201.01600000000002</c:v>
                </c:pt>
                <c:pt idx="1">
                  <c:v>200.84099999999998</c:v>
                </c:pt>
                <c:pt idx="2">
                  <c:v>136.202</c:v>
                </c:pt>
                <c:pt idx="3">
                  <c:v>117.065</c:v>
                </c:pt>
                <c:pt idx="4">
                  <c:v>107.077</c:v>
                </c:pt>
                <c:pt idx="5">
                  <c:v>98.576999999999998</c:v>
                </c:pt>
                <c:pt idx="6">
                  <c:v>60.580999999999996</c:v>
                </c:pt>
                <c:pt idx="7">
                  <c:v>58.844000000000001</c:v>
                </c:pt>
                <c:pt idx="8">
                  <c:v>53.402999999999999</c:v>
                </c:pt>
                <c:pt idx="9">
                  <c:v>53.174999999999997</c:v>
                </c:pt>
                <c:pt idx="10">
                  <c:v>45.875999999999998</c:v>
                </c:pt>
                <c:pt idx="11">
                  <c:v>45.655999999999999</c:v>
                </c:pt>
                <c:pt idx="12">
                  <c:v>43.728999999999999</c:v>
                </c:pt>
                <c:pt idx="13">
                  <c:v>40.524999999999999</c:v>
                </c:pt>
                <c:pt idx="14">
                  <c:v>32.985999999999997</c:v>
                </c:pt>
                <c:pt idx="15">
                  <c:v>32.019999999999996</c:v>
                </c:pt>
                <c:pt idx="16">
                  <c:v>31.878999999999998</c:v>
                </c:pt>
                <c:pt idx="17">
                  <c:v>26.667999999999999</c:v>
                </c:pt>
                <c:pt idx="18">
                  <c:v>25.358000000000001</c:v>
                </c:pt>
                <c:pt idx="19">
                  <c:v>24.672000000000001</c:v>
                </c:pt>
                <c:pt idx="20">
                  <c:v>24.02</c:v>
                </c:pt>
                <c:pt idx="21">
                  <c:v>22.166</c:v>
                </c:pt>
                <c:pt idx="22">
                  <c:v>19.620999999999999</c:v>
                </c:pt>
                <c:pt idx="23">
                  <c:v>13.294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C1-47C1-A9CE-E7C5A6A95E4B}"/>
            </c:ext>
          </c:extLst>
        </c:ser>
        <c:ser>
          <c:idx val="1"/>
          <c:order val="1"/>
          <c:tx>
            <c:strRef>
              <c:f>'GRAF-2'!$C$29</c:f>
              <c:strCache>
                <c:ptCount val="1"/>
                <c:pt idx="0">
                  <c:v>z toho:  Sebezaměstnaní (rok 2019)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'GRAF-2'!$A$30:$A$53</c:f>
              <c:strCache>
                <c:ptCount val="24"/>
                <c:pt idx="0">
                  <c:v>Výroba motor. voz.</c:v>
                </c:pt>
                <c:pt idx="1">
                  <c:v>Kovodělný pr.</c:v>
                </c:pt>
                <c:pt idx="2">
                  <c:v>Strojírenský pr.</c:v>
                </c:pt>
                <c:pt idx="3">
                  <c:v>Výroba elektric. zař.</c:v>
                </c:pt>
                <c:pt idx="4">
                  <c:v>Potravinářství</c:v>
                </c:pt>
                <c:pt idx="5">
                  <c:v>Gumáren., plastikář.</c:v>
                </c:pt>
                <c:pt idx="6">
                  <c:v>Vodní, odpad.hospod.</c:v>
                </c:pt>
                <c:pt idx="7">
                  <c:v>Staveb. materiály</c:v>
                </c:pt>
                <c:pt idx="8">
                  <c:v>Dřevozprac. pr.</c:v>
                </c:pt>
                <c:pt idx="9">
                  <c:v>Opravy, instal.strojů</c:v>
                </c:pt>
                <c:pt idx="10">
                  <c:v>PC, elektr.,optic. př.</c:v>
                </c:pt>
                <c:pt idx="11">
                  <c:v>Hutnictví, slévár.</c:v>
                </c:pt>
                <c:pt idx="12">
                  <c:v>Ostatní zprac. pr.</c:v>
                </c:pt>
                <c:pt idx="13">
                  <c:v>Energetika</c:v>
                </c:pt>
                <c:pt idx="14">
                  <c:v>(Petro-)chemic. pr.</c:v>
                </c:pt>
                <c:pt idx="15">
                  <c:v>Nábytkářský pr.</c:v>
                </c:pt>
                <c:pt idx="16">
                  <c:v>Oděvní, kožeděl. pr.</c:v>
                </c:pt>
                <c:pt idx="17">
                  <c:v>Ost. dopravní pr.</c:v>
                </c:pt>
                <c:pt idx="18">
                  <c:v>Těžební pr.</c:v>
                </c:pt>
                <c:pt idx="19">
                  <c:v>Výroba textilií</c:v>
                </c:pt>
                <c:pt idx="20">
                  <c:v>Tiskařský pr.</c:v>
                </c:pt>
                <c:pt idx="21">
                  <c:v>Papírenský pr.</c:v>
                </c:pt>
                <c:pt idx="22">
                  <c:v>Výroba nápojů</c:v>
                </c:pt>
                <c:pt idx="23">
                  <c:v>Farmacie</c:v>
                </c:pt>
              </c:strCache>
            </c:strRef>
          </c:cat>
          <c:val>
            <c:numRef>
              <c:f>'GRAF-2'!$C$30:$C$53</c:f>
              <c:numCache>
                <c:formatCode>0.000</c:formatCode>
                <c:ptCount val="24"/>
                <c:pt idx="0">
                  <c:v>0.28699999999999998</c:v>
                </c:pt>
                <c:pt idx="1">
                  <c:v>28.248000000000001</c:v>
                </c:pt>
                <c:pt idx="2">
                  <c:v>1.538</c:v>
                </c:pt>
                <c:pt idx="3">
                  <c:v>5.9189999999999996</c:v>
                </c:pt>
                <c:pt idx="4">
                  <c:v>6.3209999999999997</c:v>
                </c:pt>
                <c:pt idx="5">
                  <c:v>1.232</c:v>
                </c:pt>
                <c:pt idx="6">
                  <c:v>2.3239999999999998</c:v>
                </c:pt>
                <c:pt idx="7">
                  <c:v>3.411</c:v>
                </c:pt>
                <c:pt idx="8">
                  <c:v>19.274000000000001</c:v>
                </c:pt>
                <c:pt idx="9">
                  <c:v>8.9090000000000007</c:v>
                </c:pt>
                <c:pt idx="10">
                  <c:v>1.1870000000000001</c:v>
                </c:pt>
                <c:pt idx="11">
                  <c:v>0.39700000000000002</c:v>
                </c:pt>
                <c:pt idx="12">
                  <c:v>6.1139999999999999</c:v>
                </c:pt>
                <c:pt idx="13">
                  <c:v>6.0220000000000002</c:v>
                </c:pt>
                <c:pt idx="14">
                  <c:v>0.67200000000000004</c:v>
                </c:pt>
                <c:pt idx="15">
                  <c:v>7.6310000000000002</c:v>
                </c:pt>
                <c:pt idx="16">
                  <c:v>9.2189999999999994</c:v>
                </c:pt>
                <c:pt idx="17">
                  <c:v>0.25800000000000001</c:v>
                </c:pt>
                <c:pt idx="18">
                  <c:v>0.19</c:v>
                </c:pt>
                <c:pt idx="19">
                  <c:v>1.0549999999999999</c:v>
                </c:pt>
                <c:pt idx="20">
                  <c:v>4.9210000000000003</c:v>
                </c:pt>
                <c:pt idx="21">
                  <c:v>0.36299999999999999</c:v>
                </c:pt>
                <c:pt idx="22">
                  <c:v>3.496</c:v>
                </c:pt>
                <c:pt idx="23">
                  <c:v>2.6480000000000001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C1-47C1-A9CE-E7C5A6A95E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5"/>
        <c:overlap val="54"/>
        <c:axId val="211167600"/>
        <c:axId val="281211184"/>
      </c:barChart>
      <c:lineChart>
        <c:grouping val="standard"/>
        <c:varyColors val="0"/>
        <c:ser>
          <c:idx val="2"/>
          <c:order val="2"/>
          <c:tx>
            <c:strRef>
              <c:f>'GRAF-2'!$D$29</c:f>
              <c:strCache>
                <c:ptCount val="1"/>
                <c:pt idx="0">
                  <c:v>Zaměstnaní celkem (2019/2005)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00B0F0"/>
              </a:solidFill>
              <a:ln w="9525">
                <a:noFill/>
              </a:ln>
              <a:effectLst/>
            </c:spPr>
          </c:marker>
          <c:cat>
            <c:strRef>
              <c:f>'GRAF-2'!$A$30:$A$53</c:f>
              <c:strCache>
                <c:ptCount val="24"/>
                <c:pt idx="0">
                  <c:v>Výroba motor. voz.</c:v>
                </c:pt>
                <c:pt idx="1">
                  <c:v>Kovodělný pr.</c:v>
                </c:pt>
                <c:pt idx="2">
                  <c:v>Strojírenský pr.</c:v>
                </c:pt>
                <c:pt idx="3">
                  <c:v>Výroba elektric. zař.</c:v>
                </c:pt>
                <c:pt idx="4">
                  <c:v>Potravinářství</c:v>
                </c:pt>
                <c:pt idx="5">
                  <c:v>Gumáren., plastikář.</c:v>
                </c:pt>
                <c:pt idx="6">
                  <c:v>Vodní, odpad.hospod.</c:v>
                </c:pt>
                <c:pt idx="7">
                  <c:v>Staveb. materiály</c:v>
                </c:pt>
                <c:pt idx="8">
                  <c:v>Dřevozprac. pr.</c:v>
                </c:pt>
                <c:pt idx="9">
                  <c:v>Opravy, instal.strojů</c:v>
                </c:pt>
                <c:pt idx="10">
                  <c:v>PC, elektr.,optic. př.</c:v>
                </c:pt>
                <c:pt idx="11">
                  <c:v>Hutnictví, slévár.</c:v>
                </c:pt>
                <c:pt idx="12">
                  <c:v>Ostatní zprac. pr.</c:v>
                </c:pt>
                <c:pt idx="13">
                  <c:v>Energetika</c:v>
                </c:pt>
                <c:pt idx="14">
                  <c:v>(Petro-)chemic. pr.</c:v>
                </c:pt>
                <c:pt idx="15">
                  <c:v>Nábytkářský pr.</c:v>
                </c:pt>
                <c:pt idx="16">
                  <c:v>Oděvní, kožeděl. pr.</c:v>
                </c:pt>
                <c:pt idx="17">
                  <c:v>Ost. dopravní pr.</c:v>
                </c:pt>
                <c:pt idx="18">
                  <c:v>Těžební pr.</c:v>
                </c:pt>
                <c:pt idx="19">
                  <c:v>Výroba textilií</c:v>
                </c:pt>
                <c:pt idx="20">
                  <c:v>Tiskařský pr.</c:v>
                </c:pt>
                <c:pt idx="21">
                  <c:v>Papírenský pr.</c:v>
                </c:pt>
                <c:pt idx="22">
                  <c:v>Výroba nápojů</c:v>
                </c:pt>
                <c:pt idx="23">
                  <c:v>Farmacie</c:v>
                </c:pt>
              </c:strCache>
            </c:strRef>
          </c:cat>
          <c:val>
            <c:numRef>
              <c:f>'GRAF-2'!$D$30:$D$53</c:f>
              <c:numCache>
                <c:formatCode>0</c:formatCode>
                <c:ptCount val="24"/>
                <c:pt idx="0">
                  <c:v>50.398036751062421</c:v>
                </c:pt>
                <c:pt idx="1">
                  <c:v>13.504761366526324</c:v>
                </c:pt>
                <c:pt idx="2">
                  <c:v>9.5047435278983841</c:v>
                </c:pt>
                <c:pt idx="3">
                  <c:v>31.105038581715974</c:v>
                </c:pt>
                <c:pt idx="4">
                  <c:v>-9.7706282863691598</c:v>
                </c:pt>
                <c:pt idx="5">
                  <c:v>32.160238104814397</c:v>
                </c:pt>
                <c:pt idx="6">
                  <c:v>14.441967659060012</c:v>
                </c:pt>
                <c:pt idx="7">
                  <c:v>-22.403175398573183</c:v>
                </c:pt>
                <c:pt idx="8">
                  <c:v>-27.843534657478713</c:v>
                </c:pt>
                <c:pt idx="9">
                  <c:v>10.998622302008101</c:v>
                </c:pt>
                <c:pt idx="10">
                  <c:v>0.2819857039805953</c:v>
                </c:pt>
                <c:pt idx="11">
                  <c:v>-23.223354521911673</c:v>
                </c:pt>
                <c:pt idx="12">
                  <c:v>2.8409491780531937</c:v>
                </c:pt>
                <c:pt idx="13">
                  <c:v>12.908168951298336</c:v>
                </c:pt>
                <c:pt idx="14">
                  <c:v>-10.633686434938099</c:v>
                </c:pt>
                <c:pt idx="15">
                  <c:v>-14.405624315004403</c:v>
                </c:pt>
                <c:pt idx="16">
                  <c:v>-43.251566505269153</c:v>
                </c:pt>
                <c:pt idx="17">
                  <c:v>68.656716417910445</c:v>
                </c:pt>
                <c:pt idx="18">
                  <c:v>-42.376039630959419</c:v>
                </c:pt>
                <c:pt idx="19">
                  <c:v>-43.273630239348861</c:v>
                </c:pt>
                <c:pt idx="20">
                  <c:v>-10.490031675051242</c:v>
                </c:pt>
                <c:pt idx="21">
                  <c:v>7.7850717238025879</c:v>
                </c:pt>
                <c:pt idx="22">
                  <c:v>-17.018397124127731</c:v>
                </c:pt>
                <c:pt idx="23">
                  <c:v>16.511831726555656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2C1-47C1-A9CE-E7C5A6A95E4B}"/>
            </c:ext>
          </c:extLst>
        </c:ser>
        <c:ser>
          <c:idx val="3"/>
          <c:order val="3"/>
          <c:tx>
            <c:strRef>
              <c:f>'GRAF-2'!$E$29</c:f>
              <c:strCache>
                <c:ptCount val="1"/>
                <c:pt idx="0">
                  <c:v>Zaměstnaní celkem (2019/2013)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bg1"/>
              </a:solidFill>
              <a:ln w="9525">
                <a:solidFill>
                  <a:srgbClr val="7030A0"/>
                </a:solidFill>
              </a:ln>
              <a:effectLst/>
            </c:spPr>
          </c:marker>
          <c:cat>
            <c:strRef>
              <c:f>'GRAF-2'!$A$30:$A$53</c:f>
              <c:strCache>
                <c:ptCount val="24"/>
                <c:pt idx="0">
                  <c:v>Výroba motor. voz.</c:v>
                </c:pt>
                <c:pt idx="1">
                  <c:v>Kovodělný pr.</c:v>
                </c:pt>
                <c:pt idx="2">
                  <c:v>Strojírenský pr.</c:v>
                </c:pt>
                <c:pt idx="3">
                  <c:v>Výroba elektric. zař.</c:v>
                </c:pt>
                <c:pt idx="4">
                  <c:v>Potravinářství</c:v>
                </c:pt>
                <c:pt idx="5">
                  <c:v>Gumáren., plastikář.</c:v>
                </c:pt>
                <c:pt idx="6">
                  <c:v>Vodní, odpad.hospod.</c:v>
                </c:pt>
                <c:pt idx="7">
                  <c:v>Staveb. materiály</c:v>
                </c:pt>
                <c:pt idx="8">
                  <c:v>Dřevozprac. pr.</c:v>
                </c:pt>
                <c:pt idx="9">
                  <c:v>Opravy, instal.strojů</c:v>
                </c:pt>
                <c:pt idx="10">
                  <c:v>PC, elektr.,optic. př.</c:v>
                </c:pt>
                <c:pt idx="11">
                  <c:v>Hutnictví, slévár.</c:v>
                </c:pt>
                <c:pt idx="12">
                  <c:v>Ostatní zprac. pr.</c:v>
                </c:pt>
                <c:pt idx="13">
                  <c:v>Energetika</c:v>
                </c:pt>
                <c:pt idx="14">
                  <c:v>(Petro-)chemic. pr.</c:v>
                </c:pt>
                <c:pt idx="15">
                  <c:v>Nábytkářský pr.</c:v>
                </c:pt>
                <c:pt idx="16">
                  <c:v>Oděvní, kožeděl. pr.</c:v>
                </c:pt>
                <c:pt idx="17">
                  <c:v>Ost. dopravní pr.</c:v>
                </c:pt>
                <c:pt idx="18">
                  <c:v>Těžební pr.</c:v>
                </c:pt>
                <c:pt idx="19">
                  <c:v>Výroba textilií</c:v>
                </c:pt>
                <c:pt idx="20">
                  <c:v>Tiskařský pr.</c:v>
                </c:pt>
                <c:pt idx="21">
                  <c:v>Papírenský pr.</c:v>
                </c:pt>
                <c:pt idx="22">
                  <c:v>Výroba nápojů</c:v>
                </c:pt>
                <c:pt idx="23">
                  <c:v>Farmacie</c:v>
                </c:pt>
              </c:strCache>
            </c:strRef>
          </c:cat>
          <c:val>
            <c:numRef>
              <c:f>'GRAF-2'!$E$30:$E$53</c:f>
              <c:numCache>
                <c:formatCode>0</c:formatCode>
                <c:ptCount val="24"/>
                <c:pt idx="0">
                  <c:v>30.990890015509109</c:v>
                </c:pt>
                <c:pt idx="1">
                  <c:v>9.045449856391258</c:v>
                </c:pt>
                <c:pt idx="2">
                  <c:v>5.4733842365294976</c:v>
                </c:pt>
                <c:pt idx="3">
                  <c:v>15.439610287156839</c:v>
                </c:pt>
                <c:pt idx="4">
                  <c:v>0.78594152971518838</c:v>
                </c:pt>
                <c:pt idx="5">
                  <c:v>17.405285661541399</c:v>
                </c:pt>
                <c:pt idx="6">
                  <c:v>9.064559104165923</c:v>
                </c:pt>
                <c:pt idx="7">
                  <c:v>3.2441442231774715</c:v>
                </c:pt>
                <c:pt idx="8">
                  <c:v>-8.6253507631236772</c:v>
                </c:pt>
                <c:pt idx="9">
                  <c:v>0.14312887248347295</c:v>
                </c:pt>
                <c:pt idx="10">
                  <c:v>1.4888392363338738</c:v>
                </c:pt>
                <c:pt idx="11">
                  <c:v>-0.27957365018347957</c:v>
                </c:pt>
                <c:pt idx="12">
                  <c:v>8.4629312696877292</c:v>
                </c:pt>
                <c:pt idx="13">
                  <c:v>15.885044323706026</c:v>
                </c:pt>
                <c:pt idx="14">
                  <c:v>5.1413635928983581</c:v>
                </c:pt>
                <c:pt idx="15">
                  <c:v>-10.46862767028297</c:v>
                </c:pt>
                <c:pt idx="16">
                  <c:v>-3.385258819250808</c:v>
                </c:pt>
                <c:pt idx="17">
                  <c:v>18.97920942268226</c:v>
                </c:pt>
                <c:pt idx="18">
                  <c:v>-16.965192049510463</c:v>
                </c:pt>
                <c:pt idx="19">
                  <c:v>-5.2716452294106375</c:v>
                </c:pt>
                <c:pt idx="20">
                  <c:v>-3.6695408060958528</c:v>
                </c:pt>
                <c:pt idx="21">
                  <c:v>12.318216366860895</c:v>
                </c:pt>
                <c:pt idx="22">
                  <c:v>8.0749104929771534</c:v>
                </c:pt>
                <c:pt idx="23">
                  <c:v>6.830601092896174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2C1-47C1-A9CE-E7C5A6A95E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8708864"/>
        <c:axId val="20240086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30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At val="0"/>
        <c:auto val="1"/>
        <c:lblAlgn val="ctr"/>
        <c:lblOffset val="0"/>
        <c:noMultiLvlLbl val="0"/>
      </c:catAx>
      <c:valAx>
        <c:axId val="281211184"/>
        <c:scaling>
          <c:orientation val="minMax"/>
          <c:max val="24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Sebezaměstnaní,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zaměstnanci (v  tis.)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At val="1"/>
        <c:crossBetween val="between"/>
        <c:majorUnit val="20"/>
      </c:valAx>
      <c:valAx>
        <c:axId val="202400864"/>
        <c:scaling>
          <c:orientation val="minMax"/>
          <c:max val="70"/>
          <c:min val="-5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Zaměstnaní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celkem (změna v %)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6752985642249578"/>
              <c:y val="0.152267163185798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58708864"/>
        <c:crosses val="max"/>
        <c:crossBetween val="between"/>
        <c:majorUnit val="10"/>
      </c:valAx>
      <c:catAx>
        <c:axId val="35870886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2400864"/>
        <c:crossesAt val="0"/>
        <c:auto val="1"/>
        <c:lblAlgn val="ctr"/>
        <c:lblOffset val="100"/>
        <c:noMultiLvlLbl val="0"/>
      </c:cat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3.5297815795634159E-2"/>
          <c:y val="0.91322069875035694"/>
          <c:w val="0.92757595594060915"/>
          <c:h val="7.9179547954151691E-2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773233062252516E-2"/>
          <c:y val="2.0864272307841863E-2"/>
          <c:w val="0.93753640266127947"/>
          <c:h val="0.766876264805655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'GRAF-5'!$D$21</c:f>
              <c:strCache>
                <c:ptCount val="1"/>
                <c:pt idx="0">
                  <c:v>Průměr za období 2017 až 2019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B97-464D-8DDE-ADA2F8B535B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B97-464D-8DDE-ADA2F8B535BE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BB97-464D-8DDE-ADA2F8B535BE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BB97-464D-8DDE-ADA2F8B535BE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BB97-464D-8DDE-ADA2F8B535BE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BB97-464D-8DDE-ADA2F8B535BE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BB97-464D-8DDE-ADA2F8B535BE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BB97-464D-8DDE-ADA2F8B535BE}"/>
              </c:ext>
            </c:extLst>
          </c:dPt>
          <c:dPt>
            <c:idx val="25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BB97-464D-8DDE-ADA2F8B535BE}"/>
              </c:ext>
            </c:extLst>
          </c:dPt>
          <c:dPt>
            <c:idx val="28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BB97-464D-8DDE-ADA2F8B535BE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BB97-464D-8DDE-ADA2F8B535BE}"/>
              </c:ext>
            </c:extLst>
          </c:dPt>
          <c:dPt>
            <c:idx val="34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BB97-464D-8DDE-ADA2F8B535BE}"/>
              </c:ext>
            </c:extLst>
          </c:dPt>
          <c:dPt>
            <c:idx val="37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BB97-464D-8DDE-ADA2F8B535BE}"/>
              </c:ext>
            </c:extLst>
          </c:dPt>
          <c:dPt>
            <c:idx val="40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BB97-464D-8DDE-ADA2F8B535BE}"/>
              </c:ext>
            </c:extLst>
          </c:dPt>
          <c:dPt>
            <c:idx val="43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BB97-464D-8DDE-ADA2F8B535BE}"/>
              </c:ext>
            </c:extLst>
          </c:dPt>
          <c:cat>
            <c:multiLvlStrRef>
              <c:f>'GRAF-5'!$B$22:$C$66</c:f>
              <c:multiLvlStrCache>
                <c:ptCount val="45"/>
                <c:lvl>
                  <c:pt idx="0">
                    <c:v>Muži</c:v>
                  </c:pt>
                  <c:pt idx="1">
                    <c:v>Ženy</c:v>
                  </c:pt>
                  <c:pt idx="3">
                    <c:v>Muži</c:v>
                  </c:pt>
                  <c:pt idx="4">
                    <c:v>Ženy</c:v>
                  </c:pt>
                  <c:pt idx="6">
                    <c:v>Muži</c:v>
                  </c:pt>
                  <c:pt idx="7">
                    <c:v>Ženy</c:v>
                  </c:pt>
                  <c:pt idx="9">
                    <c:v>Muži</c:v>
                  </c:pt>
                  <c:pt idx="10">
                    <c:v>Ženy</c:v>
                  </c:pt>
                  <c:pt idx="12">
                    <c:v>Muži</c:v>
                  </c:pt>
                  <c:pt idx="13">
                    <c:v>Ženy</c:v>
                  </c:pt>
                  <c:pt idx="15">
                    <c:v>Muži</c:v>
                  </c:pt>
                  <c:pt idx="16">
                    <c:v>Ženy</c:v>
                  </c:pt>
                  <c:pt idx="18">
                    <c:v>Muži</c:v>
                  </c:pt>
                  <c:pt idx="19">
                    <c:v>Ženy</c:v>
                  </c:pt>
                  <c:pt idx="21">
                    <c:v>Muži</c:v>
                  </c:pt>
                  <c:pt idx="22">
                    <c:v>Ženy</c:v>
                  </c:pt>
                  <c:pt idx="24">
                    <c:v>Muži</c:v>
                  </c:pt>
                  <c:pt idx="25">
                    <c:v>Ženy</c:v>
                  </c:pt>
                  <c:pt idx="27">
                    <c:v>Muži</c:v>
                  </c:pt>
                  <c:pt idx="28">
                    <c:v>Ženy</c:v>
                  </c:pt>
                  <c:pt idx="30">
                    <c:v>Muži</c:v>
                  </c:pt>
                  <c:pt idx="31">
                    <c:v>Ženy</c:v>
                  </c:pt>
                  <c:pt idx="33">
                    <c:v>Muži</c:v>
                  </c:pt>
                  <c:pt idx="34">
                    <c:v>Ženy</c:v>
                  </c:pt>
                  <c:pt idx="36">
                    <c:v>Muži</c:v>
                  </c:pt>
                  <c:pt idx="37">
                    <c:v>Ženy</c:v>
                  </c:pt>
                  <c:pt idx="39">
                    <c:v>Muži</c:v>
                  </c:pt>
                  <c:pt idx="40">
                    <c:v>Ženy</c:v>
                  </c:pt>
                  <c:pt idx="42">
                    <c:v>Muži</c:v>
                  </c:pt>
                  <c:pt idx="43">
                    <c:v>Ženy</c:v>
                  </c:pt>
                  <c:pt idx="44">
                    <c:v>.</c:v>
                  </c:pt>
                </c:lvl>
                <c:lvl>
                  <c:pt idx="0">
                    <c:v>ČR 
celkem</c:v>
                  </c:pt>
                  <c:pt idx="3">
                    <c:v>Praha</c:v>
                  </c:pt>
                  <c:pt idx="6">
                    <c:v>Středo-
český</c:v>
                  </c:pt>
                  <c:pt idx="9">
                    <c:v>Jiho-
český</c:v>
                  </c:pt>
                  <c:pt idx="12">
                    <c:v>Plzeň-
ský</c:v>
                  </c:pt>
                  <c:pt idx="15">
                    <c:v>Karlo-
varský</c:v>
                  </c:pt>
                  <c:pt idx="18">
                    <c:v>Ústec-
ký</c:v>
                  </c:pt>
                  <c:pt idx="21">
                    <c:v>Libe-
recký</c:v>
                  </c:pt>
                  <c:pt idx="24">
                    <c:v>Králo-
véhrad.</c:v>
                  </c:pt>
                  <c:pt idx="27">
                    <c:v>Pardu-
bický</c:v>
                  </c:pt>
                  <c:pt idx="30">
                    <c:v>Vyso-
čina</c:v>
                  </c:pt>
                  <c:pt idx="33">
                    <c:v>Jiho-
morav.</c:v>
                  </c:pt>
                  <c:pt idx="36">
                    <c:v>Olo-
mouc.</c:v>
                  </c:pt>
                  <c:pt idx="39">
                    <c:v>Zlínský</c:v>
                  </c:pt>
                  <c:pt idx="42">
                    <c:v>Morav-
skosl.</c:v>
                  </c:pt>
                </c:lvl>
              </c:multiLvlStrCache>
            </c:multiLvlStrRef>
          </c:cat>
          <c:val>
            <c:numRef>
              <c:f>'GRAF-5'!$D$22:$D$66</c:f>
              <c:numCache>
                <c:formatCode>#\ ##0.0</c:formatCode>
                <c:ptCount val="45"/>
                <c:pt idx="0">
                  <c:v>36.490478955046463</c:v>
                </c:pt>
                <c:pt idx="1">
                  <c:v>22.536258374017518</c:v>
                </c:pt>
                <c:pt idx="3">
                  <c:v>13.416139063392009</c:v>
                </c:pt>
                <c:pt idx="4">
                  <c:v>7.7914024145864182</c:v>
                </c:pt>
                <c:pt idx="6">
                  <c:v>32.331399500616904</c:v>
                </c:pt>
                <c:pt idx="7">
                  <c:v>19.58625627666456</c:v>
                </c:pt>
                <c:pt idx="9">
                  <c:v>36.693378418351244</c:v>
                </c:pt>
                <c:pt idx="10">
                  <c:v>25.044056880824712</c:v>
                </c:pt>
                <c:pt idx="12">
                  <c:v>41.541127353741359</c:v>
                </c:pt>
                <c:pt idx="13">
                  <c:v>27.706069307767493</c:v>
                </c:pt>
                <c:pt idx="15">
                  <c:v>38.325081670428581</c:v>
                </c:pt>
                <c:pt idx="16">
                  <c:v>25.381675635909058</c:v>
                </c:pt>
                <c:pt idx="18">
                  <c:v>41.186357973258211</c:v>
                </c:pt>
                <c:pt idx="19">
                  <c:v>22.317645052116116</c:v>
                </c:pt>
                <c:pt idx="21">
                  <c:v>46.388044841401154</c:v>
                </c:pt>
                <c:pt idx="22">
                  <c:v>34.729805133527925</c:v>
                </c:pt>
                <c:pt idx="24">
                  <c:v>39.787863376754181</c:v>
                </c:pt>
                <c:pt idx="25">
                  <c:v>26.412429104751649</c:v>
                </c:pt>
                <c:pt idx="27">
                  <c:v>45.333663466547357</c:v>
                </c:pt>
                <c:pt idx="28">
                  <c:v>27.75012926807295</c:v>
                </c:pt>
                <c:pt idx="30">
                  <c:v>45.691142205747894</c:v>
                </c:pt>
                <c:pt idx="31">
                  <c:v>30.550679293566677</c:v>
                </c:pt>
                <c:pt idx="33">
                  <c:v>34.150505170698082</c:v>
                </c:pt>
                <c:pt idx="34">
                  <c:v>20.806168231725632</c:v>
                </c:pt>
                <c:pt idx="36">
                  <c:v>38.970648462051962</c:v>
                </c:pt>
                <c:pt idx="37">
                  <c:v>27.884766513804696</c:v>
                </c:pt>
                <c:pt idx="39">
                  <c:v>47.281104531276952</c:v>
                </c:pt>
                <c:pt idx="40">
                  <c:v>31.214279833170398</c:v>
                </c:pt>
                <c:pt idx="42">
                  <c:v>45.326011212458646</c:v>
                </c:pt>
                <c:pt idx="43">
                  <c:v>22.556963136027051</c:v>
                </c:pt>
                <c:pt idx="44">
                  <c:v>-100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BB97-464D-8DDE-ADA2F8B535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54"/>
        <c:axId val="211167600"/>
        <c:axId val="281211184"/>
      </c:barChart>
      <c:lineChart>
        <c:grouping val="standard"/>
        <c:varyColors val="0"/>
        <c:ser>
          <c:idx val="1"/>
          <c:order val="1"/>
          <c:tx>
            <c:strRef>
              <c:f>'GRAF-5'!$E$21</c:f>
              <c:strCache>
                <c:ptCount val="1"/>
                <c:pt idx="0">
                  <c:v>Průměr za období 2005 až 2007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dash"/>
            <c:size val="7"/>
            <c:spPr>
              <a:solidFill>
                <a:srgbClr val="0070C0"/>
              </a:solidFill>
              <a:ln w="9525">
                <a:noFill/>
              </a:ln>
              <a:effectLst/>
            </c:spPr>
          </c:marker>
          <c:dPt>
            <c:idx val="1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F-BB97-464D-8DDE-ADA2F8B535BE}"/>
              </c:ext>
            </c:extLst>
          </c:dPt>
          <c:dPt>
            <c:idx val="4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0-BB97-464D-8DDE-ADA2F8B535BE}"/>
              </c:ext>
            </c:extLst>
          </c:dPt>
          <c:dPt>
            <c:idx val="7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1-BB97-464D-8DDE-ADA2F8B535BE}"/>
              </c:ext>
            </c:extLst>
          </c:dPt>
          <c:dPt>
            <c:idx val="10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2-BB97-464D-8DDE-ADA2F8B535BE}"/>
              </c:ext>
            </c:extLst>
          </c:dPt>
          <c:dPt>
            <c:idx val="13"/>
            <c:marker>
              <c:symbol val="dash"/>
              <c:size val="7"/>
              <c:spPr>
                <a:solidFill>
                  <a:srgbClr val="C00000"/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3-BB97-464D-8DDE-ADA2F8B535BE}"/>
              </c:ext>
            </c:extLst>
          </c:dPt>
          <c:dPt>
            <c:idx val="16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4-BB97-464D-8DDE-ADA2F8B535BE}"/>
              </c:ext>
            </c:extLst>
          </c:dPt>
          <c:dPt>
            <c:idx val="19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5-BB97-464D-8DDE-ADA2F8B535BE}"/>
              </c:ext>
            </c:extLst>
          </c:dPt>
          <c:dPt>
            <c:idx val="22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6-BB97-464D-8DDE-ADA2F8B535BE}"/>
              </c:ext>
            </c:extLst>
          </c:dPt>
          <c:dPt>
            <c:idx val="25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7-BB97-464D-8DDE-ADA2F8B535BE}"/>
              </c:ext>
            </c:extLst>
          </c:dPt>
          <c:dPt>
            <c:idx val="28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8-BB97-464D-8DDE-ADA2F8B535BE}"/>
              </c:ext>
            </c:extLst>
          </c:dPt>
          <c:dPt>
            <c:idx val="31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9-BB97-464D-8DDE-ADA2F8B535BE}"/>
              </c:ext>
            </c:extLst>
          </c:dPt>
          <c:dPt>
            <c:idx val="34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A-BB97-464D-8DDE-ADA2F8B535BE}"/>
              </c:ext>
            </c:extLst>
          </c:dPt>
          <c:dPt>
            <c:idx val="37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B-BB97-464D-8DDE-ADA2F8B535BE}"/>
              </c:ext>
            </c:extLst>
          </c:dPt>
          <c:dPt>
            <c:idx val="40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C-BB97-464D-8DDE-ADA2F8B535BE}"/>
              </c:ext>
            </c:extLst>
          </c:dPt>
          <c:dPt>
            <c:idx val="43"/>
            <c:marker>
              <c:symbol val="dash"/>
              <c:size val="7"/>
              <c:spPr>
                <a:solidFill>
                  <a:schemeClr val="accent2">
                    <a:lumMod val="75000"/>
                  </a:schemeClr>
                </a:solidFill>
                <a:ln w="9525">
                  <a:noFill/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2D-BB97-464D-8DDE-ADA2F8B535BE}"/>
              </c:ext>
            </c:extLst>
          </c:dPt>
          <c:cat>
            <c:multiLvlStrRef>
              <c:f>'GRAF-5'!$B$22:$C$66</c:f>
              <c:multiLvlStrCache>
                <c:ptCount val="45"/>
                <c:lvl>
                  <c:pt idx="0">
                    <c:v>Muži</c:v>
                  </c:pt>
                  <c:pt idx="1">
                    <c:v>Ženy</c:v>
                  </c:pt>
                  <c:pt idx="3">
                    <c:v>Muži</c:v>
                  </c:pt>
                  <c:pt idx="4">
                    <c:v>Ženy</c:v>
                  </c:pt>
                  <c:pt idx="6">
                    <c:v>Muži</c:v>
                  </c:pt>
                  <c:pt idx="7">
                    <c:v>Ženy</c:v>
                  </c:pt>
                  <c:pt idx="9">
                    <c:v>Muži</c:v>
                  </c:pt>
                  <c:pt idx="10">
                    <c:v>Ženy</c:v>
                  </c:pt>
                  <c:pt idx="12">
                    <c:v>Muži</c:v>
                  </c:pt>
                  <c:pt idx="13">
                    <c:v>Ženy</c:v>
                  </c:pt>
                  <c:pt idx="15">
                    <c:v>Muži</c:v>
                  </c:pt>
                  <c:pt idx="16">
                    <c:v>Ženy</c:v>
                  </c:pt>
                  <c:pt idx="18">
                    <c:v>Muži</c:v>
                  </c:pt>
                  <c:pt idx="19">
                    <c:v>Ženy</c:v>
                  </c:pt>
                  <c:pt idx="21">
                    <c:v>Muži</c:v>
                  </c:pt>
                  <c:pt idx="22">
                    <c:v>Ženy</c:v>
                  </c:pt>
                  <c:pt idx="24">
                    <c:v>Muži</c:v>
                  </c:pt>
                  <c:pt idx="25">
                    <c:v>Ženy</c:v>
                  </c:pt>
                  <c:pt idx="27">
                    <c:v>Muži</c:v>
                  </c:pt>
                  <c:pt idx="28">
                    <c:v>Ženy</c:v>
                  </c:pt>
                  <c:pt idx="30">
                    <c:v>Muži</c:v>
                  </c:pt>
                  <c:pt idx="31">
                    <c:v>Ženy</c:v>
                  </c:pt>
                  <c:pt idx="33">
                    <c:v>Muži</c:v>
                  </c:pt>
                  <c:pt idx="34">
                    <c:v>Ženy</c:v>
                  </c:pt>
                  <c:pt idx="36">
                    <c:v>Muži</c:v>
                  </c:pt>
                  <c:pt idx="37">
                    <c:v>Ženy</c:v>
                  </c:pt>
                  <c:pt idx="39">
                    <c:v>Muži</c:v>
                  </c:pt>
                  <c:pt idx="40">
                    <c:v>Ženy</c:v>
                  </c:pt>
                  <c:pt idx="42">
                    <c:v>Muži</c:v>
                  </c:pt>
                  <c:pt idx="43">
                    <c:v>Ženy</c:v>
                  </c:pt>
                  <c:pt idx="44">
                    <c:v>.</c:v>
                  </c:pt>
                </c:lvl>
                <c:lvl>
                  <c:pt idx="0">
                    <c:v>ČR 
celkem</c:v>
                  </c:pt>
                  <c:pt idx="3">
                    <c:v>Praha</c:v>
                  </c:pt>
                  <c:pt idx="6">
                    <c:v>Středo-
český</c:v>
                  </c:pt>
                  <c:pt idx="9">
                    <c:v>Jiho-
český</c:v>
                  </c:pt>
                  <c:pt idx="12">
                    <c:v>Plzeň-
ský</c:v>
                  </c:pt>
                  <c:pt idx="15">
                    <c:v>Karlo-
varský</c:v>
                  </c:pt>
                  <c:pt idx="18">
                    <c:v>Ústec-
ký</c:v>
                  </c:pt>
                  <c:pt idx="21">
                    <c:v>Libe-
recký</c:v>
                  </c:pt>
                  <c:pt idx="24">
                    <c:v>Králo-
véhrad.</c:v>
                  </c:pt>
                  <c:pt idx="27">
                    <c:v>Pardu-
bický</c:v>
                  </c:pt>
                  <c:pt idx="30">
                    <c:v>Vyso-
čina</c:v>
                  </c:pt>
                  <c:pt idx="33">
                    <c:v>Jiho-
morav.</c:v>
                  </c:pt>
                  <c:pt idx="36">
                    <c:v>Olo-
mouc.</c:v>
                  </c:pt>
                  <c:pt idx="39">
                    <c:v>Zlínský</c:v>
                  </c:pt>
                  <c:pt idx="42">
                    <c:v>Morav-
skosl.</c:v>
                  </c:pt>
                </c:lvl>
              </c:multiLvlStrCache>
            </c:multiLvlStrRef>
          </c:cat>
          <c:val>
            <c:numRef>
              <c:f>'GRAF-5'!$E$22:$E$66</c:f>
              <c:numCache>
                <c:formatCode>#\ ##0.0</c:formatCode>
                <c:ptCount val="45"/>
                <c:pt idx="0">
                  <c:v>34.567479762332056</c:v>
                </c:pt>
                <c:pt idx="1">
                  <c:v>24.553158682644479</c:v>
                </c:pt>
                <c:pt idx="3">
                  <c:v>11.7915763972152</c:v>
                </c:pt>
                <c:pt idx="4">
                  <c:v>7.3549456967717468</c:v>
                </c:pt>
                <c:pt idx="6">
                  <c:v>32.469075631451823</c:v>
                </c:pt>
                <c:pt idx="7">
                  <c:v>23.163821890887064</c:v>
                </c:pt>
                <c:pt idx="9">
                  <c:v>33.859192137821616</c:v>
                </c:pt>
                <c:pt idx="10">
                  <c:v>27.216773680878486</c:v>
                </c:pt>
                <c:pt idx="12">
                  <c:v>38.514581251623227</c:v>
                </c:pt>
                <c:pt idx="13">
                  <c:v>30.676123103191955</c:v>
                </c:pt>
                <c:pt idx="15">
                  <c:v>36.863580438752791</c:v>
                </c:pt>
                <c:pt idx="16">
                  <c:v>30.312926710425117</c:v>
                </c:pt>
                <c:pt idx="18">
                  <c:v>37.37164191145181</c:v>
                </c:pt>
                <c:pt idx="19">
                  <c:v>25.763862577413846</c:v>
                </c:pt>
                <c:pt idx="21">
                  <c:v>46.032021978877196</c:v>
                </c:pt>
                <c:pt idx="22">
                  <c:v>40.941919356566245</c:v>
                </c:pt>
                <c:pt idx="24">
                  <c:v>38.888114474787244</c:v>
                </c:pt>
                <c:pt idx="25">
                  <c:v>28.585270457047795</c:v>
                </c:pt>
                <c:pt idx="27">
                  <c:v>38.98775565079697</c:v>
                </c:pt>
                <c:pt idx="28">
                  <c:v>30.140670480612101</c:v>
                </c:pt>
                <c:pt idx="30">
                  <c:v>39.545144548081275</c:v>
                </c:pt>
                <c:pt idx="31">
                  <c:v>33.979556640570252</c:v>
                </c:pt>
                <c:pt idx="33">
                  <c:v>32.332772748279062</c:v>
                </c:pt>
                <c:pt idx="34">
                  <c:v>23.747398270693861</c:v>
                </c:pt>
                <c:pt idx="36">
                  <c:v>37.333989624237631</c:v>
                </c:pt>
                <c:pt idx="37">
                  <c:v>27.621132562568331</c:v>
                </c:pt>
                <c:pt idx="39">
                  <c:v>42.788820535105657</c:v>
                </c:pt>
                <c:pt idx="40">
                  <c:v>29.660446680375589</c:v>
                </c:pt>
                <c:pt idx="42">
                  <c:v>43.718716816737292</c:v>
                </c:pt>
                <c:pt idx="43">
                  <c:v>22.402522642409238</c:v>
                </c:pt>
                <c:pt idx="44">
                  <c:v>-1000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E-BB97-464D-8DDE-ADA2F8B535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1167600"/>
        <c:axId val="281211184"/>
      </c:line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At val="0"/>
        <c:auto val="1"/>
        <c:lblAlgn val="ctr"/>
        <c:lblOffset val="20"/>
        <c:noMultiLvlLbl val="0"/>
      </c:catAx>
      <c:valAx>
        <c:axId val="281211184"/>
        <c:scaling>
          <c:orientation val="minMax"/>
          <c:max val="5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low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At val="1"/>
        <c:crossBetween val="between"/>
        <c:majorUnit val="5"/>
      </c:val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ayout>
        <c:manualLayout>
          <c:xMode val="edge"/>
          <c:yMode val="edge"/>
          <c:x val="6.6901857519716695E-2"/>
          <c:y val="0.943488043909256"/>
          <c:w val="0.91704130681062912"/>
          <c:h val="4.8912025086236918E-2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743444426532574E-2"/>
          <c:y val="2.0864272307841863E-2"/>
          <c:w val="0.91710321639202175"/>
          <c:h val="0.666027392262759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'GRAF-3'!$C$2</c:f>
              <c:strCache>
                <c:ptCount val="1"/>
                <c:pt idx="0">
                  <c:v>Zákonodárci a řídící pracovníci (třída 1)</c:v>
                </c:pt>
              </c:strCache>
            </c:strRef>
          </c:tx>
          <c:spPr>
            <a:solidFill>
              <a:srgbClr val="BCA6E8"/>
            </a:solidFill>
            <a:ln>
              <a:noFill/>
            </a:ln>
            <a:effectLst/>
          </c:spPr>
          <c:invertIfNegative val="0"/>
          <c:cat>
            <c:multiLvlStrRef>
              <c:f>'GRAF-3'!$A$3:$B$14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Muži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'GRAF-3'!$C$3:$C$14</c:f>
              <c:numCache>
                <c:formatCode>0.0</c:formatCode>
                <c:ptCount val="12"/>
                <c:pt idx="0">
                  <c:v>5.8946748255367725</c:v>
                </c:pt>
                <c:pt idx="1">
                  <c:v>4.4992397798355626</c:v>
                </c:pt>
                <c:pt idx="2">
                  <c:v>2.1756552338790964</c:v>
                </c:pt>
                <c:pt idx="3">
                  <c:v>4.4663332360003629</c:v>
                </c:pt>
                <c:pt idx="4">
                  <c:v>6.5911933824519693</c:v>
                </c:pt>
                <c:pt idx="5">
                  <c:v>4.7760190643314768</c:v>
                </c:pt>
                <c:pt idx="6">
                  <c:v>2.7068849658239351</c:v>
                </c:pt>
                <c:pt idx="7">
                  <c:v>2.0639269142143117</c:v>
                </c:pt>
                <c:pt idx="8">
                  <c:v>0</c:v>
                </c:pt>
                <c:pt idx="9">
                  <c:v>2.167723490278251</c:v>
                </c:pt>
                <c:pt idx="10">
                  <c:v>0.41760659558168584</c:v>
                </c:pt>
                <c:pt idx="11">
                  <c:v>0.6011797759329931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A1-4370-9F45-D7493B0814B9}"/>
            </c:ext>
          </c:extLst>
        </c:ser>
        <c:ser>
          <c:idx val="1"/>
          <c:order val="1"/>
          <c:tx>
            <c:strRef>
              <c:f>'GRAF-3'!$D$2</c:f>
              <c:strCache>
                <c:ptCount val="1"/>
                <c:pt idx="0">
                  <c:v>Specialisté (2)</c:v>
                </c:pt>
              </c:strCache>
            </c:strRef>
          </c:tx>
          <c:spPr>
            <a:solidFill>
              <a:srgbClr val="0071BC"/>
            </a:solidFill>
            <a:ln>
              <a:noFill/>
            </a:ln>
            <a:effectLst/>
          </c:spPr>
          <c:invertIfNegative val="0"/>
          <c:cat>
            <c:multiLvlStrRef>
              <c:f>'GRAF-3'!$A$3:$B$14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Muži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'GRAF-3'!$D$3:$D$14</c:f>
              <c:numCache>
                <c:formatCode>0.0</c:formatCode>
                <c:ptCount val="12"/>
                <c:pt idx="0">
                  <c:v>13.761824876133854</c:v>
                </c:pt>
                <c:pt idx="1">
                  <c:v>6.6364053555727889</c:v>
                </c:pt>
                <c:pt idx="2">
                  <c:v>3.4266684489327695</c:v>
                </c:pt>
                <c:pt idx="3">
                  <c:v>6.6493580964693253</c:v>
                </c:pt>
                <c:pt idx="4">
                  <c:v>13.197385181478138</c:v>
                </c:pt>
                <c:pt idx="5">
                  <c:v>2.7616737451299831</c:v>
                </c:pt>
                <c:pt idx="6">
                  <c:v>19.071116056695303</c:v>
                </c:pt>
                <c:pt idx="7">
                  <c:v>5.2487991404835181</c:v>
                </c:pt>
                <c:pt idx="8">
                  <c:v>2.8844704330423014</c:v>
                </c:pt>
                <c:pt idx="9">
                  <c:v>4.7194478583423374</c:v>
                </c:pt>
                <c:pt idx="10">
                  <c:v>15.677367325502392</c:v>
                </c:pt>
                <c:pt idx="11">
                  <c:v>13.932218666572826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A1-4370-9F45-D7493B0814B9}"/>
            </c:ext>
          </c:extLst>
        </c:ser>
        <c:ser>
          <c:idx val="2"/>
          <c:order val="2"/>
          <c:tx>
            <c:strRef>
              <c:f>'GRAF-3'!$E$2</c:f>
              <c:strCache>
                <c:ptCount val="1"/>
                <c:pt idx="0">
                  <c:v>Techničtí a odborní pracovníci (3)</c:v>
                </c:pt>
              </c:strCache>
            </c:strRef>
          </c:tx>
          <c:spPr>
            <a:solidFill>
              <a:srgbClr val="48AEE7"/>
            </a:solidFill>
            <a:ln>
              <a:noFill/>
            </a:ln>
            <a:effectLst/>
          </c:spPr>
          <c:invertIfNegative val="0"/>
          <c:cat>
            <c:multiLvlStrRef>
              <c:f>'GRAF-3'!$A$3:$B$14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Muži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'GRAF-3'!$E$3:$E$14</c:f>
              <c:numCache>
                <c:formatCode>0.0</c:formatCode>
                <c:ptCount val="12"/>
                <c:pt idx="0">
                  <c:v>17.564810731516918</c:v>
                </c:pt>
                <c:pt idx="1">
                  <c:v>18.31255702895054</c:v>
                </c:pt>
                <c:pt idx="2">
                  <c:v>10.079948130716277</c:v>
                </c:pt>
                <c:pt idx="3">
                  <c:v>17.846993998435838</c:v>
                </c:pt>
                <c:pt idx="4">
                  <c:v>38.604303413961119</c:v>
                </c:pt>
                <c:pt idx="5">
                  <c:v>15.872771033598143</c:v>
                </c:pt>
                <c:pt idx="6">
                  <c:v>16.610336495185258</c:v>
                </c:pt>
                <c:pt idx="7">
                  <c:v>13.045099886597345</c:v>
                </c:pt>
                <c:pt idx="8">
                  <c:v>20.153236049520153</c:v>
                </c:pt>
                <c:pt idx="9">
                  <c:v>12.147639524805594</c:v>
                </c:pt>
                <c:pt idx="10">
                  <c:v>24.972389783330645</c:v>
                </c:pt>
                <c:pt idx="11">
                  <c:v>29.591178800173129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A1-4370-9F45-D7493B0814B9}"/>
            </c:ext>
          </c:extLst>
        </c:ser>
        <c:ser>
          <c:idx val="3"/>
          <c:order val="3"/>
          <c:tx>
            <c:strRef>
              <c:f>'GRAF-3'!$F$2</c:f>
              <c:strCache>
                <c:ptCount val="1"/>
                <c:pt idx="0">
                  <c:v>Úředníci (4)</c:v>
                </c:pt>
              </c:strCache>
            </c:strRef>
          </c:tx>
          <c:spPr>
            <a:solidFill>
              <a:srgbClr val="BFE3F7"/>
            </a:solidFill>
            <a:ln>
              <a:noFill/>
            </a:ln>
            <a:effectLst/>
          </c:spPr>
          <c:invertIfNegative val="0"/>
          <c:cat>
            <c:multiLvlStrRef>
              <c:f>'GRAF-3'!$A$3:$B$14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Muži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'GRAF-3'!$F$3:$F$14</c:f>
              <c:numCache>
                <c:formatCode>0.0</c:formatCode>
                <c:ptCount val="12"/>
                <c:pt idx="0">
                  <c:v>3.5659713291932036</c:v>
                </c:pt>
                <c:pt idx="1">
                  <c:v>2.5011984476647897</c:v>
                </c:pt>
                <c:pt idx="2">
                  <c:v>0.75692410111707797</c:v>
                </c:pt>
                <c:pt idx="3">
                  <c:v>2.4172679185443706</c:v>
                </c:pt>
                <c:pt idx="4">
                  <c:v>3.5824821330734462</c:v>
                </c:pt>
                <c:pt idx="5">
                  <c:v>4.345646588977802</c:v>
                </c:pt>
                <c:pt idx="6">
                  <c:v>16.828063653814567</c:v>
                </c:pt>
                <c:pt idx="7">
                  <c:v>15.749780416385677</c:v>
                </c:pt>
                <c:pt idx="8">
                  <c:v>33.230966362135092</c:v>
                </c:pt>
                <c:pt idx="9">
                  <c:v>14.55934004509454</c:v>
                </c:pt>
                <c:pt idx="10">
                  <c:v>39.964007823867917</c:v>
                </c:pt>
                <c:pt idx="11">
                  <c:v>29.977718008050267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0A1-4370-9F45-D7493B0814B9}"/>
            </c:ext>
          </c:extLst>
        </c:ser>
        <c:ser>
          <c:idx val="4"/>
          <c:order val="4"/>
          <c:tx>
            <c:strRef>
              <c:f>'GRAF-3'!$G$2</c:f>
              <c:strCache>
                <c:ptCount val="1"/>
                <c:pt idx="0">
                  <c:v>Pracovníci ve službách a prodeji (5)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'GRAF-3'!$A$3:$B$14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Muži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'GRAF-3'!$G$3:$G$14</c:f>
              <c:numCache>
                <c:formatCode>0.0</c:formatCode>
                <c:ptCount val="12"/>
                <c:pt idx="0">
                  <c:v>9.4195778051708992</c:v>
                </c:pt>
                <c:pt idx="1">
                  <c:v>1.3087482296080748</c:v>
                </c:pt>
                <c:pt idx="2">
                  <c:v>1.5138482022341559</c:v>
                </c:pt>
                <c:pt idx="3">
                  <c:v>1.2266408744274271</c:v>
                </c:pt>
                <c:pt idx="4">
                  <c:v>1.9762698306781208</c:v>
                </c:pt>
                <c:pt idx="5">
                  <c:v>2.3453104701532421</c:v>
                </c:pt>
                <c:pt idx="6">
                  <c:v>22.889360795702288</c:v>
                </c:pt>
                <c:pt idx="7">
                  <c:v>2.27554718611285</c:v>
                </c:pt>
                <c:pt idx="8">
                  <c:v>9.230305385735365</c:v>
                </c:pt>
                <c:pt idx="9">
                  <c:v>2.0545356586409889</c:v>
                </c:pt>
                <c:pt idx="10">
                  <c:v>4.176065955816858</c:v>
                </c:pt>
                <c:pt idx="11">
                  <c:v>6.0117977593299319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0A1-4370-9F45-D7493B0814B9}"/>
            </c:ext>
          </c:extLst>
        </c:ser>
        <c:ser>
          <c:idx val="5"/>
          <c:order val="5"/>
          <c:tx>
            <c:strRef>
              <c:f>'GRAF-3'!$H$2</c:f>
              <c:strCache>
                <c:ptCount val="1"/>
                <c:pt idx="0">
                  <c:v>Kvalifik. prac. v zeměděl., lesn., rybářství (6)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multiLvlStrRef>
              <c:f>'GRAF-3'!$A$3:$B$14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Muži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'GRAF-3'!$H$3:$H$14</c:f>
              <c:numCache>
                <c:formatCode>0.0</c:formatCode>
                <c:ptCount val="12"/>
                <c:pt idx="0">
                  <c:v>1.4449835548226404</c:v>
                </c:pt>
                <c:pt idx="1">
                  <c:v>8.3860988757531882E-2</c:v>
                </c:pt>
                <c:pt idx="2">
                  <c:v>0.37846205055853899</c:v>
                </c:pt>
                <c:pt idx="3">
                  <c:v>3.1180468012670895E-2</c:v>
                </c:pt>
                <c:pt idx="4">
                  <c:v>0</c:v>
                </c:pt>
                <c:pt idx="5">
                  <c:v>1.080344124044879</c:v>
                </c:pt>
                <c:pt idx="6">
                  <c:v>1.0060146123794209</c:v>
                </c:pt>
                <c:pt idx="7">
                  <c:v>7.6143096232240498E-2</c:v>
                </c:pt>
                <c:pt idx="8">
                  <c:v>0</c:v>
                </c:pt>
                <c:pt idx="9">
                  <c:v>6.0820728362062787E-2</c:v>
                </c:pt>
                <c:pt idx="10">
                  <c:v>0</c:v>
                </c:pt>
                <c:pt idx="11">
                  <c:v>0.6011797759329931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0A1-4370-9F45-D7493B0814B9}"/>
            </c:ext>
          </c:extLst>
        </c:ser>
        <c:ser>
          <c:idx val="6"/>
          <c:order val="6"/>
          <c:tx>
            <c:strRef>
              <c:f>'GRAF-3'!$I$2</c:f>
              <c:strCache>
                <c:ptCount val="1"/>
                <c:pt idx="0">
                  <c:v>Řemeslníci a opraváři (7)</c:v>
                </c:pt>
              </c:strCache>
            </c:strRef>
          </c:tx>
          <c:spPr>
            <a:solidFill>
              <a:srgbClr val="FDDEB3"/>
            </a:solidFill>
            <a:ln>
              <a:noFill/>
            </a:ln>
            <a:effectLst/>
          </c:spPr>
          <c:invertIfNegative val="0"/>
          <c:cat>
            <c:multiLvlStrRef>
              <c:f>'GRAF-3'!$A$3:$B$14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Muži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'GRAF-3'!$I$3:$I$14</c:f>
              <c:numCache>
                <c:formatCode>0.0</c:formatCode>
                <c:ptCount val="12"/>
                <c:pt idx="0">
                  <c:v>25.371501371183157</c:v>
                </c:pt>
                <c:pt idx="1">
                  <c:v>36.861667150278315</c:v>
                </c:pt>
                <c:pt idx="2">
                  <c:v>35.565519601396886</c:v>
                </c:pt>
                <c:pt idx="3">
                  <c:v>38.413513559772028</c:v>
                </c:pt>
                <c:pt idx="4">
                  <c:v>26.288318968857123</c:v>
                </c:pt>
                <c:pt idx="5">
                  <c:v>14.104043193393991</c:v>
                </c:pt>
                <c:pt idx="6">
                  <c:v>4.2823880929779765</c:v>
                </c:pt>
                <c:pt idx="7">
                  <c:v>16.788824762655381</c:v>
                </c:pt>
                <c:pt idx="8">
                  <c:v>2.8844704330423014</c:v>
                </c:pt>
                <c:pt idx="9">
                  <c:v>17.789287753942141</c:v>
                </c:pt>
                <c:pt idx="10">
                  <c:v>0.41760659558168584</c:v>
                </c:pt>
                <c:pt idx="11">
                  <c:v>1.8035393277989795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0A1-4370-9F45-D7493B0814B9}"/>
            </c:ext>
          </c:extLst>
        </c:ser>
        <c:ser>
          <c:idx val="7"/>
          <c:order val="7"/>
          <c:tx>
            <c:strRef>
              <c:f>'GRAF-3'!$J$2</c:f>
              <c:strCache>
                <c:ptCount val="1"/>
                <c:pt idx="0">
                  <c:v>Obsluha strojů a zařízení, montéři (8)</c:v>
                </c:pt>
              </c:strCache>
            </c:strRef>
          </c:tx>
          <c:spPr>
            <a:solidFill>
              <a:srgbClr val="F7C39F"/>
            </a:solidFill>
            <a:ln>
              <a:noFill/>
            </a:ln>
            <a:effectLst/>
          </c:spPr>
          <c:invertIfNegative val="0"/>
          <c:cat>
            <c:multiLvlStrRef>
              <c:f>'GRAF-3'!$A$3:$B$14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Muži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'GRAF-3'!$J$3:$J$14</c:f>
              <c:numCache>
                <c:formatCode>0.0</c:formatCode>
                <c:ptCount val="12"/>
                <c:pt idx="0">
                  <c:v>18.265666758994019</c:v>
                </c:pt>
                <c:pt idx="1">
                  <c:v>23.97752138697145</c:v>
                </c:pt>
                <c:pt idx="2">
                  <c:v>42.70658407089428</c:v>
                </c:pt>
                <c:pt idx="3">
                  <c:v>23.500728898187482</c:v>
                </c:pt>
                <c:pt idx="4">
                  <c:v>9.6085011223007299</c:v>
                </c:pt>
                <c:pt idx="5">
                  <c:v>35.106312651768846</c:v>
                </c:pt>
                <c:pt idx="6">
                  <c:v>8.0527534281120694</c:v>
                </c:pt>
                <c:pt idx="7">
                  <c:v>30.941662198870933</c:v>
                </c:pt>
                <c:pt idx="8">
                  <c:v>15.214045553792543</c:v>
                </c:pt>
                <c:pt idx="9">
                  <c:v>32.48440014105266</c:v>
                </c:pt>
                <c:pt idx="10">
                  <c:v>6.5245234180091742</c:v>
                </c:pt>
                <c:pt idx="11">
                  <c:v>6.0474917564613442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0A1-4370-9F45-D7493B0814B9}"/>
            </c:ext>
          </c:extLst>
        </c:ser>
        <c:ser>
          <c:idx val="8"/>
          <c:order val="8"/>
          <c:tx>
            <c:strRef>
              <c:f>'GRAF-3'!$K$2</c:f>
              <c:strCache>
                <c:ptCount val="1"/>
                <c:pt idx="0">
                  <c:v>Pomocní a nekvalifikovaní pracovníci (9)</c:v>
                </c:pt>
              </c:strCache>
            </c:strRef>
          </c:tx>
          <c:spPr>
            <a:solidFill>
              <a:srgbClr val="F1995D"/>
            </a:solidFill>
            <a:ln>
              <a:noFill/>
            </a:ln>
            <a:effectLst/>
          </c:spPr>
          <c:invertIfNegative val="0"/>
          <c:cat>
            <c:multiLvlStrRef>
              <c:f>'GRAF-3'!$A$3:$B$14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Muži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'GRAF-3'!$K$3:$K$14</c:f>
              <c:numCache>
                <c:formatCode>0.0</c:formatCode>
                <c:ptCount val="12"/>
                <c:pt idx="0">
                  <c:v>4.1826372728625429</c:v>
                </c:pt>
                <c:pt idx="1">
                  <c:v>5.8247933369446461</c:v>
                </c:pt>
                <c:pt idx="2">
                  <c:v>3.4759122278722194</c:v>
                </c:pt>
                <c:pt idx="3">
                  <c:v>5.4446245097359665</c:v>
                </c:pt>
                <c:pt idx="4">
                  <c:v>0.26069127981125689</c:v>
                </c:pt>
                <c:pt idx="5">
                  <c:v>19.680773457769359</c:v>
                </c:pt>
                <c:pt idx="6">
                  <c:v>8.499917273144165</c:v>
                </c:pt>
                <c:pt idx="7">
                  <c:v>13.814155223708505</c:v>
                </c:pt>
                <c:pt idx="8">
                  <c:v>16.591022511236545</c:v>
                </c:pt>
                <c:pt idx="9">
                  <c:v>14.021580144037168</c:v>
                </c:pt>
                <c:pt idx="10">
                  <c:v>7.7789480669010507</c:v>
                </c:pt>
                <c:pt idx="11">
                  <c:v>11.428648774643742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0A1-4370-9F45-D7493B0814B9}"/>
            </c:ext>
          </c:extLst>
        </c:ser>
        <c:ser>
          <c:idx val="9"/>
          <c:order val="9"/>
          <c:tx>
            <c:strRef>
              <c:f>'GRAF-3'!$L$2</c:f>
              <c:strCache>
                <c:ptCount val="1"/>
                <c:pt idx="0">
                  <c:v>Ostatní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'GRAF-3'!$A$3:$B$14</c:f>
              <c:multiLvlStrCache>
                <c:ptCount val="12"/>
                <c:lvl>
                  <c:pt idx="0">
                    <c:v>NH 
celkem</c:v>
                  </c:pt>
                  <c:pt idx="1">
                    <c:v>Průmysl 
celkem</c:v>
                  </c:pt>
                  <c:pt idx="2">
                    <c:v>Těžba a 
dobývání</c:v>
                  </c:pt>
                  <c:pt idx="3">
                    <c:v>Zpraco-
vatel.
prům.</c:v>
                  </c:pt>
                  <c:pt idx="4">
                    <c:v>Energe-
tika</c:v>
                  </c:pt>
                  <c:pt idx="5">
                    <c:v>Vodní 
a odpad.
hospo-
dářství</c:v>
                  </c:pt>
                  <c:pt idx="6">
                    <c:v>NH 
celkem</c:v>
                  </c:pt>
                  <c:pt idx="7">
                    <c:v>Průmysl 
celkem</c:v>
                  </c:pt>
                  <c:pt idx="8">
                    <c:v>Těžba a 
dobývání</c:v>
                  </c:pt>
                  <c:pt idx="9">
                    <c:v>Zpraco-
vatel.
prům.</c:v>
                  </c:pt>
                  <c:pt idx="10">
                    <c:v>Energe-
tika</c:v>
                  </c:pt>
                  <c:pt idx="11">
                    <c:v>Vodní 
a odpad.
hospo-
dářství</c:v>
                  </c:pt>
                </c:lvl>
                <c:lvl>
                  <c:pt idx="0">
                    <c:v>Muži</c:v>
                  </c:pt>
                  <c:pt idx="6">
                    <c:v>Ženy</c:v>
                  </c:pt>
                </c:lvl>
              </c:multiLvlStrCache>
            </c:multiLvlStrRef>
          </c:cat>
          <c:val>
            <c:numRef>
              <c:f>'GRAF-3'!$L$3:$L$14</c:f>
              <c:numCache>
                <c:formatCode>0.0</c:formatCode>
                <c:ptCount val="12"/>
                <c:pt idx="0">
                  <c:v>0.52666454324150569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5.3164626165013211E-2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10A1-4370-9F45-D7493B0814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5"/>
        <c:overlap val="100"/>
        <c:axId val="211167600"/>
        <c:axId val="281211184"/>
      </c:barChart>
      <c:catAx>
        <c:axId val="21116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81211184"/>
        <c:crosses val="autoZero"/>
        <c:auto val="1"/>
        <c:lblAlgn val="ctr"/>
        <c:lblOffset val="0"/>
        <c:noMultiLvlLbl val="0"/>
      </c:catAx>
      <c:valAx>
        <c:axId val="281211184"/>
        <c:scaling>
          <c:orientation val="minMax"/>
          <c:max val="100"/>
          <c:min val="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1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 i="1">
                    <a:latin typeface="Arial" panose="020B0604020202020204" pitchFamily="34" charset="0"/>
                    <a:cs typeface="Arial" panose="020B0604020202020204" pitchFamily="34" charset="0"/>
                  </a:rPr>
                  <a:t>Podíl</a:t>
                </a:r>
                <a:r>
                  <a:rPr lang="cs-CZ" sz="800" i="1" baseline="0">
                    <a:latin typeface="Arial" panose="020B0604020202020204" pitchFamily="34" charset="0"/>
                    <a:cs typeface="Arial" panose="020B0604020202020204" pitchFamily="34" charset="0"/>
                  </a:rPr>
                  <a:t> v %</a:t>
                </a:r>
                <a:endParaRPr lang="cs-CZ" sz="800" i="1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"/>
              <c:y val="0.2818024965278471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1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11167600"/>
        <c:crosses val="autoZero"/>
        <c:crossBetween val="between"/>
        <c:majorUnit val="10"/>
      </c:valAx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</c:plotArea>
    <c:legend>
      <c:legendPos val="b"/>
      <c:legendEntry>
        <c:idx val="5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</c:legendEntry>
      <c:layout>
        <c:manualLayout>
          <c:xMode val="edge"/>
          <c:yMode val="edge"/>
          <c:x val="6.701922508882531E-2"/>
          <c:y val="0.8523780326082927"/>
          <c:w val="0.92068954604147146"/>
          <c:h val="0.14107378645760549"/>
        </c:manualLayout>
      </c:layout>
      <c:overlay val="0"/>
      <c:spPr>
        <a:noFill/>
        <a:ln w="6350">
          <a:solidFill>
            <a:schemeClr val="tx1">
              <a:lumMod val="95000"/>
              <a:lumOff val="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0.10887</cdr:x>
      <cdr:y>0.40447</cdr:y>
    </cdr:from>
    <cdr:to>
      <cdr:x>0.93283</cdr:x>
      <cdr:y>0.40447</cdr:y>
    </cdr:to>
    <cdr:cxnSp macro="">
      <cdr:nvCxnSpPr>
        <cdr:cNvPr id="3" name="Přímá spojnice 2"/>
        <cdr:cNvCxnSpPr/>
      </cdr:nvCxnSpPr>
      <cdr:spPr>
        <a:xfrm xmlns:a="http://schemas.openxmlformats.org/drawingml/2006/main">
          <a:off x="520222" y="1471415"/>
          <a:ext cx="3937190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>
              <a:lumMod val="95000"/>
              <a:lumOff val="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0.16261</cdr:x>
      <cdr:y>0.95539</cdr:y>
    </cdr:from>
    <cdr:to>
      <cdr:x>0.17691</cdr:x>
      <cdr:y>0.97754</cdr:y>
    </cdr:to>
    <cdr:sp macro="" textlink="">
      <cdr:nvSpPr>
        <cdr:cNvPr id="2" name="Obdélník 1"/>
        <cdr:cNvSpPr/>
      </cdr:nvSpPr>
      <cdr:spPr>
        <a:xfrm xmlns:a="http://schemas.openxmlformats.org/drawingml/2006/main">
          <a:off x="783434" y="3208060"/>
          <a:ext cx="68914" cy="7437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3175">
          <a:solidFill>
            <a:schemeClr val="tx1">
              <a:lumMod val="65000"/>
              <a:lumOff val="35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0.07311</cdr:x>
      <cdr:y>0.56432</cdr:y>
    </cdr:from>
    <cdr:to>
      <cdr:x>0.91519</cdr:x>
      <cdr:y>0.56692</cdr:y>
    </cdr:to>
    <cdr:cxnSp macro="">
      <cdr:nvCxnSpPr>
        <cdr:cNvPr id="3" name="Přímá spojnice 2"/>
        <cdr:cNvCxnSpPr/>
      </cdr:nvCxnSpPr>
      <cdr:spPr>
        <a:xfrm xmlns:a="http://schemas.openxmlformats.org/drawingml/2006/main" flipH="1" flipV="1">
          <a:off x="350322" y="1959429"/>
          <a:ext cx="4035003" cy="9020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>
              <a:lumMod val="95000"/>
              <a:lumOff val="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0.47053</cdr:x>
      <cdr:y>0.01621</cdr:y>
    </cdr:from>
    <cdr:to>
      <cdr:x>0.4735</cdr:x>
      <cdr:y>0.64591</cdr:y>
    </cdr:to>
    <cdr:cxnSp macro="">
      <cdr:nvCxnSpPr>
        <cdr:cNvPr id="3" name="Přímá spojnice 2"/>
        <cdr:cNvCxnSpPr/>
      </cdr:nvCxnSpPr>
      <cdr:spPr>
        <a:xfrm xmlns:a="http://schemas.openxmlformats.org/drawingml/2006/main" flipV="1">
          <a:off x="2261259" y="54441"/>
          <a:ext cx="14285" cy="211478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>
              <a:lumMod val="95000"/>
              <a:lumOff val="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0.48224</cdr:x>
      <cdr:y>0.01675</cdr:y>
    </cdr:from>
    <cdr:to>
      <cdr:x>0.48521</cdr:x>
      <cdr:y>0.64204</cdr:y>
    </cdr:to>
    <cdr:cxnSp macro="">
      <cdr:nvCxnSpPr>
        <cdr:cNvPr id="5" name="Přímá spojnice 4"/>
        <cdr:cNvCxnSpPr/>
      </cdr:nvCxnSpPr>
      <cdr:spPr>
        <a:xfrm xmlns:a="http://schemas.openxmlformats.org/drawingml/2006/main" flipV="1">
          <a:off x="2317543" y="56254"/>
          <a:ext cx="14277" cy="2099983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70C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0.67829</cdr:x>
      <cdr:y>0.01701</cdr:y>
    </cdr:from>
    <cdr:to>
      <cdr:x>0.68044</cdr:x>
      <cdr:y>0.36487</cdr:y>
    </cdr:to>
    <cdr:cxnSp macro="">
      <cdr:nvCxnSpPr>
        <cdr:cNvPr id="4" name="Přímá spojnice 3"/>
        <cdr:cNvCxnSpPr/>
      </cdr:nvCxnSpPr>
      <cdr:spPr>
        <a:xfrm xmlns:a="http://schemas.openxmlformats.org/drawingml/2006/main" flipH="1" flipV="1">
          <a:off x="3259723" y="57128"/>
          <a:ext cx="10320" cy="1168257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>
              <a:lumMod val="95000"/>
              <a:lumOff val="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0.69199</cdr:x>
      <cdr:y>0.01675</cdr:y>
    </cdr:from>
    <cdr:to>
      <cdr:x>0.69215</cdr:x>
      <cdr:y>0.43706</cdr:y>
    </cdr:to>
    <cdr:cxnSp macro="">
      <cdr:nvCxnSpPr>
        <cdr:cNvPr id="8" name="Přímá spojnice 7"/>
        <cdr:cNvCxnSpPr/>
      </cdr:nvCxnSpPr>
      <cdr:spPr>
        <a:xfrm xmlns:a="http://schemas.openxmlformats.org/drawingml/2006/main" flipH="1" flipV="1">
          <a:off x="3325563" y="56253"/>
          <a:ext cx="765" cy="1411587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70C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0.16963</cdr:x>
      <cdr:y>0.01937</cdr:y>
    </cdr:from>
    <cdr:to>
      <cdr:x>0.46602</cdr:x>
      <cdr:y>0.1362</cdr:y>
    </cdr:to>
    <cdr:sp macro="" textlink="">
      <cdr:nvSpPr>
        <cdr:cNvPr id="12" name="TextovéPole 11"/>
        <cdr:cNvSpPr txBox="1"/>
      </cdr:nvSpPr>
      <cdr:spPr>
        <a:xfrm xmlns:a="http://schemas.openxmlformats.org/drawingml/2006/main">
          <a:off x="811902" y="65052"/>
          <a:ext cx="1418616" cy="3923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700">
              <a:latin typeface="Arial" panose="020B0604020202020204" pitchFamily="34" charset="0"/>
              <a:cs typeface="Arial" panose="020B0604020202020204" pitchFamily="34" charset="0"/>
            </a:rPr>
            <a:t>mzdový medián (rok 2012):</a:t>
          </a:r>
        </a:p>
        <a:p xmlns:a="http://schemas.openxmlformats.org/drawingml/2006/main">
          <a:r>
            <a:rPr lang="cs-CZ" sz="700">
              <a:latin typeface="Arial" panose="020B0604020202020204" pitchFamily="34" charset="0"/>
              <a:cs typeface="Arial" panose="020B0604020202020204" pitchFamily="34" charset="0"/>
            </a:rPr>
            <a:t>všechna odvětví: 22,0 tis.</a:t>
          </a:r>
          <a:r>
            <a:rPr lang="cs-CZ" sz="700" baseline="0">
              <a:latin typeface="Arial" panose="020B0604020202020204" pitchFamily="34" charset="0"/>
              <a:cs typeface="Arial" panose="020B0604020202020204" pitchFamily="34" charset="0"/>
            </a:rPr>
            <a:t> korun</a:t>
          </a:r>
          <a:r>
            <a:rPr lang="cs-CZ" sz="7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7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z</a:t>
          </a:r>
          <a:r>
            <a:rPr lang="cs-CZ" sz="7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toho průmysl</a:t>
          </a:r>
          <a:r>
            <a:rPr lang="cs-CZ" sz="7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: 22,5 tis.</a:t>
          </a:r>
          <a:r>
            <a:rPr lang="cs-CZ" sz="7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korun</a:t>
          </a:r>
          <a:r>
            <a:rPr lang="cs-CZ" sz="7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endParaRPr lang="cs-CZ" sz="7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cs-CZ" sz="7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0.43539</cdr:x>
      <cdr:y>0.04387</cdr:y>
    </cdr:from>
    <cdr:to>
      <cdr:x>0.47323</cdr:x>
      <cdr:y>0.06321</cdr:y>
    </cdr:to>
    <cdr:cxnSp macro="">
      <cdr:nvCxnSpPr>
        <cdr:cNvPr id="14" name="Přímá spojnice se šipkou 13"/>
        <cdr:cNvCxnSpPr/>
      </cdr:nvCxnSpPr>
      <cdr:spPr>
        <a:xfrm xmlns:a="http://schemas.openxmlformats.org/drawingml/2006/main" flipV="1">
          <a:off x="2092407" y="147328"/>
          <a:ext cx="181841" cy="64943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>
              <a:lumMod val="95000"/>
              <a:lumOff val="5000"/>
            </a:schemeClr>
          </a:solidFill>
          <a:tailEnd type="triangle" w="sm" len="sm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0.42548</cdr:x>
      <cdr:y>0.08899</cdr:y>
    </cdr:from>
    <cdr:to>
      <cdr:x>0.48855</cdr:x>
      <cdr:y>0.09415</cdr:y>
    </cdr:to>
    <cdr:cxnSp macro="">
      <cdr:nvCxnSpPr>
        <cdr:cNvPr id="18" name="Přímá spojnice se šipkou 17"/>
        <cdr:cNvCxnSpPr/>
      </cdr:nvCxnSpPr>
      <cdr:spPr>
        <a:xfrm xmlns:a="http://schemas.openxmlformats.org/drawingml/2006/main" flipV="1">
          <a:off x="2044770" y="298862"/>
          <a:ext cx="303080" cy="17334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0070C0"/>
          </a:solidFill>
          <a:tailEnd type="triangle" w="sm" len="sm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0.50066</cdr:x>
      <cdr:y>0.01899</cdr:y>
    </cdr:from>
    <cdr:to>
      <cdr:x>0.69846</cdr:x>
      <cdr:y>0.11568</cdr:y>
    </cdr:to>
    <cdr:sp macro="" textlink="">
      <cdr:nvSpPr>
        <cdr:cNvPr id="20" name="TextovéPole 1"/>
        <cdr:cNvSpPr txBox="1"/>
      </cdr:nvSpPr>
      <cdr:spPr>
        <a:xfrm xmlns:a="http://schemas.openxmlformats.org/drawingml/2006/main">
          <a:off x="2406074" y="63789"/>
          <a:ext cx="950562" cy="3247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lIns="0" tIns="0" rIns="0" bIns="0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cs-CZ" sz="700">
              <a:latin typeface="Arial" panose="020B0604020202020204" pitchFamily="34" charset="0"/>
              <a:cs typeface="Arial" panose="020B0604020202020204" pitchFamily="34" charset="0"/>
            </a:rPr>
            <a:t>medián (rok 2019):</a:t>
          </a:r>
        </a:p>
        <a:p xmlns:a="http://schemas.openxmlformats.org/drawingml/2006/main">
          <a:r>
            <a:rPr lang="cs-CZ" sz="700">
              <a:latin typeface="Arial" panose="020B0604020202020204" pitchFamily="34" charset="0"/>
              <a:cs typeface="Arial" panose="020B0604020202020204" pitchFamily="34" charset="0"/>
            </a:rPr>
            <a:t>31,4 tis.</a:t>
          </a:r>
          <a:r>
            <a:rPr lang="cs-CZ" sz="700" baseline="0">
              <a:latin typeface="Arial" panose="020B0604020202020204" pitchFamily="34" charset="0"/>
              <a:cs typeface="Arial" panose="020B0604020202020204" pitchFamily="34" charset="0"/>
            </a:rPr>
            <a:t> korun</a:t>
          </a:r>
          <a:r>
            <a:rPr lang="cs-CZ" sz="70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cs-CZ" sz="7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32,0 tis.</a:t>
          </a:r>
          <a:r>
            <a:rPr lang="cs-CZ" sz="700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korun</a:t>
          </a:r>
          <a:r>
            <a:rPr lang="cs-CZ" sz="70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endParaRPr lang="cs-CZ" sz="700">
            <a:effectLst/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cs-CZ" sz="70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0.62228</cdr:x>
      <cdr:y>0.09634</cdr:y>
    </cdr:from>
    <cdr:to>
      <cdr:x>0.69485</cdr:x>
      <cdr:y>0.09672</cdr:y>
    </cdr:to>
    <cdr:cxnSp macro="">
      <cdr:nvCxnSpPr>
        <cdr:cNvPr id="21" name="Přímá spojnice se šipkou 20"/>
        <cdr:cNvCxnSpPr/>
      </cdr:nvCxnSpPr>
      <cdr:spPr>
        <a:xfrm xmlns:a="http://schemas.openxmlformats.org/drawingml/2006/main">
          <a:off x="2990561" y="323564"/>
          <a:ext cx="348755" cy="1276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0070C0"/>
          </a:solidFill>
          <a:tailEnd type="triangle" w="sm" len="sm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0.62859</cdr:x>
      <cdr:y>0.04645</cdr:y>
    </cdr:from>
    <cdr:to>
      <cdr:x>0.67593</cdr:x>
      <cdr:y>0.06927</cdr:y>
    </cdr:to>
    <cdr:cxnSp macro="">
      <cdr:nvCxnSpPr>
        <cdr:cNvPr id="22" name="Přímá spojnice se šipkou 21"/>
        <cdr:cNvCxnSpPr/>
      </cdr:nvCxnSpPr>
      <cdr:spPr>
        <a:xfrm xmlns:a="http://schemas.openxmlformats.org/drawingml/2006/main" flipV="1">
          <a:off x="3020868" y="155987"/>
          <a:ext cx="227528" cy="76656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chemeClr val="tx1">
              <a:lumMod val="95000"/>
              <a:lumOff val="5000"/>
            </a:schemeClr>
          </a:solidFill>
          <a:tailEnd type="triangle" w="sm" len="sm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0.12779</cdr:x>
      <cdr:y>0.41737</cdr:y>
    </cdr:from>
    <cdr:to>
      <cdr:x>0.92817</cdr:x>
      <cdr:y>0.41748</cdr:y>
    </cdr:to>
    <cdr:cxnSp macro="">
      <cdr:nvCxnSpPr>
        <cdr:cNvPr id="3" name="Přímá spojnice 2"/>
        <cdr:cNvCxnSpPr/>
      </cdr:nvCxnSpPr>
      <cdr:spPr>
        <a:xfrm xmlns:a="http://schemas.openxmlformats.org/drawingml/2006/main" flipH="1" flipV="1">
          <a:off x="612032" y="1410510"/>
          <a:ext cx="3833222" cy="379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>
              <a:lumMod val="95000"/>
              <a:lumOff val="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0.09341</cdr:x>
      <cdr:y>0.07103</cdr:y>
    </cdr:from>
    <cdr:to>
      <cdr:x>0.12764</cdr:x>
      <cdr:y>0.11402</cdr:y>
    </cdr:to>
    <cdr:sp macro="" textlink="">
      <cdr:nvSpPr>
        <cdr:cNvPr id="7" name="Obdélník 6"/>
        <cdr:cNvSpPr/>
      </cdr:nvSpPr>
      <cdr:spPr>
        <a:xfrm xmlns:a="http://schemas.openxmlformats.org/drawingml/2006/main">
          <a:off x="448202" y="249606"/>
          <a:ext cx="164238" cy="151071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0.19455</cdr:x>
      <cdr:y>0.02145</cdr:y>
    </cdr:from>
    <cdr:to>
      <cdr:x>0.35199</cdr:x>
      <cdr:y>0.12239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933485" y="75370"/>
          <a:ext cx="755429" cy="3547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750">
              <a:latin typeface="Arial" panose="020B0604020202020204" pitchFamily="34" charset="0"/>
              <a:cs typeface="Arial" panose="020B0604020202020204" pitchFamily="34" charset="0"/>
            </a:rPr>
            <a:t>rok</a:t>
          </a:r>
          <a:r>
            <a:rPr lang="cs-CZ" sz="750" baseline="0">
              <a:latin typeface="Arial" panose="020B0604020202020204" pitchFamily="34" charset="0"/>
              <a:cs typeface="Arial" panose="020B0604020202020204" pitchFamily="34" charset="0"/>
            </a:rPr>
            <a:t> 2005:474%</a:t>
          </a:r>
        </a:p>
        <a:p xmlns:a="http://schemas.openxmlformats.org/drawingml/2006/main">
          <a:r>
            <a:rPr lang="cs-CZ" sz="750" baseline="0">
              <a:latin typeface="Arial" panose="020B0604020202020204" pitchFamily="34" charset="0"/>
              <a:cs typeface="Arial" panose="020B0604020202020204" pitchFamily="34" charset="0"/>
            </a:rPr>
            <a:t>rok 2013: 620 %</a:t>
          </a:r>
        </a:p>
        <a:p xmlns:a="http://schemas.openxmlformats.org/drawingml/2006/main">
          <a:r>
            <a:rPr lang="cs-CZ" sz="750" baseline="0">
              <a:latin typeface="Arial" panose="020B0604020202020204" pitchFamily="34" charset="0"/>
              <a:cs typeface="Arial" panose="020B0604020202020204" pitchFamily="34" charset="0"/>
            </a:rPr>
            <a:t>rok 2019: 382 % </a:t>
          </a:r>
        </a:p>
      </cdr:txBody>
    </cdr:sp>
  </cdr:relSizeAnchor>
  <cdr:relSizeAnchor xmlns:cdr="http://schemas.openxmlformats.org/drawingml/2006/chartDrawing">
    <cdr:from>
      <cdr:x>0.10815</cdr:x>
      <cdr:y>0.0486</cdr:y>
    </cdr:from>
    <cdr:to>
      <cdr:x>0.17661</cdr:x>
      <cdr:y>0.06692</cdr:y>
    </cdr:to>
    <cdr:cxnSp macro="">
      <cdr:nvCxnSpPr>
        <cdr:cNvPr id="10" name="Přímá spojnice se šipkou 9"/>
        <cdr:cNvCxnSpPr/>
      </cdr:nvCxnSpPr>
      <cdr:spPr>
        <a:xfrm xmlns:a="http://schemas.openxmlformats.org/drawingml/2006/main" flipH="1" flipV="1">
          <a:off x="520656" y="170710"/>
          <a:ext cx="329597" cy="6434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 w="sm" len="med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0.08135</cdr:x>
      <cdr:y>0.44035</cdr:y>
    </cdr:from>
    <cdr:to>
      <cdr:x>0.98626</cdr:x>
      <cdr:y>0.44035</cdr:y>
    </cdr:to>
    <cdr:cxnSp macro="">
      <cdr:nvCxnSpPr>
        <cdr:cNvPr id="14" name="Přímá spojnice 13"/>
        <cdr:cNvCxnSpPr/>
      </cdr:nvCxnSpPr>
      <cdr:spPr>
        <a:xfrm xmlns:a="http://schemas.openxmlformats.org/drawingml/2006/main">
          <a:off x="388851" y="1548353"/>
          <a:ext cx="4325744" cy="0"/>
        </a:xfrm>
        <a:prstGeom xmlns:a="http://schemas.openxmlformats.org/drawingml/2006/main" prst="line">
          <a:avLst/>
        </a:prstGeom>
        <a:ln xmlns:a="http://schemas.openxmlformats.org/drawingml/2006/main" w="6350">
          <a:solidFill>
            <a:schemeClr val="tx1">
              <a:lumMod val="95000"/>
              <a:lumOff val="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0.06138</cdr:x>
      <cdr:y>0.0703</cdr:y>
    </cdr:from>
    <cdr:to>
      <cdr:x>0.09561</cdr:x>
      <cdr:y>0.11329</cdr:y>
    </cdr:to>
    <cdr:sp macro="" textlink="">
      <cdr:nvSpPr>
        <cdr:cNvPr id="7" name="Obdélník 6"/>
        <cdr:cNvSpPr/>
      </cdr:nvSpPr>
      <cdr:spPr>
        <a:xfrm xmlns:a="http://schemas.openxmlformats.org/drawingml/2006/main">
          <a:off x="291882" y="242223"/>
          <a:ext cx="162787" cy="1481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cs-CZ"/>
        </a:p>
      </cdr:txBody>
    </cdr:sp>
  </cdr:relSizeAnchor>
  <cdr:relSizeAnchor xmlns:cdr="http://schemas.openxmlformats.org/drawingml/2006/chartDrawing">
    <cdr:from>
      <cdr:x>0.16118</cdr:x>
      <cdr:y>0.02922</cdr:y>
    </cdr:from>
    <cdr:to>
      <cdr:x>0.32093</cdr:x>
      <cdr:y>0.09914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770308" y="100687"/>
          <a:ext cx="763469" cy="2408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750" baseline="0">
              <a:latin typeface="Arial" panose="020B0604020202020204" pitchFamily="34" charset="0"/>
              <a:cs typeface="Arial" panose="020B0604020202020204" pitchFamily="34" charset="0"/>
            </a:rPr>
            <a:t>rok 2013: 257 %</a:t>
          </a:r>
        </a:p>
        <a:p xmlns:a="http://schemas.openxmlformats.org/drawingml/2006/main">
          <a:r>
            <a:rPr lang="cs-CZ" sz="750" baseline="0">
              <a:latin typeface="Arial" panose="020B0604020202020204" pitchFamily="34" charset="0"/>
              <a:cs typeface="Arial" panose="020B0604020202020204" pitchFamily="34" charset="0"/>
            </a:rPr>
            <a:t>rok 2019: 537 % </a:t>
          </a:r>
        </a:p>
      </cdr:txBody>
    </cdr:sp>
  </cdr:relSizeAnchor>
  <cdr:relSizeAnchor xmlns:cdr="http://schemas.openxmlformats.org/drawingml/2006/chartDrawing">
    <cdr:from>
      <cdr:x>0.09792</cdr:x>
      <cdr:y>0.04272</cdr:y>
    </cdr:from>
    <cdr:to>
      <cdr:x>0.15998</cdr:x>
      <cdr:y>0.06235</cdr:y>
    </cdr:to>
    <cdr:cxnSp macro="">
      <cdr:nvCxnSpPr>
        <cdr:cNvPr id="10" name="Přímá spojnice se šipkou 9"/>
        <cdr:cNvCxnSpPr/>
      </cdr:nvCxnSpPr>
      <cdr:spPr>
        <a:xfrm xmlns:a="http://schemas.openxmlformats.org/drawingml/2006/main" flipH="1" flipV="1">
          <a:off x="465687" y="147188"/>
          <a:ext cx="295122" cy="67631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00B050"/>
          </a:solidFill>
          <a:tailEnd type="triangle" w="sm" len="med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42EF3-FBD6-4893-BE43-904B94CA3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Anaýza ekonomického vývoje v roce 2017.dotx</Template>
  <TotalTime>6</TotalTime>
  <Pages>31</Pages>
  <Words>11092</Words>
  <Characters>65445</Characters>
  <Application>Microsoft Office Word</Application>
  <DocSecurity>0</DocSecurity>
  <Lines>545</Lines>
  <Paragraphs>152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76385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kamenicky3604</cp:lastModifiedBy>
  <cp:revision>3</cp:revision>
  <cp:lastPrinted>2019-09-12T09:26:00Z</cp:lastPrinted>
  <dcterms:created xsi:type="dcterms:W3CDTF">2020-12-23T09:41:00Z</dcterms:created>
  <dcterms:modified xsi:type="dcterms:W3CDTF">2020-12-23T09:47:00Z</dcterms:modified>
</cp:coreProperties>
</file>