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30" w:rsidRDefault="00D44F30" w:rsidP="00DA3C17">
      <w:pPr>
        <w:pStyle w:val="Bezmezer"/>
        <w:rPr>
          <w:rFonts w:ascii="Arial" w:hAnsi="Arial" w:cs="Arial"/>
        </w:rPr>
      </w:pPr>
    </w:p>
    <w:p w:rsidR="00F827CE" w:rsidRDefault="00F827CE" w:rsidP="00F827CE">
      <w:pPr>
        <w:pStyle w:val="Nadpis1"/>
        <w:rPr>
          <w:color w:val="00B0F0"/>
          <w:szCs w:val="20"/>
        </w:rPr>
      </w:pPr>
    </w:p>
    <w:p w:rsidR="00F827CE" w:rsidRPr="00870F46" w:rsidRDefault="00F827CE" w:rsidP="00F827CE">
      <w:pPr>
        <w:pStyle w:val="Nadpis1"/>
        <w:rPr>
          <w:color w:val="00B0F0"/>
          <w:szCs w:val="20"/>
        </w:rPr>
      </w:pPr>
      <w:r>
        <w:rPr>
          <w:color w:val="00B0F0"/>
          <w:szCs w:val="20"/>
        </w:rPr>
        <w:t>Zaměstnanci ve zdravotnictví podle pohlaví k 31. 12. 2019</w:t>
      </w:r>
    </w:p>
    <w:p w:rsidR="00F827CE" w:rsidRPr="00870F46" w:rsidRDefault="00F827CE" w:rsidP="00F827CE">
      <w:pPr>
        <w:ind w:firstLine="567"/>
        <w:jc w:val="both"/>
        <w:rPr>
          <w:rFonts w:ascii="Arial" w:hAnsi="Arial" w:cs="Arial"/>
          <w:i/>
          <w:iCs/>
          <w:color w:val="000000"/>
          <w:sz w:val="20"/>
          <w:szCs w:val="20"/>
        </w:rPr>
      </w:pPr>
      <w:r w:rsidRPr="00870F46">
        <w:rPr>
          <w:rFonts w:ascii="Arial" w:hAnsi="Arial" w:cs="Arial"/>
          <w:i/>
          <w:iCs/>
          <w:color w:val="000000"/>
          <w:sz w:val="20"/>
          <w:szCs w:val="20"/>
        </w:rPr>
        <w:t>(</w:t>
      </w:r>
      <w:r w:rsidRPr="00A628F9">
        <w:rPr>
          <w:rFonts w:ascii="Arial" w:hAnsi="Arial" w:cs="Arial"/>
          <w:i/>
          <w:iCs/>
          <w:color w:val="000000"/>
          <w:sz w:val="20"/>
          <w:szCs w:val="20"/>
        </w:rPr>
        <w:t xml:space="preserve">Graf </w:t>
      </w:r>
      <w:r>
        <w:rPr>
          <w:rFonts w:ascii="Arial" w:hAnsi="Arial" w:cs="Arial"/>
          <w:i/>
          <w:iCs/>
          <w:color w:val="000000"/>
          <w:sz w:val="20"/>
          <w:szCs w:val="20"/>
        </w:rPr>
        <w:t>7</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F827CE" w:rsidRDefault="00F827CE" w:rsidP="00F827CE">
      <w:pPr>
        <w:ind w:firstLine="567"/>
        <w:jc w:val="both"/>
        <w:rPr>
          <w:rFonts w:ascii="Arial" w:hAnsi="Arial" w:cs="Arial"/>
          <w:i/>
          <w:iCs/>
          <w:color w:val="FF0000"/>
          <w:sz w:val="20"/>
          <w:szCs w:val="16"/>
        </w:rPr>
      </w:pPr>
    </w:p>
    <w:p w:rsidR="00F827CE" w:rsidRDefault="00F827CE" w:rsidP="00F827CE">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ÚZIS ČR</w:t>
      </w:r>
    </w:p>
    <w:p w:rsidR="00F827CE" w:rsidRPr="0058222E" w:rsidRDefault="00F827CE" w:rsidP="00F827CE">
      <w:pPr>
        <w:jc w:val="both"/>
        <w:rPr>
          <w:rFonts w:ascii="Arial" w:hAnsi="Arial" w:cs="Arial"/>
          <w:sz w:val="20"/>
          <w:szCs w:val="20"/>
        </w:rPr>
      </w:pPr>
      <w:r>
        <w:rPr>
          <w:rFonts w:ascii="Arial" w:hAnsi="Arial" w:cs="Arial"/>
          <w:color w:val="000000"/>
          <w:sz w:val="20"/>
          <w:szCs w:val="16"/>
        </w:rPr>
        <w:t xml:space="preserve">Data jsou k 31. 12. 2019. </w:t>
      </w:r>
      <w:r w:rsidRPr="00B119D0">
        <w:rPr>
          <w:rFonts w:ascii="Arial" w:hAnsi="Arial" w:cs="Arial"/>
          <w:color w:val="000000"/>
          <w:sz w:val="20"/>
          <w:szCs w:val="16"/>
        </w:rPr>
        <w:t>Údaje jsou čerpány z výkazu E (MZ)4-01 roční výkaz o zaměstnavatelích, evidenčním počtu zaměstnanců</w:t>
      </w:r>
      <w:r>
        <w:rPr>
          <w:rFonts w:ascii="Arial" w:hAnsi="Arial" w:cs="Arial"/>
          <w:color w:val="000000"/>
          <w:sz w:val="20"/>
          <w:szCs w:val="16"/>
        </w:rPr>
        <w:t xml:space="preserve">. </w:t>
      </w:r>
      <w:r w:rsidRPr="0058222E">
        <w:rPr>
          <w:rFonts w:ascii="Arial" w:hAnsi="Arial" w:cs="Arial"/>
          <w:sz w:val="20"/>
          <w:szCs w:val="20"/>
        </w:rPr>
        <w:t xml:space="preserve">V letech 2014 a 2015 byl proveden dopočet žen u </w:t>
      </w:r>
      <w:r w:rsidR="009D7E93">
        <w:rPr>
          <w:rFonts w:ascii="Arial" w:hAnsi="Arial" w:cs="Arial"/>
          <w:sz w:val="20"/>
          <w:szCs w:val="20"/>
        </w:rPr>
        <w:t>základních jednotek</w:t>
      </w:r>
      <w:r w:rsidRPr="0058222E">
        <w:rPr>
          <w:rFonts w:ascii="Arial" w:hAnsi="Arial" w:cs="Arial"/>
          <w:sz w:val="20"/>
          <w:szCs w:val="20"/>
        </w:rPr>
        <w:t>, které neuvedly rozdělení zaměstnanců dle pohlaví</w:t>
      </w:r>
      <w:r>
        <w:rPr>
          <w:rFonts w:ascii="Arial" w:hAnsi="Arial" w:cs="Arial"/>
          <w:sz w:val="20"/>
          <w:szCs w:val="20"/>
        </w:rPr>
        <w:t>.</w:t>
      </w:r>
    </w:p>
    <w:p w:rsidR="00F827CE" w:rsidRDefault="00F827CE" w:rsidP="00F827CE">
      <w:pPr>
        <w:jc w:val="both"/>
        <w:rPr>
          <w:rFonts w:ascii="Arial" w:hAnsi="Arial" w:cs="Arial"/>
          <w:i/>
          <w:color w:val="000000"/>
          <w:sz w:val="20"/>
          <w:szCs w:val="16"/>
        </w:rPr>
      </w:pPr>
      <w:r w:rsidRPr="005D5C6B">
        <w:rPr>
          <w:rFonts w:ascii="Arial" w:hAnsi="Arial" w:cs="Arial"/>
          <w:i/>
          <w:color w:val="000000"/>
          <w:sz w:val="20"/>
          <w:szCs w:val="16"/>
        </w:rPr>
        <w:t xml:space="preserve"> K </w:t>
      </w:r>
      <w:r>
        <w:rPr>
          <w:rFonts w:ascii="Arial" w:hAnsi="Arial" w:cs="Arial"/>
          <w:i/>
          <w:color w:val="000000"/>
          <w:sz w:val="20"/>
          <w:szCs w:val="16"/>
        </w:rPr>
        <w:t xml:space="preserve"> </w:t>
      </w:r>
      <w:r w:rsidRPr="005D5C6B">
        <w:rPr>
          <w:rFonts w:ascii="Arial" w:hAnsi="Arial" w:cs="Arial"/>
          <w:i/>
          <w:color w:val="000000"/>
          <w:sz w:val="20"/>
          <w:szCs w:val="16"/>
        </w:rPr>
        <w:t xml:space="preserve">31. 12. </w:t>
      </w:r>
      <w:r>
        <w:rPr>
          <w:rFonts w:ascii="Arial" w:hAnsi="Arial" w:cs="Arial"/>
          <w:i/>
          <w:color w:val="000000"/>
          <w:sz w:val="20"/>
          <w:szCs w:val="16"/>
        </w:rPr>
        <w:t>2019 pracovalo ve zdravotnictví 305 803 zaměstnanců. Podíl žen činil 79 %. Ženy ve</w:t>
      </w:r>
      <w:r w:rsidR="00425A12">
        <w:rPr>
          <w:rFonts w:ascii="Arial" w:hAnsi="Arial" w:cs="Arial"/>
          <w:i/>
          <w:color w:val="000000"/>
          <w:sz w:val="20"/>
          <w:szCs w:val="16"/>
        </w:rPr>
        <w:t> </w:t>
      </w:r>
      <w:r>
        <w:rPr>
          <w:rFonts w:ascii="Arial" w:hAnsi="Arial" w:cs="Arial"/>
          <w:i/>
          <w:color w:val="000000"/>
          <w:sz w:val="20"/>
          <w:szCs w:val="16"/>
        </w:rPr>
        <w:t>zdravotnictví (s výjimkou nejvyšších pozic na primariátech atp.) převládají, a to jak mezi odbornými pracovníky, farmaceuty či lékaři a zubními lékaři.</w:t>
      </w:r>
    </w:p>
    <w:p w:rsidR="00F827CE" w:rsidRDefault="00F827CE" w:rsidP="00F827CE">
      <w:pPr>
        <w:jc w:val="both"/>
        <w:rPr>
          <w:rFonts w:ascii="Arial" w:hAnsi="Arial" w:cs="Arial"/>
          <w:i/>
          <w:color w:val="000000"/>
          <w:sz w:val="20"/>
          <w:szCs w:val="16"/>
        </w:rPr>
      </w:pPr>
      <w:r>
        <w:rPr>
          <w:rFonts w:ascii="Arial" w:hAnsi="Arial" w:cs="Arial"/>
          <w:i/>
          <w:color w:val="000000"/>
          <w:sz w:val="20"/>
          <w:szCs w:val="16"/>
        </w:rPr>
        <w:t xml:space="preserve"> Nejvyrovnanějším podílem žen a mužů se vyznačují lékaři (poměr pohlaví zde byl: </w:t>
      </w:r>
      <w:proofErr w:type="gramStart"/>
      <w:r>
        <w:rPr>
          <w:rFonts w:ascii="Arial" w:hAnsi="Arial" w:cs="Arial"/>
          <w:i/>
          <w:color w:val="000000"/>
          <w:sz w:val="20"/>
          <w:szCs w:val="16"/>
        </w:rPr>
        <w:t>54 % : 46</w:t>
      </w:r>
      <w:proofErr w:type="gramEnd"/>
      <w:r>
        <w:rPr>
          <w:rFonts w:ascii="Arial" w:hAnsi="Arial" w:cs="Arial"/>
          <w:i/>
          <w:color w:val="000000"/>
          <w:sz w:val="20"/>
          <w:szCs w:val="16"/>
        </w:rPr>
        <w:t xml:space="preserve"> %). Oproti</w:t>
      </w:r>
      <w:r w:rsidR="00425A12">
        <w:rPr>
          <w:rFonts w:ascii="Arial" w:hAnsi="Arial" w:cs="Arial"/>
          <w:i/>
          <w:color w:val="000000"/>
          <w:sz w:val="20"/>
          <w:szCs w:val="16"/>
        </w:rPr>
        <w:t> </w:t>
      </w:r>
      <w:r>
        <w:rPr>
          <w:rFonts w:ascii="Arial" w:hAnsi="Arial" w:cs="Arial"/>
          <w:i/>
          <w:color w:val="000000"/>
          <w:sz w:val="20"/>
          <w:szCs w:val="16"/>
        </w:rPr>
        <w:t>tomu již název: Všeobecné sestry a porodní asistentky dává tušit, že tady příliš mužů nebude (pouze 2,2 %). Dominance žen byla patrná rovněž v případě farmaceutů. Podíl žen tady představoval 87 %.</w:t>
      </w:r>
    </w:p>
    <w:p w:rsidR="00F827CE" w:rsidRDefault="00F827CE" w:rsidP="00F827CE">
      <w:pPr>
        <w:jc w:val="both"/>
        <w:rPr>
          <w:rFonts w:ascii="Arial" w:hAnsi="Arial" w:cs="Arial"/>
          <w:i/>
          <w:color w:val="000000"/>
          <w:sz w:val="20"/>
          <w:szCs w:val="16"/>
        </w:rPr>
      </w:pPr>
      <w:r>
        <w:rPr>
          <w:rFonts w:ascii="Arial" w:hAnsi="Arial" w:cs="Arial"/>
          <w:i/>
          <w:color w:val="000000"/>
          <w:sz w:val="20"/>
          <w:szCs w:val="16"/>
        </w:rPr>
        <w:t xml:space="preserve">Počty odborných pracovníků ve zdravotnictví, lékařů, farmaceutů, ale i všeobecných sester a porodních asistentek vykazovaly od roku 1995 do současnosti rostoucí trend. Výjimkou jsou zubní lékaři, jejichž počty kolísají mezi 7 600 a 8 500. Podíl žen představuje v případě </w:t>
      </w:r>
      <w:r w:rsidR="009D7E93">
        <w:rPr>
          <w:rFonts w:ascii="Arial" w:hAnsi="Arial" w:cs="Arial"/>
          <w:i/>
          <w:color w:val="000000"/>
          <w:sz w:val="20"/>
          <w:szCs w:val="16"/>
        </w:rPr>
        <w:t>stomatologů</w:t>
      </w:r>
      <w:r>
        <w:rPr>
          <w:rFonts w:ascii="Arial" w:hAnsi="Arial" w:cs="Arial"/>
          <w:i/>
          <w:color w:val="000000"/>
          <w:sz w:val="20"/>
          <w:szCs w:val="16"/>
        </w:rPr>
        <w:t xml:space="preserve"> 63,3 %. Zubní lékařky se tedy o náš chrup starají častěji než jejich mužští kolegové. </w:t>
      </w:r>
    </w:p>
    <w:p w:rsidR="00F827CE" w:rsidRDefault="00F827CE" w:rsidP="00F827CE">
      <w:pPr>
        <w:jc w:val="both"/>
        <w:rPr>
          <w:rFonts w:ascii="Arial" w:hAnsi="Arial" w:cs="Arial"/>
          <w:i/>
          <w:color w:val="000000"/>
          <w:sz w:val="20"/>
          <w:szCs w:val="16"/>
        </w:rPr>
      </w:pPr>
    </w:p>
    <w:p w:rsidR="00F827CE" w:rsidRDefault="00F827CE" w:rsidP="00F827CE">
      <w:pPr>
        <w:jc w:val="both"/>
        <w:rPr>
          <w:rFonts w:ascii="Arial" w:hAnsi="Arial" w:cs="Arial"/>
          <w:i/>
          <w:color w:val="000000"/>
          <w:sz w:val="20"/>
          <w:szCs w:val="16"/>
        </w:rPr>
      </w:pPr>
    </w:p>
    <w:p w:rsidR="00F827CE" w:rsidRPr="005D5C6B" w:rsidRDefault="00F827CE" w:rsidP="00F827CE">
      <w:pPr>
        <w:jc w:val="center"/>
        <w:rPr>
          <w:rFonts w:ascii="Arial" w:hAnsi="Arial" w:cs="Arial"/>
          <w:i/>
          <w:color w:val="000000"/>
          <w:sz w:val="20"/>
          <w:szCs w:val="16"/>
        </w:rPr>
      </w:pPr>
      <w:r>
        <w:rPr>
          <w:rFonts w:ascii="Arial" w:hAnsi="Arial" w:cs="Arial"/>
          <w:i/>
          <w:noProof/>
          <w:color w:val="000000"/>
          <w:sz w:val="20"/>
          <w:szCs w:val="16"/>
        </w:rPr>
        <w:drawing>
          <wp:inline distT="0" distB="0" distL="0" distR="0">
            <wp:extent cx="4572000" cy="27432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pStyle w:val="Nadpis1"/>
        <w:rPr>
          <w:color w:val="00B0F0"/>
          <w:szCs w:val="20"/>
        </w:rPr>
      </w:pPr>
    </w:p>
    <w:p w:rsidR="00F827CE" w:rsidRDefault="00F827CE" w:rsidP="00F827CE">
      <w:pPr>
        <w:pStyle w:val="Nadpis1"/>
        <w:rPr>
          <w:color w:val="00B0F0"/>
          <w:szCs w:val="20"/>
        </w:rPr>
      </w:pPr>
    </w:p>
    <w:p w:rsidR="00F827CE" w:rsidRDefault="00F827CE" w:rsidP="00F827CE">
      <w:pPr>
        <w:pStyle w:val="Nadpis1"/>
        <w:rPr>
          <w:color w:val="00B0F0"/>
          <w:szCs w:val="20"/>
        </w:rPr>
      </w:pPr>
    </w:p>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Pr="00F62193" w:rsidRDefault="00F827CE" w:rsidP="00F827CE"/>
    <w:p w:rsidR="00F827CE" w:rsidRPr="00870F46" w:rsidRDefault="00F827CE" w:rsidP="00F827CE">
      <w:pPr>
        <w:pStyle w:val="Nadpis1"/>
        <w:rPr>
          <w:color w:val="00B0F0"/>
          <w:szCs w:val="20"/>
        </w:rPr>
      </w:pPr>
      <w:r>
        <w:rPr>
          <w:color w:val="00B0F0"/>
          <w:szCs w:val="20"/>
        </w:rPr>
        <w:t>Mediánová měsíční hrubá mzda všeobecných sester a porodních asistentek podle věkových kategorií a pohlaví v roce 2019</w:t>
      </w:r>
    </w:p>
    <w:p w:rsidR="00F827CE" w:rsidRPr="00870F46" w:rsidRDefault="00F827CE" w:rsidP="00F827CE">
      <w:pPr>
        <w:ind w:firstLine="567"/>
        <w:jc w:val="both"/>
        <w:rPr>
          <w:rFonts w:ascii="Arial" w:hAnsi="Arial" w:cs="Arial"/>
          <w:i/>
          <w:iCs/>
          <w:color w:val="000000"/>
          <w:sz w:val="20"/>
          <w:szCs w:val="20"/>
        </w:rPr>
      </w:pPr>
      <w:r w:rsidRPr="00870F46">
        <w:rPr>
          <w:rFonts w:ascii="Arial" w:hAnsi="Arial" w:cs="Arial"/>
          <w:i/>
          <w:iCs/>
          <w:color w:val="000000"/>
          <w:sz w:val="20"/>
          <w:szCs w:val="20"/>
        </w:rPr>
        <w:t xml:space="preserve"> (</w:t>
      </w:r>
      <w:r>
        <w:rPr>
          <w:rFonts w:ascii="Arial" w:hAnsi="Arial" w:cs="Arial"/>
          <w:i/>
          <w:iCs/>
          <w:color w:val="000000"/>
          <w:sz w:val="20"/>
          <w:szCs w:val="20"/>
        </w:rPr>
        <w:t>Graf 8</w:t>
      </w:r>
      <w:r w:rsidRPr="00870F46">
        <w:rPr>
          <w:rFonts w:ascii="Arial" w:hAnsi="Arial" w:cs="Arial"/>
          <w:i/>
          <w:iCs/>
          <w:color w:val="000000"/>
          <w:sz w:val="20"/>
          <w:szCs w:val="20"/>
        </w:rPr>
        <w:t xml:space="preserve">) </w:t>
      </w:r>
    </w:p>
    <w:p w:rsidR="00F827CE" w:rsidRDefault="00F827CE" w:rsidP="00F827CE">
      <w:pPr>
        <w:ind w:firstLine="567"/>
        <w:jc w:val="both"/>
        <w:rPr>
          <w:rFonts w:ascii="Arial" w:hAnsi="Arial" w:cs="Arial"/>
          <w:i/>
          <w:iCs/>
          <w:color w:val="FF0000"/>
          <w:sz w:val="20"/>
          <w:szCs w:val="16"/>
        </w:rPr>
      </w:pPr>
    </w:p>
    <w:p w:rsidR="00F827CE" w:rsidRDefault="00F827CE" w:rsidP="00F827CE">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Strukturální mzdová statistika</w:t>
      </w:r>
    </w:p>
    <w:p w:rsidR="00F827CE" w:rsidRDefault="00F827CE" w:rsidP="00F827CE">
      <w:pPr>
        <w:ind w:firstLine="567"/>
        <w:jc w:val="both"/>
        <w:rPr>
          <w:rFonts w:ascii="Arial" w:hAnsi="Arial" w:cs="Arial"/>
          <w:color w:val="000000"/>
          <w:sz w:val="20"/>
          <w:szCs w:val="16"/>
        </w:rPr>
      </w:pPr>
      <w:r>
        <w:rPr>
          <w:rFonts w:ascii="Arial" w:hAnsi="Arial" w:cs="Arial"/>
          <w:color w:val="000000"/>
          <w:sz w:val="20"/>
          <w:szCs w:val="16"/>
        </w:rPr>
        <w:t xml:space="preserve">GPG – Gender </w:t>
      </w:r>
      <w:proofErr w:type="spellStart"/>
      <w:r>
        <w:rPr>
          <w:rFonts w:ascii="Arial" w:hAnsi="Arial" w:cs="Arial"/>
          <w:color w:val="000000"/>
          <w:sz w:val="20"/>
          <w:szCs w:val="16"/>
        </w:rPr>
        <w:t>Pay</w:t>
      </w:r>
      <w:proofErr w:type="spellEnd"/>
      <w:r>
        <w:rPr>
          <w:rFonts w:ascii="Arial" w:hAnsi="Arial" w:cs="Arial"/>
          <w:color w:val="000000"/>
          <w:sz w:val="20"/>
          <w:szCs w:val="16"/>
        </w:rPr>
        <w:t xml:space="preserve"> Gap – je počítán jako relativní rozdíl mediánu mzdy mužů a žen vztažený k mediánu mzdy mužů a vyjadřuje se v procentech. V minulém vydání této publikace byla pro výpočet GPG použita odlišná metodika (místo GPG šlo vlastně o vyjádření mediánové hodinové mzdy žen jako % mzdy mužů, což spolu s GPG dá dohromady 100 %). Gender </w:t>
      </w:r>
      <w:proofErr w:type="spellStart"/>
      <w:r>
        <w:rPr>
          <w:rFonts w:ascii="Arial" w:hAnsi="Arial" w:cs="Arial"/>
          <w:color w:val="000000"/>
          <w:sz w:val="20"/>
          <w:szCs w:val="16"/>
        </w:rPr>
        <w:t>Pay</w:t>
      </w:r>
      <w:proofErr w:type="spellEnd"/>
      <w:r>
        <w:rPr>
          <w:rFonts w:ascii="Arial" w:hAnsi="Arial" w:cs="Arial"/>
          <w:color w:val="000000"/>
          <w:sz w:val="20"/>
          <w:szCs w:val="16"/>
        </w:rPr>
        <w:t xml:space="preserve"> Gap však v žádném případě nelze používat jako indikátor pro měření diskriminace, neboť současně obnáší informaci za segregaci na trhu práce a promítají se v něm různé vlivy struktur věkových, vzdělanostních, postavení v zaměstnání, odvětvové klasifikace a dalších.</w:t>
      </w:r>
    </w:p>
    <w:p w:rsidR="00F827CE" w:rsidRDefault="00F827CE" w:rsidP="00F827CE">
      <w:pPr>
        <w:ind w:firstLine="567"/>
        <w:jc w:val="both"/>
        <w:rPr>
          <w:rFonts w:ascii="Arial" w:hAnsi="Arial" w:cs="Arial"/>
          <w:i/>
          <w:color w:val="000000"/>
          <w:sz w:val="20"/>
          <w:szCs w:val="16"/>
        </w:rPr>
      </w:pPr>
      <w:r>
        <w:rPr>
          <w:rFonts w:ascii="Arial" w:hAnsi="Arial" w:cs="Arial"/>
          <w:i/>
          <w:color w:val="000000"/>
          <w:sz w:val="20"/>
          <w:szCs w:val="16"/>
        </w:rPr>
        <w:t>Mediánové měsíční hrubé mzdy všeobecných sester a porodních asistentek byly nejnižší ve věku do 24 let (cca 35 000 Kč). Ve věku, kdy ženy odcházejí na mateřskou dovolenou, tedy od 30 let do 44 let věku se pohybovaly mezi 37 a 38 tisíci. Nejvyšší hodnoty, 41 000 Kč, dosahovaly ve věku 45</w:t>
      </w:r>
      <w:r w:rsidRPr="00E808BB">
        <w:rPr>
          <w:rFonts w:ascii="Arial" w:hAnsi="Arial" w:cs="Arial"/>
          <w:i/>
          <w:sz w:val="20"/>
          <w:szCs w:val="20"/>
        </w:rPr>
        <w:t>–</w:t>
      </w:r>
      <w:r>
        <w:rPr>
          <w:rFonts w:ascii="Arial" w:hAnsi="Arial" w:cs="Arial"/>
          <w:i/>
          <w:color w:val="000000"/>
          <w:sz w:val="20"/>
          <w:szCs w:val="16"/>
        </w:rPr>
        <w:t xml:space="preserve">54 let, kdy se ženy vracejí z mateřské dovolené na trh práce. </w:t>
      </w:r>
    </w:p>
    <w:p w:rsidR="00F827CE" w:rsidRDefault="00F827CE" w:rsidP="00F827CE">
      <w:pPr>
        <w:ind w:firstLine="567"/>
        <w:jc w:val="both"/>
        <w:rPr>
          <w:rFonts w:ascii="Arial" w:hAnsi="Arial" w:cs="Arial"/>
          <w:i/>
          <w:color w:val="000000"/>
          <w:sz w:val="20"/>
          <w:szCs w:val="16"/>
        </w:rPr>
      </w:pPr>
    </w:p>
    <w:p w:rsidR="00F827CE" w:rsidRDefault="00F827CE" w:rsidP="00F827CE">
      <w:pPr>
        <w:ind w:firstLine="567"/>
        <w:jc w:val="both"/>
        <w:rPr>
          <w:rFonts w:ascii="Arial" w:hAnsi="Arial" w:cs="Arial"/>
          <w:i/>
          <w:color w:val="000000"/>
          <w:sz w:val="20"/>
          <w:szCs w:val="16"/>
        </w:rPr>
      </w:pPr>
    </w:p>
    <w:p w:rsidR="00F827CE" w:rsidRDefault="00F827CE" w:rsidP="00F827CE">
      <w:pPr>
        <w:ind w:firstLine="567"/>
        <w:jc w:val="center"/>
        <w:rPr>
          <w:rFonts w:ascii="Arial" w:hAnsi="Arial" w:cs="Arial"/>
          <w:i/>
          <w:color w:val="000000"/>
          <w:sz w:val="20"/>
          <w:szCs w:val="16"/>
        </w:rPr>
      </w:pPr>
      <w:r>
        <w:rPr>
          <w:rFonts w:ascii="Arial" w:hAnsi="Arial" w:cs="Arial"/>
          <w:i/>
          <w:noProof/>
          <w:color w:val="000000"/>
          <w:sz w:val="20"/>
          <w:szCs w:val="16"/>
        </w:rPr>
        <w:drawing>
          <wp:inline distT="0" distB="0" distL="0" distR="0">
            <wp:extent cx="4572000" cy="27432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F827CE" w:rsidRDefault="00F827CE" w:rsidP="00F827CE">
      <w:pPr>
        <w:pStyle w:val="Nadpis1"/>
        <w:rPr>
          <w:color w:val="00B0F0"/>
          <w:szCs w:val="20"/>
        </w:rPr>
      </w:pPr>
    </w:p>
    <w:p w:rsidR="00F827CE" w:rsidRPr="00C34D7D" w:rsidRDefault="00F827CE" w:rsidP="00F827CE">
      <w:pPr>
        <w:pStyle w:val="Nadpis1"/>
        <w:rPr>
          <w:b w:val="0"/>
          <w:i/>
          <w:color w:val="auto"/>
          <w:szCs w:val="20"/>
        </w:rPr>
      </w:pPr>
      <w:r w:rsidRPr="00C34D7D">
        <w:rPr>
          <w:b w:val="0"/>
          <w:i/>
          <w:color w:val="auto"/>
          <w:szCs w:val="20"/>
        </w:rPr>
        <w:t>Jak již název těchto profesí napovídá, jedná se o doménu žen. Ale jsou zde zaměstnaní i muži. Pokud zde již muži pracují, pobírají vyšší mediánové mzdy, než ženy. Toto je markantní zejména ve věkové kategorii 35</w:t>
      </w:r>
      <w:r w:rsidRPr="00C34D7D">
        <w:rPr>
          <w:i/>
          <w:color w:val="auto"/>
          <w:szCs w:val="20"/>
        </w:rPr>
        <w:t>–</w:t>
      </w:r>
      <w:r w:rsidRPr="00C34D7D">
        <w:rPr>
          <w:b w:val="0"/>
          <w:i/>
          <w:color w:val="auto"/>
          <w:szCs w:val="20"/>
        </w:rPr>
        <w:t xml:space="preserve">44 let, kdy hodnota Gender </w:t>
      </w:r>
      <w:proofErr w:type="spellStart"/>
      <w:r w:rsidRPr="00C34D7D">
        <w:rPr>
          <w:b w:val="0"/>
          <w:i/>
          <w:color w:val="auto"/>
          <w:szCs w:val="20"/>
        </w:rPr>
        <w:t>Pay</w:t>
      </w:r>
      <w:proofErr w:type="spellEnd"/>
      <w:r w:rsidRPr="00C34D7D">
        <w:rPr>
          <w:b w:val="0"/>
          <w:i/>
          <w:color w:val="auto"/>
          <w:szCs w:val="20"/>
        </w:rPr>
        <w:t xml:space="preserve"> Gapu (GPG) činila 20 %.</w:t>
      </w:r>
    </w:p>
    <w:p w:rsidR="00F827CE" w:rsidRPr="00C34D7D" w:rsidRDefault="00F827CE" w:rsidP="00F827CE">
      <w:pPr>
        <w:pStyle w:val="Nadpis1"/>
        <w:rPr>
          <w:b w:val="0"/>
          <w:i/>
          <w:color w:val="auto"/>
          <w:szCs w:val="20"/>
        </w:rPr>
      </w:pPr>
      <w:r w:rsidRPr="00C34D7D">
        <w:rPr>
          <w:b w:val="0"/>
          <w:i/>
          <w:color w:val="auto"/>
          <w:szCs w:val="20"/>
        </w:rPr>
        <w:t>Naopak, nejnižší hodnota GPG byla zazname</w:t>
      </w:r>
      <w:r w:rsidR="009D7E93">
        <w:rPr>
          <w:b w:val="0"/>
          <w:i/>
          <w:color w:val="auto"/>
          <w:szCs w:val="20"/>
        </w:rPr>
        <w:t>nána u začínajících zaměstnanců. Představovala</w:t>
      </w:r>
      <w:r w:rsidRPr="00C34D7D">
        <w:rPr>
          <w:b w:val="0"/>
          <w:i/>
          <w:color w:val="auto"/>
          <w:szCs w:val="20"/>
        </w:rPr>
        <w:t xml:space="preserve"> 9</w:t>
      </w:r>
      <w:r w:rsidR="00425A12">
        <w:rPr>
          <w:b w:val="0"/>
          <w:i/>
          <w:color w:val="auto"/>
          <w:szCs w:val="20"/>
        </w:rPr>
        <w:t> </w:t>
      </w:r>
      <w:r w:rsidRPr="00C34D7D">
        <w:rPr>
          <w:b w:val="0"/>
          <w:i/>
          <w:color w:val="auto"/>
          <w:szCs w:val="20"/>
        </w:rPr>
        <w:t xml:space="preserve">%.   </w:t>
      </w:r>
    </w:p>
    <w:p w:rsidR="00F827CE" w:rsidRDefault="00F827CE" w:rsidP="00F827CE">
      <w:pPr>
        <w:pStyle w:val="Nadpis1"/>
        <w:rPr>
          <w:color w:val="00B0F0"/>
          <w:szCs w:val="20"/>
        </w:rPr>
      </w:pPr>
    </w:p>
    <w:p w:rsidR="00F827CE" w:rsidRDefault="00F827CE" w:rsidP="00F827CE">
      <w:pPr>
        <w:pStyle w:val="Nadpis1"/>
        <w:rPr>
          <w:color w:val="00B0F0"/>
          <w:szCs w:val="20"/>
        </w:rPr>
      </w:pPr>
    </w:p>
    <w:p w:rsidR="00F827CE" w:rsidRDefault="00F827CE" w:rsidP="00F827CE">
      <w:pPr>
        <w:rPr>
          <w:rFonts w:ascii="Arial" w:hAnsi="Arial" w:cs="Arial"/>
          <w:b/>
          <w:bCs/>
          <w:color w:val="00B0F0"/>
          <w:kern w:val="32"/>
          <w:sz w:val="20"/>
          <w:szCs w:val="20"/>
        </w:rPr>
      </w:pPr>
    </w:p>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Pr="00870F46" w:rsidRDefault="00F827CE" w:rsidP="00F827CE">
      <w:pPr>
        <w:pStyle w:val="Nadpis1"/>
        <w:rPr>
          <w:color w:val="00B0F0"/>
          <w:szCs w:val="20"/>
        </w:rPr>
      </w:pPr>
      <w:r>
        <w:rPr>
          <w:color w:val="00B0F0"/>
          <w:szCs w:val="20"/>
        </w:rPr>
        <w:t>Mediánová měsíční hrubá mzda lékařů podle věkových kategorií a pohlaví v roce 2019</w:t>
      </w:r>
    </w:p>
    <w:p w:rsidR="00F827CE" w:rsidRPr="00870F46" w:rsidRDefault="00F827CE" w:rsidP="00F827CE">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w:t>
      </w:r>
      <w:r w:rsidRPr="00870F46">
        <w:rPr>
          <w:rFonts w:ascii="Arial" w:hAnsi="Arial" w:cs="Arial"/>
          <w:i/>
          <w:iCs/>
          <w:color w:val="000000"/>
          <w:sz w:val="20"/>
          <w:szCs w:val="20"/>
        </w:rPr>
        <w:t xml:space="preserve"> </w:t>
      </w:r>
      <w:r>
        <w:rPr>
          <w:rFonts w:ascii="Arial" w:hAnsi="Arial" w:cs="Arial"/>
          <w:i/>
          <w:iCs/>
          <w:color w:val="000000"/>
          <w:sz w:val="20"/>
          <w:szCs w:val="20"/>
        </w:rPr>
        <w:t>9</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F827CE" w:rsidRDefault="00F827CE" w:rsidP="00F827CE">
      <w:pPr>
        <w:ind w:firstLine="567"/>
        <w:jc w:val="both"/>
        <w:rPr>
          <w:rFonts w:ascii="Arial" w:hAnsi="Arial" w:cs="Arial"/>
          <w:i/>
          <w:iCs/>
          <w:color w:val="FF0000"/>
          <w:sz w:val="20"/>
          <w:szCs w:val="16"/>
        </w:rPr>
      </w:pPr>
    </w:p>
    <w:p w:rsidR="00F827CE" w:rsidRDefault="00F827CE" w:rsidP="00F827CE">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Strukturální mzdová statistika</w:t>
      </w:r>
    </w:p>
    <w:p w:rsidR="00F827CE" w:rsidRPr="00B119D0" w:rsidRDefault="00F827CE" w:rsidP="00F827CE">
      <w:pPr>
        <w:ind w:firstLine="567"/>
        <w:jc w:val="both"/>
        <w:rPr>
          <w:rFonts w:ascii="Arial" w:hAnsi="Arial" w:cs="Arial"/>
          <w:color w:val="000000"/>
          <w:sz w:val="20"/>
          <w:szCs w:val="16"/>
        </w:rPr>
      </w:pPr>
      <w:r>
        <w:rPr>
          <w:rFonts w:ascii="Arial" w:hAnsi="Arial" w:cs="Arial"/>
          <w:color w:val="000000"/>
          <w:sz w:val="20"/>
          <w:szCs w:val="16"/>
        </w:rPr>
        <w:t xml:space="preserve">Zubní lékaři nejsou zahrnuti. </w:t>
      </w:r>
    </w:p>
    <w:p w:rsidR="00F827CE" w:rsidRDefault="00F827CE" w:rsidP="00F827CE">
      <w:pPr>
        <w:autoSpaceDE w:val="0"/>
        <w:autoSpaceDN w:val="0"/>
        <w:adjustRightInd w:val="0"/>
        <w:rPr>
          <w:szCs w:val="16"/>
        </w:rPr>
      </w:pPr>
      <w:r>
        <w:rPr>
          <w:rFonts w:ascii="Arial" w:hAnsi="Arial" w:cs="Arial"/>
          <w:i/>
          <w:iCs/>
          <w:color w:val="000000"/>
          <w:sz w:val="20"/>
          <w:szCs w:val="16"/>
        </w:rPr>
        <w:t>Mediánové hrubé mzdy lékařů mají celkově i v jednotlivých věkových kategoriích vyšší muži. Nejpatrnější je tento trend ve věku 35</w:t>
      </w:r>
      <w:r w:rsidRPr="00E808BB">
        <w:rPr>
          <w:rFonts w:ascii="Arial" w:hAnsi="Arial" w:cs="Arial"/>
          <w:i/>
          <w:sz w:val="20"/>
          <w:szCs w:val="20"/>
        </w:rPr>
        <w:t>–</w:t>
      </w:r>
      <w:r>
        <w:rPr>
          <w:rFonts w:ascii="Arial" w:hAnsi="Arial" w:cs="Arial"/>
          <w:i/>
          <w:iCs/>
          <w:color w:val="000000"/>
          <w:sz w:val="20"/>
          <w:szCs w:val="16"/>
        </w:rPr>
        <w:t>44 let, kdy ženy často odcházejí na mateřskou dovolenou, ale i</w:t>
      </w:r>
      <w:r w:rsidR="00425A12">
        <w:rPr>
          <w:rFonts w:ascii="Arial" w:hAnsi="Arial" w:cs="Arial"/>
          <w:i/>
          <w:iCs/>
          <w:color w:val="000000"/>
          <w:sz w:val="20"/>
          <w:szCs w:val="16"/>
        </w:rPr>
        <w:t> </w:t>
      </w:r>
      <w:r>
        <w:rPr>
          <w:rFonts w:ascii="Arial" w:hAnsi="Arial" w:cs="Arial"/>
          <w:i/>
          <w:iCs/>
          <w:color w:val="000000"/>
          <w:sz w:val="20"/>
          <w:szCs w:val="16"/>
        </w:rPr>
        <w:t xml:space="preserve">v následující věkové kategorii, kdy se již z mateřské dovolené vracejí zpět. </w:t>
      </w:r>
    </w:p>
    <w:p w:rsidR="00F827CE" w:rsidRDefault="00F827CE" w:rsidP="00F827CE">
      <w:pPr>
        <w:autoSpaceDE w:val="0"/>
        <w:autoSpaceDN w:val="0"/>
        <w:adjustRightInd w:val="0"/>
        <w:jc w:val="center"/>
        <w:rPr>
          <w:szCs w:val="16"/>
        </w:rPr>
      </w:pPr>
    </w:p>
    <w:p w:rsidR="00F827CE" w:rsidRDefault="00F827CE" w:rsidP="00F827CE">
      <w:pPr>
        <w:autoSpaceDE w:val="0"/>
        <w:autoSpaceDN w:val="0"/>
        <w:adjustRightInd w:val="0"/>
        <w:jc w:val="center"/>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jc w:val="center"/>
        <w:rPr>
          <w:szCs w:val="16"/>
        </w:rPr>
      </w:pPr>
      <w:r>
        <w:rPr>
          <w:noProof/>
          <w:szCs w:val="16"/>
        </w:rPr>
        <w:drawing>
          <wp:inline distT="0" distB="0" distL="0" distR="0">
            <wp:extent cx="4678680" cy="2918460"/>
            <wp:effectExtent l="0" t="0" r="762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2918460"/>
                    </a:xfrm>
                    <a:prstGeom prst="rect">
                      <a:avLst/>
                    </a:prstGeom>
                    <a:noFill/>
                  </pic:spPr>
                </pic:pic>
              </a:graphicData>
            </a:graphic>
          </wp:inline>
        </w:drawing>
      </w:r>
    </w:p>
    <w:p w:rsidR="00F827CE" w:rsidRPr="00CD6558" w:rsidRDefault="00F827CE" w:rsidP="00F827CE">
      <w:pPr>
        <w:autoSpaceDE w:val="0"/>
        <w:autoSpaceDN w:val="0"/>
        <w:adjustRightInd w:val="0"/>
        <w:jc w:val="center"/>
        <w:rPr>
          <w:i/>
          <w:szCs w:val="16"/>
        </w:rPr>
      </w:pPr>
    </w:p>
    <w:p w:rsidR="00F827CE" w:rsidRDefault="00F827CE" w:rsidP="00F827CE">
      <w:pPr>
        <w:autoSpaceDE w:val="0"/>
        <w:autoSpaceDN w:val="0"/>
        <w:adjustRightInd w:val="0"/>
        <w:rPr>
          <w:rFonts w:ascii="Arial" w:hAnsi="Arial" w:cs="Arial"/>
          <w:i/>
          <w:sz w:val="20"/>
          <w:szCs w:val="20"/>
        </w:rPr>
      </w:pPr>
      <w:r>
        <w:rPr>
          <w:rFonts w:ascii="Arial" w:hAnsi="Arial" w:cs="Arial"/>
          <w:i/>
          <w:sz w:val="20"/>
          <w:szCs w:val="20"/>
        </w:rPr>
        <w:t>Ve věku 35</w:t>
      </w:r>
      <w:r w:rsidRPr="00E808BB">
        <w:rPr>
          <w:rFonts w:ascii="Arial" w:hAnsi="Arial" w:cs="Arial"/>
          <w:i/>
          <w:sz w:val="20"/>
          <w:szCs w:val="20"/>
        </w:rPr>
        <w:t>–</w:t>
      </w:r>
      <w:r>
        <w:rPr>
          <w:rFonts w:ascii="Arial" w:hAnsi="Arial" w:cs="Arial"/>
          <w:i/>
          <w:sz w:val="20"/>
          <w:szCs w:val="20"/>
        </w:rPr>
        <w:t xml:space="preserve">44 let činila hodnota Gender </w:t>
      </w:r>
      <w:proofErr w:type="spellStart"/>
      <w:r>
        <w:rPr>
          <w:rFonts w:ascii="Arial" w:hAnsi="Arial" w:cs="Arial"/>
          <w:i/>
          <w:sz w:val="20"/>
          <w:szCs w:val="20"/>
        </w:rPr>
        <w:t>Pay</w:t>
      </w:r>
      <w:proofErr w:type="spellEnd"/>
      <w:r>
        <w:rPr>
          <w:rFonts w:ascii="Arial" w:hAnsi="Arial" w:cs="Arial"/>
          <w:i/>
          <w:sz w:val="20"/>
          <w:szCs w:val="20"/>
        </w:rPr>
        <w:t xml:space="preserve"> Gapu (GPG) 32,7 %, ve věku 45</w:t>
      </w:r>
      <w:r w:rsidRPr="00E808BB">
        <w:rPr>
          <w:rFonts w:ascii="Arial" w:hAnsi="Arial" w:cs="Arial"/>
          <w:i/>
          <w:sz w:val="20"/>
          <w:szCs w:val="20"/>
        </w:rPr>
        <w:t>–</w:t>
      </w:r>
      <w:r>
        <w:rPr>
          <w:rFonts w:ascii="Arial" w:hAnsi="Arial" w:cs="Arial"/>
          <w:i/>
          <w:sz w:val="20"/>
          <w:szCs w:val="20"/>
        </w:rPr>
        <w:t xml:space="preserve">54 let byla dokonce nejvyšší, a to 34,3 %. </w:t>
      </w:r>
    </w:p>
    <w:p w:rsidR="00F827CE" w:rsidRDefault="00F827CE" w:rsidP="00F827CE">
      <w:pPr>
        <w:autoSpaceDE w:val="0"/>
        <w:autoSpaceDN w:val="0"/>
        <w:adjustRightInd w:val="0"/>
        <w:rPr>
          <w:rFonts w:ascii="Arial" w:hAnsi="Arial" w:cs="Arial"/>
          <w:i/>
          <w:sz w:val="20"/>
          <w:szCs w:val="20"/>
        </w:rPr>
      </w:pPr>
      <w:r>
        <w:rPr>
          <w:rFonts w:ascii="Arial" w:hAnsi="Arial" w:cs="Arial"/>
          <w:i/>
          <w:sz w:val="20"/>
          <w:szCs w:val="20"/>
        </w:rPr>
        <w:t xml:space="preserve"> Nejnižší GPG bylo zjištěno v nejmladším věku (25</w:t>
      </w:r>
      <w:r w:rsidRPr="00E808BB">
        <w:rPr>
          <w:rFonts w:ascii="Arial" w:hAnsi="Arial" w:cs="Arial"/>
          <w:i/>
          <w:sz w:val="20"/>
          <w:szCs w:val="20"/>
        </w:rPr>
        <w:t>–</w:t>
      </w:r>
      <w:r>
        <w:rPr>
          <w:rFonts w:ascii="Arial" w:hAnsi="Arial" w:cs="Arial"/>
          <w:i/>
          <w:sz w:val="20"/>
          <w:szCs w:val="20"/>
        </w:rPr>
        <w:t>29 let), kdy se jednalo o 12 % a ve věku 30</w:t>
      </w:r>
      <w:r w:rsidRPr="00E808BB">
        <w:rPr>
          <w:rFonts w:ascii="Arial" w:hAnsi="Arial" w:cs="Arial"/>
          <w:i/>
          <w:sz w:val="20"/>
          <w:szCs w:val="20"/>
        </w:rPr>
        <w:t>–</w:t>
      </w:r>
      <w:r>
        <w:rPr>
          <w:rFonts w:ascii="Arial" w:hAnsi="Arial" w:cs="Arial"/>
          <w:i/>
          <w:sz w:val="20"/>
          <w:szCs w:val="20"/>
        </w:rPr>
        <w:t>34 let (šlo o 13 %).</w:t>
      </w:r>
    </w:p>
    <w:p w:rsidR="00F827CE" w:rsidRDefault="00F827CE" w:rsidP="00F827CE">
      <w:pPr>
        <w:autoSpaceDE w:val="0"/>
        <w:autoSpaceDN w:val="0"/>
        <w:adjustRightInd w:val="0"/>
        <w:rPr>
          <w:rFonts w:ascii="Arial" w:hAnsi="Arial" w:cs="Arial"/>
          <w:i/>
          <w:sz w:val="20"/>
          <w:szCs w:val="20"/>
        </w:rPr>
      </w:pPr>
      <w:r>
        <w:rPr>
          <w:rFonts w:ascii="Arial" w:hAnsi="Arial" w:cs="Arial"/>
          <w:i/>
          <w:sz w:val="20"/>
          <w:szCs w:val="20"/>
        </w:rPr>
        <w:t xml:space="preserve"> Ve věku 55 a více let představoval GPG 22 %, tedy ještě poměrně značný rozdíl v neprospěch žen. </w:t>
      </w:r>
    </w:p>
    <w:p w:rsidR="00F827CE" w:rsidRDefault="00F827CE" w:rsidP="00F827CE">
      <w:pPr>
        <w:autoSpaceDE w:val="0"/>
        <w:autoSpaceDN w:val="0"/>
        <w:adjustRightInd w:val="0"/>
        <w:rPr>
          <w:rFonts w:ascii="Arial" w:hAnsi="Arial" w:cs="Arial"/>
          <w:i/>
          <w:sz w:val="20"/>
          <w:szCs w:val="20"/>
        </w:rPr>
      </w:pPr>
      <w:r>
        <w:rPr>
          <w:rFonts w:ascii="Arial" w:hAnsi="Arial" w:cs="Arial"/>
          <w:i/>
          <w:sz w:val="20"/>
          <w:szCs w:val="20"/>
        </w:rPr>
        <w:t xml:space="preserve"> Od roku 2015 do roku 2019 zaznamenaly hrubé měsíční mediánové mzdy žen i mužů celkem významný nárůst (ze zhruba 45 tisíc na 56 tisíc korun u žen a z 57 tisíc na 72 tisíc korun u mužů). </w:t>
      </w:r>
    </w:p>
    <w:p w:rsidR="00F827CE" w:rsidRPr="00CD6558" w:rsidRDefault="00F827CE" w:rsidP="00F827CE">
      <w:pPr>
        <w:autoSpaceDE w:val="0"/>
        <w:autoSpaceDN w:val="0"/>
        <w:adjustRightInd w:val="0"/>
        <w:rPr>
          <w:rFonts w:ascii="Arial" w:hAnsi="Arial" w:cs="Arial"/>
          <w:i/>
          <w:sz w:val="20"/>
          <w:szCs w:val="20"/>
        </w:rPr>
      </w:pPr>
      <w:r>
        <w:rPr>
          <w:rFonts w:ascii="Arial" w:hAnsi="Arial" w:cs="Arial"/>
          <w:i/>
          <w:sz w:val="20"/>
          <w:szCs w:val="20"/>
        </w:rPr>
        <w:t xml:space="preserve"> Nejvyšší hodnotou GPG se ve sledovaném období vyznačoval rok 2016 (23,7 %), v současnosti se</w:t>
      </w:r>
      <w:r w:rsidR="00425A12">
        <w:rPr>
          <w:rFonts w:ascii="Arial" w:hAnsi="Arial" w:cs="Arial"/>
          <w:i/>
          <w:sz w:val="20"/>
          <w:szCs w:val="20"/>
        </w:rPr>
        <w:t> </w:t>
      </w:r>
      <w:r>
        <w:rPr>
          <w:rFonts w:ascii="Arial" w:hAnsi="Arial" w:cs="Arial"/>
          <w:i/>
          <w:sz w:val="20"/>
          <w:szCs w:val="20"/>
        </w:rPr>
        <w:t xml:space="preserve">pohybuje kolem 22 %.    </w:t>
      </w:r>
    </w:p>
    <w:p w:rsidR="00F827CE" w:rsidRPr="00F62193"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Default="00F827CE" w:rsidP="00F827CE"/>
    <w:p w:rsidR="00F827CE" w:rsidRPr="00186E3B" w:rsidRDefault="00F827CE" w:rsidP="00F827CE"/>
    <w:p w:rsidR="00F827CE" w:rsidRPr="00870F46" w:rsidRDefault="00F827CE" w:rsidP="00F827CE">
      <w:pPr>
        <w:pStyle w:val="Nadpis1"/>
        <w:rPr>
          <w:color w:val="00B0F0"/>
          <w:szCs w:val="20"/>
        </w:rPr>
      </w:pPr>
      <w:r>
        <w:rPr>
          <w:color w:val="00B0F0"/>
          <w:szCs w:val="20"/>
        </w:rPr>
        <w:t>Vývoj sebevražd v letech 1991-2019</w:t>
      </w:r>
    </w:p>
    <w:p w:rsidR="00F827CE" w:rsidRPr="00870F46" w:rsidRDefault="00F827CE" w:rsidP="00F827CE">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 10</w:t>
      </w:r>
      <w:r w:rsidRPr="00870F46">
        <w:rPr>
          <w:rFonts w:ascii="Arial" w:hAnsi="Arial" w:cs="Arial"/>
          <w:i/>
          <w:iCs/>
          <w:color w:val="000000"/>
          <w:sz w:val="20"/>
          <w:szCs w:val="20"/>
        </w:rPr>
        <w:t xml:space="preserve">) </w:t>
      </w:r>
    </w:p>
    <w:p w:rsidR="00F827CE" w:rsidRDefault="00F827CE" w:rsidP="00F827CE">
      <w:pPr>
        <w:ind w:firstLine="567"/>
        <w:jc w:val="both"/>
        <w:rPr>
          <w:rFonts w:ascii="Arial" w:hAnsi="Arial" w:cs="Arial"/>
          <w:i/>
          <w:iCs/>
          <w:color w:val="FF0000"/>
          <w:sz w:val="20"/>
          <w:szCs w:val="16"/>
        </w:rPr>
      </w:pPr>
    </w:p>
    <w:p w:rsidR="00F827CE" w:rsidRDefault="00F827CE" w:rsidP="00F827CE">
      <w:pPr>
        <w:ind w:firstLine="567"/>
        <w:jc w:val="both"/>
        <w:rPr>
          <w:rFonts w:ascii="Arial" w:hAnsi="Arial" w:cs="Arial"/>
          <w:color w:val="000000"/>
          <w:sz w:val="20"/>
          <w:szCs w:val="16"/>
          <w:highlight w:val="yellow"/>
        </w:rPr>
      </w:pPr>
      <w:r>
        <w:rPr>
          <w:rFonts w:ascii="Arial" w:hAnsi="Arial" w:cs="Arial"/>
          <w:i/>
          <w:iCs/>
          <w:color w:val="000000"/>
          <w:sz w:val="20"/>
          <w:szCs w:val="16"/>
        </w:rPr>
        <w:t xml:space="preserve">Zdroj: </w:t>
      </w:r>
      <w:r>
        <w:rPr>
          <w:rFonts w:ascii="Arial" w:hAnsi="Arial" w:cs="Arial"/>
          <w:color w:val="000000"/>
          <w:sz w:val="20"/>
          <w:szCs w:val="16"/>
        </w:rPr>
        <w:t>ČSÚ</w:t>
      </w:r>
    </w:p>
    <w:p w:rsidR="00F827CE" w:rsidRDefault="00F827CE" w:rsidP="00F827CE">
      <w:pPr>
        <w:ind w:firstLine="567"/>
        <w:jc w:val="both"/>
        <w:rPr>
          <w:rFonts w:ascii="Arial" w:hAnsi="Arial" w:cs="Arial"/>
          <w:color w:val="000000"/>
          <w:sz w:val="20"/>
          <w:szCs w:val="16"/>
        </w:rPr>
      </w:pPr>
    </w:p>
    <w:p w:rsidR="00F827CE" w:rsidRDefault="00F827CE" w:rsidP="00F827CE">
      <w:pPr>
        <w:autoSpaceDE w:val="0"/>
        <w:autoSpaceDN w:val="0"/>
        <w:adjustRightInd w:val="0"/>
        <w:jc w:val="both"/>
        <w:rPr>
          <w:rFonts w:ascii="Arial" w:hAnsi="Arial" w:cs="Arial"/>
          <w:i/>
          <w:iCs/>
          <w:color w:val="000000"/>
          <w:sz w:val="20"/>
          <w:szCs w:val="16"/>
        </w:rPr>
      </w:pPr>
      <w:r>
        <w:rPr>
          <w:rFonts w:ascii="Arial" w:hAnsi="Arial" w:cs="Arial"/>
          <w:i/>
          <w:iCs/>
          <w:color w:val="000000"/>
          <w:sz w:val="20"/>
          <w:szCs w:val="16"/>
        </w:rPr>
        <w:t>Počty sebevražd ve sledovaném období, tj. od roku 1991 do roku 2019, kolísají – a to u obou pohlaví. Ve všech sledovaných letech platilo, že muži páchali sebevraždy častěji než ženy. Nejvýraznější podíl mužů mezi sebevrahy byl zjištěn letech 2009 a 2011 (shodně 84,1 % sebevrahů představovali muži). Nejnižší podíl mužů mezi sebevrahy se datuje do roku 1994 (71,6 %).</w:t>
      </w:r>
    </w:p>
    <w:p w:rsidR="00F827CE" w:rsidRDefault="00F827CE" w:rsidP="00F827CE">
      <w:pPr>
        <w:autoSpaceDE w:val="0"/>
        <w:autoSpaceDN w:val="0"/>
        <w:adjustRightInd w:val="0"/>
        <w:jc w:val="both"/>
        <w:rPr>
          <w:rFonts w:ascii="Arial" w:hAnsi="Arial" w:cs="Arial"/>
          <w:i/>
          <w:iCs/>
          <w:color w:val="000000"/>
          <w:sz w:val="20"/>
          <w:szCs w:val="16"/>
        </w:rPr>
      </w:pPr>
      <w:r>
        <w:rPr>
          <w:rFonts w:ascii="Arial" w:hAnsi="Arial" w:cs="Arial"/>
          <w:i/>
          <w:iCs/>
          <w:color w:val="000000"/>
          <w:sz w:val="20"/>
          <w:szCs w:val="16"/>
        </w:rPr>
        <w:t>V absolutních počtech bylo nejvíce sebevrahů mužského pohlaví v roce 1992 (šlo o 1 485 mužů), a</w:t>
      </w:r>
      <w:r w:rsidR="00425A12">
        <w:rPr>
          <w:rFonts w:ascii="Arial" w:hAnsi="Arial" w:cs="Arial"/>
          <w:i/>
          <w:iCs/>
          <w:color w:val="000000"/>
          <w:sz w:val="20"/>
          <w:szCs w:val="16"/>
        </w:rPr>
        <w:t> </w:t>
      </w:r>
      <w:r>
        <w:rPr>
          <w:rFonts w:ascii="Arial" w:hAnsi="Arial" w:cs="Arial"/>
          <w:i/>
          <w:iCs/>
          <w:color w:val="000000"/>
          <w:sz w:val="20"/>
          <w:szCs w:val="16"/>
        </w:rPr>
        <w:t>naproti tomu nejméně v roce 2019 (celkem 949 mužů spáchalo sebevraždu).</w:t>
      </w:r>
    </w:p>
    <w:p w:rsidR="00F827CE" w:rsidRDefault="00F827CE" w:rsidP="00F827CE">
      <w:pPr>
        <w:autoSpaceDE w:val="0"/>
        <w:autoSpaceDN w:val="0"/>
        <w:adjustRightInd w:val="0"/>
        <w:jc w:val="both"/>
        <w:rPr>
          <w:rFonts w:ascii="Arial" w:hAnsi="Arial" w:cs="Arial"/>
          <w:i/>
          <w:iCs/>
          <w:color w:val="000000"/>
          <w:sz w:val="20"/>
          <w:szCs w:val="16"/>
        </w:rPr>
      </w:pPr>
      <w:r>
        <w:rPr>
          <w:rFonts w:ascii="Arial" w:hAnsi="Arial" w:cs="Arial"/>
          <w:i/>
          <w:iCs/>
          <w:color w:val="000000"/>
          <w:sz w:val="20"/>
          <w:szCs w:val="16"/>
        </w:rPr>
        <w:t>Nejvíce sebevražedkyň bylo zaznamenáno v roce 1991 (celkem 511 žen), nejméně v roce 2007 (sebevraždu v tomto roce spáchalo 228 žen).</w:t>
      </w:r>
    </w:p>
    <w:p w:rsidR="00F827CE" w:rsidRDefault="00F827CE" w:rsidP="00F827CE">
      <w:pPr>
        <w:autoSpaceDE w:val="0"/>
        <w:autoSpaceDN w:val="0"/>
        <w:adjustRightInd w:val="0"/>
        <w:jc w:val="both"/>
        <w:rPr>
          <w:rFonts w:ascii="Arial" w:hAnsi="Arial" w:cs="Arial"/>
          <w:i/>
          <w:iCs/>
          <w:color w:val="000000"/>
          <w:sz w:val="20"/>
          <w:szCs w:val="16"/>
        </w:rPr>
      </w:pPr>
      <w:r>
        <w:rPr>
          <w:rFonts w:ascii="Arial" w:hAnsi="Arial" w:cs="Arial"/>
          <w:i/>
          <w:iCs/>
          <w:color w:val="000000"/>
          <w:sz w:val="20"/>
          <w:szCs w:val="16"/>
        </w:rPr>
        <w:t>V roce 2019 dosáhl celkový počet sebevražd na území České republiky svého minima (1 191 sebevrahů celkem, z toho 242 žen). Je ale otázkou, nakolik se</w:t>
      </w:r>
      <w:r w:rsidR="00F70918">
        <w:rPr>
          <w:rFonts w:ascii="Arial" w:hAnsi="Arial" w:cs="Arial"/>
          <w:i/>
          <w:iCs/>
          <w:color w:val="000000"/>
          <w:sz w:val="20"/>
          <w:szCs w:val="16"/>
        </w:rPr>
        <w:t xml:space="preserve"> v následujícím roce</w:t>
      </w:r>
      <w:r>
        <w:rPr>
          <w:rFonts w:ascii="Arial" w:hAnsi="Arial" w:cs="Arial"/>
          <w:i/>
          <w:iCs/>
          <w:color w:val="000000"/>
          <w:sz w:val="20"/>
          <w:szCs w:val="16"/>
        </w:rPr>
        <w:t xml:space="preserve"> do počtu sebevražd a do podílu </w:t>
      </w:r>
      <w:r w:rsidR="00F70918">
        <w:rPr>
          <w:rFonts w:ascii="Arial" w:hAnsi="Arial" w:cs="Arial"/>
          <w:i/>
          <w:iCs/>
          <w:color w:val="000000"/>
          <w:sz w:val="20"/>
          <w:szCs w:val="16"/>
        </w:rPr>
        <w:t>sebevrahů podle pohlaví promítne</w:t>
      </w:r>
      <w:r>
        <w:rPr>
          <w:rFonts w:ascii="Arial" w:hAnsi="Arial" w:cs="Arial"/>
          <w:i/>
          <w:iCs/>
          <w:color w:val="000000"/>
          <w:sz w:val="20"/>
          <w:szCs w:val="16"/>
        </w:rPr>
        <w:t xml:space="preserve"> v roce 2020 </w:t>
      </w:r>
      <w:proofErr w:type="spellStart"/>
      <w:r>
        <w:rPr>
          <w:rFonts w:ascii="Arial" w:hAnsi="Arial" w:cs="Arial"/>
          <w:i/>
          <w:iCs/>
          <w:color w:val="000000"/>
          <w:sz w:val="20"/>
          <w:szCs w:val="16"/>
        </w:rPr>
        <w:t>koronavirová</w:t>
      </w:r>
      <w:proofErr w:type="spellEnd"/>
      <w:r>
        <w:rPr>
          <w:rFonts w:ascii="Arial" w:hAnsi="Arial" w:cs="Arial"/>
          <w:i/>
          <w:iCs/>
          <w:color w:val="000000"/>
          <w:sz w:val="20"/>
          <w:szCs w:val="16"/>
        </w:rPr>
        <w:t xml:space="preserve"> pandemie. Tato data zatím ale nejsou k dispozici.  </w:t>
      </w:r>
    </w:p>
    <w:p w:rsidR="00F827CE" w:rsidRDefault="00F827CE" w:rsidP="00F827CE">
      <w:pPr>
        <w:autoSpaceDE w:val="0"/>
        <w:autoSpaceDN w:val="0"/>
        <w:adjustRightInd w:val="0"/>
        <w:jc w:val="both"/>
        <w:rPr>
          <w:rFonts w:ascii="Arial" w:hAnsi="Arial" w:cs="Arial"/>
          <w:i/>
          <w:iCs/>
          <w:color w:val="000000"/>
          <w:sz w:val="20"/>
          <w:szCs w:val="16"/>
        </w:rPr>
      </w:pPr>
    </w:p>
    <w:p w:rsidR="00F827CE" w:rsidRPr="00D871D8" w:rsidRDefault="00F827CE" w:rsidP="00F827CE">
      <w:pPr>
        <w:autoSpaceDE w:val="0"/>
        <w:autoSpaceDN w:val="0"/>
        <w:adjustRightInd w:val="0"/>
        <w:jc w:val="both"/>
        <w:rPr>
          <w:rFonts w:ascii="Arial" w:hAnsi="Arial" w:cs="Arial"/>
          <w:i/>
          <w:iCs/>
          <w:color w:val="000000"/>
          <w:sz w:val="18"/>
          <w:szCs w:val="16"/>
        </w:rPr>
      </w:pPr>
      <w:r>
        <w:rPr>
          <w:rFonts w:ascii="Arial" w:hAnsi="Arial" w:cs="Arial"/>
          <w:i/>
          <w:iCs/>
          <w:color w:val="000000"/>
          <w:sz w:val="20"/>
          <w:szCs w:val="16"/>
        </w:rPr>
        <w:t xml:space="preserve"> </w:t>
      </w:r>
    </w:p>
    <w:p w:rsidR="00F827CE" w:rsidRDefault="00F827CE" w:rsidP="00F827CE">
      <w:pPr>
        <w:autoSpaceDE w:val="0"/>
        <w:autoSpaceDN w:val="0"/>
        <w:adjustRightInd w:val="0"/>
        <w:jc w:val="both"/>
        <w:rPr>
          <w:rFonts w:ascii="Arial" w:hAnsi="Arial" w:cs="Arial"/>
          <w:i/>
          <w:iCs/>
          <w:color w:val="000000"/>
          <w:sz w:val="20"/>
          <w:szCs w:val="16"/>
        </w:rPr>
      </w:pPr>
      <w:r>
        <w:rPr>
          <w:rFonts w:ascii="Arial" w:hAnsi="Arial" w:cs="Arial"/>
          <w:i/>
          <w:iCs/>
          <w:color w:val="000000"/>
          <w:sz w:val="20"/>
          <w:szCs w:val="16"/>
        </w:rPr>
        <w:t xml:space="preserve">    </w:t>
      </w:r>
    </w:p>
    <w:p w:rsidR="00F827CE" w:rsidRDefault="00F827CE" w:rsidP="00F827CE">
      <w:pPr>
        <w:autoSpaceDE w:val="0"/>
        <w:autoSpaceDN w:val="0"/>
        <w:adjustRightInd w:val="0"/>
        <w:ind w:firstLine="567"/>
        <w:jc w:val="both"/>
        <w:rPr>
          <w:rFonts w:ascii="Arial" w:hAnsi="Arial" w:cs="Arial"/>
          <w:i/>
          <w:iCs/>
          <w:color w:val="000000"/>
          <w:sz w:val="20"/>
          <w:szCs w:val="16"/>
        </w:rPr>
      </w:pPr>
      <w:r>
        <w:rPr>
          <w:rFonts w:ascii="Arial" w:hAnsi="Arial" w:cs="Arial"/>
          <w:i/>
          <w:iCs/>
          <w:noProof/>
          <w:color w:val="000000"/>
          <w:sz w:val="20"/>
          <w:szCs w:val="16"/>
        </w:rPr>
        <w:drawing>
          <wp:inline distT="0" distB="0" distL="0" distR="0">
            <wp:extent cx="4892040" cy="2796540"/>
            <wp:effectExtent l="0" t="0" r="3810" b="381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2796540"/>
                    </a:xfrm>
                    <a:prstGeom prst="rect">
                      <a:avLst/>
                    </a:prstGeom>
                    <a:noFill/>
                  </pic:spPr>
                </pic:pic>
              </a:graphicData>
            </a:graphic>
          </wp:inline>
        </w:drawing>
      </w:r>
    </w:p>
    <w:p w:rsidR="00F827CE" w:rsidRDefault="00F827CE" w:rsidP="00F827CE">
      <w:pPr>
        <w:autoSpaceDE w:val="0"/>
        <w:autoSpaceDN w:val="0"/>
        <w:adjustRightInd w:val="0"/>
        <w:ind w:firstLine="567"/>
        <w:jc w:val="center"/>
        <w:rPr>
          <w:rFonts w:ascii="Arial" w:hAnsi="Arial" w:cs="Arial"/>
          <w:i/>
          <w:iCs/>
          <w:color w:val="000000"/>
          <w:sz w:val="20"/>
          <w:szCs w:val="16"/>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Pr="00870F46" w:rsidRDefault="00F827CE" w:rsidP="00F827CE">
      <w:pPr>
        <w:pStyle w:val="Nadpis1"/>
        <w:rPr>
          <w:color w:val="00B0F0"/>
          <w:szCs w:val="20"/>
        </w:rPr>
      </w:pPr>
      <w:r>
        <w:rPr>
          <w:color w:val="00B0F0"/>
          <w:szCs w:val="20"/>
        </w:rPr>
        <w:t>Počty sebevražd podle pohlaví a věku v roce 2019</w:t>
      </w:r>
    </w:p>
    <w:p w:rsidR="00F827CE" w:rsidRPr="00870F46" w:rsidRDefault="00F827CE" w:rsidP="00F827CE">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 11</w:t>
      </w:r>
      <w:r w:rsidRPr="00870F46">
        <w:rPr>
          <w:rFonts w:ascii="Arial" w:hAnsi="Arial" w:cs="Arial"/>
          <w:i/>
          <w:iCs/>
          <w:color w:val="000000"/>
          <w:sz w:val="20"/>
          <w:szCs w:val="20"/>
        </w:rPr>
        <w:t xml:space="preserve">) </w:t>
      </w:r>
    </w:p>
    <w:p w:rsidR="00F827CE" w:rsidRDefault="00F827CE" w:rsidP="00F827CE">
      <w:pPr>
        <w:ind w:firstLine="567"/>
        <w:jc w:val="both"/>
        <w:rPr>
          <w:rFonts w:ascii="Arial" w:hAnsi="Arial" w:cs="Arial"/>
          <w:i/>
          <w:iCs/>
          <w:color w:val="FF0000"/>
          <w:sz w:val="20"/>
          <w:szCs w:val="16"/>
        </w:rPr>
      </w:pPr>
    </w:p>
    <w:p w:rsidR="00F827CE" w:rsidRDefault="00F827CE" w:rsidP="00F827CE">
      <w:pPr>
        <w:ind w:firstLine="567"/>
        <w:jc w:val="both"/>
        <w:rPr>
          <w:rFonts w:ascii="Arial" w:hAnsi="Arial" w:cs="Arial"/>
          <w:color w:val="000000"/>
          <w:sz w:val="20"/>
          <w:szCs w:val="16"/>
          <w:highlight w:val="yellow"/>
        </w:rPr>
      </w:pPr>
      <w:r>
        <w:rPr>
          <w:rFonts w:ascii="Arial" w:hAnsi="Arial" w:cs="Arial"/>
          <w:i/>
          <w:iCs/>
          <w:color w:val="000000"/>
          <w:sz w:val="20"/>
          <w:szCs w:val="16"/>
        </w:rPr>
        <w:t xml:space="preserve">Zdroj: </w:t>
      </w:r>
      <w:r>
        <w:rPr>
          <w:rFonts w:ascii="Arial" w:hAnsi="Arial" w:cs="Arial"/>
          <w:color w:val="000000"/>
          <w:sz w:val="20"/>
          <w:szCs w:val="16"/>
        </w:rPr>
        <w:t>ČSÚ</w:t>
      </w: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b/>
          <w:bCs/>
          <w:color w:val="00CCFF"/>
          <w:sz w:val="20"/>
        </w:rPr>
      </w:pPr>
    </w:p>
    <w:p w:rsidR="00F827CE" w:rsidRDefault="00F827CE" w:rsidP="00F827CE">
      <w:pPr>
        <w:autoSpaceDE w:val="0"/>
        <w:autoSpaceDN w:val="0"/>
        <w:adjustRightInd w:val="0"/>
        <w:jc w:val="both"/>
        <w:rPr>
          <w:rFonts w:ascii="Arial" w:hAnsi="Arial" w:cs="Arial"/>
          <w:i/>
          <w:iCs/>
          <w:color w:val="000000"/>
          <w:sz w:val="20"/>
          <w:szCs w:val="20"/>
        </w:rPr>
      </w:pPr>
      <w:r w:rsidRPr="0012657A">
        <w:rPr>
          <w:rFonts w:ascii="Arial" w:hAnsi="Arial" w:cs="Arial"/>
          <w:i/>
          <w:iCs/>
          <w:color w:val="000000"/>
          <w:sz w:val="20"/>
          <w:szCs w:val="20"/>
        </w:rPr>
        <w:t>V roce 201</w:t>
      </w:r>
      <w:r>
        <w:rPr>
          <w:rFonts w:ascii="Arial" w:hAnsi="Arial" w:cs="Arial"/>
          <w:i/>
          <w:iCs/>
          <w:color w:val="000000"/>
          <w:sz w:val="20"/>
          <w:szCs w:val="20"/>
        </w:rPr>
        <w:t>9</w:t>
      </w:r>
      <w:r w:rsidRPr="0012657A">
        <w:rPr>
          <w:rFonts w:ascii="Arial" w:hAnsi="Arial" w:cs="Arial"/>
          <w:i/>
          <w:iCs/>
          <w:color w:val="000000"/>
          <w:sz w:val="20"/>
          <w:szCs w:val="20"/>
        </w:rPr>
        <w:t xml:space="preserve"> sebevraždou ukončilo svůj život 1 </w:t>
      </w:r>
      <w:r>
        <w:rPr>
          <w:rFonts w:ascii="Arial" w:hAnsi="Arial" w:cs="Arial"/>
          <w:i/>
          <w:iCs/>
          <w:color w:val="000000"/>
          <w:sz w:val="20"/>
          <w:szCs w:val="20"/>
        </w:rPr>
        <w:t>191</w:t>
      </w:r>
      <w:r w:rsidRPr="0012657A">
        <w:rPr>
          <w:rFonts w:ascii="Arial" w:hAnsi="Arial" w:cs="Arial"/>
          <w:i/>
          <w:iCs/>
          <w:color w:val="000000"/>
          <w:sz w:val="20"/>
          <w:szCs w:val="20"/>
        </w:rPr>
        <w:t xml:space="preserve"> lidí </w:t>
      </w:r>
      <w:r>
        <w:rPr>
          <w:rFonts w:ascii="Arial" w:hAnsi="Arial" w:cs="Arial"/>
          <w:i/>
          <w:iCs/>
          <w:color w:val="000000"/>
          <w:sz w:val="20"/>
          <w:szCs w:val="20"/>
        </w:rPr>
        <w:t>(</w:t>
      </w:r>
      <w:r w:rsidRPr="0012657A">
        <w:rPr>
          <w:rFonts w:ascii="Arial" w:hAnsi="Arial" w:cs="Arial"/>
          <w:i/>
          <w:iCs/>
          <w:color w:val="000000"/>
          <w:sz w:val="20"/>
          <w:szCs w:val="20"/>
        </w:rPr>
        <w:t xml:space="preserve">z toho </w:t>
      </w:r>
      <w:r>
        <w:rPr>
          <w:rFonts w:ascii="Arial" w:hAnsi="Arial" w:cs="Arial"/>
          <w:i/>
          <w:iCs/>
          <w:color w:val="000000"/>
          <w:sz w:val="20"/>
          <w:szCs w:val="20"/>
        </w:rPr>
        <w:t>79,7</w:t>
      </w:r>
      <w:r w:rsidRPr="0012657A">
        <w:rPr>
          <w:rFonts w:ascii="Arial" w:hAnsi="Arial" w:cs="Arial"/>
          <w:i/>
          <w:iCs/>
          <w:color w:val="000000"/>
          <w:sz w:val="20"/>
          <w:szCs w:val="20"/>
        </w:rPr>
        <w:t xml:space="preserve"> % mužů).</w:t>
      </w:r>
    </w:p>
    <w:p w:rsidR="00F827CE" w:rsidRDefault="00F827CE" w:rsidP="00F827CE">
      <w:pPr>
        <w:autoSpaceDE w:val="0"/>
        <w:autoSpaceDN w:val="0"/>
        <w:adjustRightInd w:val="0"/>
        <w:jc w:val="both"/>
        <w:rPr>
          <w:rFonts w:ascii="Arial" w:hAnsi="Arial" w:cs="Arial"/>
          <w:i/>
          <w:iCs/>
          <w:color w:val="000000"/>
          <w:sz w:val="20"/>
          <w:szCs w:val="20"/>
        </w:rPr>
      </w:pPr>
      <w:r>
        <w:rPr>
          <w:rFonts w:ascii="Arial" w:hAnsi="Arial" w:cs="Arial"/>
          <w:i/>
          <w:iCs/>
          <w:color w:val="000000"/>
          <w:sz w:val="20"/>
          <w:szCs w:val="20"/>
        </w:rPr>
        <w:t xml:space="preserve">Nejvíce sebevražd připadalo u obou pohlaví na nejvyšší věkovou kategorii, a to 65 a více let. V tomto věku si vzalo život 374 osob, z toho opět cca 80 % mužů. </w:t>
      </w:r>
    </w:p>
    <w:p w:rsidR="00F827CE" w:rsidRDefault="00F827CE" w:rsidP="00F827CE">
      <w:pPr>
        <w:autoSpaceDE w:val="0"/>
        <w:autoSpaceDN w:val="0"/>
        <w:adjustRightInd w:val="0"/>
        <w:jc w:val="both"/>
        <w:rPr>
          <w:rFonts w:ascii="Arial" w:hAnsi="Arial" w:cs="Arial"/>
          <w:i/>
          <w:iCs/>
          <w:color w:val="000000"/>
          <w:sz w:val="18"/>
          <w:szCs w:val="16"/>
        </w:rPr>
      </w:pPr>
      <w:r>
        <w:rPr>
          <w:rFonts w:ascii="Arial" w:hAnsi="Arial" w:cs="Arial"/>
          <w:i/>
          <w:iCs/>
          <w:color w:val="000000"/>
          <w:sz w:val="20"/>
          <w:szCs w:val="20"/>
        </w:rPr>
        <w:t>Jak již bylo řečeno, mezi sebevrahy dominují muži, a to v každém věku. Nejmarkantněji převládali ve</w:t>
      </w:r>
      <w:r w:rsidR="00425A12">
        <w:rPr>
          <w:rFonts w:ascii="Arial" w:hAnsi="Arial" w:cs="Arial"/>
          <w:i/>
          <w:iCs/>
          <w:color w:val="000000"/>
          <w:sz w:val="20"/>
          <w:szCs w:val="20"/>
        </w:rPr>
        <w:t> </w:t>
      </w:r>
      <w:r>
        <w:rPr>
          <w:rFonts w:ascii="Arial" w:hAnsi="Arial" w:cs="Arial"/>
          <w:i/>
          <w:iCs/>
          <w:color w:val="000000"/>
          <w:sz w:val="20"/>
          <w:szCs w:val="20"/>
        </w:rPr>
        <w:t>věku 35</w:t>
      </w:r>
      <w:r w:rsidRPr="00E808BB">
        <w:rPr>
          <w:rFonts w:ascii="Arial" w:hAnsi="Arial" w:cs="Arial"/>
          <w:i/>
          <w:sz w:val="20"/>
          <w:szCs w:val="20"/>
        </w:rPr>
        <w:t>–</w:t>
      </w:r>
      <w:r>
        <w:rPr>
          <w:rFonts w:ascii="Arial" w:hAnsi="Arial" w:cs="Arial"/>
          <w:i/>
          <w:iCs/>
          <w:color w:val="000000"/>
          <w:sz w:val="20"/>
          <w:szCs w:val="20"/>
        </w:rPr>
        <w:t xml:space="preserve">44 let, kde podíl mužů mezi takto starými sebevrahy představoval 84 %.  </w:t>
      </w:r>
      <w:r w:rsidRPr="0012657A">
        <w:rPr>
          <w:rFonts w:ascii="Arial" w:hAnsi="Arial" w:cs="Arial"/>
          <w:i/>
          <w:iCs/>
          <w:color w:val="000000"/>
          <w:sz w:val="20"/>
          <w:szCs w:val="20"/>
        </w:rPr>
        <w:t xml:space="preserve"> </w:t>
      </w:r>
    </w:p>
    <w:p w:rsidR="00F827CE" w:rsidRDefault="00F827CE" w:rsidP="00F827CE">
      <w:pPr>
        <w:autoSpaceDE w:val="0"/>
        <w:autoSpaceDN w:val="0"/>
        <w:adjustRightInd w:val="0"/>
        <w:rPr>
          <w:rFonts w:ascii="Arial" w:hAnsi="Arial" w:cs="Arial"/>
          <w:i/>
          <w:iCs/>
          <w:color w:val="000000"/>
          <w:sz w:val="18"/>
          <w:szCs w:val="16"/>
        </w:rPr>
      </w:pPr>
    </w:p>
    <w:p w:rsidR="00F827CE" w:rsidRDefault="00F827CE" w:rsidP="00F827CE">
      <w:pPr>
        <w:autoSpaceDE w:val="0"/>
        <w:autoSpaceDN w:val="0"/>
        <w:adjustRightInd w:val="0"/>
        <w:rPr>
          <w:rFonts w:ascii="Arial" w:hAnsi="Arial" w:cs="Arial"/>
          <w:i/>
          <w:iCs/>
          <w:color w:val="000000"/>
          <w:sz w:val="18"/>
          <w:szCs w:val="16"/>
        </w:rPr>
      </w:pPr>
    </w:p>
    <w:p w:rsidR="00F827CE" w:rsidRDefault="00F827CE" w:rsidP="00F827CE">
      <w:pPr>
        <w:autoSpaceDE w:val="0"/>
        <w:autoSpaceDN w:val="0"/>
        <w:adjustRightInd w:val="0"/>
        <w:rPr>
          <w:rFonts w:ascii="Arial" w:hAnsi="Arial" w:cs="Arial"/>
          <w:i/>
          <w:iCs/>
          <w:color w:val="000000"/>
          <w:sz w:val="18"/>
          <w:szCs w:val="16"/>
        </w:rPr>
      </w:pPr>
    </w:p>
    <w:p w:rsidR="00F827CE" w:rsidRDefault="00F827CE" w:rsidP="00F827CE">
      <w:pPr>
        <w:autoSpaceDE w:val="0"/>
        <w:autoSpaceDN w:val="0"/>
        <w:adjustRightInd w:val="0"/>
        <w:jc w:val="center"/>
        <w:rPr>
          <w:szCs w:val="16"/>
        </w:rPr>
      </w:pPr>
      <w:r>
        <w:rPr>
          <w:noProof/>
          <w:szCs w:val="16"/>
        </w:rPr>
        <w:drawing>
          <wp:inline distT="0" distB="0" distL="0" distR="0">
            <wp:extent cx="4617720" cy="284226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2842260"/>
                    </a:xfrm>
                    <a:prstGeom prst="rect">
                      <a:avLst/>
                    </a:prstGeom>
                    <a:noFill/>
                  </pic:spPr>
                </pic:pic>
              </a:graphicData>
            </a:graphic>
          </wp:inline>
        </w:drawing>
      </w:r>
    </w:p>
    <w:p w:rsidR="00F827CE" w:rsidRDefault="00F827CE" w:rsidP="00F827CE">
      <w:pPr>
        <w:autoSpaceDE w:val="0"/>
        <w:autoSpaceDN w:val="0"/>
        <w:adjustRightInd w:val="0"/>
        <w:jc w:val="center"/>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F827CE" w:rsidRDefault="00F827CE" w:rsidP="00F827CE">
      <w:pPr>
        <w:autoSpaceDE w:val="0"/>
        <w:autoSpaceDN w:val="0"/>
        <w:adjustRightInd w:val="0"/>
        <w:rPr>
          <w:szCs w:val="16"/>
        </w:rPr>
      </w:pPr>
    </w:p>
    <w:p w:rsidR="00425A12" w:rsidRDefault="00425A12" w:rsidP="00425A12">
      <w:pPr>
        <w:autoSpaceDE w:val="0"/>
        <w:autoSpaceDN w:val="0"/>
        <w:adjustRightInd w:val="0"/>
        <w:rPr>
          <w:szCs w:val="16"/>
        </w:rPr>
      </w:pPr>
    </w:p>
    <w:p w:rsidR="00425A12" w:rsidRPr="00870F46" w:rsidRDefault="00425A12" w:rsidP="00425A12">
      <w:pPr>
        <w:pStyle w:val="Nadpis1"/>
        <w:rPr>
          <w:color w:val="00B0F0"/>
          <w:szCs w:val="20"/>
        </w:rPr>
      </w:pPr>
      <w:r>
        <w:rPr>
          <w:color w:val="00B0F0"/>
          <w:szCs w:val="20"/>
        </w:rPr>
        <w:t>Podíl denních konzumentů alkoholu v jednotlivých věkových kategoriích v roce 2019</w:t>
      </w:r>
    </w:p>
    <w:p w:rsidR="00425A12" w:rsidRPr="00870F46" w:rsidRDefault="00425A12" w:rsidP="00425A12">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w:t>
      </w:r>
      <w:r w:rsidRPr="00870F46">
        <w:rPr>
          <w:rFonts w:ascii="Arial" w:hAnsi="Arial" w:cs="Arial"/>
          <w:i/>
          <w:iCs/>
          <w:color w:val="000000"/>
          <w:sz w:val="20"/>
          <w:szCs w:val="20"/>
        </w:rPr>
        <w:t xml:space="preserve"> </w:t>
      </w:r>
      <w:r>
        <w:rPr>
          <w:rFonts w:ascii="Arial" w:hAnsi="Arial" w:cs="Arial"/>
          <w:i/>
          <w:iCs/>
          <w:color w:val="000000"/>
          <w:sz w:val="20"/>
          <w:szCs w:val="20"/>
        </w:rPr>
        <w:t>12</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425A12" w:rsidRDefault="00425A12" w:rsidP="00425A12">
      <w:pPr>
        <w:ind w:firstLine="567"/>
        <w:jc w:val="both"/>
        <w:rPr>
          <w:rFonts w:ascii="Arial" w:hAnsi="Arial" w:cs="Arial"/>
          <w:i/>
          <w:iCs/>
          <w:color w:val="FF0000"/>
          <w:sz w:val="20"/>
          <w:szCs w:val="16"/>
        </w:rPr>
      </w:pPr>
    </w:p>
    <w:p w:rsidR="00425A12" w:rsidRDefault="00425A12" w:rsidP="00425A12">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ÚZIS ČR, šetření EHIS 2019</w:t>
      </w:r>
    </w:p>
    <w:p w:rsidR="00425A12" w:rsidRPr="00B119D0" w:rsidRDefault="00425A12" w:rsidP="00425A12">
      <w:pPr>
        <w:ind w:firstLine="567"/>
        <w:jc w:val="both"/>
        <w:rPr>
          <w:rFonts w:ascii="Arial" w:hAnsi="Arial" w:cs="Arial"/>
          <w:color w:val="000000"/>
          <w:sz w:val="20"/>
          <w:szCs w:val="16"/>
        </w:rPr>
      </w:pPr>
      <w:r>
        <w:rPr>
          <w:rFonts w:ascii="Arial" w:hAnsi="Arial" w:cs="Arial"/>
          <w:color w:val="000000"/>
          <w:sz w:val="20"/>
          <w:szCs w:val="16"/>
        </w:rPr>
        <w:t xml:space="preserve">Poslední vlna Evropského výběrového šetření o zdraví (EHIS – </w:t>
      </w:r>
      <w:proofErr w:type="spellStart"/>
      <w:r>
        <w:rPr>
          <w:rFonts w:ascii="Arial" w:hAnsi="Arial" w:cs="Arial"/>
          <w:color w:val="000000"/>
          <w:sz w:val="20"/>
          <w:szCs w:val="16"/>
        </w:rPr>
        <w:t>European</w:t>
      </w:r>
      <w:proofErr w:type="spellEnd"/>
      <w:r>
        <w:rPr>
          <w:rFonts w:ascii="Arial" w:hAnsi="Arial" w:cs="Arial"/>
          <w:color w:val="000000"/>
          <w:sz w:val="20"/>
          <w:szCs w:val="16"/>
        </w:rPr>
        <w:t xml:space="preserve"> </w:t>
      </w:r>
      <w:proofErr w:type="spellStart"/>
      <w:r>
        <w:rPr>
          <w:rFonts w:ascii="Arial" w:hAnsi="Arial" w:cs="Arial"/>
          <w:color w:val="000000"/>
          <w:sz w:val="20"/>
          <w:szCs w:val="16"/>
        </w:rPr>
        <w:t>Health</w:t>
      </w:r>
      <w:proofErr w:type="spellEnd"/>
      <w:r>
        <w:rPr>
          <w:rFonts w:ascii="Arial" w:hAnsi="Arial" w:cs="Arial"/>
          <w:color w:val="000000"/>
          <w:sz w:val="20"/>
          <w:szCs w:val="16"/>
        </w:rPr>
        <w:t xml:space="preserve"> Interview </w:t>
      </w:r>
      <w:proofErr w:type="spellStart"/>
      <w:r>
        <w:rPr>
          <w:rFonts w:ascii="Arial" w:hAnsi="Arial" w:cs="Arial"/>
          <w:color w:val="000000"/>
          <w:sz w:val="20"/>
          <w:szCs w:val="16"/>
        </w:rPr>
        <w:t>Survey</w:t>
      </w:r>
      <w:proofErr w:type="spellEnd"/>
      <w:r>
        <w:rPr>
          <w:rFonts w:ascii="Arial" w:hAnsi="Arial" w:cs="Arial"/>
          <w:color w:val="000000"/>
          <w:sz w:val="20"/>
          <w:szCs w:val="16"/>
        </w:rPr>
        <w:t>) proběhla v roce 2019. Podíl denních konzumentů alkoholu je podíl osob, které v posledních dvanácti měsících ode dne šetření konzumovaly nápoj obsahující alkohol (pivo, víno, destiláty, likéry, míchané nápoje) každý den nebo skoro každý den. Věková skupina 15</w:t>
      </w:r>
      <w:r w:rsidRPr="00E808BB">
        <w:rPr>
          <w:rFonts w:ascii="Arial" w:hAnsi="Arial" w:cs="Arial"/>
          <w:i/>
          <w:sz w:val="20"/>
          <w:szCs w:val="20"/>
        </w:rPr>
        <w:t>–</w:t>
      </w:r>
      <w:r>
        <w:rPr>
          <w:rFonts w:ascii="Arial" w:hAnsi="Arial" w:cs="Arial"/>
          <w:color w:val="000000"/>
          <w:sz w:val="20"/>
          <w:szCs w:val="16"/>
        </w:rPr>
        <w:t>24 byla v tomto ohledu relativně málo početně zastoupena, takže je sledována populace od 25 let věku včetně.</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Muži konzumují alkohol častěji a více než ženy. Podíl denních konzumentů alkoholu byl v případě mužů mnohem vyšší než u žen, a to jak celkově, tak v jednotlivých věkových kategoriích. Celkový podíl denních konzumentů alkoholu představoval v případě žen 2,9 %, zato u mužů tvořil 12,9 %. V porovnání s rokem 2014 u žen žádná změna nenastala, zatímco v případě mužů došlo ke snížení o</w:t>
      </w:r>
      <w:r>
        <w:rPr>
          <w:rFonts w:ascii="Arial" w:hAnsi="Arial" w:cs="Arial"/>
          <w:i/>
          <w:iCs/>
          <w:color w:val="000000"/>
          <w:sz w:val="20"/>
          <w:szCs w:val="16"/>
        </w:rPr>
        <w:t> </w:t>
      </w:r>
      <w:r>
        <w:rPr>
          <w:rFonts w:ascii="Arial" w:hAnsi="Arial" w:cs="Arial"/>
          <w:i/>
          <w:iCs/>
          <w:color w:val="000000"/>
          <w:sz w:val="20"/>
          <w:szCs w:val="16"/>
        </w:rPr>
        <w:t xml:space="preserve">3,5 procentního bodu.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V roce 2014 konzumovali alkohol denně nejčastěji muži ve věku 55 a více let (konkrétně 26 % všech mužů ve věku 55</w:t>
      </w:r>
      <w:r w:rsidRPr="00E808BB">
        <w:rPr>
          <w:rFonts w:ascii="Arial" w:hAnsi="Arial" w:cs="Arial"/>
          <w:i/>
          <w:sz w:val="20"/>
          <w:szCs w:val="20"/>
        </w:rPr>
        <w:t>–</w:t>
      </w:r>
      <w:r>
        <w:rPr>
          <w:rFonts w:ascii="Arial" w:hAnsi="Arial" w:cs="Arial"/>
          <w:i/>
          <w:iCs/>
          <w:color w:val="000000"/>
          <w:sz w:val="20"/>
          <w:szCs w:val="16"/>
        </w:rPr>
        <w:t>64 let, 29 % mužů ve věku 65</w:t>
      </w:r>
      <w:r w:rsidRPr="00E808BB">
        <w:rPr>
          <w:rFonts w:ascii="Arial" w:hAnsi="Arial" w:cs="Arial"/>
          <w:i/>
          <w:sz w:val="20"/>
          <w:szCs w:val="20"/>
        </w:rPr>
        <w:t>–</w:t>
      </w:r>
      <w:r>
        <w:rPr>
          <w:rFonts w:ascii="Arial" w:hAnsi="Arial" w:cs="Arial"/>
          <w:i/>
          <w:iCs/>
          <w:color w:val="000000"/>
          <w:sz w:val="20"/>
          <w:szCs w:val="16"/>
        </w:rPr>
        <w:t xml:space="preserve">74 let a 22 % mužů ve věku 75 a více let). Podobně tomu bylo také v roce 2019, jen podíl mužů denně konzumujících alkohol v jednotlivých kategoriích byl nižší, a to cca 20% ve všech zmíněných věkových kategoriích.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Nejvyšší podíl denních konzumentek alkoholu zaznamenaly v roce 2014 ženy ve věkové kategorii </w:t>
      </w:r>
      <w:r>
        <w:rPr>
          <w:rFonts w:ascii="Arial" w:hAnsi="Arial" w:cs="Arial"/>
          <w:i/>
          <w:iCs/>
          <w:color w:val="000000"/>
          <w:sz w:val="20"/>
          <w:szCs w:val="16"/>
        </w:rPr>
        <w:t> </w:t>
      </w:r>
      <w:r>
        <w:rPr>
          <w:rFonts w:ascii="Arial" w:hAnsi="Arial" w:cs="Arial"/>
          <w:i/>
          <w:iCs/>
          <w:color w:val="000000"/>
          <w:sz w:val="20"/>
          <w:szCs w:val="16"/>
        </w:rPr>
        <w:t>65</w:t>
      </w:r>
      <w:r w:rsidRPr="00E808BB">
        <w:rPr>
          <w:rFonts w:ascii="Arial" w:hAnsi="Arial" w:cs="Arial"/>
          <w:i/>
          <w:sz w:val="20"/>
          <w:szCs w:val="20"/>
        </w:rPr>
        <w:t>–</w:t>
      </w:r>
      <w:r>
        <w:rPr>
          <w:rFonts w:ascii="Arial" w:hAnsi="Arial" w:cs="Arial"/>
          <w:i/>
          <w:sz w:val="20"/>
          <w:szCs w:val="20"/>
        </w:rPr>
        <w:t>7</w:t>
      </w:r>
      <w:r>
        <w:rPr>
          <w:rFonts w:ascii="Arial" w:hAnsi="Arial" w:cs="Arial"/>
          <w:i/>
          <w:iCs/>
          <w:color w:val="000000"/>
          <w:sz w:val="20"/>
          <w:szCs w:val="16"/>
        </w:rPr>
        <w:t>4 let. Jednalo se o přibližně 6 % takto starých žen. V roce 2019 ale nejvyšší podíl denních konzumentek alkoholu zaznamenala až nejstarší věková kategorie, 75 a více let (6 % žen zde pilo alkoholické nápoje denně). Ve věku 65</w:t>
      </w:r>
      <w:r w:rsidRPr="00E808BB">
        <w:rPr>
          <w:rFonts w:ascii="Arial" w:hAnsi="Arial" w:cs="Arial"/>
          <w:i/>
          <w:sz w:val="20"/>
          <w:szCs w:val="20"/>
        </w:rPr>
        <w:t>–</w:t>
      </w:r>
      <w:r>
        <w:rPr>
          <w:rFonts w:ascii="Arial" w:hAnsi="Arial" w:cs="Arial"/>
          <w:i/>
          <w:iCs/>
          <w:color w:val="000000"/>
          <w:sz w:val="20"/>
          <w:szCs w:val="16"/>
        </w:rPr>
        <w:t>74 let se jednalo pouze o 4 % takto starých žen. Ve věku 75 a více let došlo u žen k navýšení denních konzumentek alkoholu o 3 procentní body.</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Rovněž v případě nárazového pití alkoholu (</w:t>
      </w:r>
      <w:r w:rsidRPr="00A648F8">
        <w:rPr>
          <w:rFonts w:ascii="Arial" w:hAnsi="Arial" w:cs="Arial"/>
          <w:i/>
          <w:iCs/>
          <w:color w:val="000000"/>
          <w:sz w:val="20"/>
          <w:szCs w:val="16"/>
        </w:rPr>
        <w:t xml:space="preserve">požití 60 g </w:t>
      </w:r>
      <w:r>
        <w:rPr>
          <w:rFonts w:ascii="Arial" w:hAnsi="Arial" w:cs="Arial"/>
          <w:i/>
          <w:iCs/>
          <w:color w:val="000000"/>
          <w:sz w:val="20"/>
          <w:szCs w:val="16"/>
        </w:rPr>
        <w:t xml:space="preserve">či více </w:t>
      </w:r>
      <w:r w:rsidRPr="00A648F8">
        <w:rPr>
          <w:rFonts w:ascii="Arial" w:hAnsi="Arial" w:cs="Arial"/>
          <w:i/>
          <w:iCs/>
          <w:color w:val="000000"/>
          <w:sz w:val="20"/>
          <w:szCs w:val="16"/>
        </w:rPr>
        <w:t>čistého</w:t>
      </w:r>
      <w:r>
        <w:rPr>
          <w:rFonts w:ascii="Arial" w:hAnsi="Arial" w:cs="Arial"/>
          <w:i/>
          <w:iCs/>
          <w:color w:val="000000"/>
          <w:sz w:val="20"/>
          <w:szCs w:val="16"/>
        </w:rPr>
        <w:t xml:space="preserve"> </w:t>
      </w:r>
      <w:r w:rsidRPr="00A648F8">
        <w:rPr>
          <w:rFonts w:ascii="Arial" w:hAnsi="Arial" w:cs="Arial"/>
          <w:i/>
          <w:iCs/>
          <w:color w:val="000000"/>
          <w:sz w:val="20"/>
          <w:szCs w:val="16"/>
        </w:rPr>
        <w:t>alkoholu při jedné příležitosti</w:t>
      </w:r>
      <w:r>
        <w:rPr>
          <w:rFonts w:ascii="Arial" w:hAnsi="Arial" w:cs="Arial"/>
          <w:i/>
          <w:iCs/>
          <w:color w:val="000000"/>
          <w:sz w:val="20"/>
          <w:szCs w:val="16"/>
        </w:rPr>
        <w:t xml:space="preserve"> alespoň jednou měsíčně) je vyšší podíl evidován celkově i v jednotlivých věkových kategoriích u mužů než u žen. Šlo o zhruba 30  % všech mužů a 12 % žen. Od věku 25 do 54 let představují podíly nárazových konzumentů většího množství alkoholu u mužů přibližně 35 procent ve všech těchto desetiletých věkových skupinách. Ženy mají tento podíl výrazně nižší, 14 - 17%.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Ve věku 64</w:t>
      </w:r>
      <w:r w:rsidRPr="00E808BB">
        <w:rPr>
          <w:rFonts w:ascii="Arial" w:hAnsi="Arial" w:cs="Arial"/>
          <w:i/>
          <w:sz w:val="20"/>
          <w:szCs w:val="20"/>
        </w:rPr>
        <w:t>–</w:t>
      </w:r>
      <w:r>
        <w:rPr>
          <w:rFonts w:ascii="Arial" w:hAnsi="Arial" w:cs="Arial"/>
          <w:i/>
          <w:iCs/>
          <w:color w:val="000000"/>
          <w:sz w:val="20"/>
          <w:szCs w:val="16"/>
        </w:rPr>
        <w:t xml:space="preserve">75 let tvořil podíl nárazových konzumentů alkoholu u mužů 22 %, což je čtyřikrát vyšší hodnota, než jaké dosahovaly stejně staré ženy. Obdobný poměr mezi muži a ženami potom vykazovala i kategorie 75 a více let, kde nárazovou konzumaci většího množství alkoholu potvrdilo 11 % mužů, ale jen 2 % žen.  </w:t>
      </w: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jc w:val="center"/>
        <w:rPr>
          <w:rFonts w:ascii="Arial" w:hAnsi="Arial" w:cs="Arial"/>
          <w:i/>
          <w:iCs/>
          <w:color w:val="000000"/>
          <w:sz w:val="20"/>
          <w:szCs w:val="16"/>
        </w:rPr>
      </w:pPr>
      <w:r>
        <w:rPr>
          <w:rFonts w:ascii="Arial" w:hAnsi="Arial" w:cs="Arial"/>
          <w:i/>
          <w:iCs/>
          <w:noProof/>
          <w:color w:val="000000"/>
          <w:sz w:val="20"/>
          <w:szCs w:val="16"/>
        </w:rPr>
        <w:drawing>
          <wp:inline distT="0" distB="0" distL="0" distR="0" wp14:anchorId="0961A548" wp14:editId="020E6CFD">
            <wp:extent cx="4564380" cy="2484120"/>
            <wp:effectExtent l="0" t="0" r="762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484120"/>
                    </a:xfrm>
                    <a:prstGeom prst="rect">
                      <a:avLst/>
                    </a:prstGeom>
                    <a:noFill/>
                  </pic:spPr>
                </pic:pic>
              </a:graphicData>
            </a:graphic>
          </wp:inline>
        </w:drawing>
      </w: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pStyle w:val="Nadpis1"/>
        <w:rPr>
          <w:color w:val="00B0F0"/>
          <w:szCs w:val="20"/>
        </w:rPr>
      </w:pPr>
    </w:p>
    <w:p w:rsidR="00425A12" w:rsidRPr="00870F46" w:rsidRDefault="00425A12" w:rsidP="00425A12">
      <w:pPr>
        <w:pStyle w:val="Nadpis1"/>
        <w:rPr>
          <w:color w:val="00B0F0"/>
          <w:szCs w:val="20"/>
        </w:rPr>
      </w:pPr>
      <w:r>
        <w:rPr>
          <w:color w:val="00B0F0"/>
          <w:szCs w:val="20"/>
        </w:rPr>
        <w:t>Podíl současných a bývalých denních kuřáků podle věku v roce 2019</w:t>
      </w:r>
    </w:p>
    <w:p w:rsidR="00425A12" w:rsidRPr="00870F46" w:rsidRDefault="00425A12" w:rsidP="00425A12">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w:t>
      </w:r>
      <w:r w:rsidRPr="00870F46">
        <w:rPr>
          <w:rFonts w:ascii="Arial" w:hAnsi="Arial" w:cs="Arial"/>
          <w:i/>
          <w:iCs/>
          <w:color w:val="000000"/>
          <w:sz w:val="20"/>
          <w:szCs w:val="20"/>
        </w:rPr>
        <w:t xml:space="preserve"> </w:t>
      </w:r>
      <w:r>
        <w:rPr>
          <w:rFonts w:ascii="Arial" w:hAnsi="Arial" w:cs="Arial"/>
          <w:i/>
          <w:iCs/>
          <w:color w:val="000000"/>
          <w:sz w:val="20"/>
          <w:szCs w:val="20"/>
        </w:rPr>
        <w:t>13 a, b</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425A12" w:rsidRDefault="00425A12" w:rsidP="00425A12">
      <w:pPr>
        <w:ind w:firstLine="567"/>
        <w:jc w:val="both"/>
        <w:rPr>
          <w:rFonts w:ascii="Arial" w:hAnsi="Arial" w:cs="Arial"/>
          <w:i/>
          <w:iCs/>
          <w:color w:val="FF0000"/>
          <w:sz w:val="20"/>
          <w:szCs w:val="16"/>
        </w:rPr>
      </w:pPr>
    </w:p>
    <w:p w:rsidR="00425A12" w:rsidRDefault="00425A12" w:rsidP="00425A12">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ÚZIS ČR, šetření EHIS 2019</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Muži kouří častěji, než ženy, a to opět celkově i ve všech sledovaných věkových kategoriích. Denně kouřilo tabákové výrobky zhruba 16 % všech žen a 24 % mužů. Oproti roku 2014 v případě žen nedošlo k téměř žádné změně, muži ale zaznamenali pokles o 4 procentní body.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Ve věku 25</w:t>
      </w:r>
      <w:r w:rsidRPr="00E808BB">
        <w:rPr>
          <w:rFonts w:ascii="Arial" w:hAnsi="Arial" w:cs="Arial"/>
          <w:i/>
          <w:sz w:val="20"/>
          <w:szCs w:val="20"/>
        </w:rPr>
        <w:t>–</w:t>
      </w:r>
      <w:r>
        <w:rPr>
          <w:rFonts w:ascii="Arial" w:hAnsi="Arial" w:cs="Arial"/>
          <w:i/>
          <w:iCs/>
          <w:color w:val="000000"/>
          <w:sz w:val="20"/>
          <w:szCs w:val="16"/>
        </w:rPr>
        <w:t xml:space="preserve">34 let kouřilo denně 28 % takto starých mužů, ale jen 20 % žen v této věkové kategorii. Opět zde můžeme u mužů sledovat pokles oproti roku 2014, a to o osm procentních bodů. U stejně starých žen naopak došlo k nárůstu o tři procentní body.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S rostoucím věkem se podíly denních kuřáků mezi ženami i muži sbližovaly. Ve věku 75 a více let kouřilo denně téměř 6 % mužů a 4 % žen.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Ve věkové kategorii 65</w:t>
      </w:r>
      <w:r w:rsidRPr="00E808BB">
        <w:rPr>
          <w:rFonts w:ascii="Arial" w:hAnsi="Arial" w:cs="Arial"/>
          <w:i/>
          <w:sz w:val="20"/>
          <w:szCs w:val="20"/>
        </w:rPr>
        <w:t>–</w:t>
      </w:r>
      <w:r>
        <w:rPr>
          <w:rFonts w:ascii="Arial" w:hAnsi="Arial" w:cs="Arial"/>
          <w:i/>
          <w:iCs/>
          <w:color w:val="000000"/>
          <w:sz w:val="20"/>
          <w:szCs w:val="16"/>
        </w:rPr>
        <w:t xml:space="preserve">74 let denně kouřilo 18 % takto starých mužů a 15 % žen. Zde se ve srovnání s rokem 2014 o 2,6 procentního bodu snížilo zastoupení denních kuřáků mezi muži a o 5 procentních bodů zvýšilo mezi ženami.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Zřejmě i pod vlivem antikuřácké legislativy, zejména zákazem kouření v restauracích, se podíly denních kuřáků snížily. Toto snížení se týká ale zejména mužů, a to hlavně ve vyšším věku.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Srovnáme-li podíly současných a bývalých denních kuřáků, celkově se příliš ani u jednoho pohlaví neliší. Výrazné změny v zastoupení jsou ovšem jak v nejmladší, tak v nejstarší věkové skupině.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Současní denní kuřáci měli ve věku 15</w:t>
      </w:r>
      <w:r w:rsidRPr="00E808BB">
        <w:rPr>
          <w:rFonts w:ascii="Arial" w:hAnsi="Arial" w:cs="Arial"/>
          <w:i/>
          <w:sz w:val="20"/>
          <w:szCs w:val="20"/>
        </w:rPr>
        <w:t>–</w:t>
      </w:r>
      <w:r>
        <w:rPr>
          <w:rFonts w:ascii="Arial" w:hAnsi="Arial" w:cs="Arial"/>
          <w:i/>
          <w:iCs/>
          <w:color w:val="000000"/>
          <w:sz w:val="20"/>
          <w:szCs w:val="16"/>
        </w:rPr>
        <w:t>24 let v případě žen desetiprocentní, v případě mužů pak dvacetiprocentní zastoupení. Bývalí denní kuřáci se naopak v tomto věku vyznačovali velice nízkým zastoupením (a to čtyřprocentním, jak mezi ženami, tak mezi muži).</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Jestli někde bývalí denní kuřáci dominovali, byli to muži ve věku od 65 let výše, kde jejich podíl převyšoval 40 % takto starých mužů. S tímto kontrastuje relativně nízký podíl současných denních kuřáků (pouze 18 % mužů ve věku 65</w:t>
      </w:r>
      <w:r w:rsidRPr="00E808BB">
        <w:rPr>
          <w:rFonts w:ascii="Arial" w:hAnsi="Arial" w:cs="Arial"/>
          <w:i/>
          <w:sz w:val="20"/>
          <w:szCs w:val="20"/>
        </w:rPr>
        <w:t>–</w:t>
      </w:r>
      <w:r>
        <w:rPr>
          <w:rFonts w:ascii="Arial" w:hAnsi="Arial" w:cs="Arial"/>
          <w:i/>
          <w:iCs/>
          <w:color w:val="000000"/>
          <w:sz w:val="20"/>
          <w:szCs w:val="16"/>
        </w:rPr>
        <w:t xml:space="preserve">74 let).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Podíl současných příležitostných kuřáků na celkové populaci je relativně nízký, a to 6% u obou pohlaví. Desetiprocentní hranici překročil pouze v případě mužů ve věku 25</w:t>
      </w:r>
      <w:r w:rsidRPr="00E808BB">
        <w:rPr>
          <w:rFonts w:ascii="Arial" w:hAnsi="Arial" w:cs="Arial"/>
          <w:i/>
          <w:sz w:val="20"/>
          <w:szCs w:val="20"/>
        </w:rPr>
        <w:t>–</w:t>
      </w:r>
      <w:r>
        <w:rPr>
          <w:rFonts w:ascii="Arial" w:hAnsi="Arial" w:cs="Arial"/>
          <w:i/>
          <w:iCs/>
          <w:color w:val="000000"/>
          <w:sz w:val="20"/>
          <w:szCs w:val="16"/>
        </w:rPr>
        <w:t>34 let (11 %).</w:t>
      </w: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jc w:val="center"/>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jc w:val="center"/>
        <w:rPr>
          <w:szCs w:val="16"/>
        </w:rPr>
      </w:pPr>
      <w:r>
        <w:rPr>
          <w:noProof/>
          <w:szCs w:val="16"/>
        </w:rPr>
        <w:drawing>
          <wp:inline distT="0" distB="0" distL="0" distR="0" wp14:anchorId="7E77D15D" wp14:editId="55A7EA7A">
            <wp:extent cx="4572000" cy="274320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jc w:val="center"/>
        <w:rPr>
          <w:szCs w:val="16"/>
        </w:rPr>
      </w:pPr>
      <w:r>
        <w:rPr>
          <w:noProof/>
          <w:szCs w:val="16"/>
        </w:rPr>
        <w:drawing>
          <wp:inline distT="0" distB="0" distL="0" distR="0" wp14:anchorId="25DB274F" wp14:editId="637FC522">
            <wp:extent cx="4046220" cy="30861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220" cy="3086100"/>
                    </a:xfrm>
                    <a:prstGeom prst="rect">
                      <a:avLst/>
                    </a:prstGeom>
                    <a:noFill/>
                  </pic:spPr>
                </pic:pic>
              </a:graphicData>
            </a:graphic>
          </wp:inline>
        </w:drawing>
      </w: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Pr="00870F46" w:rsidRDefault="00425A12" w:rsidP="00425A12">
      <w:pPr>
        <w:pStyle w:val="Nadpis1"/>
        <w:rPr>
          <w:color w:val="00B0F0"/>
          <w:szCs w:val="20"/>
        </w:rPr>
      </w:pPr>
      <w:r>
        <w:rPr>
          <w:color w:val="00B0F0"/>
          <w:szCs w:val="20"/>
        </w:rPr>
        <w:t>Podíl osob konzumujících ovoce a zeleninu denně podle věkových kategorií v roce 2019</w:t>
      </w:r>
    </w:p>
    <w:p w:rsidR="00425A12" w:rsidRPr="00870F46" w:rsidRDefault="00425A12" w:rsidP="00425A12">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w:t>
      </w:r>
      <w:r w:rsidRPr="00870F46">
        <w:rPr>
          <w:rFonts w:ascii="Arial" w:hAnsi="Arial" w:cs="Arial"/>
          <w:i/>
          <w:iCs/>
          <w:color w:val="000000"/>
          <w:sz w:val="20"/>
          <w:szCs w:val="20"/>
        </w:rPr>
        <w:t xml:space="preserve"> </w:t>
      </w:r>
      <w:r>
        <w:rPr>
          <w:rFonts w:ascii="Arial" w:hAnsi="Arial" w:cs="Arial"/>
          <w:i/>
          <w:iCs/>
          <w:color w:val="000000"/>
          <w:sz w:val="20"/>
          <w:szCs w:val="20"/>
        </w:rPr>
        <w:t>14</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425A12" w:rsidRDefault="00425A12" w:rsidP="00425A12">
      <w:pPr>
        <w:ind w:firstLine="567"/>
        <w:jc w:val="both"/>
        <w:rPr>
          <w:rFonts w:ascii="Arial" w:hAnsi="Arial" w:cs="Arial"/>
          <w:i/>
          <w:iCs/>
          <w:color w:val="FF0000"/>
          <w:sz w:val="20"/>
          <w:szCs w:val="16"/>
        </w:rPr>
      </w:pPr>
    </w:p>
    <w:p w:rsidR="00425A12" w:rsidRDefault="00425A12" w:rsidP="00425A12">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ÚZIS ČR, šetření EHIS 2019</w:t>
      </w:r>
    </w:p>
    <w:p w:rsidR="00425A12" w:rsidRPr="00B119D0" w:rsidRDefault="00425A12" w:rsidP="00425A12">
      <w:pPr>
        <w:ind w:firstLine="567"/>
        <w:jc w:val="both"/>
        <w:rPr>
          <w:rFonts w:ascii="Arial" w:hAnsi="Arial" w:cs="Arial"/>
          <w:color w:val="000000"/>
          <w:sz w:val="20"/>
          <w:szCs w:val="16"/>
        </w:rPr>
      </w:pPr>
      <w:r w:rsidRPr="00064646">
        <w:rPr>
          <w:rFonts w:ascii="Arial" w:hAnsi="Arial" w:cs="Arial"/>
          <w:color w:val="000000"/>
          <w:sz w:val="20"/>
          <w:szCs w:val="16"/>
        </w:rPr>
        <w:t>Za ovoce jsou zde považovány všechny druhy ovoce (včetně mraženého, kompotovaného, vylisovaného ovoce), vyjma ovocných džusů z koncentrátu.</w:t>
      </w:r>
      <w:r>
        <w:rPr>
          <w:rFonts w:ascii="Arial" w:hAnsi="Arial" w:cs="Arial"/>
          <w:color w:val="000000"/>
          <w:sz w:val="20"/>
          <w:szCs w:val="16"/>
        </w:rPr>
        <w:t xml:space="preserve"> </w:t>
      </w:r>
      <w:r w:rsidRPr="00064646">
        <w:rPr>
          <w:rFonts w:ascii="Arial" w:hAnsi="Arial" w:cs="Arial"/>
          <w:color w:val="000000"/>
          <w:sz w:val="20"/>
          <w:szCs w:val="16"/>
        </w:rPr>
        <w:t>Do zeleniny jsou zahrnuty zeleninové šťávy, zeleninové saláty, vyjma brambor a šťáv připravených z koncentrátu.</w:t>
      </w:r>
      <w:r>
        <w:rPr>
          <w:rFonts w:ascii="Arial" w:hAnsi="Arial" w:cs="Arial"/>
          <w:color w:val="000000"/>
          <w:sz w:val="20"/>
          <w:szCs w:val="16"/>
        </w:rPr>
        <w:t xml:space="preserve">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Jestliže u konzumace alkoholu a tabákových výrobků platilo, že muži oběma návykovým látkám holdovali častěji než ženy, v případě denní konzumace ovoce a zeleniny dominují ženy nad muži celkově i v jednotlivých věkových kategoriích. Životní styl žen je tedy zjevně zdravější, než mužů.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Ovoce denně konzumovala nadpoloviční většina žen, a to jak celkově, tak v jednotlivých desetiletých věkových kategoriích až do 74 let včetně. Pouze ve věkové skupině 75 a více let to bylo už jen 46 % žen.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U mužů podíl denních konzumentů ovoce nepřesáhl v žádné desetileté věkové kategorii 40 %. Celkově činil 36 %. Nejvyšší hodnoty dosáhl ve věku 75 a více let (40 %), nejnižší potom u mladých mužů ve věku 25</w:t>
      </w:r>
      <w:r w:rsidRPr="00E808BB">
        <w:rPr>
          <w:rFonts w:ascii="Arial" w:hAnsi="Arial" w:cs="Arial"/>
          <w:i/>
          <w:sz w:val="20"/>
          <w:szCs w:val="20"/>
        </w:rPr>
        <w:t>–</w:t>
      </w:r>
      <w:r>
        <w:rPr>
          <w:rFonts w:ascii="Arial" w:hAnsi="Arial" w:cs="Arial"/>
          <w:i/>
          <w:iCs/>
          <w:color w:val="000000"/>
          <w:sz w:val="20"/>
          <w:szCs w:val="16"/>
        </w:rPr>
        <w:t xml:space="preserve">34 let (32 %).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w:t>
      </w:r>
      <w:proofErr w:type="gramStart"/>
      <w:r>
        <w:rPr>
          <w:rFonts w:ascii="Arial" w:hAnsi="Arial" w:cs="Arial"/>
          <w:i/>
          <w:iCs/>
          <w:color w:val="000000"/>
          <w:sz w:val="20"/>
          <w:szCs w:val="16"/>
        </w:rPr>
        <w:t>Zastoupení</w:t>
      </w:r>
      <w:proofErr w:type="gramEnd"/>
      <w:r>
        <w:rPr>
          <w:rFonts w:ascii="Arial" w:hAnsi="Arial" w:cs="Arial"/>
          <w:i/>
          <w:iCs/>
          <w:color w:val="000000"/>
          <w:sz w:val="20"/>
          <w:szCs w:val="16"/>
        </w:rPr>
        <w:t xml:space="preserve"> žen i mužů, kteří každý den jedli zeleninu bylo o něco nižší, než v případě ovoce (49 % žen a 35 % </w:t>
      </w:r>
      <w:proofErr w:type="gramStart"/>
      <w:r>
        <w:rPr>
          <w:rFonts w:ascii="Arial" w:hAnsi="Arial" w:cs="Arial"/>
          <w:i/>
          <w:iCs/>
          <w:color w:val="000000"/>
          <w:sz w:val="20"/>
          <w:szCs w:val="16"/>
        </w:rPr>
        <w:t>mužů).</w:t>
      </w:r>
      <w:proofErr w:type="gramEnd"/>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jc w:val="center"/>
        <w:rPr>
          <w:rFonts w:ascii="Arial" w:hAnsi="Arial" w:cs="Arial"/>
          <w:i/>
          <w:iCs/>
          <w:color w:val="000000"/>
          <w:sz w:val="20"/>
          <w:szCs w:val="16"/>
        </w:rPr>
      </w:pPr>
      <w:r>
        <w:rPr>
          <w:rFonts w:ascii="Arial" w:hAnsi="Arial" w:cs="Arial"/>
          <w:i/>
          <w:iCs/>
          <w:noProof/>
          <w:color w:val="000000"/>
          <w:sz w:val="20"/>
          <w:szCs w:val="16"/>
        </w:rPr>
        <w:drawing>
          <wp:inline distT="0" distB="0" distL="0" distR="0" wp14:anchorId="37BA9579" wp14:editId="0C0520EC">
            <wp:extent cx="4572000" cy="28498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849880"/>
                    </a:xfrm>
                    <a:prstGeom prst="rect">
                      <a:avLst/>
                    </a:prstGeom>
                    <a:noFill/>
                  </pic:spPr>
                </pic:pic>
              </a:graphicData>
            </a:graphic>
          </wp:inline>
        </w:drawing>
      </w:r>
    </w:p>
    <w:p w:rsidR="00425A12" w:rsidRDefault="00425A12" w:rsidP="00425A12">
      <w:pPr>
        <w:autoSpaceDE w:val="0"/>
        <w:autoSpaceDN w:val="0"/>
        <w:adjustRightInd w:val="0"/>
        <w:rPr>
          <w:rFonts w:ascii="Arial" w:hAnsi="Arial" w:cs="Arial"/>
          <w:i/>
          <w:iCs/>
          <w:color w:val="000000"/>
          <w:sz w:val="20"/>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Default="00425A12" w:rsidP="00425A12">
      <w:pPr>
        <w:autoSpaceDE w:val="0"/>
        <w:autoSpaceDN w:val="0"/>
        <w:adjustRightInd w:val="0"/>
        <w:rPr>
          <w:szCs w:val="16"/>
        </w:rPr>
      </w:pPr>
    </w:p>
    <w:p w:rsidR="00425A12" w:rsidRPr="00870F46" w:rsidRDefault="00425A12" w:rsidP="00425A12">
      <w:pPr>
        <w:pStyle w:val="Nadpis1"/>
        <w:rPr>
          <w:color w:val="00B0F0"/>
          <w:szCs w:val="20"/>
        </w:rPr>
      </w:pPr>
      <w:proofErr w:type="spellStart"/>
      <w:r>
        <w:rPr>
          <w:color w:val="00B0F0"/>
          <w:szCs w:val="20"/>
        </w:rPr>
        <w:t>Preobezita</w:t>
      </w:r>
      <w:proofErr w:type="spellEnd"/>
      <w:r>
        <w:rPr>
          <w:color w:val="00B0F0"/>
          <w:szCs w:val="20"/>
        </w:rPr>
        <w:t xml:space="preserve"> a obezita </w:t>
      </w:r>
      <w:r>
        <w:rPr>
          <w:color w:val="00B0F0"/>
          <w:szCs w:val="20"/>
        </w:rPr>
        <w:t>podle pohlaví a věku</w:t>
      </w:r>
      <w:r>
        <w:rPr>
          <w:color w:val="00B0F0"/>
          <w:szCs w:val="20"/>
        </w:rPr>
        <w:t xml:space="preserve"> v roce 2019</w:t>
      </w:r>
    </w:p>
    <w:p w:rsidR="00425A12" w:rsidRPr="00870F46" w:rsidRDefault="00425A12" w:rsidP="00425A12">
      <w:pPr>
        <w:ind w:firstLine="567"/>
        <w:jc w:val="both"/>
        <w:rPr>
          <w:rFonts w:ascii="Arial" w:hAnsi="Arial" w:cs="Arial"/>
          <w:i/>
          <w:iCs/>
          <w:color w:val="000000"/>
          <w:sz w:val="20"/>
          <w:szCs w:val="20"/>
        </w:rPr>
      </w:pPr>
      <w:r w:rsidRPr="00870F46">
        <w:rPr>
          <w:rFonts w:ascii="Arial" w:hAnsi="Arial" w:cs="Arial"/>
          <w:i/>
          <w:iCs/>
          <w:color w:val="000000"/>
          <w:sz w:val="20"/>
          <w:szCs w:val="20"/>
        </w:rPr>
        <w:t>(</w:t>
      </w:r>
      <w:r>
        <w:rPr>
          <w:rFonts w:ascii="Arial" w:hAnsi="Arial" w:cs="Arial"/>
          <w:i/>
          <w:iCs/>
          <w:color w:val="000000"/>
          <w:sz w:val="20"/>
          <w:szCs w:val="20"/>
        </w:rPr>
        <w:t>Graf</w:t>
      </w:r>
      <w:r w:rsidRPr="00870F46">
        <w:rPr>
          <w:rFonts w:ascii="Arial" w:hAnsi="Arial" w:cs="Arial"/>
          <w:i/>
          <w:iCs/>
          <w:color w:val="000000"/>
          <w:sz w:val="20"/>
          <w:szCs w:val="20"/>
        </w:rPr>
        <w:t xml:space="preserve"> </w:t>
      </w:r>
      <w:r>
        <w:rPr>
          <w:rFonts w:ascii="Arial" w:hAnsi="Arial" w:cs="Arial"/>
          <w:i/>
          <w:iCs/>
          <w:color w:val="000000"/>
          <w:sz w:val="20"/>
          <w:szCs w:val="20"/>
        </w:rPr>
        <w:t>15</w:t>
      </w:r>
      <w:r w:rsidRPr="00A628F9">
        <w:rPr>
          <w:rFonts w:ascii="Arial" w:hAnsi="Arial" w:cs="Arial"/>
          <w:i/>
          <w:iCs/>
          <w:color w:val="000000"/>
          <w:sz w:val="20"/>
          <w:szCs w:val="20"/>
        </w:rPr>
        <w:t>)</w:t>
      </w:r>
      <w:r w:rsidRPr="00870F46">
        <w:rPr>
          <w:rFonts w:ascii="Arial" w:hAnsi="Arial" w:cs="Arial"/>
          <w:i/>
          <w:iCs/>
          <w:color w:val="000000"/>
          <w:sz w:val="20"/>
          <w:szCs w:val="20"/>
        </w:rPr>
        <w:t xml:space="preserve"> </w:t>
      </w:r>
    </w:p>
    <w:p w:rsidR="00425A12" w:rsidRDefault="00425A12" w:rsidP="00425A12">
      <w:pPr>
        <w:ind w:firstLine="567"/>
        <w:jc w:val="both"/>
        <w:rPr>
          <w:rFonts w:ascii="Arial" w:hAnsi="Arial" w:cs="Arial"/>
          <w:i/>
          <w:iCs/>
          <w:color w:val="FF0000"/>
          <w:sz w:val="20"/>
          <w:szCs w:val="16"/>
        </w:rPr>
      </w:pPr>
    </w:p>
    <w:p w:rsidR="00425A12" w:rsidRDefault="00425A12" w:rsidP="00425A12">
      <w:pPr>
        <w:ind w:firstLine="567"/>
        <w:jc w:val="both"/>
        <w:rPr>
          <w:rFonts w:ascii="Arial" w:hAnsi="Arial" w:cs="Arial"/>
          <w:color w:val="000000"/>
          <w:sz w:val="20"/>
          <w:szCs w:val="16"/>
        </w:rPr>
      </w:pPr>
      <w:r>
        <w:rPr>
          <w:rFonts w:ascii="Arial" w:hAnsi="Arial" w:cs="Arial"/>
          <w:i/>
          <w:iCs/>
          <w:color w:val="000000"/>
          <w:sz w:val="20"/>
          <w:szCs w:val="16"/>
        </w:rPr>
        <w:t xml:space="preserve">Zdroj: </w:t>
      </w:r>
      <w:r>
        <w:rPr>
          <w:rFonts w:ascii="Arial" w:hAnsi="Arial" w:cs="Arial"/>
          <w:color w:val="000000"/>
          <w:sz w:val="20"/>
          <w:szCs w:val="16"/>
        </w:rPr>
        <w:t>ÚZIS ČR, šetření EHIS</w:t>
      </w:r>
    </w:p>
    <w:p w:rsidR="00425A12" w:rsidRDefault="00425A12" w:rsidP="00425A12">
      <w:pPr>
        <w:autoSpaceDE w:val="0"/>
        <w:autoSpaceDN w:val="0"/>
        <w:adjustRightInd w:val="0"/>
        <w:rPr>
          <w:rFonts w:ascii="Arial" w:hAnsi="Arial" w:cs="Arial"/>
          <w:color w:val="000000"/>
          <w:sz w:val="20"/>
          <w:szCs w:val="16"/>
        </w:rPr>
      </w:pPr>
      <w:r w:rsidRPr="00D4183C">
        <w:rPr>
          <w:rFonts w:ascii="Arial" w:hAnsi="Arial" w:cs="Arial"/>
          <w:color w:val="000000"/>
          <w:sz w:val="20"/>
          <w:szCs w:val="16"/>
        </w:rPr>
        <w:t xml:space="preserve">BMI - Index tělesné hmotnosti (Body </w:t>
      </w:r>
      <w:proofErr w:type="spellStart"/>
      <w:r w:rsidRPr="00D4183C">
        <w:rPr>
          <w:rFonts w:ascii="Arial" w:hAnsi="Arial" w:cs="Arial"/>
          <w:color w:val="000000"/>
          <w:sz w:val="20"/>
          <w:szCs w:val="16"/>
        </w:rPr>
        <w:t>Mass</w:t>
      </w:r>
      <w:proofErr w:type="spellEnd"/>
      <w:r w:rsidRPr="00D4183C">
        <w:rPr>
          <w:rFonts w:ascii="Arial" w:hAnsi="Arial" w:cs="Arial"/>
          <w:color w:val="000000"/>
          <w:sz w:val="20"/>
          <w:szCs w:val="16"/>
        </w:rPr>
        <w:t xml:space="preserve"> Index) je počítán jako poměr hmotnosti (v kg) a druhé mocniny výšky (v metrech). Kategorie BMI (</w:t>
      </w:r>
      <w:r>
        <w:rPr>
          <w:rFonts w:ascii="Arial" w:hAnsi="Arial" w:cs="Arial"/>
          <w:color w:val="000000"/>
          <w:sz w:val="20"/>
          <w:szCs w:val="16"/>
        </w:rPr>
        <w:t xml:space="preserve">podváha, normální hmotnost, </w:t>
      </w:r>
      <w:proofErr w:type="spellStart"/>
      <w:r w:rsidRPr="00D4183C">
        <w:rPr>
          <w:rFonts w:ascii="Arial" w:hAnsi="Arial" w:cs="Arial"/>
          <w:color w:val="000000"/>
          <w:sz w:val="20"/>
          <w:szCs w:val="16"/>
        </w:rPr>
        <w:t>preobezita</w:t>
      </w:r>
      <w:proofErr w:type="spellEnd"/>
      <w:r w:rsidRPr="00D4183C">
        <w:rPr>
          <w:rFonts w:ascii="Arial" w:hAnsi="Arial" w:cs="Arial"/>
          <w:color w:val="000000"/>
          <w:sz w:val="20"/>
          <w:szCs w:val="16"/>
        </w:rPr>
        <w:t>, obezita) jsou vymezeny dle doporučení WHO.</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V předchozích grafech bylo názorně ukázáno, že muži častěji než ženy denně užívají alkohol i</w:t>
      </w:r>
      <w:r>
        <w:rPr>
          <w:rFonts w:ascii="Arial" w:hAnsi="Arial" w:cs="Arial"/>
          <w:i/>
          <w:iCs/>
          <w:color w:val="000000"/>
          <w:sz w:val="20"/>
          <w:szCs w:val="16"/>
        </w:rPr>
        <w:t> </w:t>
      </w:r>
      <w:bookmarkStart w:id="0" w:name="_GoBack"/>
      <w:bookmarkEnd w:id="0"/>
      <w:r>
        <w:rPr>
          <w:rFonts w:ascii="Arial" w:hAnsi="Arial" w:cs="Arial"/>
          <w:i/>
          <w:iCs/>
          <w:color w:val="000000"/>
          <w:sz w:val="20"/>
          <w:szCs w:val="16"/>
        </w:rPr>
        <w:t>tabákové výrobky, a méně často než ženy zařazují do svého každodenního jídelníčku ovoce a</w:t>
      </w:r>
      <w:r>
        <w:rPr>
          <w:rFonts w:ascii="Arial" w:hAnsi="Arial" w:cs="Arial"/>
          <w:i/>
          <w:iCs/>
          <w:color w:val="000000"/>
          <w:sz w:val="20"/>
          <w:szCs w:val="16"/>
        </w:rPr>
        <w:t> </w:t>
      </w:r>
      <w:r>
        <w:rPr>
          <w:rFonts w:ascii="Arial" w:hAnsi="Arial" w:cs="Arial"/>
          <w:i/>
          <w:iCs/>
          <w:color w:val="000000"/>
          <w:sz w:val="20"/>
          <w:szCs w:val="16"/>
        </w:rPr>
        <w:t>zeleninu. To samozřejmě přináší své následky v podobě v průměru horšího zdravotního stavu.</w:t>
      </w:r>
    </w:p>
    <w:p w:rsidR="00425A12" w:rsidRDefault="00425A12" w:rsidP="00425A12">
      <w:pPr>
        <w:autoSpaceDE w:val="0"/>
        <w:autoSpaceDN w:val="0"/>
        <w:adjustRightInd w:val="0"/>
        <w:rPr>
          <w:rFonts w:ascii="Arial" w:hAnsi="Arial" w:cs="Arial"/>
          <w:i/>
          <w:iCs/>
          <w:color w:val="000000"/>
          <w:sz w:val="20"/>
          <w:szCs w:val="16"/>
        </w:rPr>
      </w:pPr>
      <w:r w:rsidRPr="00D4183C">
        <w:rPr>
          <w:rFonts w:ascii="Arial" w:hAnsi="Arial" w:cs="Arial"/>
          <w:i/>
          <w:iCs/>
          <w:color w:val="000000"/>
          <w:sz w:val="20"/>
          <w:szCs w:val="16"/>
        </w:rPr>
        <w:t>Muži mají celkově výraznější p</w:t>
      </w:r>
      <w:r>
        <w:rPr>
          <w:rFonts w:ascii="Arial" w:hAnsi="Arial" w:cs="Arial"/>
          <w:i/>
          <w:iCs/>
          <w:color w:val="000000"/>
          <w:sz w:val="20"/>
          <w:szCs w:val="16"/>
        </w:rPr>
        <w:t>roblémy s nadváhou než ženy</w:t>
      </w:r>
      <w:r w:rsidRPr="00D4183C">
        <w:rPr>
          <w:rFonts w:ascii="Arial" w:hAnsi="Arial" w:cs="Arial"/>
          <w:i/>
          <w:iCs/>
          <w:color w:val="000000"/>
          <w:sz w:val="20"/>
          <w:szCs w:val="16"/>
        </w:rPr>
        <w:t>.</w:t>
      </w:r>
      <w:r w:rsidRPr="00D4183C">
        <w:t xml:space="preserve"> </w:t>
      </w:r>
      <w:r w:rsidRPr="00D4183C">
        <w:rPr>
          <w:rFonts w:ascii="Arial" w:hAnsi="Arial" w:cs="Arial"/>
          <w:i/>
          <w:iCs/>
          <w:color w:val="000000"/>
          <w:sz w:val="20"/>
          <w:szCs w:val="16"/>
        </w:rPr>
        <w:t xml:space="preserve">V případě obezity </w:t>
      </w:r>
      <w:r>
        <w:rPr>
          <w:rFonts w:ascii="Arial" w:hAnsi="Arial" w:cs="Arial"/>
          <w:i/>
          <w:iCs/>
          <w:color w:val="000000"/>
          <w:sz w:val="20"/>
          <w:szCs w:val="16"/>
        </w:rPr>
        <w:t xml:space="preserve">(BMI rovno nebo větší 30,0) </w:t>
      </w:r>
      <w:r w:rsidRPr="00D4183C">
        <w:rPr>
          <w:rFonts w:ascii="Arial" w:hAnsi="Arial" w:cs="Arial"/>
          <w:i/>
          <w:iCs/>
          <w:color w:val="000000"/>
          <w:sz w:val="20"/>
          <w:szCs w:val="16"/>
        </w:rPr>
        <w:t>jsou na tom ženy i muži podobně</w:t>
      </w:r>
      <w:r>
        <w:rPr>
          <w:rFonts w:ascii="Arial" w:hAnsi="Arial" w:cs="Arial"/>
          <w:i/>
          <w:iCs/>
          <w:color w:val="000000"/>
          <w:sz w:val="20"/>
          <w:szCs w:val="16"/>
        </w:rPr>
        <w:t xml:space="preserve"> pouze v nejstarší věkové skupině nad 75 let, jinak je ve všech věkových skupinách větší podíl obézních mužů než žen</w:t>
      </w:r>
      <w:r w:rsidRPr="00D4183C">
        <w:rPr>
          <w:rFonts w:ascii="Arial" w:hAnsi="Arial" w:cs="Arial"/>
          <w:i/>
          <w:iCs/>
          <w:color w:val="000000"/>
          <w:sz w:val="20"/>
          <w:szCs w:val="16"/>
        </w:rPr>
        <w:t>.</w:t>
      </w:r>
      <w:r>
        <w:rPr>
          <w:rFonts w:ascii="Arial" w:hAnsi="Arial" w:cs="Arial"/>
          <w:i/>
          <w:iCs/>
          <w:color w:val="000000"/>
          <w:sz w:val="20"/>
          <w:szCs w:val="16"/>
        </w:rPr>
        <w:t xml:space="preserve"> </w:t>
      </w:r>
      <w:r w:rsidRPr="00D4183C">
        <w:rPr>
          <w:rFonts w:ascii="Arial" w:hAnsi="Arial" w:cs="Arial"/>
          <w:i/>
          <w:iCs/>
          <w:color w:val="000000"/>
          <w:sz w:val="20"/>
          <w:szCs w:val="16"/>
        </w:rPr>
        <w:t xml:space="preserve">Výraznější rozdíly v obezitě podle věku jsou mezi oběma pohlavími </w:t>
      </w:r>
      <w:r>
        <w:rPr>
          <w:rFonts w:ascii="Arial" w:hAnsi="Arial" w:cs="Arial"/>
          <w:i/>
          <w:iCs/>
          <w:color w:val="000000"/>
          <w:sz w:val="20"/>
          <w:szCs w:val="16"/>
        </w:rPr>
        <w:t>ve věkové kategorii</w:t>
      </w:r>
      <w:r w:rsidRPr="00D4183C">
        <w:rPr>
          <w:rFonts w:ascii="Arial" w:hAnsi="Arial" w:cs="Arial"/>
          <w:i/>
          <w:iCs/>
          <w:color w:val="000000"/>
          <w:sz w:val="20"/>
          <w:szCs w:val="16"/>
        </w:rPr>
        <w:t xml:space="preserve"> 45</w:t>
      </w:r>
      <w:r w:rsidRPr="00E808BB">
        <w:rPr>
          <w:rFonts w:ascii="Arial" w:hAnsi="Arial" w:cs="Arial"/>
          <w:i/>
          <w:sz w:val="20"/>
          <w:szCs w:val="20"/>
        </w:rPr>
        <w:t>–</w:t>
      </w:r>
      <w:r w:rsidRPr="00D4183C">
        <w:rPr>
          <w:rFonts w:ascii="Arial" w:hAnsi="Arial" w:cs="Arial"/>
          <w:i/>
          <w:iCs/>
          <w:color w:val="000000"/>
          <w:sz w:val="20"/>
          <w:szCs w:val="16"/>
        </w:rPr>
        <w:t>54 let</w:t>
      </w:r>
      <w:r>
        <w:rPr>
          <w:rFonts w:ascii="Arial" w:hAnsi="Arial" w:cs="Arial"/>
          <w:i/>
          <w:iCs/>
          <w:color w:val="000000"/>
          <w:sz w:val="20"/>
          <w:szCs w:val="16"/>
        </w:rPr>
        <w:t xml:space="preserve">, kde podíl takto starých mužů trpících obezitou ze všech mužů v daném věku činil 26 %, tedy o deset procentních bodů více než už stejně starých žen. </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Nejvyšší podíl osob s </w:t>
      </w:r>
      <w:proofErr w:type="spellStart"/>
      <w:r>
        <w:rPr>
          <w:rFonts w:ascii="Arial" w:hAnsi="Arial" w:cs="Arial"/>
          <w:i/>
          <w:iCs/>
          <w:color w:val="000000"/>
          <w:sz w:val="20"/>
          <w:szCs w:val="16"/>
        </w:rPr>
        <w:t>preobezitou</w:t>
      </w:r>
      <w:proofErr w:type="spellEnd"/>
      <w:r>
        <w:rPr>
          <w:rFonts w:ascii="Arial" w:hAnsi="Arial" w:cs="Arial"/>
          <w:i/>
          <w:iCs/>
          <w:color w:val="000000"/>
          <w:sz w:val="20"/>
          <w:szCs w:val="16"/>
        </w:rPr>
        <w:t xml:space="preserve"> (BMI rovno 25,0 až 29,9) byl zaznamenán u mužů i žen ve věkové kategorii 65</w:t>
      </w:r>
      <w:r w:rsidRPr="00E808BB">
        <w:rPr>
          <w:rFonts w:ascii="Arial" w:hAnsi="Arial" w:cs="Arial"/>
          <w:i/>
          <w:sz w:val="20"/>
          <w:szCs w:val="20"/>
        </w:rPr>
        <w:t>–</w:t>
      </w:r>
      <w:r>
        <w:rPr>
          <w:rFonts w:ascii="Arial" w:hAnsi="Arial" w:cs="Arial"/>
          <w:i/>
          <w:iCs/>
          <w:color w:val="000000"/>
          <w:sz w:val="20"/>
          <w:szCs w:val="16"/>
        </w:rPr>
        <w:t xml:space="preserve">74 let. </w:t>
      </w:r>
      <w:proofErr w:type="spellStart"/>
      <w:r>
        <w:rPr>
          <w:rFonts w:ascii="Arial" w:hAnsi="Arial" w:cs="Arial"/>
          <w:i/>
          <w:iCs/>
          <w:color w:val="000000"/>
          <w:sz w:val="20"/>
          <w:szCs w:val="16"/>
        </w:rPr>
        <w:t>Preobezitou</w:t>
      </w:r>
      <w:proofErr w:type="spellEnd"/>
      <w:r>
        <w:rPr>
          <w:rFonts w:ascii="Arial" w:hAnsi="Arial" w:cs="Arial"/>
          <w:i/>
          <w:iCs/>
          <w:color w:val="000000"/>
          <w:sz w:val="20"/>
          <w:szCs w:val="16"/>
        </w:rPr>
        <w:t xml:space="preserve"> zde trpělo 44 % takto starých žen a 55 % mužů.</w:t>
      </w:r>
    </w:p>
    <w:p w:rsidR="00425A12" w:rsidRDefault="00425A12" w:rsidP="00425A12">
      <w:pPr>
        <w:autoSpaceDE w:val="0"/>
        <w:autoSpaceDN w:val="0"/>
        <w:adjustRightInd w:val="0"/>
        <w:rPr>
          <w:rFonts w:ascii="Arial" w:hAnsi="Arial" w:cs="Arial"/>
          <w:i/>
          <w:iCs/>
          <w:color w:val="000000"/>
          <w:sz w:val="20"/>
          <w:szCs w:val="16"/>
        </w:rPr>
      </w:pPr>
      <w:r>
        <w:rPr>
          <w:rFonts w:ascii="Arial" w:hAnsi="Arial" w:cs="Arial"/>
          <w:i/>
          <w:iCs/>
          <w:color w:val="000000"/>
          <w:sz w:val="20"/>
          <w:szCs w:val="16"/>
        </w:rPr>
        <w:t xml:space="preserve">  </w:t>
      </w:r>
    </w:p>
    <w:p w:rsidR="00425A12" w:rsidRDefault="00425A12" w:rsidP="00425A12">
      <w:pPr>
        <w:autoSpaceDE w:val="0"/>
        <w:autoSpaceDN w:val="0"/>
        <w:adjustRightInd w:val="0"/>
        <w:jc w:val="center"/>
        <w:rPr>
          <w:szCs w:val="16"/>
        </w:rPr>
      </w:pPr>
      <w:r>
        <w:rPr>
          <w:noProof/>
          <w:szCs w:val="16"/>
        </w:rPr>
        <w:drawing>
          <wp:inline distT="0" distB="0" distL="0" distR="0" wp14:anchorId="3BCCA8AB" wp14:editId="356F8508">
            <wp:extent cx="4564380" cy="27432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2743200"/>
                    </a:xfrm>
                    <a:prstGeom prst="rect">
                      <a:avLst/>
                    </a:prstGeom>
                    <a:noFill/>
                  </pic:spPr>
                </pic:pic>
              </a:graphicData>
            </a:graphic>
          </wp:inline>
        </w:drawing>
      </w:r>
    </w:p>
    <w:p w:rsidR="00425A12" w:rsidRDefault="00425A12" w:rsidP="00425A12">
      <w:pPr>
        <w:pStyle w:val="Bezmezer"/>
        <w:rPr>
          <w:rFonts w:ascii="Arial" w:hAnsi="Arial" w:cs="Arial"/>
        </w:rPr>
      </w:pPr>
    </w:p>
    <w:p w:rsidR="00D44F30" w:rsidRDefault="00D44F30"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F827CE" w:rsidRDefault="00F827CE" w:rsidP="00DA3C17">
      <w:pPr>
        <w:pStyle w:val="Bezmezer"/>
        <w:rPr>
          <w:rFonts w:ascii="Arial" w:hAnsi="Arial" w:cs="Arial"/>
        </w:rPr>
      </w:pPr>
    </w:p>
    <w:p w:rsidR="00C80A7C" w:rsidRPr="00311F8F" w:rsidRDefault="00C80A7C" w:rsidP="00C80A7C">
      <w:pPr>
        <w:pStyle w:val="Zkladntext"/>
        <w:ind w:firstLine="567"/>
        <w:jc w:val="center"/>
        <w:rPr>
          <w:rFonts w:ascii="Arial" w:hAnsi="Arial" w:cs="Arial"/>
          <w:iCs/>
          <w:sz w:val="20"/>
          <w:szCs w:val="20"/>
        </w:rPr>
      </w:pPr>
    </w:p>
    <w:p w:rsidR="00C80A7C" w:rsidRPr="00311F8F" w:rsidRDefault="00C80A7C" w:rsidP="005E1FD5">
      <w:pPr>
        <w:pStyle w:val="Bezmezer"/>
        <w:rPr>
          <w:rFonts w:ascii="Arial" w:hAnsi="Arial" w:cs="Arial"/>
          <w:sz w:val="20"/>
          <w:szCs w:val="20"/>
        </w:rPr>
      </w:pPr>
    </w:p>
    <w:sectPr w:rsidR="00C80A7C" w:rsidRPr="00311F8F" w:rsidSect="00FE3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5"/>
    <w:rsid w:val="00006E74"/>
    <w:rsid w:val="00034A27"/>
    <w:rsid w:val="00056055"/>
    <w:rsid w:val="000A43F5"/>
    <w:rsid w:val="000B0AED"/>
    <w:rsid w:val="000E0E1E"/>
    <w:rsid w:val="000E674F"/>
    <w:rsid w:val="0010376B"/>
    <w:rsid w:val="00113EA3"/>
    <w:rsid w:val="001679F2"/>
    <w:rsid w:val="00170E4E"/>
    <w:rsid w:val="00195BFD"/>
    <w:rsid w:val="001B5DB9"/>
    <w:rsid w:val="001C5B34"/>
    <w:rsid w:val="001C7169"/>
    <w:rsid w:val="001C73E4"/>
    <w:rsid w:val="00207E33"/>
    <w:rsid w:val="00227636"/>
    <w:rsid w:val="002572EE"/>
    <w:rsid w:val="00260292"/>
    <w:rsid w:val="00263BA1"/>
    <w:rsid w:val="00275CF2"/>
    <w:rsid w:val="0030316D"/>
    <w:rsid w:val="00311F8F"/>
    <w:rsid w:val="003611A3"/>
    <w:rsid w:val="00364F17"/>
    <w:rsid w:val="003733D0"/>
    <w:rsid w:val="00381EB7"/>
    <w:rsid w:val="0042021C"/>
    <w:rsid w:val="00425A12"/>
    <w:rsid w:val="004631E3"/>
    <w:rsid w:val="004721BB"/>
    <w:rsid w:val="004C5BDD"/>
    <w:rsid w:val="004D1342"/>
    <w:rsid w:val="004D7114"/>
    <w:rsid w:val="004E2141"/>
    <w:rsid w:val="00517F26"/>
    <w:rsid w:val="00531C5D"/>
    <w:rsid w:val="00536320"/>
    <w:rsid w:val="005372DE"/>
    <w:rsid w:val="00561DF4"/>
    <w:rsid w:val="00573001"/>
    <w:rsid w:val="00585854"/>
    <w:rsid w:val="0059751A"/>
    <w:rsid w:val="005A488A"/>
    <w:rsid w:val="005E1FD5"/>
    <w:rsid w:val="005F0EF9"/>
    <w:rsid w:val="0064603F"/>
    <w:rsid w:val="006C2C20"/>
    <w:rsid w:val="006D0E59"/>
    <w:rsid w:val="006F151A"/>
    <w:rsid w:val="00716689"/>
    <w:rsid w:val="007256EE"/>
    <w:rsid w:val="00727D33"/>
    <w:rsid w:val="00757A5D"/>
    <w:rsid w:val="007B2117"/>
    <w:rsid w:val="007B5A9B"/>
    <w:rsid w:val="007B7498"/>
    <w:rsid w:val="007C0D6B"/>
    <w:rsid w:val="007E3904"/>
    <w:rsid w:val="00815698"/>
    <w:rsid w:val="00825B57"/>
    <w:rsid w:val="00846CE0"/>
    <w:rsid w:val="008834EC"/>
    <w:rsid w:val="008A2CE8"/>
    <w:rsid w:val="008C37A3"/>
    <w:rsid w:val="008C52A6"/>
    <w:rsid w:val="008C5818"/>
    <w:rsid w:val="008F71F6"/>
    <w:rsid w:val="0090145E"/>
    <w:rsid w:val="00992964"/>
    <w:rsid w:val="009B3F74"/>
    <w:rsid w:val="009D3269"/>
    <w:rsid w:val="009D7E93"/>
    <w:rsid w:val="009E079A"/>
    <w:rsid w:val="009E5696"/>
    <w:rsid w:val="009E6DD4"/>
    <w:rsid w:val="009F050C"/>
    <w:rsid w:val="00A1546E"/>
    <w:rsid w:val="00A24931"/>
    <w:rsid w:val="00A278A4"/>
    <w:rsid w:val="00A56244"/>
    <w:rsid w:val="00A62603"/>
    <w:rsid w:val="00A86306"/>
    <w:rsid w:val="00A9768B"/>
    <w:rsid w:val="00B233A0"/>
    <w:rsid w:val="00B8271C"/>
    <w:rsid w:val="00B87C4E"/>
    <w:rsid w:val="00BA3F40"/>
    <w:rsid w:val="00BB0F84"/>
    <w:rsid w:val="00BC01E2"/>
    <w:rsid w:val="00C34D7D"/>
    <w:rsid w:val="00C379C6"/>
    <w:rsid w:val="00C80A7C"/>
    <w:rsid w:val="00C87D44"/>
    <w:rsid w:val="00C91C50"/>
    <w:rsid w:val="00C91C97"/>
    <w:rsid w:val="00C97C4F"/>
    <w:rsid w:val="00CC0A28"/>
    <w:rsid w:val="00CD1DE0"/>
    <w:rsid w:val="00CF30B8"/>
    <w:rsid w:val="00D01B70"/>
    <w:rsid w:val="00D049DE"/>
    <w:rsid w:val="00D13091"/>
    <w:rsid w:val="00D44F30"/>
    <w:rsid w:val="00D67CF3"/>
    <w:rsid w:val="00D73D1B"/>
    <w:rsid w:val="00DA1ED7"/>
    <w:rsid w:val="00DA3C17"/>
    <w:rsid w:val="00DB2EAC"/>
    <w:rsid w:val="00E02BE8"/>
    <w:rsid w:val="00E100E5"/>
    <w:rsid w:val="00E32548"/>
    <w:rsid w:val="00E63EDB"/>
    <w:rsid w:val="00E67961"/>
    <w:rsid w:val="00E76714"/>
    <w:rsid w:val="00E7715D"/>
    <w:rsid w:val="00E85C4E"/>
    <w:rsid w:val="00EA3697"/>
    <w:rsid w:val="00EE41EC"/>
    <w:rsid w:val="00F23A2E"/>
    <w:rsid w:val="00F26E2B"/>
    <w:rsid w:val="00F37C99"/>
    <w:rsid w:val="00F44479"/>
    <w:rsid w:val="00F60A2E"/>
    <w:rsid w:val="00F70918"/>
    <w:rsid w:val="00F73AD9"/>
    <w:rsid w:val="00F827CE"/>
    <w:rsid w:val="00F849CC"/>
    <w:rsid w:val="00F9444B"/>
    <w:rsid w:val="00FA3343"/>
    <w:rsid w:val="00FE0F23"/>
    <w:rsid w:val="00FE34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335A"/>
  <w15:docId w15:val="{DE05689B-B878-4101-A135-8E8161BD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74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B7498"/>
    <w:pPr>
      <w:keepNext/>
      <w:autoSpaceDE w:val="0"/>
      <w:autoSpaceDN w:val="0"/>
      <w:adjustRightInd w:val="0"/>
      <w:ind w:firstLine="567"/>
      <w:jc w:val="both"/>
      <w:outlineLvl w:val="0"/>
    </w:pPr>
    <w:rPr>
      <w:rFonts w:ascii="Arial" w:hAnsi="Arial" w:cs="Arial"/>
      <w:b/>
      <w:bCs/>
      <w:color w:val="00A9EC"/>
      <w:sz w:val="20"/>
      <w:szCs w:val="16"/>
    </w:rPr>
  </w:style>
  <w:style w:type="paragraph" w:styleId="Nadpis2">
    <w:name w:val="heading 2"/>
    <w:basedOn w:val="Normln"/>
    <w:next w:val="Normln"/>
    <w:link w:val="Nadpis2Char"/>
    <w:uiPriority w:val="9"/>
    <w:semiHidden/>
    <w:unhideWhenUsed/>
    <w:qFormat/>
    <w:rsid w:val="00D73D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1F8F"/>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1FD5"/>
    <w:pPr>
      <w:spacing w:after="0" w:line="240" w:lineRule="auto"/>
    </w:pPr>
  </w:style>
  <w:style w:type="paragraph" w:styleId="Textbubliny">
    <w:name w:val="Balloon Text"/>
    <w:basedOn w:val="Normln"/>
    <w:link w:val="TextbublinyChar"/>
    <w:uiPriority w:val="99"/>
    <w:semiHidden/>
    <w:unhideWhenUsed/>
    <w:rsid w:val="005E1FD5"/>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5E1FD5"/>
    <w:rPr>
      <w:rFonts w:ascii="Tahoma" w:hAnsi="Tahoma" w:cs="Tahoma"/>
      <w:sz w:val="16"/>
      <w:szCs w:val="16"/>
    </w:rPr>
  </w:style>
  <w:style w:type="character" w:customStyle="1" w:styleId="Nadpis1Char">
    <w:name w:val="Nadpis 1 Char"/>
    <w:basedOn w:val="Standardnpsmoodstavce"/>
    <w:link w:val="Nadpis1"/>
    <w:rsid w:val="007B7498"/>
    <w:rPr>
      <w:rFonts w:ascii="Arial" w:eastAsia="Times New Roman" w:hAnsi="Arial" w:cs="Arial"/>
      <w:b/>
      <w:bCs/>
      <w:color w:val="00A9EC"/>
      <w:sz w:val="20"/>
      <w:szCs w:val="16"/>
      <w:lang w:eastAsia="cs-CZ"/>
    </w:rPr>
  </w:style>
  <w:style w:type="paragraph" w:styleId="Zkladntextodsazen">
    <w:name w:val="Body Text Indent"/>
    <w:basedOn w:val="Normln"/>
    <w:link w:val="ZkladntextodsazenChar"/>
    <w:semiHidden/>
    <w:rsid w:val="007B7498"/>
    <w:pPr>
      <w:autoSpaceDE w:val="0"/>
      <w:autoSpaceDN w:val="0"/>
      <w:adjustRightInd w:val="0"/>
      <w:ind w:firstLine="567"/>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7B7498"/>
    <w:rPr>
      <w:rFonts w:ascii="Arial" w:eastAsia="Times New Roman" w:hAnsi="Arial" w:cs="Arial"/>
      <w:sz w:val="20"/>
      <w:szCs w:val="24"/>
      <w:lang w:eastAsia="cs-CZ"/>
    </w:rPr>
  </w:style>
  <w:style w:type="character" w:customStyle="1" w:styleId="Nadpis2Char">
    <w:name w:val="Nadpis 2 Char"/>
    <w:basedOn w:val="Standardnpsmoodstavce"/>
    <w:link w:val="Nadpis2"/>
    <w:uiPriority w:val="9"/>
    <w:semiHidden/>
    <w:rsid w:val="00D73D1B"/>
    <w:rPr>
      <w:rFonts w:asciiTheme="majorHAnsi" w:eastAsiaTheme="majorEastAsia" w:hAnsiTheme="majorHAnsi" w:cstheme="majorBidi"/>
      <w:b/>
      <w:bCs/>
      <w:color w:val="4F81BD" w:themeColor="accent1"/>
      <w:sz w:val="26"/>
      <w:szCs w:val="26"/>
      <w:lang w:eastAsia="cs-CZ"/>
    </w:rPr>
  </w:style>
  <w:style w:type="paragraph" w:styleId="Zkladntextodsazen2">
    <w:name w:val="Body Text Indent 2"/>
    <w:basedOn w:val="Normln"/>
    <w:link w:val="Zkladntextodsazen2Char"/>
    <w:uiPriority w:val="99"/>
    <w:semiHidden/>
    <w:unhideWhenUsed/>
    <w:rsid w:val="00DA3C1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A3C17"/>
    <w:rPr>
      <w:rFonts w:ascii="Times New Roman" w:eastAsia="Times New Roman" w:hAnsi="Times New Roman" w:cs="Times New Roman"/>
      <w:sz w:val="24"/>
      <w:szCs w:val="24"/>
      <w:lang w:eastAsia="cs-CZ"/>
    </w:rPr>
  </w:style>
  <w:style w:type="paragraph" w:customStyle="1" w:styleId="Normln0">
    <w:name w:val="Normln"/>
    <w:rsid w:val="00531C5D"/>
    <w:pPr>
      <w:autoSpaceDE w:val="0"/>
      <w:autoSpaceDN w:val="0"/>
      <w:adjustRightInd w:val="0"/>
      <w:spacing w:after="0" w:line="240" w:lineRule="auto"/>
    </w:pPr>
    <w:rPr>
      <w:rFonts w:ascii="MS Sans Serif" w:eastAsia="Times New Roman" w:hAnsi="MS Sans Serif" w:cs="Times New Roman"/>
      <w:sz w:val="24"/>
      <w:szCs w:val="24"/>
      <w:lang w:eastAsia="cs-CZ"/>
    </w:rPr>
  </w:style>
  <w:style w:type="paragraph" w:styleId="Normlnweb">
    <w:name w:val="Normal (Web)"/>
    <w:basedOn w:val="Normln"/>
    <w:uiPriority w:val="99"/>
    <w:semiHidden/>
    <w:rsid w:val="00531C5D"/>
    <w:pPr>
      <w:spacing w:before="100" w:beforeAutospacing="1" w:after="100" w:afterAutospacing="1"/>
    </w:pPr>
  </w:style>
  <w:style w:type="paragraph" w:styleId="Zkladntext">
    <w:name w:val="Body Text"/>
    <w:basedOn w:val="Normln"/>
    <w:link w:val="ZkladntextChar"/>
    <w:uiPriority w:val="99"/>
    <w:semiHidden/>
    <w:unhideWhenUsed/>
    <w:rsid w:val="00C80A7C"/>
    <w:pPr>
      <w:spacing w:after="120"/>
    </w:pPr>
  </w:style>
  <w:style w:type="character" w:customStyle="1" w:styleId="ZkladntextChar">
    <w:name w:val="Základní text Char"/>
    <w:basedOn w:val="Standardnpsmoodstavce"/>
    <w:link w:val="Zkladntext"/>
    <w:uiPriority w:val="99"/>
    <w:semiHidden/>
    <w:rsid w:val="00C80A7C"/>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311F8F"/>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436A-4874-4EA9-AD60-3B0F4DCE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1845</Words>
  <Characters>10891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Řezanka</dc:creator>
  <cp:lastModifiedBy>rezanka7131</cp:lastModifiedBy>
  <cp:revision>4</cp:revision>
  <cp:lastPrinted>2020-12-22T07:34:00Z</cp:lastPrinted>
  <dcterms:created xsi:type="dcterms:W3CDTF">2020-12-15T09:36:00Z</dcterms:created>
  <dcterms:modified xsi:type="dcterms:W3CDTF">2020-12-22T07:34:00Z</dcterms:modified>
</cp:coreProperties>
</file>