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7B62" w14:textId="7D079EB0" w:rsidR="00867569" w:rsidRDefault="007F6239" w:rsidP="00E42E00">
      <w:pPr>
        <w:pStyle w:val="Datum"/>
      </w:pPr>
      <w:r>
        <w:t>2</w:t>
      </w:r>
      <w:r w:rsidR="00AD5C35">
        <w:t>2</w:t>
      </w:r>
      <w:r w:rsidR="00F03815">
        <w:t>. </w:t>
      </w:r>
      <w:r w:rsidR="00AD5C35">
        <w:t>července</w:t>
      </w:r>
      <w:r>
        <w:t xml:space="preserve"> 202</w:t>
      </w:r>
      <w:r w:rsidR="00C0711F">
        <w:t>1</w:t>
      </w:r>
    </w:p>
    <w:p w14:paraId="0B263346" w14:textId="6DF01F67" w:rsidR="00867569" w:rsidRPr="00A56C80" w:rsidRDefault="000B7652" w:rsidP="00A56C80">
      <w:pPr>
        <w:pStyle w:val="Nzev"/>
      </w:pPr>
      <w:r>
        <w:t>Analýza sektorových účtů</w:t>
      </w:r>
      <w:r w:rsidR="00FF04D9">
        <w:t> </w:t>
      </w:r>
      <w:r w:rsidR="00FB7E0F">
        <w:t>–</w:t>
      </w:r>
      <w:r w:rsidR="00FF04D9">
        <w:t xml:space="preserve"> </w:t>
      </w:r>
      <w:r w:rsidR="00AD5C35">
        <w:t>1</w:t>
      </w:r>
      <w:r>
        <w:t>.</w:t>
      </w:r>
      <w:r w:rsidR="00F03815">
        <w:t> čtvrtlet</w:t>
      </w:r>
      <w:r>
        <w:t>í 202</w:t>
      </w:r>
      <w:r w:rsidR="00AD5C35">
        <w:t>1</w:t>
      </w:r>
    </w:p>
    <w:p w14:paraId="403B06AF" w14:textId="4AB0BF51" w:rsidR="002E5E99" w:rsidRDefault="00766670" w:rsidP="000302A6">
      <w:pPr>
        <w:pStyle w:val="Perex"/>
        <w:spacing w:after="120"/>
      </w:pPr>
      <w:r>
        <w:t>V 1.</w:t>
      </w:r>
      <w:r w:rsidR="00B13907">
        <w:t> čtvrtlet</w:t>
      </w:r>
      <w:r>
        <w:t xml:space="preserve">í přetrvávalo poměrně přísné nastavení opatření proti šíření </w:t>
      </w:r>
      <w:proofErr w:type="spellStart"/>
      <w:r>
        <w:t>koronaviru</w:t>
      </w:r>
      <w:proofErr w:type="spellEnd"/>
      <w:r>
        <w:t xml:space="preserve">. To znamenalo další ztráty v mnohých oborech služeb </w:t>
      </w:r>
      <w:r w:rsidR="00EF788F">
        <w:t>a </w:t>
      </w:r>
      <w:r>
        <w:t xml:space="preserve">obchodu. </w:t>
      </w:r>
      <w:r w:rsidR="00312162">
        <w:t>Potřeba stabilizace</w:t>
      </w:r>
      <w:r>
        <w:t xml:space="preserve"> ekonomiky </w:t>
      </w:r>
      <w:r w:rsidR="00EF788F">
        <w:t>i </w:t>
      </w:r>
      <w:r>
        <w:t xml:space="preserve">její zpomalení </w:t>
      </w:r>
      <w:r w:rsidR="00312162">
        <w:t xml:space="preserve">přinášely </w:t>
      </w:r>
      <w:r>
        <w:t xml:space="preserve">pokračující tlaky na hospodaření sektoru vládních institucí. Příjmy vládního sektoru stagnovaly, zatímco výdaje prudce rostly pod tlakem nákladů na stabilizační programy. Příjmy domácností </w:t>
      </w:r>
      <w:r w:rsidR="00EF788F">
        <w:t>i </w:t>
      </w:r>
      <w:r>
        <w:t>díky vládní podpoře celkově vzrostly, což spolu s utlumenou spotřebou vedlo k dalšímu prudkému navýšení úspor.</w:t>
      </w:r>
    </w:p>
    <w:p w14:paraId="284FBAAC" w14:textId="5B1D34A7" w:rsidR="00066E38" w:rsidRPr="007C4CFC" w:rsidRDefault="008F35E4" w:rsidP="000302A6">
      <w:pPr>
        <w:pStyle w:val="Nadpis1"/>
        <w:spacing w:after="120"/>
      </w:pPr>
      <w:r w:rsidRPr="007C4CFC">
        <w:t>Nefinanční podniky</w:t>
      </w:r>
    </w:p>
    <w:p w14:paraId="2CFF1591" w14:textId="46199C06" w:rsidR="00EF788F" w:rsidRDefault="001D5FDB" w:rsidP="009F7FD8">
      <w:pPr>
        <w:spacing w:after="120"/>
      </w:pPr>
      <w:r>
        <w:t>V 1.</w:t>
      </w:r>
      <w:r w:rsidR="00B13907">
        <w:t> čtvrtlet</w:t>
      </w:r>
      <w:r>
        <w:t xml:space="preserve">í 2021 pokračovala </w:t>
      </w:r>
      <w:proofErr w:type="spellStart"/>
      <w:r>
        <w:t>protipandemická</w:t>
      </w:r>
      <w:proofErr w:type="spellEnd"/>
      <w:r>
        <w:t xml:space="preserve"> opatření, která omezovala činnost v části obchodu </w:t>
      </w:r>
      <w:r w:rsidR="00EF788F">
        <w:t>a </w:t>
      </w:r>
      <w:r>
        <w:t xml:space="preserve">služeb. Na průmyslová odvětví opatření přímo nemířila. </w:t>
      </w:r>
      <w:r w:rsidR="0014432B">
        <w:t xml:space="preserve">Hrubá přidaná hodnota </w:t>
      </w:r>
      <w:r w:rsidR="008358E0">
        <w:t xml:space="preserve">(HPH) </w:t>
      </w:r>
      <w:r w:rsidR="0014432B">
        <w:t xml:space="preserve">se tak po třech čtvrtletích propadů meziročně nominálně zvýšila </w:t>
      </w:r>
      <w:r w:rsidR="00EF788F">
        <w:t>o </w:t>
      </w:r>
      <w:r w:rsidR="0014432B">
        <w:t>1,1</w:t>
      </w:r>
      <w:r w:rsidR="00B13907">
        <w:t> mld.</w:t>
      </w:r>
      <w:r w:rsidR="0014432B">
        <w:t xml:space="preserve"> korun</w:t>
      </w:r>
      <w:r w:rsidR="0014432B" w:rsidRPr="007C4CFC">
        <w:rPr>
          <w:rStyle w:val="Znakapoznpodarou"/>
        </w:rPr>
        <w:footnoteReference w:id="1"/>
      </w:r>
      <w:r w:rsidR="0014432B">
        <w:t>. Zčásti ale srovnávací základnu loňského roku ovlivnil nástup pandemie, což také přispělo k meziročně lepšímu výsledku.</w:t>
      </w:r>
      <w:r w:rsidR="008358E0">
        <w:t xml:space="preserve"> V 1.</w:t>
      </w:r>
      <w:r w:rsidR="00B13907">
        <w:t> čtvrtlet</w:t>
      </w:r>
      <w:r w:rsidR="008358E0">
        <w:t xml:space="preserve">í zmírnil meziroční růst cenové hladiny, ale </w:t>
      </w:r>
      <w:r w:rsidR="00EF788F">
        <w:t>i </w:t>
      </w:r>
      <w:r w:rsidR="008358E0">
        <w:t xml:space="preserve">tak zůstal poměrně silný </w:t>
      </w:r>
      <w:r w:rsidR="00EF788F">
        <w:t>a </w:t>
      </w:r>
      <w:r w:rsidR="008358E0">
        <w:t xml:space="preserve">reálný </w:t>
      </w:r>
      <w:r w:rsidR="00B817AE">
        <w:t xml:space="preserve">meziroční </w:t>
      </w:r>
      <w:r w:rsidR="008358E0">
        <w:t>pokles HPH činil 3,6</w:t>
      </w:r>
      <w:r w:rsidR="00B13907">
        <w:t> %</w:t>
      </w:r>
      <w:r w:rsidR="008358E0" w:rsidRPr="007C4CFC">
        <w:rPr>
          <w:rStyle w:val="Znakapoznpodarou"/>
          <w:spacing w:val="-2"/>
        </w:rPr>
        <w:footnoteReference w:id="2"/>
      </w:r>
      <w:r w:rsidR="0085193E">
        <w:t>, což je výrazně méně než v předchozích čtvrtletích</w:t>
      </w:r>
      <w:r w:rsidR="008358E0">
        <w:t>.</w:t>
      </w:r>
      <w:r w:rsidR="0085193E">
        <w:t xml:space="preserve"> </w:t>
      </w:r>
      <w:r w:rsidR="004943E1">
        <w:t xml:space="preserve">Podle sezónně očištěných údajů se ale HPH mezičtvrtletně zvýšila </w:t>
      </w:r>
      <w:r w:rsidR="00EF788F">
        <w:t>o </w:t>
      </w:r>
      <w:r w:rsidR="004943E1">
        <w:t>10,1</w:t>
      </w:r>
      <w:r w:rsidR="00B13907">
        <w:t> mld.</w:t>
      </w:r>
      <w:r w:rsidR="004943E1">
        <w:t xml:space="preserve"> korun</w:t>
      </w:r>
      <w:r w:rsidR="00861F45">
        <w:t xml:space="preserve"> (</w:t>
      </w:r>
      <w:r w:rsidR="002B67E8">
        <w:t>1,3</w:t>
      </w:r>
      <w:r w:rsidR="00B13907">
        <w:t> %</w:t>
      </w:r>
      <w:r w:rsidR="00861F45">
        <w:t>)</w:t>
      </w:r>
      <w:r w:rsidR="004943E1">
        <w:t>.</w:t>
      </w:r>
    </w:p>
    <w:p w14:paraId="62FD4DAA" w14:textId="23B2A547" w:rsidR="00227AD7" w:rsidRDefault="004943E1" w:rsidP="009F7FD8">
      <w:pPr>
        <w:spacing w:after="120"/>
      </w:pPr>
      <w:r>
        <w:t>M</w:t>
      </w:r>
      <w:r w:rsidR="0085193E">
        <w:t>eziroční pokles zaměstnanosti</w:t>
      </w:r>
      <w:r>
        <w:t xml:space="preserve"> v sektoru nefinančních podniků</w:t>
      </w:r>
      <w:r w:rsidR="003A5DC7">
        <w:t xml:space="preserve"> (NP) </w:t>
      </w:r>
      <w:r>
        <w:t xml:space="preserve">se zmírnil na </w:t>
      </w:r>
      <w:r w:rsidR="0085193E">
        <w:t>1,</w:t>
      </w:r>
      <w:r w:rsidR="002B67E8">
        <w:t>0</w:t>
      </w:r>
      <w:r w:rsidR="00B13907">
        <w:t> %</w:t>
      </w:r>
      <w:r w:rsidR="00227AD7" w:rsidRPr="007C4CFC">
        <w:rPr>
          <w:rStyle w:val="Znakapoznpodarou"/>
        </w:rPr>
        <w:footnoteReference w:id="3"/>
      </w:r>
      <w:r w:rsidR="0085193E">
        <w:t>.</w:t>
      </w:r>
      <w:r>
        <w:t xml:space="preserve"> </w:t>
      </w:r>
      <w:r w:rsidR="00A01EEF">
        <w:t>Objem vyplacených náhrad zaměstnancům v 1.</w:t>
      </w:r>
      <w:r w:rsidR="00B13907">
        <w:t> čtvrtlet</w:t>
      </w:r>
      <w:r w:rsidR="00A01EEF">
        <w:t xml:space="preserve">í meziročně klesl </w:t>
      </w:r>
      <w:r w:rsidR="00EF788F">
        <w:t>o </w:t>
      </w:r>
      <w:r w:rsidR="00A01EEF">
        <w:t>2,1</w:t>
      </w:r>
      <w:r w:rsidR="00B13907">
        <w:t> mld.</w:t>
      </w:r>
      <w:r w:rsidR="00A01EEF">
        <w:t xml:space="preserve"> </w:t>
      </w:r>
      <w:proofErr w:type="gramStart"/>
      <w:r w:rsidR="00A01EEF">
        <w:t>korun (</w:t>
      </w:r>
      <w:r w:rsidR="00EF788F">
        <w:t>–</w:t>
      </w:r>
      <w:r w:rsidR="00A01EEF">
        <w:t>0,5</w:t>
      </w:r>
      <w:proofErr w:type="gramEnd"/>
      <w:r w:rsidR="00A01EEF">
        <w:t> %).</w:t>
      </w:r>
      <w:r w:rsidR="008242CC">
        <w:t xml:space="preserve"> Přitom se objem </w:t>
      </w:r>
      <w:r>
        <w:t xml:space="preserve">samotných </w:t>
      </w:r>
      <w:r w:rsidR="008242CC">
        <w:t xml:space="preserve">mezd </w:t>
      </w:r>
      <w:r w:rsidR="00EF788F">
        <w:t>a </w:t>
      </w:r>
      <w:r w:rsidR="008242CC">
        <w:t xml:space="preserve">platů snížil </w:t>
      </w:r>
      <w:r w:rsidR="00EF788F">
        <w:t>o </w:t>
      </w:r>
      <w:r w:rsidR="008242CC">
        <w:t>14,1</w:t>
      </w:r>
      <w:r w:rsidR="00B13907">
        <w:t> mld.</w:t>
      </w:r>
      <w:r w:rsidR="008242CC">
        <w:t xml:space="preserve"> </w:t>
      </w:r>
      <w:proofErr w:type="gramStart"/>
      <w:r w:rsidR="008242CC">
        <w:t>korun (</w:t>
      </w:r>
      <w:r w:rsidR="00EF788F">
        <w:t>–</w:t>
      </w:r>
      <w:r w:rsidR="008242CC">
        <w:t>4,0</w:t>
      </w:r>
      <w:proofErr w:type="gramEnd"/>
      <w:r w:rsidR="00B13907">
        <w:t> %</w:t>
      </w:r>
      <w:r w:rsidR="008242CC">
        <w:t xml:space="preserve">) </w:t>
      </w:r>
      <w:r w:rsidR="00EF788F">
        <w:t>a </w:t>
      </w:r>
      <w:r w:rsidR="008242CC">
        <w:t xml:space="preserve">sociální příspěvky zaměstnavatelů narostly </w:t>
      </w:r>
      <w:r w:rsidR="00EF788F">
        <w:t>o </w:t>
      </w:r>
      <w:r w:rsidR="008242CC">
        <w:t>12,0</w:t>
      </w:r>
      <w:r w:rsidR="00B13907">
        <w:t> mld.</w:t>
      </w:r>
      <w:r w:rsidR="008242CC">
        <w:t xml:space="preserve"> (11,6</w:t>
      </w:r>
      <w:r w:rsidR="00B13907">
        <w:t> %</w:t>
      </w:r>
      <w:r w:rsidR="008242CC">
        <w:t>). Sociální příspěvky totiž</w:t>
      </w:r>
      <w:r w:rsidR="00491236">
        <w:t xml:space="preserve"> zahrnují </w:t>
      </w:r>
      <w:r w:rsidR="00491236" w:rsidRPr="007C4CFC">
        <w:t>prostředky v rámci programu Antivirus</w:t>
      </w:r>
      <w:r w:rsidR="00491236">
        <w:t xml:space="preserve">, které </w:t>
      </w:r>
      <w:r w:rsidR="008242CC">
        <w:t>kompenzov</w:t>
      </w:r>
      <w:r w:rsidR="00491236">
        <w:t>aly výpadek samotných mezd.</w:t>
      </w:r>
      <w:r w:rsidR="00701DA6">
        <w:t xml:space="preserve"> Objem dotací v 1.</w:t>
      </w:r>
      <w:r w:rsidR="00B13907">
        <w:t> čtvrtlet</w:t>
      </w:r>
      <w:r w:rsidR="00701DA6">
        <w:t>í meziročně výrazně vzrostl (+23,8</w:t>
      </w:r>
      <w:r w:rsidR="00B13907">
        <w:t> mld.</w:t>
      </w:r>
      <w:r w:rsidR="00701DA6">
        <w:t xml:space="preserve"> korun) </w:t>
      </w:r>
      <w:r w:rsidR="00EF788F">
        <w:t>a </w:t>
      </w:r>
      <w:r w:rsidR="00701DA6">
        <w:t>dosáhl 41,7</w:t>
      </w:r>
      <w:r w:rsidR="00B13907">
        <w:t> mld.</w:t>
      </w:r>
      <w:r w:rsidR="00701DA6">
        <w:t xml:space="preserve"> V 1.</w:t>
      </w:r>
      <w:r w:rsidR="00B13907">
        <w:t> čtvrtlet</w:t>
      </w:r>
      <w:r w:rsidR="00701DA6">
        <w:t xml:space="preserve">í </w:t>
      </w:r>
      <w:r w:rsidR="00DC6E28">
        <w:t>2021</w:t>
      </w:r>
      <w:r w:rsidR="00701DA6">
        <w:t xml:space="preserve"> položka dotací</w:t>
      </w:r>
      <w:r w:rsidR="00DC6E28">
        <w:t xml:space="preserve"> výrazně převyšovala obvyklou úroveň 1.</w:t>
      </w:r>
      <w:r w:rsidR="00B13907">
        <w:t> kvartál</w:t>
      </w:r>
      <w:r w:rsidR="00DC6E28">
        <w:t xml:space="preserve">u, protože </w:t>
      </w:r>
      <w:r w:rsidR="00911AC8">
        <w:t>obsahovala prostředky vládní podpory</w:t>
      </w:r>
      <w:r w:rsidR="00701DA6" w:rsidRPr="007C4CFC">
        <w:rPr>
          <w:rStyle w:val="Znakapoznpodarou"/>
        </w:rPr>
        <w:footnoteReference w:id="4"/>
      </w:r>
      <w:r w:rsidR="00911AC8">
        <w:t>.</w:t>
      </w:r>
    </w:p>
    <w:p w14:paraId="1ABEEE08" w14:textId="35728A32" w:rsidR="00911AC8" w:rsidRDefault="00911AC8" w:rsidP="009F7FD8">
      <w:pPr>
        <w:spacing w:after="120"/>
      </w:pPr>
      <w:r>
        <w:t xml:space="preserve">Hrubý provozní přebytek </w:t>
      </w:r>
      <w:r w:rsidR="00E017FD">
        <w:t xml:space="preserve">(HPP) </w:t>
      </w:r>
      <w:r>
        <w:t xml:space="preserve">byl </w:t>
      </w:r>
      <w:r w:rsidR="0076719B">
        <w:t xml:space="preserve">díky vysokému přírůstku dotací </w:t>
      </w:r>
      <w:r>
        <w:t>v 1.</w:t>
      </w:r>
      <w:r w:rsidR="00B13907">
        <w:t> čtvrtlet</w:t>
      </w:r>
      <w:r>
        <w:t xml:space="preserve">í </w:t>
      </w:r>
      <w:r w:rsidR="0076719B">
        <w:t xml:space="preserve">meziročně vyšší </w:t>
      </w:r>
      <w:r w:rsidR="00EF788F">
        <w:t>o </w:t>
      </w:r>
      <w:r w:rsidR="0076719B">
        <w:t xml:space="preserve">27,2 mld. korun </w:t>
      </w:r>
      <w:r w:rsidR="00EF788F">
        <w:t>a </w:t>
      </w:r>
      <w:r w:rsidR="0076719B">
        <w:t>dosáhl 360,4</w:t>
      </w:r>
      <w:r w:rsidR="00B13907">
        <w:t> mld.</w:t>
      </w:r>
      <w:r w:rsidR="0076719B">
        <w:t xml:space="preserve"> </w:t>
      </w:r>
      <w:r w:rsidR="00863D68">
        <w:t>Meziroční navýšení HPP bylo nejvyšší od 4.</w:t>
      </w:r>
      <w:r w:rsidR="00B13907">
        <w:t> čtvrtlet</w:t>
      </w:r>
      <w:r w:rsidR="00863D68">
        <w:t>í 2019.</w:t>
      </w:r>
      <w:r w:rsidR="004943E1">
        <w:t xml:space="preserve"> Na zvýšení je ale třeba pohlížet jako na důsledek netypické situace.</w:t>
      </w:r>
      <w:r w:rsidR="00863D68">
        <w:t xml:space="preserve"> </w:t>
      </w:r>
      <w:r w:rsidR="0076719B">
        <w:t>Výsledná míra zisku nefinančních podniků</w:t>
      </w:r>
      <w:r w:rsidR="0076719B" w:rsidRPr="007C4CFC">
        <w:rPr>
          <w:rStyle w:val="Znakapoznpodarou"/>
        </w:rPr>
        <w:footnoteReference w:id="5"/>
      </w:r>
      <w:r w:rsidR="0076719B">
        <w:t xml:space="preserve"> </w:t>
      </w:r>
      <w:r w:rsidR="00FF7B39">
        <w:t>se</w:t>
      </w:r>
      <w:r w:rsidR="004943E1">
        <w:t xml:space="preserve"> </w:t>
      </w:r>
      <w:r w:rsidR="0076719B">
        <w:t xml:space="preserve">mezičtvrtletně zvýšila </w:t>
      </w:r>
      <w:r w:rsidR="00EF788F">
        <w:t>o </w:t>
      </w:r>
      <w:r w:rsidR="0076719B">
        <w:t>0,7</w:t>
      </w:r>
      <w:r w:rsidR="00B13907">
        <w:t> p. b.</w:t>
      </w:r>
      <w:r w:rsidR="0076719B">
        <w:t xml:space="preserve"> </w:t>
      </w:r>
      <w:proofErr w:type="gramStart"/>
      <w:r w:rsidR="0076719B">
        <w:t>na</w:t>
      </w:r>
      <w:proofErr w:type="gramEnd"/>
      <w:r w:rsidR="0076719B">
        <w:t xml:space="preserve"> 46,4</w:t>
      </w:r>
      <w:r w:rsidR="00B13907">
        <w:t> %</w:t>
      </w:r>
      <w:r w:rsidR="0076719B">
        <w:t xml:space="preserve"> (</w:t>
      </w:r>
      <w:r w:rsidR="002F19E2">
        <w:t>sezónně očištěno</w:t>
      </w:r>
      <w:r w:rsidR="0076719B">
        <w:t>)</w:t>
      </w:r>
      <w:r w:rsidR="002F19E2">
        <w:t xml:space="preserve">. To je nejvíce od konce roku 2017. Meziročně se míra zisku zvýšila </w:t>
      </w:r>
      <w:r w:rsidR="00EF788F">
        <w:t>o </w:t>
      </w:r>
      <w:r w:rsidR="002F19E2">
        <w:t>3,</w:t>
      </w:r>
      <w:r w:rsidR="00EF788F">
        <w:t>4 </w:t>
      </w:r>
      <w:r w:rsidR="002F19E2">
        <w:t>p.</w:t>
      </w:r>
      <w:r w:rsidR="004943E1">
        <w:t> </w:t>
      </w:r>
      <w:r w:rsidR="002F19E2">
        <w:t>b. (sezónně neočištěno).</w:t>
      </w:r>
    </w:p>
    <w:p w14:paraId="4F864ED9" w14:textId="77777777" w:rsidR="00FF7B39" w:rsidRPr="00B13907" w:rsidRDefault="00FF7B39" w:rsidP="007B7E54">
      <w:pPr>
        <w:pStyle w:val="TabulkaGraf"/>
        <w:jc w:val="both"/>
        <w:rPr>
          <w:b w:val="0"/>
          <w:bCs w:val="0"/>
        </w:rPr>
      </w:pPr>
    </w:p>
    <w:p w14:paraId="3A1FC6F0" w14:textId="2994E0F1" w:rsidR="007B7E54" w:rsidRPr="007C4CFC" w:rsidRDefault="007F6239" w:rsidP="007B7E54">
      <w:pPr>
        <w:pStyle w:val="TabulkaGraf"/>
        <w:jc w:val="both"/>
      </w:pPr>
      <w:r w:rsidRPr="007C4CFC">
        <w:lastRenderedPageBreak/>
        <w:t>G</w:t>
      </w:r>
      <w:r w:rsidR="002E6F00" w:rsidRPr="007C4CFC">
        <w:t>raf </w:t>
      </w:r>
      <w:r w:rsidRPr="007C4CFC">
        <w:t xml:space="preserve">1: Meziroční nominální přírůstek HPH </w:t>
      </w:r>
      <w:r w:rsidR="00F03815" w:rsidRPr="007C4CFC">
        <w:t>a </w:t>
      </w:r>
      <w:r w:rsidRPr="007C4CFC">
        <w:t>náhrad zaměstnancům (v</w:t>
      </w:r>
      <w:r w:rsidR="00840938" w:rsidRPr="007C4CFC">
        <w:t> mld.</w:t>
      </w:r>
      <w:r w:rsidRPr="007C4CFC">
        <w:t xml:space="preserve"> korun), míra zisku (sezónně očištěno, v</w:t>
      </w:r>
      <w:r w:rsidR="00840938" w:rsidRPr="007C4CFC">
        <w:t> %</w:t>
      </w:r>
      <w:r w:rsidRPr="007C4CFC">
        <w:t>)</w:t>
      </w:r>
    </w:p>
    <w:p w14:paraId="54DDBBA8" w14:textId="692329BF" w:rsidR="007B7E54" w:rsidRPr="00CF1E81" w:rsidRDefault="008124B8" w:rsidP="007B7E54">
      <w:pPr>
        <w:pStyle w:val="TabulkaGraf"/>
        <w:jc w:val="center"/>
        <w:rPr>
          <w:b w:val="0"/>
          <w:bCs w:val="0"/>
        </w:rPr>
      </w:pPr>
      <w:r>
        <w:rPr>
          <w:noProof/>
          <w:lang w:eastAsia="cs-CZ"/>
        </w:rPr>
        <w:drawing>
          <wp:inline distT="0" distB="0" distL="0" distR="0" wp14:anchorId="419DC677" wp14:editId="7793F80F">
            <wp:extent cx="4737600" cy="2880000"/>
            <wp:effectExtent l="0" t="0" r="635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972F0E" w14:textId="701FAE64" w:rsidR="00941335" w:rsidRPr="007C4CFC" w:rsidRDefault="00941335" w:rsidP="009F7FD8">
      <w:pPr>
        <w:spacing w:after="120"/>
      </w:pPr>
      <w:r w:rsidRPr="007C4CFC">
        <w:t>Zdroj: ČSÚ, národní účty</w:t>
      </w:r>
    </w:p>
    <w:p w14:paraId="665A89B3" w14:textId="3E2609F5" w:rsidR="00EF788F" w:rsidRDefault="00861F45" w:rsidP="009F7FD8">
      <w:pPr>
        <w:spacing w:after="120"/>
      </w:pPr>
      <w:r>
        <w:t>Deficit důchodů z</w:t>
      </w:r>
      <w:r w:rsidR="00CF1E81">
        <w:t> </w:t>
      </w:r>
      <w:r>
        <w:t>vlastnictví</w:t>
      </w:r>
      <w:r w:rsidR="00CF1E81">
        <w:t> </w:t>
      </w:r>
      <w:r w:rsidR="003A5DC7">
        <w:t>nefinančních podniků</w:t>
      </w:r>
      <w:r>
        <w:t xml:space="preserve"> se v 1.</w:t>
      </w:r>
      <w:r w:rsidR="00B13907">
        <w:t> čtvrtlet</w:t>
      </w:r>
      <w:r>
        <w:t xml:space="preserve">í meziročně prohloubil </w:t>
      </w:r>
      <w:r w:rsidR="00EF788F">
        <w:t>o </w:t>
      </w:r>
      <w:r>
        <w:t>10,7</w:t>
      </w:r>
      <w:r w:rsidR="00B13907">
        <w:t> mld.</w:t>
      </w:r>
      <w:r>
        <w:t xml:space="preserve"> korun na 85,9 mld. Zatímco na straně zdrojů se objem důchodů z vlastnictví meziročně téměř nezměnil</w:t>
      </w:r>
      <w:r w:rsidR="000F6F36">
        <w:t xml:space="preserve"> (mírný nárůst přijatých rozdělovaných důchodů společností kompenzoval pokles obdržených úroků)</w:t>
      </w:r>
      <w:r>
        <w:t xml:space="preserve">, na straně užití došlo k nárůstu </w:t>
      </w:r>
      <w:r w:rsidR="00EF788F">
        <w:t>o </w:t>
      </w:r>
      <w:r>
        <w:t>10,7</w:t>
      </w:r>
      <w:r w:rsidR="00B13907">
        <w:t> mld.</w:t>
      </w:r>
      <w:r>
        <w:t xml:space="preserve"> korun. Navýšily se především rozdělované důchody společností, které </w:t>
      </w:r>
      <w:r w:rsidR="003A5DC7">
        <w:t>NP</w:t>
      </w:r>
      <w:r>
        <w:t xml:space="preserve"> musely vyplatit (+18,7</w:t>
      </w:r>
      <w:r w:rsidR="00B13907">
        <w:t> mld.</w:t>
      </w:r>
      <w:r>
        <w:t xml:space="preserve"> korun), naopak vyplacené úroky meziročně klesly </w:t>
      </w:r>
      <w:r w:rsidR="00EF788F">
        <w:t>o </w:t>
      </w:r>
      <w:r>
        <w:t>5,8</w:t>
      </w:r>
      <w:r w:rsidR="00B13907">
        <w:t> mld.</w:t>
      </w:r>
      <w:r>
        <w:t xml:space="preserve"> </w:t>
      </w:r>
      <w:r w:rsidR="000F6F36">
        <w:t xml:space="preserve">Poklesl </w:t>
      </w:r>
      <w:r w:rsidR="00EF788F">
        <w:t>i </w:t>
      </w:r>
      <w:r w:rsidR="000F6F36">
        <w:t xml:space="preserve">objem reinvestovaných zisků z přímých zahraničních </w:t>
      </w:r>
      <w:proofErr w:type="gramStart"/>
      <w:r w:rsidR="000F6F36">
        <w:t>investic (</w:t>
      </w:r>
      <w:r w:rsidR="00EF788F">
        <w:t>–</w:t>
      </w:r>
      <w:r w:rsidR="000F6F36">
        <w:t>1,8</w:t>
      </w:r>
      <w:proofErr w:type="gramEnd"/>
      <w:r w:rsidR="00B13907">
        <w:t> mld.</w:t>
      </w:r>
      <w:r w:rsidR="000F6F36">
        <w:t xml:space="preserve"> korun).</w:t>
      </w:r>
    </w:p>
    <w:p w14:paraId="47DE5D5F" w14:textId="6FDF3075" w:rsidR="00EF788F" w:rsidRDefault="006D08B9" w:rsidP="009F7FD8">
      <w:pPr>
        <w:spacing w:after="120"/>
      </w:pPr>
      <w:r>
        <w:t>Záporné saldo d</w:t>
      </w:r>
      <w:r w:rsidR="00FB6BCB">
        <w:t>ruhotn</w:t>
      </w:r>
      <w:r>
        <w:t>ých</w:t>
      </w:r>
      <w:r w:rsidR="00FB6BCB">
        <w:t xml:space="preserve"> důchod</w:t>
      </w:r>
      <w:r>
        <w:t>ů se v 1.</w:t>
      </w:r>
      <w:r w:rsidR="00B13907">
        <w:t> čtvrtlet</w:t>
      </w:r>
      <w:r>
        <w:t xml:space="preserve">í meziročně zmírnilo </w:t>
      </w:r>
      <w:r w:rsidR="00EF788F">
        <w:t>o </w:t>
      </w:r>
      <w:r>
        <w:t>1,4</w:t>
      </w:r>
      <w:r w:rsidR="00B13907">
        <w:t> mld.</w:t>
      </w:r>
      <w:r>
        <w:t xml:space="preserve"> korun na 38,6 mld.</w:t>
      </w:r>
      <w:r w:rsidR="00FB11E5">
        <w:t xml:space="preserve"> Obdržené prostředky z podpůrných programů nadále výrazně zvyšovaly položku sociálních příspěvků nad její obvyklou úroveň, ale na saldo vliv neměly</w:t>
      </w:r>
      <w:r w:rsidR="00FB11E5">
        <w:rPr>
          <w:rStyle w:val="Znakapoznpodarou"/>
        </w:rPr>
        <w:footnoteReference w:id="6"/>
      </w:r>
      <w:r w:rsidR="00FB11E5">
        <w:t xml:space="preserve">. Na zmírnění deficitu ale působil pokles zaplacených daní z důchodů </w:t>
      </w:r>
      <w:r w:rsidR="00EF788F">
        <w:t>a </w:t>
      </w:r>
      <w:proofErr w:type="gramStart"/>
      <w:r w:rsidR="00FB11E5">
        <w:t>jmění (</w:t>
      </w:r>
      <w:r w:rsidR="00EF788F">
        <w:t>–</w:t>
      </w:r>
      <w:r w:rsidR="00FB11E5">
        <w:t>2,7</w:t>
      </w:r>
      <w:proofErr w:type="gramEnd"/>
      <w:r w:rsidR="00B13907">
        <w:t> mld.</w:t>
      </w:r>
      <w:r w:rsidR="00FB11E5">
        <w:t xml:space="preserve"> korun) </w:t>
      </w:r>
      <w:r w:rsidR="00EF788F">
        <w:t>a </w:t>
      </w:r>
      <w:r w:rsidR="00FB11E5">
        <w:t>také snížení objemu zaplacených ostatních běžných transferů (</w:t>
      </w:r>
      <w:r w:rsidR="00EF788F">
        <w:t>–</w:t>
      </w:r>
      <w:r w:rsidR="00FB11E5">
        <w:t>2,9</w:t>
      </w:r>
      <w:r w:rsidR="00B13907">
        <w:t> mld.</w:t>
      </w:r>
      <w:r w:rsidR="00FB11E5">
        <w:t xml:space="preserve">). Naopak ve směru prohloubení deficitu působil pokles obdržených ostatních běžných transferů </w:t>
      </w:r>
      <w:r w:rsidR="00EF788F">
        <w:t>o </w:t>
      </w:r>
      <w:r w:rsidR="00FB11E5">
        <w:t>4,3</w:t>
      </w:r>
      <w:r w:rsidR="00B13907">
        <w:t> mld.</w:t>
      </w:r>
      <w:r w:rsidR="00FB11E5">
        <w:t xml:space="preserve"> korun.</w:t>
      </w:r>
    </w:p>
    <w:p w14:paraId="74BA4E43" w14:textId="5FB7CE5B" w:rsidR="00EF788F" w:rsidRDefault="00783F7F" w:rsidP="009F7FD8">
      <w:pPr>
        <w:spacing w:after="120"/>
      </w:pPr>
      <w:r>
        <w:t>Výsledné hrubé úspory</w:t>
      </w:r>
      <w:r w:rsidR="00E0186F">
        <w:t xml:space="preserve"> dosáhly 235,9</w:t>
      </w:r>
      <w:r w:rsidR="00B13907">
        <w:t> mld.</w:t>
      </w:r>
      <w:r w:rsidR="00E0186F">
        <w:t xml:space="preserve"> korun </w:t>
      </w:r>
      <w:r w:rsidR="00EF788F">
        <w:t>a </w:t>
      </w:r>
      <w:r w:rsidR="00E0186F">
        <w:t xml:space="preserve">meziročně se navýšily </w:t>
      </w:r>
      <w:r w:rsidR="00EF788F">
        <w:t>o </w:t>
      </w:r>
      <w:r w:rsidR="00E0186F">
        <w:t>17,8</w:t>
      </w:r>
      <w:r w:rsidR="00B13907">
        <w:t> mld.</w:t>
      </w:r>
      <w:r w:rsidR="00E0186F">
        <w:t xml:space="preserve"> Míra úspor</w:t>
      </w:r>
      <w:r w:rsidR="00CF1E81">
        <w:t> </w:t>
      </w:r>
      <w:r w:rsidR="00E0186F">
        <w:t>NP</w:t>
      </w:r>
      <w:r w:rsidR="00E0186F" w:rsidRPr="007C4CFC">
        <w:rPr>
          <w:rStyle w:val="Znakapoznpodarou"/>
        </w:rPr>
        <w:footnoteReference w:id="7"/>
      </w:r>
      <w:r w:rsidR="00E0186F">
        <w:t xml:space="preserve"> se meziročně zvýšila </w:t>
      </w:r>
      <w:r w:rsidR="00EF788F">
        <w:t>o </w:t>
      </w:r>
      <w:r w:rsidR="00E0186F">
        <w:t>2,2</w:t>
      </w:r>
      <w:r w:rsidR="00B13907">
        <w:t> p. b.</w:t>
      </w:r>
      <w:r w:rsidR="00E0186F">
        <w:t xml:space="preserve"> </w:t>
      </w:r>
      <w:proofErr w:type="gramStart"/>
      <w:r w:rsidR="00E0186F">
        <w:t>na</w:t>
      </w:r>
      <w:proofErr w:type="gramEnd"/>
      <w:r w:rsidR="00E0186F">
        <w:t xml:space="preserve"> 30,3</w:t>
      </w:r>
      <w:r w:rsidR="00B13907">
        <w:t> %</w:t>
      </w:r>
      <w:r w:rsidR="00E0186F">
        <w:t>.</w:t>
      </w:r>
      <w:r w:rsidR="0043790B">
        <w:t xml:space="preserve"> </w:t>
      </w:r>
      <w:r w:rsidR="00374EF6">
        <w:t>Nefinanční podniky obdržely v 1.</w:t>
      </w:r>
      <w:r w:rsidR="00B13907">
        <w:t> čtvrtlet</w:t>
      </w:r>
      <w:r w:rsidR="00374EF6">
        <w:t>í 12,1</w:t>
      </w:r>
      <w:r w:rsidR="00B13907">
        <w:t> mld.</w:t>
      </w:r>
      <w:r w:rsidR="00374EF6">
        <w:t xml:space="preserve"> korun ve formě kapitálových transferů. To je meziročně </w:t>
      </w:r>
      <w:r w:rsidR="00EF788F">
        <w:t>o </w:t>
      </w:r>
      <w:r w:rsidR="00374EF6">
        <w:t>6,7</w:t>
      </w:r>
      <w:r w:rsidR="00B13907">
        <w:t> mld.</w:t>
      </w:r>
      <w:r w:rsidR="00374EF6">
        <w:t xml:space="preserve"> více. Položka investičních dotací, </w:t>
      </w:r>
      <w:r w:rsidR="00CF1E81">
        <w:t>jež</w:t>
      </w:r>
      <w:r w:rsidR="00374EF6">
        <w:t xml:space="preserve"> obvykle tvoří většinu z kapitálových transferů, které NP dostávají, narostla </w:t>
      </w:r>
      <w:r w:rsidR="00EF788F">
        <w:t>o </w:t>
      </w:r>
      <w:r w:rsidR="00374EF6">
        <w:t>2,3</w:t>
      </w:r>
      <w:r w:rsidR="00B13907">
        <w:t> mld.</w:t>
      </w:r>
      <w:r w:rsidR="00374EF6">
        <w:t xml:space="preserve"> korun na 6,8</w:t>
      </w:r>
      <w:r w:rsidR="00B13907">
        <w:t> mld.</w:t>
      </w:r>
      <w:r w:rsidR="00374EF6">
        <w:t xml:space="preserve"> Ještě výrazněji se ale vlivem vyplácení vládní podpory</w:t>
      </w:r>
      <w:r w:rsidR="00374EF6">
        <w:rPr>
          <w:rStyle w:val="Znakapoznpodarou"/>
        </w:rPr>
        <w:footnoteReference w:id="8"/>
      </w:r>
      <w:r w:rsidR="00374EF6">
        <w:t xml:space="preserve"> zvýšil objem </w:t>
      </w:r>
      <w:r w:rsidR="00374EF6">
        <w:lastRenderedPageBreak/>
        <w:t>ostatních kapitálových transferů (+4,4</w:t>
      </w:r>
      <w:r w:rsidR="00B13907">
        <w:t> mld.</w:t>
      </w:r>
      <w:r w:rsidR="00374EF6">
        <w:t xml:space="preserve"> korun), které tak dosáhly 5,3</w:t>
      </w:r>
      <w:r w:rsidR="00B13907">
        <w:t> mld.</w:t>
      </w:r>
      <w:r w:rsidR="00374EF6">
        <w:t>, nejvíce od 4.</w:t>
      </w:r>
      <w:r w:rsidR="00B13907">
        <w:t> čtvrtlet</w:t>
      </w:r>
      <w:r w:rsidR="00374EF6">
        <w:t>í 2015.</w:t>
      </w:r>
    </w:p>
    <w:p w14:paraId="3E756D4D" w14:textId="3C6CB148" w:rsidR="00EF788F" w:rsidRDefault="00374EF6" w:rsidP="009F7FD8">
      <w:pPr>
        <w:spacing w:after="120"/>
      </w:pPr>
      <w:r>
        <w:t>Investiční aktivita nefinančních podniků v 1.</w:t>
      </w:r>
      <w:r w:rsidR="00B13907">
        <w:t> čtvrtlet</w:t>
      </w:r>
      <w:r>
        <w:t xml:space="preserve">í nadále setrvávala v krizovém módu. Meziročně se objem výdajů na tvorbu hrubého fixního kapitálu snížil </w:t>
      </w:r>
      <w:r w:rsidR="00EF788F">
        <w:t>o </w:t>
      </w:r>
      <w:r>
        <w:t>7,9</w:t>
      </w:r>
      <w:r w:rsidR="00B13907">
        <w:t> mld.</w:t>
      </w:r>
      <w:r>
        <w:t xml:space="preserve"> korun na 193,0 mld</w:t>
      </w:r>
      <w:r w:rsidR="001D5F9E">
        <w:t>. (pod úrovní 200</w:t>
      </w:r>
      <w:r w:rsidR="00B13907">
        <w:t> mld.</w:t>
      </w:r>
      <w:r w:rsidR="001D5F9E">
        <w:t xml:space="preserve"> byly investice naposledy v 1.</w:t>
      </w:r>
      <w:r w:rsidR="00B13907">
        <w:t> čtvrtlet</w:t>
      </w:r>
      <w:r w:rsidR="001D5F9E">
        <w:t>í 2018)</w:t>
      </w:r>
      <w:r>
        <w:t xml:space="preserve">. Mezičtvrtletně se </w:t>
      </w:r>
      <w:r w:rsidR="00A92693">
        <w:t xml:space="preserve">investice </w:t>
      </w:r>
      <w:r>
        <w:t xml:space="preserve">(sezónně očištěné) zvýšily </w:t>
      </w:r>
      <w:r w:rsidR="00EF788F">
        <w:t>o </w:t>
      </w:r>
      <w:r>
        <w:t>1,5</w:t>
      </w:r>
      <w:r w:rsidR="00B13907">
        <w:t> mld.</w:t>
      </w:r>
      <w:r>
        <w:t xml:space="preserve"> korun, poprvé od konce roku 2019. </w:t>
      </w:r>
      <w:r w:rsidR="00850AAD">
        <w:t>Míra investic</w:t>
      </w:r>
      <w:r w:rsidR="00850AAD" w:rsidRPr="007C4CFC">
        <w:rPr>
          <w:rStyle w:val="Znakapoznpodarou"/>
        </w:rPr>
        <w:footnoteReference w:id="9"/>
      </w:r>
      <w:r w:rsidR="00850AAD">
        <w:t xml:space="preserve">, která se během loňska prudce propadla, </w:t>
      </w:r>
      <w:r w:rsidR="001D5F9E">
        <w:t>dál</w:t>
      </w:r>
      <w:r w:rsidR="00850AAD">
        <w:t xml:space="preserve"> mezičtvrtletně klesla </w:t>
      </w:r>
      <w:r w:rsidR="00EF788F">
        <w:t>o </w:t>
      </w:r>
      <w:r w:rsidR="00850AAD">
        <w:t>0,2</w:t>
      </w:r>
      <w:r w:rsidR="00B13907">
        <w:t> p. b.</w:t>
      </w:r>
      <w:r w:rsidR="00850AAD">
        <w:t xml:space="preserve"> </w:t>
      </w:r>
      <w:proofErr w:type="gramStart"/>
      <w:r w:rsidR="00850AAD">
        <w:t>na</w:t>
      </w:r>
      <w:proofErr w:type="gramEnd"/>
      <w:r w:rsidR="00850AAD">
        <w:t xml:space="preserve"> 26,7</w:t>
      </w:r>
      <w:r w:rsidR="00B13907">
        <w:t> %</w:t>
      </w:r>
      <w:r w:rsidR="00850AAD">
        <w:t xml:space="preserve"> (sezónně očištěno). </w:t>
      </w:r>
      <w:r w:rsidR="001D5F9E">
        <w:t>To je s výjimkou 1.</w:t>
      </w:r>
      <w:r w:rsidR="00B13907">
        <w:t> čtvrtlet</w:t>
      </w:r>
      <w:r w:rsidR="001D5F9E">
        <w:t>í 2003</w:t>
      </w:r>
      <w:r w:rsidR="001D5F9E">
        <w:rPr>
          <w:rStyle w:val="Znakapoznpodarou"/>
        </w:rPr>
        <w:footnoteReference w:id="10"/>
      </w:r>
      <w:r w:rsidR="001D5F9E">
        <w:t xml:space="preserve"> nejnižší zaznamenaná hodnota. </w:t>
      </w:r>
      <w:r w:rsidR="00850AAD">
        <w:t xml:space="preserve">Meziročně se míra investic (neočištěná) snížila </w:t>
      </w:r>
      <w:r w:rsidR="00EF788F">
        <w:t>o </w:t>
      </w:r>
      <w:r w:rsidR="00850AAD">
        <w:t>1,1</w:t>
      </w:r>
      <w:r w:rsidR="00B13907">
        <w:t> p. b.</w:t>
      </w:r>
    </w:p>
    <w:p w14:paraId="551D4C2E" w14:textId="2A5949EA" w:rsidR="0050641C" w:rsidRPr="007C4CFC" w:rsidRDefault="009F7FD8" w:rsidP="000302A6">
      <w:pPr>
        <w:pStyle w:val="TabulkaGraf"/>
        <w:spacing w:after="120"/>
      </w:pPr>
      <w:r w:rsidRPr="007C4CFC">
        <w:t>G</w:t>
      </w:r>
      <w:r w:rsidR="002E6F00" w:rsidRPr="007C4CFC">
        <w:t>raf </w:t>
      </w:r>
      <w:r w:rsidR="0050641C" w:rsidRPr="007C4CFC">
        <w:t>2: Meziroční nominální přírůstek tvorby hrubého fixního kapitálu (v</w:t>
      </w:r>
      <w:r w:rsidR="00840938" w:rsidRPr="007C4CFC">
        <w:t> mld.</w:t>
      </w:r>
      <w:r w:rsidR="0050641C" w:rsidRPr="007C4CFC">
        <w:t xml:space="preserve"> korun) </w:t>
      </w:r>
      <w:r w:rsidR="00F03815" w:rsidRPr="007C4CFC">
        <w:t>a </w:t>
      </w:r>
      <w:r w:rsidR="0050641C" w:rsidRPr="007C4CFC">
        <w:t>míra investic (sezónně očištěno, v</w:t>
      </w:r>
      <w:r w:rsidR="00840938" w:rsidRPr="007C4CFC">
        <w:t> %</w:t>
      </w:r>
      <w:r w:rsidR="0050641C" w:rsidRPr="007C4CFC">
        <w:t>)</w:t>
      </w:r>
    </w:p>
    <w:p w14:paraId="2423C116" w14:textId="71FFB390" w:rsidR="007B7E54" w:rsidRPr="007C4CFC" w:rsidRDefault="008124B8" w:rsidP="009F7FD8">
      <w:pPr>
        <w:jc w:val="center"/>
      </w:pPr>
      <w:r>
        <w:rPr>
          <w:noProof/>
          <w:lang w:eastAsia="cs-CZ"/>
        </w:rPr>
        <w:drawing>
          <wp:inline distT="0" distB="0" distL="0" distR="0" wp14:anchorId="1EFDE772" wp14:editId="4E5E4F09">
            <wp:extent cx="4737600" cy="2880000"/>
            <wp:effectExtent l="0" t="0" r="6350" b="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19E851" w14:textId="2C53C11A" w:rsidR="00941335" w:rsidRPr="007B7E54" w:rsidRDefault="00941335" w:rsidP="00F90C0B">
      <w:pPr>
        <w:spacing w:after="240"/>
      </w:pPr>
      <w:r w:rsidRPr="007C4CFC">
        <w:t>Zdroj: ČSÚ, národní účty</w:t>
      </w:r>
    </w:p>
    <w:p w14:paraId="7BF2286A" w14:textId="7A09D523" w:rsidR="00F50CEF" w:rsidRDefault="00F50CEF" w:rsidP="000302A6">
      <w:pPr>
        <w:pStyle w:val="Nadpis1"/>
        <w:spacing w:after="120"/>
      </w:pPr>
      <w:r w:rsidRPr="00C2354F">
        <w:t>Vládní instituce</w:t>
      </w:r>
    </w:p>
    <w:p w14:paraId="7217000D" w14:textId="7F2A8D03" w:rsidR="008914B7" w:rsidRDefault="00E1074D" w:rsidP="009F7FD8">
      <w:pPr>
        <w:spacing w:after="120"/>
      </w:pPr>
      <w:r>
        <w:t>V</w:t>
      </w:r>
      <w:r w:rsidR="00CF3C2E">
        <w:t> 1.</w:t>
      </w:r>
      <w:r w:rsidR="00B13907">
        <w:t> čtvrtlet</w:t>
      </w:r>
      <w:r w:rsidR="00CF3C2E">
        <w:t xml:space="preserve">í 2021 </w:t>
      </w:r>
      <w:r>
        <w:t>bylo hospodaření vládních institucí opět deficitní. V</w:t>
      </w:r>
      <w:r w:rsidR="00CF3C2E">
        <w:t>ýsledn</w:t>
      </w:r>
      <w:r>
        <w:t xml:space="preserve">ý schodek činil </w:t>
      </w:r>
      <w:r w:rsidR="00CF3C2E">
        <w:t>136,3</w:t>
      </w:r>
      <w:r>
        <w:t> </w:t>
      </w:r>
      <w:r w:rsidR="00CF3C2E">
        <w:t xml:space="preserve">mld. korun, což je meziročně </w:t>
      </w:r>
      <w:r w:rsidR="00EF788F">
        <w:t>o </w:t>
      </w:r>
      <w:r w:rsidR="00CF3C2E">
        <w:t>81,0</w:t>
      </w:r>
      <w:r w:rsidR="00B13907">
        <w:t> mld.</w:t>
      </w:r>
      <w:r w:rsidR="00CF3C2E">
        <w:t xml:space="preserve"> horší výsledek.</w:t>
      </w:r>
      <w:r w:rsidR="00AD6D62">
        <w:t xml:space="preserve"> Šlo </w:t>
      </w:r>
      <w:r w:rsidR="00EF788F">
        <w:t>o </w:t>
      </w:r>
      <w:r w:rsidR="00AD6D62">
        <w:t>nejhlubší zaznamenaný deficit za 1.</w:t>
      </w:r>
      <w:r w:rsidR="00B13907">
        <w:t> čtvrtlet</w:t>
      </w:r>
      <w:r w:rsidR="00AD6D62">
        <w:t xml:space="preserve">í </w:t>
      </w:r>
      <w:r w:rsidR="00EF788F">
        <w:t>a </w:t>
      </w:r>
      <w:r w:rsidR="00AD6D62">
        <w:t>druhý nejhorší schodek vůbec.</w:t>
      </w:r>
      <w:r>
        <w:t xml:space="preserve"> Řešení pokračujícího nepříznivého vývoje epidemické situace vyžadovalo výrazné zvýšení výdajů vládního sektoru. Naproti tomu jen mírný byl meziroční přírůstek příjmů, na kterých se podepisoval slabý výkon ekonomiky </w:t>
      </w:r>
      <w:r w:rsidR="00EF788F">
        <w:t>i </w:t>
      </w:r>
      <w:r>
        <w:t>daňové změny.</w:t>
      </w:r>
    </w:p>
    <w:p w14:paraId="3580B3B6" w14:textId="4E6A3D43" w:rsidR="00BD71CC" w:rsidRDefault="00C91BB8" w:rsidP="009F7FD8">
      <w:pPr>
        <w:spacing w:after="120"/>
      </w:pPr>
      <w:r>
        <w:t>Meziroční přírůstek příjmů vládních institucí v 1.</w:t>
      </w:r>
      <w:r w:rsidR="00B13907">
        <w:t> čtvrtlet</w:t>
      </w:r>
      <w:r>
        <w:t>í dosáhl 4,2</w:t>
      </w:r>
      <w:r w:rsidR="00B13907">
        <w:t> mld.</w:t>
      </w:r>
      <w:r>
        <w:t xml:space="preserve"> korun</w:t>
      </w:r>
      <w:r w:rsidR="007764C0">
        <w:t xml:space="preserve"> (</w:t>
      </w:r>
      <w:r>
        <w:t>0,8</w:t>
      </w:r>
      <w:r w:rsidR="00B13907">
        <w:t> %</w:t>
      </w:r>
      <w:r>
        <w:t>)</w:t>
      </w:r>
      <w:r w:rsidR="005900E3">
        <w:t xml:space="preserve"> </w:t>
      </w:r>
      <w:r w:rsidR="00EF788F">
        <w:t>a </w:t>
      </w:r>
      <w:r w:rsidR="005900E3">
        <w:t>příjmy dosáhly 554,6</w:t>
      </w:r>
      <w:r w:rsidR="00B13907">
        <w:t> mld.</w:t>
      </w:r>
      <w:r w:rsidR="005900E3">
        <w:t xml:space="preserve"> Výrazně se</w:t>
      </w:r>
      <w:r w:rsidR="002A27D9">
        <w:t xml:space="preserve"> meziročně</w:t>
      </w:r>
      <w:r w:rsidR="005900E3">
        <w:t xml:space="preserve"> zvyšoval</w:t>
      </w:r>
      <w:r w:rsidR="006626A5">
        <w:t xml:space="preserve"> objem</w:t>
      </w:r>
      <w:r w:rsidR="005900E3">
        <w:t xml:space="preserve"> př</w:t>
      </w:r>
      <w:r w:rsidR="006626A5">
        <w:t>i</w:t>
      </w:r>
      <w:r w:rsidR="005900E3">
        <w:t>j</w:t>
      </w:r>
      <w:r w:rsidR="006626A5">
        <w:t>atých</w:t>
      </w:r>
      <w:r w:rsidR="005900E3">
        <w:t xml:space="preserve"> čistých sociálních příspěvků (+18,7</w:t>
      </w:r>
      <w:r w:rsidR="002A27D9">
        <w:t> </w:t>
      </w:r>
      <w:r w:rsidR="005900E3">
        <w:t>mld. korun</w:t>
      </w:r>
      <w:r w:rsidR="002A27D9">
        <w:t>), což byla ve výsledku jediná položka s</w:t>
      </w:r>
      <w:r w:rsidR="00827A91">
        <w:t>e</w:t>
      </w:r>
      <w:r w:rsidR="007764C0">
        <w:t xml:space="preserve"> </w:t>
      </w:r>
      <w:r w:rsidR="00827A91">
        <w:t>silně</w:t>
      </w:r>
      <w:r w:rsidR="002A27D9">
        <w:t xml:space="preserve"> </w:t>
      </w:r>
      <w:r w:rsidR="008B7891">
        <w:t>pozitivním vlivem</w:t>
      </w:r>
      <w:r w:rsidR="002A27D9">
        <w:t>.</w:t>
      </w:r>
      <w:r w:rsidR="00EB01C0">
        <w:t xml:space="preserve"> Mírně se </w:t>
      </w:r>
      <w:r w:rsidR="00EB01C0">
        <w:lastRenderedPageBreak/>
        <w:t>navýšily přijaté ostatní běžné transfery (+1,6</w:t>
      </w:r>
      <w:r w:rsidR="00B13907">
        <w:t> mld.</w:t>
      </w:r>
      <w:r w:rsidR="00EB01C0">
        <w:t xml:space="preserve"> korun).</w:t>
      </w:r>
      <w:r w:rsidR="002A27D9">
        <w:t xml:space="preserve"> </w:t>
      </w:r>
      <w:r w:rsidR="008B7891">
        <w:t xml:space="preserve">Naopak </w:t>
      </w:r>
      <w:r w:rsidR="002A27D9">
        <w:t xml:space="preserve">daňové změny vedly k poklesu objemu přijatých daní z důchodů </w:t>
      </w:r>
      <w:r w:rsidR="00EF788F">
        <w:t>a </w:t>
      </w:r>
      <w:r w:rsidR="002A27D9">
        <w:t xml:space="preserve">jmění </w:t>
      </w:r>
      <w:r w:rsidR="00EF788F">
        <w:t>o </w:t>
      </w:r>
      <w:r w:rsidR="002A27D9">
        <w:t>9,2</w:t>
      </w:r>
      <w:r w:rsidR="00B13907">
        <w:t> mld.</w:t>
      </w:r>
      <w:r w:rsidR="002A27D9">
        <w:t xml:space="preserve"> korun</w:t>
      </w:r>
      <w:r w:rsidR="008B7891">
        <w:t>. O 3,5 mld.</w:t>
      </w:r>
      <w:r w:rsidR="00827A91">
        <w:t xml:space="preserve"> korun</w:t>
      </w:r>
      <w:r w:rsidR="008B7891">
        <w:t xml:space="preserve"> se snížily </w:t>
      </w:r>
      <w:r w:rsidR="00EF788F">
        <w:t>i </w:t>
      </w:r>
      <w:r w:rsidR="006257C0">
        <w:t>vybrané</w:t>
      </w:r>
      <w:r w:rsidR="008B7891">
        <w:t xml:space="preserve"> daně z výroby </w:t>
      </w:r>
      <w:r w:rsidR="00EF788F">
        <w:t>a </w:t>
      </w:r>
      <w:r w:rsidR="008B7891">
        <w:t>dovozu</w:t>
      </w:r>
      <w:r w:rsidR="00827A91">
        <w:t xml:space="preserve"> </w:t>
      </w:r>
      <w:r w:rsidR="00EF788F">
        <w:t>a </w:t>
      </w:r>
      <w:r w:rsidR="00827A91">
        <w:t xml:space="preserve">klesly </w:t>
      </w:r>
      <w:r w:rsidR="00EF788F">
        <w:t>i </w:t>
      </w:r>
      <w:r w:rsidR="00827A91">
        <w:t xml:space="preserve">kapitálové </w:t>
      </w:r>
      <w:proofErr w:type="gramStart"/>
      <w:r w:rsidR="00827A91">
        <w:t>transfery (</w:t>
      </w:r>
      <w:r w:rsidR="00EF788F">
        <w:t>–</w:t>
      </w:r>
      <w:r w:rsidR="00827A91">
        <w:t>2,7</w:t>
      </w:r>
      <w:proofErr w:type="gramEnd"/>
      <w:r w:rsidR="00B13907">
        <w:t> mld.</w:t>
      </w:r>
      <w:r w:rsidR="00827A91">
        <w:t>)</w:t>
      </w:r>
      <w:r w:rsidR="006257C0">
        <w:t>, což také souvisí s nižší investiční aktivitou.</w:t>
      </w:r>
      <w:r w:rsidR="006626A5">
        <w:t xml:space="preserve"> </w:t>
      </w:r>
      <w:r w:rsidR="006257C0">
        <w:t>Přijaté d</w:t>
      </w:r>
      <w:r w:rsidR="00ED3B49">
        <w:t>ůchody z</w:t>
      </w:r>
      <w:r w:rsidR="006257C0">
        <w:t> </w:t>
      </w:r>
      <w:r w:rsidR="00ED3B49">
        <w:t>vlastnictví</w:t>
      </w:r>
      <w:r w:rsidR="006257C0">
        <w:t xml:space="preserve"> se snížily </w:t>
      </w:r>
      <w:r w:rsidR="00EF788F">
        <w:t>o </w:t>
      </w:r>
      <w:r w:rsidR="00EB01C0">
        <w:t>1,6</w:t>
      </w:r>
      <w:r w:rsidR="00B13907">
        <w:t> mld.</w:t>
      </w:r>
      <w:r w:rsidR="006257C0">
        <w:t xml:space="preserve"> korun</w:t>
      </w:r>
      <w:r w:rsidR="00BD71CC">
        <w:t>.</w:t>
      </w:r>
    </w:p>
    <w:p w14:paraId="211B74B7" w14:textId="204F2FB0" w:rsidR="00AD6D62" w:rsidRDefault="001D1530" w:rsidP="009F7FD8">
      <w:pPr>
        <w:spacing w:after="120"/>
      </w:pPr>
      <w:r>
        <w:t>Výdaje sektoru vládních institucí v 1.</w:t>
      </w:r>
      <w:r w:rsidR="00B13907">
        <w:t> čtvrtlet</w:t>
      </w:r>
      <w:r>
        <w:t xml:space="preserve">í meziročně vzrostly </w:t>
      </w:r>
      <w:r w:rsidR="00EF788F">
        <w:t>o </w:t>
      </w:r>
      <w:r>
        <w:t>85,2</w:t>
      </w:r>
      <w:r w:rsidR="00B13907">
        <w:t> mld.</w:t>
      </w:r>
      <w:r>
        <w:t xml:space="preserve"> korun (14,1</w:t>
      </w:r>
      <w:r w:rsidR="00B13907">
        <w:t> %</w:t>
      </w:r>
      <w:r>
        <w:t>) na 690,9</w:t>
      </w:r>
      <w:r w:rsidR="00B13907">
        <w:t> mld.</w:t>
      </w:r>
      <w:r>
        <w:t xml:space="preserve"> korun.</w:t>
      </w:r>
      <w:r w:rsidR="005B4F27">
        <w:t xml:space="preserve"> </w:t>
      </w:r>
      <w:r w:rsidR="00415ADE">
        <w:t xml:space="preserve">Největší </w:t>
      </w:r>
      <w:r w:rsidR="005B4F27">
        <w:t>část z nárůstu tvořily</w:t>
      </w:r>
      <w:r w:rsidR="0045777C">
        <w:t xml:space="preserve"> sociální dávky </w:t>
      </w:r>
      <w:r w:rsidR="00EF788F">
        <w:t>a </w:t>
      </w:r>
      <w:r w:rsidR="0045777C">
        <w:t>naturální sociální transfery (+28,4</w:t>
      </w:r>
      <w:r w:rsidR="00B13907">
        <w:t> mld.</w:t>
      </w:r>
      <w:r w:rsidR="0045777C">
        <w:t xml:space="preserve"> korun)</w:t>
      </w:r>
      <w:r w:rsidR="00DF091E">
        <w:t xml:space="preserve">. </w:t>
      </w:r>
      <w:r w:rsidR="004C63CF">
        <w:t xml:space="preserve">Na </w:t>
      </w:r>
      <w:r w:rsidR="00DF091E">
        <w:t xml:space="preserve">jejich nárůstu </w:t>
      </w:r>
      <w:r w:rsidR="004C63CF">
        <w:t>se podílely</w:t>
      </w:r>
      <w:r w:rsidR="00DF091E">
        <w:t xml:space="preserve"> zvýšené výdaje na ošetřovné </w:t>
      </w:r>
      <w:r w:rsidR="00EF788F">
        <w:t>i </w:t>
      </w:r>
      <w:r w:rsidR="00DF091E">
        <w:t xml:space="preserve">zvýšení starobních důchodů. Výrazně posílil přírůstek vyplacených </w:t>
      </w:r>
      <w:r w:rsidR="0045777C">
        <w:t>dotac</w:t>
      </w:r>
      <w:r w:rsidR="00DF091E">
        <w:t>í</w:t>
      </w:r>
      <w:r w:rsidR="00222B76">
        <w:rPr>
          <w:rStyle w:val="Znakapoznpodarou"/>
        </w:rPr>
        <w:footnoteReference w:id="11"/>
      </w:r>
      <w:r w:rsidR="0045777C">
        <w:t xml:space="preserve"> (+27,6</w:t>
      </w:r>
      <w:r w:rsidR="00B13907">
        <w:t> mld.</w:t>
      </w:r>
      <w:r w:rsidR="0045777C">
        <w:t>)</w:t>
      </w:r>
      <w:r w:rsidR="00222B76">
        <w:t xml:space="preserve"> </w:t>
      </w:r>
      <w:r w:rsidR="00EF788F">
        <w:t>i </w:t>
      </w:r>
      <w:r w:rsidR="0045777C">
        <w:t>kapitálov</w:t>
      </w:r>
      <w:r w:rsidR="00DF091E">
        <w:t>ých</w:t>
      </w:r>
      <w:r w:rsidR="0045777C">
        <w:t xml:space="preserve"> transfer</w:t>
      </w:r>
      <w:r w:rsidR="00DF091E">
        <w:t>ů</w:t>
      </w:r>
      <w:r w:rsidR="00222B76">
        <w:rPr>
          <w:rStyle w:val="Znakapoznpodarou"/>
        </w:rPr>
        <w:footnoteReference w:id="12"/>
      </w:r>
      <w:r w:rsidR="0045777C">
        <w:t xml:space="preserve"> (+18,6</w:t>
      </w:r>
      <w:r w:rsidR="00DF091E">
        <w:t> </w:t>
      </w:r>
      <w:r w:rsidR="0045777C">
        <w:t>mld.)</w:t>
      </w:r>
      <w:r w:rsidR="00415ADE">
        <w:t>. Oproti předchozímu půlroku oslabil meziroční růst náhrad zaměstnancům (+7,7</w:t>
      </w:r>
      <w:r w:rsidR="00B13907">
        <w:t> mld.</w:t>
      </w:r>
      <w:r w:rsidR="00415ADE">
        <w:t xml:space="preserve"> korun). Významněji rostly </w:t>
      </w:r>
      <w:r w:rsidR="0045777C">
        <w:t>ostatní běžné transfery (+5,6</w:t>
      </w:r>
      <w:r w:rsidR="00B13907">
        <w:t> mld.</w:t>
      </w:r>
      <w:r w:rsidR="0045777C">
        <w:t>)</w:t>
      </w:r>
      <w:r w:rsidR="00DF091E">
        <w:t>. Poměrně slab</w:t>
      </w:r>
      <w:r w:rsidR="00415ADE">
        <w:t>é bylo</w:t>
      </w:r>
      <w:r w:rsidR="00DF091E">
        <w:t xml:space="preserve"> ve srovnání s loňským rokem</w:t>
      </w:r>
      <w:r w:rsidR="00415ADE">
        <w:t xml:space="preserve"> navýšení vládních </w:t>
      </w:r>
      <w:r w:rsidR="0045777C">
        <w:t>investic (+2,0</w:t>
      </w:r>
      <w:r w:rsidR="00B13907">
        <w:t> mld.</w:t>
      </w:r>
      <w:r w:rsidR="0045777C">
        <w:t>)</w:t>
      </w:r>
      <w:r w:rsidR="00415ADE">
        <w:t xml:space="preserve">. Meziročně klesla zejména </w:t>
      </w:r>
      <w:proofErr w:type="spellStart"/>
      <w:proofErr w:type="gramStart"/>
      <w:r w:rsidR="00415ADE">
        <w:t>mezispotřeba</w:t>
      </w:r>
      <w:proofErr w:type="spellEnd"/>
      <w:r w:rsidR="00415ADE">
        <w:t xml:space="preserve"> (</w:t>
      </w:r>
      <w:r w:rsidR="00EF788F">
        <w:t>–</w:t>
      </w:r>
      <w:r w:rsidR="00415ADE">
        <w:t>3,1</w:t>
      </w:r>
      <w:proofErr w:type="gramEnd"/>
      <w:r w:rsidR="00B13907">
        <w:t> mld.</w:t>
      </w:r>
      <w:r w:rsidR="00415ADE">
        <w:t xml:space="preserve"> korun)</w:t>
      </w:r>
      <w:r w:rsidR="004C63CF">
        <w:t>, která v loňském 1.</w:t>
      </w:r>
      <w:r w:rsidR="00B13907">
        <w:t> kvartál</w:t>
      </w:r>
      <w:r w:rsidR="004C63CF">
        <w:t>u silně rostla pod vlivem nákupů zdravotnických pomůcek</w:t>
      </w:r>
      <w:r w:rsidR="00415ADE">
        <w:t>.</w:t>
      </w:r>
    </w:p>
    <w:p w14:paraId="6BDFBC0A" w14:textId="77777777" w:rsidR="00C65FAA" w:rsidRPr="0092081A" w:rsidRDefault="00C65FAA" w:rsidP="00CF4669">
      <w:pPr>
        <w:pStyle w:val="TabulkaGraf"/>
      </w:pPr>
      <w:r w:rsidRPr="0092081A">
        <w:t>G</w:t>
      </w:r>
      <w:r w:rsidR="002E6F00" w:rsidRPr="0092081A">
        <w:t>raf </w:t>
      </w:r>
      <w:r w:rsidRPr="0092081A">
        <w:t>3: Saldo hospodaření vládních institucí (v</w:t>
      </w:r>
      <w:r w:rsidR="00840938" w:rsidRPr="0092081A">
        <w:t> mld.</w:t>
      </w:r>
      <w:r w:rsidRPr="0092081A">
        <w:t xml:space="preserve"> korun)</w:t>
      </w:r>
    </w:p>
    <w:p w14:paraId="5C64ADA8" w14:textId="77777777" w:rsidR="00B16FC6" w:rsidRDefault="00E23803" w:rsidP="00B16FC6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9A4C2CE" wp14:editId="150983AA">
            <wp:extent cx="4750300" cy="2880000"/>
            <wp:effectExtent l="0" t="0" r="0" b="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</w:p>
    <w:p w14:paraId="71B24877" w14:textId="77777777" w:rsidR="00B16FC6" w:rsidRDefault="00941335" w:rsidP="0043790B">
      <w:pPr>
        <w:spacing w:after="120"/>
        <w:jc w:val="left"/>
      </w:pPr>
      <w:r w:rsidRPr="00CF4669">
        <w:t>Zdroj: ČSÚ, národní účty</w:t>
      </w:r>
    </w:p>
    <w:p w14:paraId="5BD95B45" w14:textId="4DD08EEA" w:rsidR="0043790B" w:rsidRDefault="0043790B" w:rsidP="0043790B">
      <w:pPr>
        <w:spacing w:after="120"/>
      </w:pPr>
      <w:r>
        <w:t xml:space="preserve">Protože většina nákladů na řešení krize </w:t>
      </w:r>
      <w:r w:rsidR="00D0656D">
        <w:t xml:space="preserve">připadá </w:t>
      </w:r>
      <w:r>
        <w:t xml:space="preserve">na </w:t>
      </w:r>
      <w:proofErr w:type="spellStart"/>
      <w:r>
        <w:t>subsektor</w:t>
      </w:r>
      <w:proofErr w:type="spellEnd"/>
      <w:r>
        <w:t xml:space="preserve"> ústředních vládních institucí, jde za ním </w:t>
      </w:r>
      <w:r w:rsidR="00EF788F">
        <w:t>i </w:t>
      </w:r>
      <w:r>
        <w:t xml:space="preserve">největší schodek </w:t>
      </w:r>
      <w:proofErr w:type="gramStart"/>
      <w:r>
        <w:t>hospodaření (</w:t>
      </w:r>
      <w:r w:rsidR="00EF788F">
        <w:t>–</w:t>
      </w:r>
      <w:r>
        <w:t>153,9</w:t>
      </w:r>
      <w:proofErr w:type="gramEnd"/>
      <w:r w:rsidR="00B13907">
        <w:t> mld.</w:t>
      </w:r>
      <w:r>
        <w:t xml:space="preserve"> korun). Deficit se meziročně prohloubil </w:t>
      </w:r>
      <w:r w:rsidR="00EF788F">
        <w:t>o </w:t>
      </w:r>
      <w:r>
        <w:t xml:space="preserve">88,9 mld. korun </w:t>
      </w:r>
      <w:r w:rsidR="00EF788F">
        <w:t>a </w:t>
      </w:r>
      <w:r>
        <w:t>byl nejhlubším v celé časové řadě. Ústřední vládní instituce pocítily většinu z nárůstu vyplacených dotací (+26,9</w:t>
      </w:r>
      <w:r w:rsidR="00B13907">
        <w:t> mld.</w:t>
      </w:r>
      <w:r>
        <w:t xml:space="preserve"> korun) </w:t>
      </w:r>
      <w:r w:rsidR="00EF788F">
        <w:t>a </w:t>
      </w:r>
      <w:r>
        <w:t>sociálních dávek (+25,0</w:t>
      </w:r>
      <w:r w:rsidR="00B13907">
        <w:t> mld.</w:t>
      </w:r>
      <w:r>
        <w:t xml:space="preserve"> korun). Dál se také zvyšovaly jimi placené ostatní běžné transfery (+13,9</w:t>
      </w:r>
      <w:r w:rsidR="00B13907">
        <w:t> mld.</w:t>
      </w:r>
      <w:r>
        <w:t xml:space="preserve">), které posílaly </w:t>
      </w:r>
      <w:proofErr w:type="spellStart"/>
      <w:r>
        <w:t>subsektoru</w:t>
      </w:r>
      <w:proofErr w:type="spellEnd"/>
      <w:r>
        <w:t xml:space="preserve"> místních vládních institucí jako kompenzace za propad vzniklý vyplácením kompenzačního bonusu. Zvýšily se jejich investice (+2,1</w:t>
      </w:r>
      <w:r w:rsidR="00B13907">
        <w:t> mld.</w:t>
      </w:r>
      <w:r>
        <w:t xml:space="preserve"> korun). Na příjmové straně se jich nejvíce týkal </w:t>
      </w:r>
      <w:r>
        <w:lastRenderedPageBreak/>
        <w:t>propad daňových příjmů</w:t>
      </w:r>
      <w:r w:rsidR="00D0656D">
        <w:t> </w:t>
      </w:r>
      <w:r>
        <w:t xml:space="preserve">– daní z důchodů </w:t>
      </w:r>
      <w:r w:rsidR="00EF788F">
        <w:t>a </w:t>
      </w:r>
      <w:proofErr w:type="gramStart"/>
      <w:r>
        <w:t>jmění (</w:t>
      </w:r>
      <w:r w:rsidR="00EF788F">
        <w:t>–</w:t>
      </w:r>
      <w:r>
        <w:t>9,3</w:t>
      </w:r>
      <w:proofErr w:type="gramEnd"/>
      <w:r w:rsidR="00B13907">
        <w:t> mld.</w:t>
      </w:r>
      <w:r>
        <w:t xml:space="preserve"> korun) </w:t>
      </w:r>
      <w:r w:rsidR="00EF788F">
        <w:t>i </w:t>
      </w:r>
      <w:r>
        <w:t xml:space="preserve">daní z výroby </w:t>
      </w:r>
      <w:r w:rsidR="00EF788F">
        <w:t>a </w:t>
      </w:r>
      <w:r>
        <w:t xml:space="preserve">dovozu </w:t>
      </w:r>
      <w:r w:rsidR="00D0656D">
        <w:br/>
      </w:r>
      <w:r>
        <w:t>(</w:t>
      </w:r>
      <w:r w:rsidR="00EF788F">
        <w:t>–</w:t>
      </w:r>
      <w:r>
        <w:t>6,5 mld.).</w:t>
      </w:r>
    </w:p>
    <w:p w14:paraId="3C8F5376" w14:textId="47D53AA2" w:rsidR="0043790B" w:rsidRDefault="0043790B" w:rsidP="0043790B">
      <w:pPr>
        <w:spacing w:after="240"/>
      </w:pPr>
      <w:r>
        <w:t xml:space="preserve">Ostatní </w:t>
      </w:r>
      <w:proofErr w:type="spellStart"/>
      <w:r>
        <w:t>subsektory</w:t>
      </w:r>
      <w:proofErr w:type="spellEnd"/>
      <w:r>
        <w:t xml:space="preserve"> v 1.</w:t>
      </w:r>
      <w:r w:rsidR="00B13907">
        <w:t> čtvrtlet</w:t>
      </w:r>
      <w:r>
        <w:t>í dosáhly přebytku. Kladné saldo hospodaření místních vládních institucí činilo 13,6</w:t>
      </w:r>
      <w:r w:rsidR="00B13907">
        <w:t> mld.</w:t>
      </w:r>
      <w:r>
        <w:t xml:space="preserve"> korun </w:t>
      </w:r>
      <w:r w:rsidR="00EF788F">
        <w:t>a </w:t>
      </w:r>
      <w:r>
        <w:t xml:space="preserve">meziročně se zvýšilo </w:t>
      </w:r>
      <w:r w:rsidR="00EF788F">
        <w:t>o </w:t>
      </w:r>
      <w:r>
        <w:t>2,1</w:t>
      </w:r>
      <w:r w:rsidR="00B13907">
        <w:t> mld.</w:t>
      </w:r>
      <w:r>
        <w:t xml:space="preserve"> Nárůst příjmů </w:t>
      </w:r>
      <w:proofErr w:type="spellStart"/>
      <w:r>
        <w:t>subsektoru</w:t>
      </w:r>
      <w:proofErr w:type="spellEnd"/>
      <w:r>
        <w:t xml:space="preserve"> nejvíce podpořila položka ostatních běžných transferů (+12,0</w:t>
      </w:r>
      <w:r w:rsidR="00B13907">
        <w:t> mld.</w:t>
      </w:r>
      <w:r>
        <w:t xml:space="preserve"> korun) </w:t>
      </w:r>
      <w:r w:rsidR="00EF788F">
        <w:t>a </w:t>
      </w:r>
      <w:r>
        <w:t xml:space="preserve">pak daně z výroby </w:t>
      </w:r>
      <w:r w:rsidR="00EF788F">
        <w:t>a </w:t>
      </w:r>
      <w:r>
        <w:t>dovozu (+3,0</w:t>
      </w:r>
      <w:r w:rsidR="00B13907">
        <w:t> mld.</w:t>
      </w:r>
      <w:r>
        <w:t>). Na straně výdajů se nejvíce navýšily kapitálové transfery (+6,1</w:t>
      </w:r>
      <w:r w:rsidR="00B13907">
        <w:t> mld.</w:t>
      </w:r>
      <w:r>
        <w:t xml:space="preserve"> korun) </w:t>
      </w:r>
      <w:r w:rsidR="00EF788F">
        <w:t>a </w:t>
      </w:r>
      <w:r>
        <w:t>dále náhrady zaměstnancům (+5,7</w:t>
      </w:r>
      <w:r w:rsidR="00B13907">
        <w:t> mld.</w:t>
      </w:r>
      <w:r>
        <w:t>). Fondy sociálního zabezpečení (zdravotní pojišťovny) v 1. čtvrtletí hospodařily s přebytkem 4,1</w:t>
      </w:r>
      <w:r w:rsidR="00B13907">
        <w:t> mld.</w:t>
      </w:r>
      <w:r>
        <w:t xml:space="preserve"> korun, což je meziročně </w:t>
      </w:r>
      <w:r w:rsidR="00EF788F">
        <w:t>o </w:t>
      </w:r>
      <w:r>
        <w:t>5,7</w:t>
      </w:r>
      <w:r w:rsidR="00B13907">
        <w:t> mld.</w:t>
      </w:r>
      <w:r>
        <w:t xml:space="preserve"> lepší výsledek. Zdravotním pojišťovnám vylepšilo hospodaření razantní zvýšení příjmů ve formě čistých sociálních příspěvků </w:t>
      </w:r>
      <w:r w:rsidR="00EF788F">
        <w:t>o </w:t>
      </w:r>
      <w:r>
        <w:t>14,0</w:t>
      </w:r>
      <w:r w:rsidR="00B13907">
        <w:t> mld.</w:t>
      </w:r>
      <w:r>
        <w:t xml:space="preserve"> korun. Na druhé straně se zvýšily také jejich výdaje na naturální sociální transfery (+4,3</w:t>
      </w:r>
      <w:r w:rsidR="00B13907">
        <w:t> mld.</w:t>
      </w:r>
      <w:r>
        <w:t xml:space="preserve"> korun) </w:t>
      </w:r>
      <w:r w:rsidR="00EF788F">
        <w:t>i </w:t>
      </w:r>
      <w:r>
        <w:t>jimi placené ostatní běžné transfery (+4,4</w:t>
      </w:r>
      <w:r w:rsidR="00B13907">
        <w:t> mld.</w:t>
      </w:r>
      <w:r>
        <w:t>).</w:t>
      </w:r>
    </w:p>
    <w:p w14:paraId="009C422D" w14:textId="152D65D5" w:rsidR="00C65FAA" w:rsidRPr="0092081A" w:rsidRDefault="00C65FAA" w:rsidP="000302A6">
      <w:pPr>
        <w:pStyle w:val="TabulkaGraf"/>
        <w:spacing w:after="120"/>
      </w:pPr>
      <w:r w:rsidRPr="0092081A">
        <w:t>G</w:t>
      </w:r>
      <w:r w:rsidR="002E6F00" w:rsidRPr="0092081A">
        <w:t>raf </w:t>
      </w:r>
      <w:r w:rsidRPr="0092081A">
        <w:t xml:space="preserve">4: Dluh sektoru vládních institucí </w:t>
      </w:r>
      <w:r w:rsidR="00F03815" w:rsidRPr="0092081A">
        <w:t>a </w:t>
      </w:r>
      <w:r w:rsidRPr="0092081A">
        <w:t>jeho struktura (meziroční změna v mld. korun)</w:t>
      </w:r>
    </w:p>
    <w:p w14:paraId="05A35859" w14:textId="4F0067A4" w:rsidR="00656A12" w:rsidRPr="00C00155" w:rsidRDefault="006F1B5E" w:rsidP="000302A6">
      <w:pPr>
        <w:spacing w:after="120"/>
        <w:jc w:val="center"/>
        <w:rPr>
          <w:highlight w:val="yellow"/>
        </w:rPr>
      </w:pPr>
      <w:r>
        <w:rPr>
          <w:noProof/>
          <w:lang w:eastAsia="cs-CZ"/>
        </w:rPr>
        <w:drawing>
          <wp:inline distT="0" distB="0" distL="0" distR="0" wp14:anchorId="2FB72DC7" wp14:editId="69B6B00A">
            <wp:extent cx="4743950" cy="2880000"/>
            <wp:effectExtent l="0" t="0" r="0" b="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8107F2" w14:textId="77777777" w:rsidR="00941335" w:rsidRPr="00CE07E7" w:rsidRDefault="00941335" w:rsidP="000302A6">
      <w:pPr>
        <w:spacing w:after="120"/>
      </w:pPr>
      <w:r w:rsidRPr="00CE07E7">
        <w:t>Zdroj: ČSÚ, národní účty</w:t>
      </w:r>
    </w:p>
    <w:p w14:paraId="0E95A4FA" w14:textId="77777777" w:rsidR="00306DD9" w:rsidRDefault="0043790B" w:rsidP="00306DD9">
      <w:r>
        <w:t>Financování deficitu si v 1.</w:t>
      </w:r>
      <w:r w:rsidR="00B13907">
        <w:t> čtvrtlet</w:t>
      </w:r>
      <w:r>
        <w:t>í vyžádalo další nárůst dluhu sektoru vládních institucí. Ten vystoupal na 2 519,1</w:t>
      </w:r>
      <w:r w:rsidR="00B13907">
        <w:t> mld.</w:t>
      </w:r>
      <w:r>
        <w:t xml:space="preserve"> korun</w:t>
      </w:r>
      <w:r w:rsidRPr="00CE07E7">
        <w:rPr>
          <w:rStyle w:val="Znakapoznpodarou"/>
        </w:rPr>
        <w:footnoteReference w:id="13"/>
      </w:r>
      <w:r>
        <w:t xml:space="preserve"> </w:t>
      </w:r>
      <w:r w:rsidR="00EF788F">
        <w:t>a </w:t>
      </w:r>
      <w:r>
        <w:t xml:space="preserve">meziročně se zvýšil </w:t>
      </w:r>
      <w:r w:rsidR="00EF788F">
        <w:t>o </w:t>
      </w:r>
      <w:r>
        <w:t>630,3</w:t>
      </w:r>
      <w:r w:rsidR="00B13907">
        <w:t> mld.</w:t>
      </w:r>
      <w:r>
        <w:t xml:space="preserve"> korun. Naprostou většinu ze zaznamenaného meziročního přírůstku tvořily dlouhodobé dluhové cenné papíry (+541,1</w:t>
      </w:r>
      <w:r w:rsidR="00B13907">
        <w:t> mld.</w:t>
      </w:r>
      <w:r>
        <w:t xml:space="preserve"> korun). Objem těch krátkodobých se naopak snížil </w:t>
      </w:r>
      <w:r w:rsidR="00EF788F">
        <w:t>o </w:t>
      </w:r>
      <w:r>
        <w:t>43,8</w:t>
      </w:r>
      <w:r w:rsidR="00B13907">
        <w:t> mld.</w:t>
      </w:r>
      <w:r>
        <w:t xml:space="preserve"> Netypicky silně (+134,6</w:t>
      </w:r>
      <w:r w:rsidR="00B13907">
        <w:t> mld.</w:t>
      </w:r>
      <w:r>
        <w:t xml:space="preserve"> korun) vzrostl </w:t>
      </w:r>
      <w:r w:rsidR="00EF788F">
        <w:t>i </w:t>
      </w:r>
      <w:r>
        <w:t xml:space="preserve">objem půjček, které v dluhovém portfoliu jinak tvoří menšinu. Z toho krátkodobé půjčky se zvýšily </w:t>
      </w:r>
      <w:r w:rsidR="00EF788F">
        <w:t>o </w:t>
      </w:r>
      <w:r>
        <w:t>79,8</w:t>
      </w:r>
      <w:r w:rsidR="00B13907">
        <w:t> mld.</w:t>
      </w:r>
      <w:r>
        <w:t xml:space="preserve"> korun </w:t>
      </w:r>
      <w:r w:rsidR="00EF788F">
        <w:t>a </w:t>
      </w:r>
      <w:r>
        <w:t xml:space="preserve">dlouhodobé </w:t>
      </w:r>
      <w:r w:rsidR="00EF788F">
        <w:t>o </w:t>
      </w:r>
      <w:r>
        <w:t>54,8</w:t>
      </w:r>
      <w:r w:rsidR="00B13907">
        <w:t> mld.</w:t>
      </w:r>
    </w:p>
    <w:p w14:paraId="7F1AAFC6" w14:textId="09C96789" w:rsidR="00F50CEF" w:rsidRPr="006F1B5E" w:rsidRDefault="00F50CEF" w:rsidP="000302A6">
      <w:pPr>
        <w:pStyle w:val="Nadpis1"/>
        <w:spacing w:after="120"/>
      </w:pPr>
      <w:r w:rsidRPr="006F1B5E">
        <w:lastRenderedPageBreak/>
        <w:t>Domácnosti</w:t>
      </w:r>
    </w:p>
    <w:p w14:paraId="739DD8A9" w14:textId="67708D3B" w:rsidR="006F1B5E" w:rsidRDefault="009F276D" w:rsidP="00BE206D">
      <w:pPr>
        <w:spacing w:after="120"/>
      </w:pPr>
      <w:r w:rsidRPr="009F276D">
        <w:t xml:space="preserve">Hrubý disponibilní důchod (HDD) domácností </w:t>
      </w:r>
      <w:r w:rsidR="00EF788F" w:rsidRPr="009F276D">
        <w:t>v</w:t>
      </w:r>
      <w:r w:rsidR="00EF788F">
        <w:t> </w:t>
      </w:r>
      <w:r w:rsidRPr="009F276D">
        <w:t>1.</w:t>
      </w:r>
      <w:r w:rsidR="00B13907">
        <w:t> čtvrtlet</w:t>
      </w:r>
      <w:r w:rsidRPr="009F276D">
        <w:t>í</w:t>
      </w:r>
      <w:r>
        <w:t xml:space="preserve"> 2021 meziročně narostl </w:t>
      </w:r>
      <w:r w:rsidR="00EF788F">
        <w:t>o </w:t>
      </w:r>
      <w:r>
        <w:t>27,6</w:t>
      </w:r>
      <w:r w:rsidR="00B13907">
        <w:t> mld.</w:t>
      </w:r>
      <w:r>
        <w:t xml:space="preserve"> korun (3,6</w:t>
      </w:r>
      <w:r w:rsidR="00B13907">
        <w:t> %</w:t>
      </w:r>
      <w:r>
        <w:t xml:space="preserve">) </w:t>
      </w:r>
      <w:r w:rsidR="00EF788F">
        <w:t>a </w:t>
      </w:r>
      <w:r>
        <w:t>dosáhl 796,3</w:t>
      </w:r>
      <w:r w:rsidR="00B13907">
        <w:t> mld.</w:t>
      </w:r>
      <w:r>
        <w:t xml:space="preserve"> Nominální přírůstek tak ve srovnání s loňským 3. </w:t>
      </w:r>
      <w:r w:rsidR="00EF788F">
        <w:t>a </w:t>
      </w:r>
      <w:r>
        <w:t>4.</w:t>
      </w:r>
      <w:r w:rsidR="00B13907">
        <w:t> čtvrtlet</w:t>
      </w:r>
      <w:r>
        <w:t>í</w:t>
      </w:r>
      <w:r w:rsidR="00EA65C0">
        <w:t>m</w:t>
      </w:r>
      <w:r>
        <w:t xml:space="preserve"> zmírnil. </w:t>
      </w:r>
      <w:r w:rsidR="00EA65C0">
        <w:t>Růst cenové hladiny v 1.</w:t>
      </w:r>
      <w:r w:rsidR="00B13907">
        <w:t> čtvrtlet</w:t>
      </w:r>
      <w:r w:rsidR="00EA65C0">
        <w:t>í zpomalil</w:t>
      </w:r>
      <w:r w:rsidR="00214968">
        <w:t>,</w:t>
      </w:r>
      <w:r w:rsidR="00EA65C0">
        <w:t xml:space="preserve"> </w:t>
      </w:r>
      <w:r w:rsidR="00EF788F">
        <w:t>a </w:t>
      </w:r>
      <w:r w:rsidR="00EA65C0">
        <w:t>r</w:t>
      </w:r>
      <w:r>
        <w:t xml:space="preserve">eálný nárůst HDD </w:t>
      </w:r>
      <w:r w:rsidR="00EA65C0">
        <w:t xml:space="preserve">tak </w:t>
      </w:r>
      <w:r>
        <w:t>dosáhl 2,3</w:t>
      </w:r>
      <w:r w:rsidR="00B13907">
        <w:t> %</w:t>
      </w:r>
      <w:r w:rsidRPr="009F276D">
        <w:rPr>
          <w:rStyle w:val="Znakapoznpodarou"/>
        </w:rPr>
        <w:footnoteReference w:id="14"/>
      </w:r>
      <w:r>
        <w:t>. Ve srovnání se 4.</w:t>
      </w:r>
      <w:r w:rsidR="00B13907">
        <w:t> čtvrtlet</w:t>
      </w:r>
      <w:r>
        <w:t xml:space="preserve">ím 2020 klesl (sezónně očištěný) HDD domácností </w:t>
      </w:r>
      <w:r w:rsidR="00EF788F">
        <w:t>o </w:t>
      </w:r>
      <w:r>
        <w:t>5,0</w:t>
      </w:r>
      <w:r w:rsidR="00B13907">
        <w:t> mld.</w:t>
      </w:r>
      <w:r>
        <w:t xml:space="preserve"> korun, </w:t>
      </w:r>
      <w:r w:rsidR="00EA65C0">
        <w:t>což je nejvýraznější pokles od 1.</w:t>
      </w:r>
      <w:r w:rsidR="00B13907">
        <w:t> čtvrtlet</w:t>
      </w:r>
      <w:r w:rsidR="00EA65C0">
        <w:t>í 2013.</w:t>
      </w:r>
    </w:p>
    <w:p w14:paraId="1E2982F9" w14:textId="1E7827EB" w:rsidR="00EF788F" w:rsidRDefault="00F42BCA" w:rsidP="00BE206D">
      <w:pPr>
        <w:spacing w:after="120"/>
      </w:pPr>
      <w:r>
        <w:t xml:space="preserve">Objem vyplacených mezd </w:t>
      </w:r>
      <w:r w:rsidR="00EF788F">
        <w:t>a </w:t>
      </w:r>
      <w:r>
        <w:t>platů, které tvoří největší část disponibilního důchodu sektoru domácností, v 1.</w:t>
      </w:r>
      <w:r w:rsidR="00B13907">
        <w:t> čtvrtlet</w:t>
      </w:r>
      <w:r>
        <w:t xml:space="preserve">í meziročně klesl </w:t>
      </w:r>
      <w:r w:rsidR="00EF788F">
        <w:t>o </w:t>
      </w:r>
      <w:r>
        <w:t>12,7</w:t>
      </w:r>
      <w:r w:rsidR="00B13907">
        <w:t> mld.</w:t>
      </w:r>
      <w:r>
        <w:t xml:space="preserve"> korun (2,5</w:t>
      </w:r>
      <w:r w:rsidR="00B13907">
        <w:t> %</w:t>
      </w:r>
      <w:r>
        <w:t xml:space="preserve">) na </w:t>
      </w:r>
      <w:r w:rsidR="002B67E8">
        <w:t>493,7</w:t>
      </w:r>
      <w:bookmarkStart w:id="0" w:name="_GoBack"/>
      <w:bookmarkEnd w:id="0"/>
      <w:r w:rsidR="00B13907">
        <w:t> mld.</w:t>
      </w:r>
      <w:r w:rsidR="00401D42">
        <w:t xml:space="preserve"> Reálný propad mezd </w:t>
      </w:r>
      <w:r w:rsidR="00EF788F">
        <w:t>a </w:t>
      </w:r>
      <w:r w:rsidR="00401D42">
        <w:t>platů činil 3,7</w:t>
      </w:r>
      <w:r w:rsidR="00B13907">
        <w:t> %</w:t>
      </w:r>
      <w:r w:rsidR="00401D42">
        <w:t>.</w:t>
      </w:r>
      <w:r w:rsidR="00061682">
        <w:t xml:space="preserve"> Na vývoji mezd </w:t>
      </w:r>
      <w:r w:rsidR="00EF788F">
        <w:t>a </w:t>
      </w:r>
      <w:r w:rsidR="00061682">
        <w:t>platů je patrný útlum v části ekonomiky</w:t>
      </w:r>
      <w:r w:rsidR="00D83EE9">
        <w:t xml:space="preserve">. Jejich výpadek ale zčásti kompenzovaly prostředky ze stabilizačních programů, které k domácnostem nakonec doputovaly, ale zahrnuty jsou v sociálních příspěvcích zaměstnavatelů (ty meziročně vzrostly </w:t>
      </w:r>
      <w:r w:rsidR="00EF788F">
        <w:t>o </w:t>
      </w:r>
      <w:r w:rsidR="00D83EE9">
        <w:t>16,1</w:t>
      </w:r>
      <w:r w:rsidR="00B13907">
        <w:t> mld.</w:t>
      </w:r>
      <w:r w:rsidR="00D83EE9">
        <w:t xml:space="preserve"> korun, 10,7</w:t>
      </w:r>
      <w:r w:rsidR="00B13907">
        <w:t> %</w:t>
      </w:r>
      <w:r w:rsidR="00D83EE9">
        <w:t>)</w:t>
      </w:r>
      <w:r w:rsidR="0017143B">
        <w:t>.</w:t>
      </w:r>
    </w:p>
    <w:p w14:paraId="049814A3" w14:textId="50E1317B" w:rsidR="003C3817" w:rsidRDefault="0017143B" w:rsidP="00BE206D">
      <w:pPr>
        <w:spacing w:after="120"/>
      </w:pPr>
      <w:r>
        <w:t>Podnikatelé zařazení do sektoru domácností</w:t>
      </w:r>
      <w:r w:rsidR="007C234D">
        <w:t xml:space="preserve"> pocítili další meziroční snížení h</w:t>
      </w:r>
      <w:r w:rsidRPr="009F276D">
        <w:t>rub</w:t>
      </w:r>
      <w:r w:rsidR="007C234D">
        <w:t>ého</w:t>
      </w:r>
      <w:r w:rsidRPr="009F276D">
        <w:t xml:space="preserve"> smíšen</w:t>
      </w:r>
      <w:r w:rsidR="007C234D">
        <w:t>ého</w:t>
      </w:r>
      <w:r w:rsidRPr="009F276D">
        <w:t xml:space="preserve"> důchod</w:t>
      </w:r>
      <w:r w:rsidR="007C234D">
        <w:t>u</w:t>
      </w:r>
      <w:r w:rsidRPr="009F276D">
        <w:rPr>
          <w:rStyle w:val="Znakapoznpodarou"/>
        </w:rPr>
        <w:footnoteReference w:id="15"/>
      </w:r>
      <w:r w:rsidRPr="009F276D">
        <w:t xml:space="preserve"> </w:t>
      </w:r>
      <w:r w:rsidR="00EF788F">
        <w:t>o </w:t>
      </w:r>
      <w:r w:rsidR="007C234D">
        <w:t>1,2</w:t>
      </w:r>
      <w:r w:rsidR="00B13907">
        <w:t> mld.</w:t>
      </w:r>
      <w:r w:rsidR="007C234D">
        <w:t xml:space="preserve"> korun na 114,8</w:t>
      </w:r>
      <w:r w:rsidR="00B13907">
        <w:t> mld.</w:t>
      </w:r>
      <w:r w:rsidRPr="009F276D">
        <w:t xml:space="preserve"> </w:t>
      </w:r>
      <w:r w:rsidR="007C234D">
        <w:t xml:space="preserve">Naopak </w:t>
      </w:r>
      <w:r w:rsidRPr="009F276D">
        <w:t>hrub</w:t>
      </w:r>
      <w:r w:rsidR="007C234D">
        <w:t>ý</w:t>
      </w:r>
      <w:r w:rsidRPr="009F276D">
        <w:t xml:space="preserve"> provozní přebyt</w:t>
      </w:r>
      <w:r w:rsidR="007C234D">
        <w:t>e</w:t>
      </w:r>
      <w:r w:rsidRPr="009F276D">
        <w:t>k</w:t>
      </w:r>
      <w:r w:rsidRPr="009F276D">
        <w:rPr>
          <w:rStyle w:val="Znakapoznpodarou"/>
        </w:rPr>
        <w:footnoteReference w:id="16"/>
      </w:r>
      <w:r w:rsidR="007C234D">
        <w:t xml:space="preserve"> v 1.</w:t>
      </w:r>
      <w:r w:rsidR="00B13907">
        <w:t> čtvrtlet</w:t>
      </w:r>
      <w:r w:rsidR="007C234D">
        <w:t xml:space="preserve">í 2021 meziročně vzrostl </w:t>
      </w:r>
      <w:r w:rsidR="00EF788F">
        <w:t>o </w:t>
      </w:r>
      <w:r w:rsidR="007C234D">
        <w:t>7,0</w:t>
      </w:r>
      <w:r w:rsidR="00B13907">
        <w:t> mld.</w:t>
      </w:r>
      <w:r w:rsidR="007C234D">
        <w:t xml:space="preserve"> korun, což je nejvíce od 3.</w:t>
      </w:r>
      <w:r w:rsidR="00B13907">
        <w:t> čtvrtlet</w:t>
      </w:r>
      <w:r w:rsidR="007C234D">
        <w:t>í 2019. Kladné saldo důchodů z vlastnictví v 1.</w:t>
      </w:r>
      <w:r w:rsidR="00B13907">
        <w:t> čtvrtlet</w:t>
      </w:r>
      <w:r w:rsidR="007C234D">
        <w:t xml:space="preserve">í meziročně vzrostlo </w:t>
      </w:r>
      <w:r w:rsidR="00EF788F">
        <w:t>o </w:t>
      </w:r>
      <w:r w:rsidR="007C234D">
        <w:t>4,7</w:t>
      </w:r>
      <w:r w:rsidR="00B13907">
        <w:t> mld.</w:t>
      </w:r>
      <w:r w:rsidR="007C234D">
        <w:t xml:space="preserve"> korun na 35,5</w:t>
      </w:r>
      <w:r w:rsidR="00B13907">
        <w:t> mld.</w:t>
      </w:r>
      <w:r w:rsidR="00856098">
        <w:t xml:space="preserve"> </w:t>
      </w:r>
      <w:r w:rsidR="003047BF">
        <w:t xml:space="preserve">Snížil se objem </w:t>
      </w:r>
      <w:r w:rsidR="00856098">
        <w:t xml:space="preserve">úroků na straně </w:t>
      </w:r>
      <w:r w:rsidR="003047BF">
        <w:t xml:space="preserve">zdrojů </w:t>
      </w:r>
      <w:r w:rsidR="00EF788F">
        <w:t>i </w:t>
      </w:r>
      <w:r w:rsidR="00856098">
        <w:t>užití</w:t>
      </w:r>
      <w:r w:rsidR="003047BF">
        <w:t xml:space="preserve">. Hlavní roli ale hrálo </w:t>
      </w:r>
      <w:r w:rsidR="00856098">
        <w:t>zvýšení reinvest</w:t>
      </w:r>
      <w:r w:rsidR="003047BF">
        <w:t xml:space="preserve">ovaných zisků z přímých zahraničních investic </w:t>
      </w:r>
      <w:r w:rsidR="00EF788F">
        <w:t>a </w:t>
      </w:r>
      <w:r w:rsidR="003047BF">
        <w:t>rozdělovaných důchodů společností na straně zdrojů.</w:t>
      </w:r>
    </w:p>
    <w:p w14:paraId="33946CFF" w14:textId="3C7F5A11" w:rsidR="00336825" w:rsidRDefault="00F81280" w:rsidP="00BE206D">
      <w:pPr>
        <w:spacing w:after="120"/>
      </w:pPr>
      <w:r>
        <w:t xml:space="preserve">Saldo sociálních důchodů </w:t>
      </w:r>
      <w:r w:rsidR="00D03A5E">
        <w:t>od začátku roku 2020 výrazně roste pod vlivem vládní podpory, která má za úkol stabilizovat ekonomické dopady pandemie. V 1.</w:t>
      </w:r>
      <w:r w:rsidR="00B13907">
        <w:t> čtvrtlet</w:t>
      </w:r>
      <w:r w:rsidR="00D03A5E">
        <w:t xml:space="preserve">í 2021 se kladné saldo meziročně zvýšilo </w:t>
      </w:r>
      <w:r w:rsidR="00EF788F">
        <w:t>o </w:t>
      </w:r>
      <w:r w:rsidR="00D03A5E">
        <w:t>24,0</w:t>
      </w:r>
      <w:r w:rsidR="00B13907">
        <w:t> mld.</w:t>
      </w:r>
      <w:r w:rsidR="00D03A5E">
        <w:t xml:space="preserve"> korun na 135,3</w:t>
      </w:r>
      <w:r w:rsidR="00B13907">
        <w:t> mld.</w:t>
      </w:r>
      <w:r w:rsidR="00D03A5E">
        <w:t xml:space="preserve"> </w:t>
      </w:r>
      <w:r w:rsidR="00EF788F">
        <w:t>a </w:t>
      </w:r>
      <w:r w:rsidR="00D03A5E">
        <w:t>nejvíce tak přispělo k růstu HDD domácností.</w:t>
      </w:r>
      <w:r w:rsidR="007B24C8">
        <w:t xml:space="preserve"> Domácnosti ve formě sociálních dávek obdržely 241,1</w:t>
      </w:r>
      <w:r w:rsidR="00B13907">
        <w:t> mld.</w:t>
      </w:r>
      <w:r w:rsidR="007B24C8">
        <w:t xml:space="preserve"> korun (meziročně +38,1</w:t>
      </w:r>
      <w:r w:rsidR="00B13907">
        <w:t> mld.</w:t>
      </w:r>
      <w:r w:rsidR="007B24C8">
        <w:t xml:space="preserve">) </w:t>
      </w:r>
      <w:r w:rsidR="00EF788F">
        <w:t>a </w:t>
      </w:r>
      <w:r w:rsidR="007B24C8">
        <w:t>naopak samy ve formě sociálních příspěvků odvedly 106,9</w:t>
      </w:r>
      <w:r w:rsidR="00B13907">
        <w:t> mld.</w:t>
      </w:r>
      <w:r w:rsidR="007B24C8">
        <w:t xml:space="preserve"> korun (+14,1</w:t>
      </w:r>
      <w:r w:rsidR="00B13907">
        <w:t> mld.</w:t>
      </w:r>
      <w:r w:rsidR="007B24C8">
        <w:t>). Saldo ostatních transferů dosáhlo 0,1</w:t>
      </w:r>
      <w:r w:rsidR="00B13907">
        <w:t> mld.</w:t>
      </w:r>
      <w:r w:rsidR="007B24C8">
        <w:t xml:space="preserve"> </w:t>
      </w:r>
      <w:proofErr w:type="gramStart"/>
      <w:r w:rsidR="007B24C8">
        <w:t>korun (</w:t>
      </w:r>
      <w:r w:rsidR="00EF788F">
        <w:t>–</w:t>
      </w:r>
      <w:r w:rsidR="007B24C8">
        <w:t>0,7</w:t>
      </w:r>
      <w:proofErr w:type="gramEnd"/>
      <w:r w:rsidR="00B13907">
        <w:t> mld.</w:t>
      </w:r>
      <w:r w:rsidR="007B24C8">
        <w:t>). Domácnosti celkově zaplatily 68,0</w:t>
      </w:r>
      <w:r w:rsidR="00B13907">
        <w:t> mld.</w:t>
      </w:r>
      <w:r w:rsidR="007B24C8">
        <w:t xml:space="preserve"> korun ve formě běžných daní z důchodů </w:t>
      </w:r>
      <w:r w:rsidR="00EF788F">
        <w:t>a </w:t>
      </w:r>
      <w:proofErr w:type="gramStart"/>
      <w:r w:rsidR="007B24C8">
        <w:t>jmění (</w:t>
      </w:r>
      <w:r w:rsidR="00EF788F">
        <w:t>–</w:t>
      </w:r>
      <w:r w:rsidR="007B24C8">
        <w:t>6,5</w:t>
      </w:r>
      <w:proofErr w:type="gramEnd"/>
      <w:r w:rsidR="00B13907">
        <w:t> mld.</w:t>
      </w:r>
      <w:r w:rsidR="007B24C8">
        <w:t>)</w:t>
      </w:r>
      <w:r w:rsidR="00336825">
        <w:t>.</w:t>
      </w:r>
    </w:p>
    <w:p w14:paraId="0D06325B" w14:textId="3FE4C50F" w:rsidR="00F42BCA" w:rsidRPr="009F276D" w:rsidRDefault="003D6494" w:rsidP="00BE206D">
      <w:pPr>
        <w:spacing w:after="120"/>
      </w:pPr>
      <w:r>
        <w:t>Výdaje na konečnou spotřebu domácností v 1.</w:t>
      </w:r>
      <w:r w:rsidR="00B13907">
        <w:t> čtvrtlet</w:t>
      </w:r>
      <w:r>
        <w:t xml:space="preserve">í meziročně klesly </w:t>
      </w:r>
      <w:r w:rsidR="00EF788F">
        <w:t>o </w:t>
      </w:r>
      <w:r>
        <w:t>33,4</w:t>
      </w:r>
      <w:r w:rsidR="00B13907">
        <w:t> mld.</w:t>
      </w:r>
      <w:r>
        <w:t xml:space="preserve"> korun na 601,0</w:t>
      </w:r>
      <w:r w:rsidR="00B13907">
        <w:t> mld.</w:t>
      </w:r>
      <w:r>
        <w:t xml:space="preserve"> Ve srovnání se 4.</w:t>
      </w:r>
      <w:r w:rsidR="00B13907">
        <w:t> čtvrtlet</w:t>
      </w:r>
      <w:r>
        <w:t xml:space="preserve">ím sezónně očištěná spotřeba vzrostla </w:t>
      </w:r>
      <w:r w:rsidR="00EF788F">
        <w:t>o </w:t>
      </w:r>
      <w:r>
        <w:t>6,3</w:t>
      </w:r>
      <w:r w:rsidR="00B13907">
        <w:t> mld.</w:t>
      </w:r>
      <w:r>
        <w:t xml:space="preserve"> korun. Pokračující omezení v maloobchodě </w:t>
      </w:r>
      <w:r w:rsidR="00EF788F">
        <w:t>a </w:t>
      </w:r>
      <w:r>
        <w:t>službách totiž redukovala spotřební možnosti obyvatel</w:t>
      </w:r>
      <w:r w:rsidR="008221FB">
        <w:t>,</w:t>
      </w:r>
      <w:r w:rsidR="001C0063">
        <w:t xml:space="preserve"> </w:t>
      </w:r>
      <w:r w:rsidR="00EF788F">
        <w:t>a </w:t>
      </w:r>
      <w:r w:rsidR="001C0063">
        <w:t>nominální úroveň spotřeby domácností tak byla nejnižší za poslední tři roky</w:t>
      </w:r>
      <w:r>
        <w:t xml:space="preserve">. </w:t>
      </w:r>
      <w:r w:rsidR="0032577C">
        <w:t xml:space="preserve">Dál rostla hodnota statků </w:t>
      </w:r>
      <w:r w:rsidR="00EF788F">
        <w:t>a </w:t>
      </w:r>
      <w:r w:rsidR="0032577C">
        <w:t xml:space="preserve">služeb spotřebovávaných domácnostmi ve formě naturálních sociálních transferů (meziročně </w:t>
      </w:r>
      <w:r w:rsidR="00EF788F">
        <w:t>o </w:t>
      </w:r>
      <w:r w:rsidR="0032577C">
        <w:t>8,8</w:t>
      </w:r>
      <w:r w:rsidR="00B13907">
        <w:t> mld.</w:t>
      </w:r>
      <w:r w:rsidR="0032577C">
        <w:t xml:space="preserve"> korun</w:t>
      </w:r>
      <w:r w:rsidR="001C0063">
        <w:t xml:space="preserve"> na 178,8</w:t>
      </w:r>
      <w:r w:rsidR="00B13907">
        <w:t> mld.</w:t>
      </w:r>
      <w:r w:rsidR="0032577C">
        <w:t>)</w:t>
      </w:r>
      <w:r w:rsidR="001C0063">
        <w:t xml:space="preserve">, přírůstek byl ale nejslabší od 3. čtvrtletí 2017. Výsledné hrubé úspory tak meziročně vzrostly </w:t>
      </w:r>
      <w:r w:rsidR="00EF788F">
        <w:t>o </w:t>
      </w:r>
      <w:r w:rsidR="001C0063">
        <w:t>60,4</w:t>
      </w:r>
      <w:r w:rsidR="00B13907">
        <w:t> mld.</w:t>
      </w:r>
      <w:r w:rsidR="001C0063">
        <w:t xml:space="preserve"> korun na 204,5</w:t>
      </w:r>
      <w:r w:rsidR="00B13907">
        <w:t> mld.</w:t>
      </w:r>
      <w:r w:rsidR="00C10B92">
        <w:t xml:space="preserve"> To je pro srovnání více než dvojnásobek hodnoty za 1.</w:t>
      </w:r>
      <w:r w:rsidR="00B13907">
        <w:t> čtvrtlet</w:t>
      </w:r>
      <w:r w:rsidR="00C10B92">
        <w:t>í 2019. Míra úspor</w:t>
      </w:r>
      <w:r w:rsidR="00C10B92" w:rsidRPr="00C10B92">
        <w:rPr>
          <w:rStyle w:val="Znakapoznpodarou"/>
        </w:rPr>
        <w:footnoteReference w:id="17"/>
      </w:r>
      <w:r w:rsidR="00C10B92">
        <w:t xml:space="preserve"> mezičtvrtletně klesla </w:t>
      </w:r>
      <w:r w:rsidR="00EF788F">
        <w:t>o </w:t>
      </w:r>
      <w:r w:rsidR="00C10B92">
        <w:t>1,3</w:t>
      </w:r>
      <w:r w:rsidR="00B13907">
        <w:t> p. b.</w:t>
      </w:r>
      <w:r w:rsidR="00C10B92">
        <w:t xml:space="preserve"> </w:t>
      </w:r>
      <w:proofErr w:type="gramStart"/>
      <w:r w:rsidR="00C10B92">
        <w:t>na</w:t>
      </w:r>
      <w:proofErr w:type="gramEnd"/>
      <w:r w:rsidR="00C10B92">
        <w:t xml:space="preserve"> 23,7</w:t>
      </w:r>
      <w:r w:rsidR="00B13907">
        <w:t> %</w:t>
      </w:r>
      <w:r w:rsidR="00C10B92">
        <w:t xml:space="preserve"> (sezónně neočištěno). Meziročně ale byla vyšší </w:t>
      </w:r>
      <w:r w:rsidR="00EF788F">
        <w:t>o </w:t>
      </w:r>
      <w:r w:rsidR="00C10B92">
        <w:t>6,9</w:t>
      </w:r>
      <w:r w:rsidR="00B13907">
        <w:t> p. b.</w:t>
      </w:r>
      <w:r w:rsidR="00C10B92">
        <w:t xml:space="preserve"> (sezónně neočištěno).</w:t>
      </w:r>
    </w:p>
    <w:p w14:paraId="5FBE90A3" w14:textId="77777777" w:rsidR="004C26A0" w:rsidRPr="006F1B5E" w:rsidRDefault="00F81F79" w:rsidP="004C26A0">
      <w:pPr>
        <w:pStyle w:val="TabulkaGraf"/>
      </w:pPr>
      <w:r w:rsidRPr="006F1B5E">
        <w:lastRenderedPageBreak/>
        <w:t>G</w:t>
      </w:r>
      <w:r w:rsidR="002E6F00" w:rsidRPr="006F1B5E">
        <w:t>raf </w:t>
      </w:r>
      <w:r w:rsidR="004C52C6" w:rsidRPr="006F1B5E">
        <w:t xml:space="preserve">5: Meziroční změna výdajů na tvorbu hrubého fixního kapitálu (mld. korun) </w:t>
      </w:r>
      <w:r w:rsidR="00F03815" w:rsidRPr="006F1B5E">
        <w:t>a </w:t>
      </w:r>
      <w:r w:rsidR="004C52C6" w:rsidRPr="006F1B5E">
        <w:t xml:space="preserve">míra úspor </w:t>
      </w:r>
      <w:r w:rsidR="00F03815" w:rsidRPr="006F1B5E">
        <w:t>a </w:t>
      </w:r>
      <w:r w:rsidR="004C52C6" w:rsidRPr="006F1B5E">
        <w:t>míra investic sektoru domácností (v</w:t>
      </w:r>
      <w:r w:rsidR="00840938" w:rsidRPr="006F1B5E">
        <w:t> %</w:t>
      </w:r>
      <w:r w:rsidR="004C52C6" w:rsidRPr="006F1B5E">
        <w:t>, sezónně očištěno)</w:t>
      </w:r>
    </w:p>
    <w:p w14:paraId="598D7247" w14:textId="56DF843D" w:rsidR="004C52C6" w:rsidRPr="008914B7" w:rsidRDefault="006F1B5E" w:rsidP="004C26A0">
      <w:pPr>
        <w:pStyle w:val="TabulkaGraf"/>
        <w:jc w:val="center"/>
        <w:rPr>
          <w:highlight w:val="yellow"/>
        </w:rPr>
      </w:pPr>
      <w:r>
        <w:rPr>
          <w:noProof/>
          <w:lang w:eastAsia="cs-CZ"/>
        </w:rPr>
        <w:drawing>
          <wp:inline distT="0" distB="0" distL="0" distR="0" wp14:anchorId="43EC38D2" wp14:editId="5A6E49A7">
            <wp:extent cx="4737600" cy="2880000"/>
            <wp:effectExtent l="0" t="0" r="6350" b="0"/>
            <wp:docPr id="24" name="Graf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65F99E" w14:textId="1065A032" w:rsidR="00197A07" w:rsidRPr="006F1B5E" w:rsidRDefault="00941335" w:rsidP="00DA1298">
      <w:pPr>
        <w:spacing w:after="120"/>
      </w:pPr>
      <w:r w:rsidRPr="006F1B5E">
        <w:t>Zdroj: ČSÚ, národní účty</w:t>
      </w:r>
    </w:p>
    <w:p w14:paraId="16DAC40B" w14:textId="7049BF9B" w:rsidR="00142A45" w:rsidRDefault="00142A45" w:rsidP="00EA0A2C">
      <w:pPr>
        <w:spacing w:after="240"/>
      </w:pPr>
      <w:r>
        <w:t>Domácnosti (zejména drobní podnikatelé) obdržely 13,8</w:t>
      </w:r>
      <w:r w:rsidR="00B13907">
        <w:t> mld.</w:t>
      </w:r>
      <w:r>
        <w:t xml:space="preserve"> korun (+11,5</w:t>
      </w:r>
      <w:r w:rsidR="00B13907">
        <w:t> mld.</w:t>
      </w:r>
      <w:r>
        <w:t>) ve formě kapitálových transferů. Většinu z této částky (11,8</w:t>
      </w:r>
      <w:r w:rsidR="00B13907">
        <w:t> mld.</w:t>
      </w:r>
      <w:r>
        <w:t xml:space="preserve"> korun) představovaly ostatní kapitálové transfery, které zahrnovaly výplatu kompenzačních bonusů. Investiční dotace, které domácnosti v 1.</w:t>
      </w:r>
      <w:r w:rsidR="00B13907">
        <w:t> čtvrtlet</w:t>
      </w:r>
      <w:r>
        <w:t>í</w:t>
      </w:r>
      <w:r w:rsidR="00614A9F">
        <w:t xml:space="preserve"> obdržely</w:t>
      </w:r>
      <w:r>
        <w:t>, dosáhly 2,0</w:t>
      </w:r>
      <w:r w:rsidR="00B13907">
        <w:t> mld.</w:t>
      </w:r>
      <w:r>
        <w:t xml:space="preserve"> korun.</w:t>
      </w:r>
      <w:r w:rsidR="00020D9A">
        <w:t xml:space="preserve"> Výdaje na tvorbu hrubého fixního kapitálu meziročně vzrostly </w:t>
      </w:r>
      <w:r w:rsidR="00EF788F">
        <w:t>o </w:t>
      </w:r>
      <w:r w:rsidR="00020D9A">
        <w:t>1,9</w:t>
      </w:r>
      <w:r w:rsidR="00B13907">
        <w:t> mld.</w:t>
      </w:r>
      <w:r w:rsidR="00020D9A">
        <w:t xml:space="preserve"> korun na 60,6</w:t>
      </w:r>
      <w:r w:rsidR="00B13907">
        <w:t> mld.</w:t>
      </w:r>
      <w:r w:rsidR="00020D9A">
        <w:t xml:space="preserve"> Oproti 4.</w:t>
      </w:r>
      <w:r w:rsidR="00B13907">
        <w:t> čtvrtlet</w:t>
      </w:r>
      <w:r w:rsidR="00020D9A">
        <w:t xml:space="preserve">í 2020 se investice zvýšily </w:t>
      </w:r>
      <w:r w:rsidR="00EF788F">
        <w:t>o </w:t>
      </w:r>
      <w:r w:rsidR="00020D9A">
        <w:t>0,7 mld. korun. Výsledná míra investic</w:t>
      </w:r>
      <w:r w:rsidR="00020D9A" w:rsidRPr="00142A45">
        <w:rPr>
          <w:rStyle w:val="Znakapoznpodarou"/>
        </w:rPr>
        <w:footnoteReference w:id="18"/>
      </w:r>
      <w:r w:rsidR="00020D9A">
        <w:t xml:space="preserve"> (sezónně očištěná) mezičtvrtletně mírně vzrostla </w:t>
      </w:r>
      <w:r w:rsidR="00EF788F">
        <w:t>o </w:t>
      </w:r>
      <w:r w:rsidR="00020D9A">
        <w:t xml:space="preserve">0,2 p. b. </w:t>
      </w:r>
      <w:proofErr w:type="gramStart"/>
      <w:r w:rsidR="00020D9A">
        <w:t>na</w:t>
      </w:r>
      <w:proofErr w:type="gramEnd"/>
      <w:r w:rsidR="00020D9A">
        <w:t xml:space="preserve"> 9,0</w:t>
      </w:r>
      <w:r w:rsidR="00B13907">
        <w:t> %</w:t>
      </w:r>
      <w:r w:rsidR="00020D9A">
        <w:t>. Meziročně se (neočištěná) míra investic nezměnila.</w:t>
      </w:r>
    </w:p>
    <w:p w14:paraId="71BB4AD3" w14:textId="18B05A5F" w:rsidR="00F50CEF" w:rsidRPr="00590723" w:rsidRDefault="00F50CEF" w:rsidP="000302A6">
      <w:pPr>
        <w:pStyle w:val="Nadpis1"/>
        <w:spacing w:after="120"/>
      </w:pPr>
      <w:r w:rsidRPr="00590723">
        <w:t>Finanční vztahy s</w:t>
      </w:r>
      <w:r w:rsidR="000D19F9" w:rsidRPr="00590723">
        <w:t> </w:t>
      </w:r>
      <w:r w:rsidRPr="00590723">
        <w:t>nerezidenty</w:t>
      </w:r>
    </w:p>
    <w:p w14:paraId="2E49D7F1" w14:textId="22A40BF7" w:rsidR="00590723" w:rsidRDefault="00D71C1C" w:rsidP="00060DD8">
      <w:pPr>
        <w:spacing w:after="120"/>
      </w:pPr>
      <w:r>
        <w:t>V 1.</w:t>
      </w:r>
      <w:r w:rsidR="00B13907">
        <w:t> čtvrtlet</w:t>
      </w:r>
      <w:r>
        <w:t>í 2021 se restriktivní opatření v zásadě nedotýkala zahraničního obchodu, takže meziročně výrazně rostla hodnota vývozu (+71,4</w:t>
      </w:r>
      <w:r w:rsidR="00B13907">
        <w:t> mld.</w:t>
      </w:r>
      <w:r>
        <w:t xml:space="preserve"> korun) </w:t>
      </w:r>
      <w:r w:rsidR="00EF788F">
        <w:t>i </w:t>
      </w:r>
      <w:r>
        <w:t>dovozu (+53,9</w:t>
      </w:r>
      <w:r w:rsidR="00B13907">
        <w:t> mld.</w:t>
      </w:r>
      <w:r>
        <w:t xml:space="preserve">) zboží </w:t>
      </w:r>
      <w:r w:rsidR="00EF788F">
        <w:t>a </w:t>
      </w:r>
      <w:r>
        <w:t>služeb.</w:t>
      </w:r>
      <w:r w:rsidR="004222A3">
        <w:t xml:space="preserve"> </w:t>
      </w:r>
      <w:r>
        <w:t>Výsledný přebytek zahraničního obchodu dosáhl 12,3</w:t>
      </w:r>
      <w:r w:rsidR="00B13907">
        <w:t> mld.</w:t>
      </w:r>
      <w:r>
        <w:t xml:space="preserve"> korun </w:t>
      </w:r>
      <w:r w:rsidR="00EF788F">
        <w:t>a </w:t>
      </w:r>
      <w:r>
        <w:t xml:space="preserve">meziročně se zlepšil </w:t>
      </w:r>
      <w:r w:rsidR="00EF788F">
        <w:t>o </w:t>
      </w:r>
      <w:r>
        <w:t>17,5 mld.</w:t>
      </w:r>
      <w:r w:rsidR="004222A3">
        <w:t xml:space="preserve"> Vzhledem k mimořádně silnému závěru roku 2020, díky </w:t>
      </w:r>
      <w:r w:rsidR="00614A9F">
        <w:t xml:space="preserve">němuž </w:t>
      </w:r>
      <w:r w:rsidR="004222A3">
        <w:t>přebytek ve 4.</w:t>
      </w:r>
      <w:r w:rsidR="00B13907">
        <w:t> čtvrtlet</w:t>
      </w:r>
      <w:r w:rsidR="004222A3">
        <w:t>í dosáhl nejvyšší zaznamenané hodnoty (121,1</w:t>
      </w:r>
      <w:r w:rsidR="00B13907">
        <w:t> mld.</w:t>
      </w:r>
      <w:r w:rsidR="004222A3">
        <w:t xml:space="preserve"> korun), na kterou se v dalším kvartálu nepodařilo navázat, došlo netypicky </w:t>
      </w:r>
      <w:r w:rsidR="00EF788F">
        <w:t>k</w:t>
      </w:r>
      <w:r w:rsidR="00614A9F">
        <w:t> </w:t>
      </w:r>
      <w:r w:rsidR="004222A3">
        <w:t>mírnému</w:t>
      </w:r>
      <w:r w:rsidR="00614A9F">
        <w:t xml:space="preserve"> </w:t>
      </w:r>
      <w:r w:rsidR="004222A3">
        <w:t xml:space="preserve">mezičtvrtletnímu zhoršení bilance. To pak přispělo </w:t>
      </w:r>
      <w:r w:rsidR="00EF788F">
        <w:t>i </w:t>
      </w:r>
      <w:r w:rsidR="004222A3">
        <w:t>k výslednému mezičtvrtletnímu poklesu</w:t>
      </w:r>
      <w:r w:rsidR="00614A9F">
        <w:t> </w:t>
      </w:r>
      <w:r w:rsidR="004222A3">
        <w:t>HDP.</w:t>
      </w:r>
    </w:p>
    <w:p w14:paraId="5559317E" w14:textId="15B00A5E" w:rsidR="00B8043F" w:rsidRDefault="00BE3335" w:rsidP="00060DD8">
      <w:pPr>
        <w:spacing w:after="120"/>
      </w:pPr>
      <w:r>
        <w:t>Z domácí ekonomiky bylo vyplaceno nerezidentům</w:t>
      </w:r>
      <w:r w:rsidRPr="00590723">
        <w:rPr>
          <w:rStyle w:val="Znakapoznpodarou"/>
        </w:rPr>
        <w:footnoteReference w:id="19"/>
      </w:r>
      <w:r>
        <w:t xml:space="preserve"> 95,6</w:t>
      </w:r>
      <w:r w:rsidR="00B13907">
        <w:t> mld.</w:t>
      </w:r>
      <w:r>
        <w:t xml:space="preserve"> korun ve formě důchodů z</w:t>
      </w:r>
      <w:r w:rsidR="00B8043F">
        <w:t> </w:t>
      </w:r>
      <w:r>
        <w:t>vlastnictví</w:t>
      </w:r>
      <w:r w:rsidR="00B8043F">
        <w:t>, což tradičně představuje největší zisk nerezidentů</w:t>
      </w:r>
      <w:r>
        <w:t xml:space="preserve">. </w:t>
      </w:r>
      <w:r w:rsidR="00B8043F">
        <w:t>M</w:t>
      </w:r>
      <w:r>
        <w:t>eziročn</w:t>
      </w:r>
      <w:r w:rsidR="00B8043F">
        <w:t>ě</w:t>
      </w:r>
      <w:r>
        <w:t xml:space="preserve"> </w:t>
      </w:r>
      <w:r w:rsidR="00B8043F">
        <w:t xml:space="preserve">tato položka </w:t>
      </w:r>
      <w:r>
        <w:t>pokles</w:t>
      </w:r>
      <w:r w:rsidR="00B8043F">
        <w:t xml:space="preserve">la </w:t>
      </w:r>
      <w:r w:rsidR="00EF788F">
        <w:lastRenderedPageBreak/>
        <w:t>o </w:t>
      </w:r>
      <w:r>
        <w:t>22,1</w:t>
      </w:r>
      <w:r w:rsidR="00B13907">
        <w:t> mld.</w:t>
      </w:r>
      <w:r w:rsidR="00CE1E87">
        <w:t xml:space="preserve"> Propadl se především objem reinvestovaných </w:t>
      </w:r>
      <w:proofErr w:type="gramStart"/>
      <w:r w:rsidR="00CE1E87">
        <w:t>zisků (</w:t>
      </w:r>
      <w:r w:rsidR="00EF788F">
        <w:t>–</w:t>
      </w:r>
      <w:r w:rsidR="00CE1E87">
        <w:t>32,3</w:t>
      </w:r>
      <w:proofErr w:type="gramEnd"/>
      <w:r w:rsidR="00B13907">
        <w:t> mld.</w:t>
      </w:r>
      <w:r w:rsidR="00CE1E87">
        <w:t xml:space="preserve"> korun). Naopak rozdělované důchody společností vzrostly </w:t>
      </w:r>
      <w:r w:rsidR="00EF788F">
        <w:t>o </w:t>
      </w:r>
      <w:r w:rsidR="00CE1E87">
        <w:t>11,3</w:t>
      </w:r>
      <w:r w:rsidR="00B13907">
        <w:t> mld.</w:t>
      </w:r>
      <w:r w:rsidR="00CE1E87">
        <w:t xml:space="preserve"> korun.</w:t>
      </w:r>
      <w:r w:rsidR="007640A3">
        <w:t xml:space="preserve"> Objem důchodů z vlastnictví domácích investorů v zahraničí rovněž </w:t>
      </w:r>
      <w:proofErr w:type="gramStart"/>
      <w:r w:rsidR="007640A3">
        <w:t>klesl (</w:t>
      </w:r>
      <w:r w:rsidR="00EF788F">
        <w:t>–</w:t>
      </w:r>
      <w:r w:rsidR="007640A3">
        <w:t>7,2</w:t>
      </w:r>
      <w:proofErr w:type="gramEnd"/>
      <w:r w:rsidR="007640A3">
        <w:t> mld. korun), z toho nejvíce hodnota reinvestic (</w:t>
      </w:r>
      <w:r w:rsidR="00EF788F">
        <w:t>–</w:t>
      </w:r>
      <w:r w:rsidR="007640A3">
        <w:t>5,2</w:t>
      </w:r>
      <w:r w:rsidR="00B13907">
        <w:t> mld.</w:t>
      </w:r>
      <w:r w:rsidR="007640A3">
        <w:t>). Čistý odliv důchodů z vlastnictví do zahraničí v 1.</w:t>
      </w:r>
      <w:r w:rsidR="00B13907">
        <w:t> čtvrtlet</w:t>
      </w:r>
      <w:r w:rsidR="007640A3">
        <w:t>í 2021 dosáhl 55,9</w:t>
      </w:r>
      <w:r w:rsidR="00B13907">
        <w:t> mld.</w:t>
      </w:r>
      <w:r w:rsidR="007640A3">
        <w:t xml:space="preserve"> korun </w:t>
      </w:r>
      <w:r w:rsidR="00EF788F">
        <w:t>a </w:t>
      </w:r>
      <w:r w:rsidR="007640A3">
        <w:t xml:space="preserve">meziročně klesl </w:t>
      </w:r>
      <w:r w:rsidR="00EF788F">
        <w:t>o </w:t>
      </w:r>
      <w:r w:rsidR="007640A3">
        <w:t>22,1</w:t>
      </w:r>
      <w:r w:rsidR="00B13907">
        <w:t> mld.</w:t>
      </w:r>
    </w:p>
    <w:p w14:paraId="48344937" w14:textId="61347ADF" w:rsidR="00B26AFC" w:rsidRDefault="00B8043F" w:rsidP="007909AA">
      <w:pPr>
        <w:spacing w:after="120"/>
      </w:pPr>
      <w:r>
        <w:t>D</w:t>
      </w:r>
      <w:r w:rsidR="00060DD8" w:rsidRPr="00590723">
        <w:t>omácí ekonomik</w:t>
      </w:r>
      <w:r w:rsidR="00CF344C" w:rsidRPr="00590723">
        <w:t xml:space="preserve">a si </w:t>
      </w:r>
      <w:r w:rsidR="00EF788F" w:rsidRPr="00590723">
        <w:t>v</w:t>
      </w:r>
      <w:r w:rsidR="00EF788F">
        <w:t> </w:t>
      </w:r>
      <w:r>
        <w:t>1</w:t>
      </w:r>
      <w:r w:rsidR="00CF344C" w:rsidRPr="00590723">
        <w:t>.</w:t>
      </w:r>
      <w:r w:rsidR="00AA3711" w:rsidRPr="00590723">
        <w:t> čtvrtlet</w:t>
      </w:r>
      <w:r w:rsidR="00CF344C" w:rsidRPr="00590723">
        <w:t xml:space="preserve">í připsala </w:t>
      </w:r>
      <w:r>
        <w:t>17,2</w:t>
      </w:r>
      <w:r w:rsidR="00841D76" w:rsidRPr="00590723">
        <w:t> mld</w:t>
      </w:r>
      <w:r w:rsidR="00CF344C" w:rsidRPr="00590723">
        <w:t>. korun ve formě náhrad zaměstnanců</w:t>
      </w:r>
      <w:r w:rsidR="00514883" w:rsidRPr="00590723">
        <w:t>m</w:t>
      </w:r>
      <w:r w:rsidR="00CF344C" w:rsidRPr="00590723">
        <w:t xml:space="preserve">, což je </w:t>
      </w:r>
      <w:r>
        <w:t xml:space="preserve">meziročně </w:t>
      </w:r>
      <w:r w:rsidR="00EF788F">
        <w:t>o </w:t>
      </w:r>
      <w:r>
        <w:t>2,8</w:t>
      </w:r>
      <w:r w:rsidR="00B13907">
        <w:t> mld.</w:t>
      </w:r>
      <w:r>
        <w:t xml:space="preserve"> méně. Naopak do zahraničí bylo vyplaceno 13,4</w:t>
      </w:r>
      <w:r w:rsidR="00B13907">
        <w:t> mld.</w:t>
      </w:r>
      <w:r>
        <w:t xml:space="preserve"> korun, meziročně </w:t>
      </w:r>
      <w:r w:rsidR="00EF788F">
        <w:t>o </w:t>
      </w:r>
      <w:r>
        <w:t>0,2</w:t>
      </w:r>
      <w:r w:rsidR="00B13907">
        <w:t> mld.</w:t>
      </w:r>
      <w:r>
        <w:t xml:space="preserve"> méně. </w:t>
      </w:r>
      <w:r w:rsidR="00F77F8B">
        <w:t>Kladné s</w:t>
      </w:r>
      <w:r>
        <w:t>aldo náhrad zaměstnancům kleslo na 3,9</w:t>
      </w:r>
      <w:r w:rsidR="00B13907">
        <w:t> mld.</w:t>
      </w:r>
      <w:r>
        <w:t xml:space="preserve"> korun, což je </w:t>
      </w:r>
      <w:r w:rsidR="00F77F8B">
        <w:t xml:space="preserve">meziročně </w:t>
      </w:r>
      <w:r w:rsidR="00EF788F">
        <w:t>o </w:t>
      </w:r>
      <w:r w:rsidR="00F77F8B">
        <w:t>2,6</w:t>
      </w:r>
      <w:r w:rsidR="00B13907">
        <w:t> mld.</w:t>
      </w:r>
      <w:r w:rsidR="00F77F8B">
        <w:t xml:space="preserve"> méně. Daně z výroby </w:t>
      </w:r>
      <w:r w:rsidR="00EF788F">
        <w:t>a </w:t>
      </w:r>
      <w:r w:rsidR="00F77F8B">
        <w:t xml:space="preserve">dovozu zaplacené do zahraničí meziročně vzrostly </w:t>
      </w:r>
      <w:r w:rsidR="00EF788F">
        <w:t>o </w:t>
      </w:r>
      <w:r w:rsidR="00F77F8B">
        <w:t>0,1</w:t>
      </w:r>
      <w:r w:rsidR="00B13907">
        <w:t> mld.</w:t>
      </w:r>
      <w:r w:rsidR="00F77F8B">
        <w:t xml:space="preserve"> korun na 2,2</w:t>
      </w:r>
      <w:r w:rsidR="00B13907">
        <w:t> mld.</w:t>
      </w:r>
      <w:r w:rsidR="00F77F8B">
        <w:t xml:space="preserve"> Dotace ze zahraničí vyšplhaly </w:t>
      </w:r>
      <w:r w:rsidR="00EF788F">
        <w:t>o </w:t>
      </w:r>
      <w:r w:rsidR="00F77F8B">
        <w:t>0,6</w:t>
      </w:r>
      <w:r w:rsidR="00B13907">
        <w:t> mld.</w:t>
      </w:r>
      <w:r w:rsidR="00F77F8B">
        <w:t xml:space="preserve"> korun na 14,3</w:t>
      </w:r>
      <w:r w:rsidR="00B13907">
        <w:t> mld.</w:t>
      </w:r>
      <w:r w:rsidR="00F77F8B">
        <w:t xml:space="preserve"> Výsledné saldo prvotních důchodů v 1.</w:t>
      </w:r>
      <w:r w:rsidR="00B13907">
        <w:t> čtvrtlet</w:t>
      </w:r>
      <w:r w:rsidR="00F77F8B">
        <w:t>í dosáhlo deficitu 40,0</w:t>
      </w:r>
      <w:r w:rsidR="00B13907">
        <w:t> mld.</w:t>
      </w:r>
      <w:r w:rsidR="00F77F8B">
        <w:t xml:space="preserve"> korun. Deficit</w:t>
      </w:r>
      <w:r w:rsidR="00E309BB">
        <w:t xml:space="preserve"> byl</w:t>
      </w:r>
      <w:r w:rsidR="00F77F8B">
        <w:t xml:space="preserve"> tedy meziročně </w:t>
      </w:r>
      <w:r w:rsidR="00E309BB">
        <w:t xml:space="preserve">nižší </w:t>
      </w:r>
      <w:r w:rsidR="00EF788F">
        <w:t>o </w:t>
      </w:r>
      <w:r w:rsidR="00E309BB">
        <w:t>12,8</w:t>
      </w:r>
      <w:r w:rsidR="00B13907">
        <w:t> mld.</w:t>
      </w:r>
    </w:p>
    <w:p w14:paraId="5E37774B" w14:textId="638AC3FE" w:rsidR="00F3675B" w:rsidRDefault="00937610" w:rsidP="007909AA">
      <w:pPr>
        <w:spacing w:after="120"/>
      </w:pPr>
      <w:r>
        <w:t>Saldo druhotného rozdělení bylo</w:t>
      </w:r>
      <w:r w:rsidR="00F3675B">
        <w:t xml:space="preserve"> v 1.</w:t>
      </w:r>
      <w:r w:rsidR="00B13907">
        <w:t> čtvrtlet</w:t>
      </w:r>
      <w:r w:rsidR="00F3675B">
        <w:t>í</w:t>
      </w:r>
      <w:r>
        <w:t xml:space="preserve"> také deficitní (22,0</w:t>
      </w:r>
      <w:r w:rsidR="00B13907">
        <w:t> mld.</w:t>
      </w:r>
      <w:r>
        <w:t xml:space="preserve"> korun) </w:t>
      </w:r>
      <w:r w:rsidR="00EF788F">
        <w:t>a </w:t>
      </w:r>
      <w:r>
        <w:t xml:space="preserve">meziročně se zhoršilo </w:t>
      </w:r>
      <w:r w:rsidR="00EF788F">
        <w:t>o </w:t>
      </w:r>
      <w:r>
        <w:t xml:space="preserve">2,1 mld. korun. Důvodem bylo především zvýšení objemu ostatních běžných transferů vyplacených do zahraničí </w:t>
      </w:r>
      <w:r w:rsidR="00EF788F">
        <w:t>o </w:t>
      </w:r>
      <w:r>
        <w:t>4,5</w:t>
      </w:r>
      <w:r w:rsidR="00B13907">
        <w:t> mld.</w:t>
      </w:r>
      <w:r>
        <w:t xml:space="preserve"> korun. Čisté odlivy prvotních </w:t>
      </w:r>
      <w:r w:rsidR="00EF788F">
        <w:t>i </w:t>
      </w:r>
      <w:r>
        <w:t>druhotných důchodů vykompenzoval výrazný přebytek zahraničního obchodu. Výsledné saldo běžných transakcí domácí ekonomiky se zahraničím tak bylo kladné, činilo 58,2</w:t>
      </w:r>
      <w:r w:rsidR="00B13907">
        <w:t> mld.</w:t>
      </w:r>
      <w:r>
        <w:t xml:space="preserve"> korun </w:t>
      </w:r>
      <w:r w:rsidR="00EF788F">
        <w:t>a </w:t>
      </w:r>
      <w:r>
        <w:t xml:space="preserve">meziročně se zlepšilo </w:t>
      </w:r>
      <w:r w:rsidR="00EF788F">
        <w:t>o </w:t>
      </w:r>
      <w:r>
        <w:t>28,2</w:t>
      </w:r>
      <w:r w:rsidR="00B13907">
        <w:t> mld.</w:t>
      </w:r>
    </w:p>
    <w:p w14:paraId="201A4CD0" w14:textId="3AF8E464" w:rsidR="00B8043F" w:rsidRDefault="00B70ECD" w:rsidP="007909AA">
      <w:pPr>
        <w:spacing w:after="120"/>
      </w:pPr>
      <w:r>
        <w:t>Přijaté kapitálové transfery ze zahraničí v 1.</w:t>
      </w:r>
      <w:r w:rsidR="00B13907">
        <w:t> čtvrtlet</w:t>
      </w:r>
      <w:r>
        <w:t>í dosáhly 11,0</w:t>
      </w:r>
      <w:r w:rsidR="00B13907">
        <w:t> mld.</w:t>
      </w:r>
      <w:r>
        <w:t xml:space="preserve"> korun </w:t>
      </w:r>
      <w:r w:rsidR="00EF788F">
        <w:t>a </w:t>
      </w:r>
      <w:r>
        <w:t xml:space="preserve">meziročně tak byly nižší </w:t>
      </w:r>
      <w:r w:rsidR="00EF788F">
        <w:t>o </w:t>
      </w:r>
      <w:r>
        <w:t>1,7</w:t>
      </w:r>
      <w:r w:rsidR="00B13907">
        <w:t> mld.</w:t>
      </w:r>
      <w:r>
        <w:t xml:space="preserve"> Celkové saldo kapitálových transferů bylo jako obvykle kladné </w:t>
      </w:r>
      <w:r w:rsidR="00EF788F">
        <w:t>a </w:t>
      </w:r>
      <w:r>
        <w:t>činilo 10,7</w:t>
      </w:r>
      <w:r w:rsidR="00B13907">
        <w:t> mld.</w:t>
      </w:r>
      <w:r>
        <w:t xml:space="preserve"> korun (meziročně </w:t>
      </w:r>
      <w:r w:rsidR="00EF788F">
        <w:t>o </w:t>
      </w:r>
      <w:r>
        <w:t>2,5</w:t>
      </w:r>
      <w:r w:rsidR="00B13907">
        <w:t> mld.</w:t>
      </w:r>
      <w:r>
        <w:t xml:space="preserve"> méně). Čisté půjčky domácí ekonomiky světu v 1.</w:t>
      </w:r>
      <w:r w:rsidR="00B13907">
        <w:t> čtvrtlet</w:t>
      </w:r>
      <w:r>
        <w:t>í dosáhly 60,9</w:t>
      </w:r>
      <w:r w:rsidR="00B13907">
        <w:t> mld.</w:t>
      </w:r>
      <w:r>
        <w:t xml:space="preserve"> korun, tedy </w:t>
      </w:r>
      <w:r w:rsidR="00EF788F">
        <w:t>o </w:t>
      </w:r>
      <w:r>
        <w:t>10,8</w:t>
      </w:r>
      <w:r w:rsidR="00B13907">
        <w:t> mld.</w:t>
      </w:r>
      <w:r>
        <w:t xml:space="preserve"> více než ve stejném období loňského roku. V rámci posledních let je kladná bilance obvyklým výsledkem za 1.</w:t>
      </w:r>
      <w:r w:rsidR="00EF788F">
        <w:t> kvartál</w:t>
      </w:r>
      <w:r>
        <w:t>.</w:t>
      </w:r>
    </w:p>
    <w:p w14:paraId="238ABB20" w14:textId="77777777" w:rsidR="002461C3" w:rsidRPr="00614A9F" w:rsidRDefault="002461C3" w:rsidP="00E42E00">
      <w:pPr>
        <w:rPr>
          <w:bCs/>
        </w:rPr>
      </w:pPr>
    </w:p>
    <w:p w14:paraId="40794951" w14:textId="49A6EACE" w:rsidR="007B1333" w:rsidRPr="002C2BAC" w:rsidRDefault="007B1333" w:rsidP="00E42E00">
      <w:pPr>
        <w:rPr>
          <w:b/>
        </w:rPr>
      </w:pPr>
      <w:r w:rsidRPr="002C2BAC">
        <w:rPr>
          <w:b/>
        </w:rPr>
        <w:t>Autor/Kontakt/Zpracoval</w:t>
      </w:r>
      <w:r w:rsidR="004C52C6" w:rsidRPr="002C2BAC">
        <w:rPr>
          <w:b/>
        </w:rPr>
        <w:t>a</w:t>
      </w:r>
    </w:p>
    <w:p w14:paraId="07FE70A9" w14:textId="77777777" w:rsidR="007B1333" w:rsidRPr="002C2BAC" w:rsidRDefault="00656A12" w:rsidP="00E42E00">
      <w:r w:rsidRPr="002C2BAC">
        <w:t>Karolína Zábojníková</w:t>
      </w:r>
    </w:p>
    <w:p w14:paraId="4734BAC4" w14:textId="77777777" w:rsidR="007B1333" w:rsidRPr="002C2BAC" w:rsidRDefault="00656A12" w:rsidP="00E42E00">
      <w:r w:rsidRPr="002C2BAC">
        <w:t>Odbor Kancelář předsedy</w:t>
      </w:r>
    </w:p>
    <w:p w14:paraId="4CEDD3F5" w14:textId="3D4E0FEB" w:rsidR="007B1333" w:rsidRPr="002C2BAC" w:rsidRDefault="007B1333" w:rsidP="00E42E00">
      <w:r w:rsidRPr="002C2BAC">
        <w:t>Tel.:</w:t>
      </w:r>
      <w:r w:rsidR="00656A12" w:rsidRPr="002C2BAC">
        <w:t xml:space="preserve"> 542</w:t>
      </w:r>
      <w:r w:rsidR="0038007D" w:rsidRPr="002C2BAC">
        <w:t> </w:t>
      </w:r>
      <w:r w:rsidR="00656A12" w:rsidRPr="002C2BAC">
        <w:t>528</w:t>
      </w:r>
      <w:r w:rsidR="0038007D" w:rsidRPr="002C2BAC">
        <w:t> </w:t>
      </w:r>
      <w:r w:rsidR="00656A12" w:rsidRPr="002C2BAC">
        <w:t>112</w:t>
      </w:r>
    </w:p>
    <w:p w14:paraId="5AE94747" w14:textId="77777777" w:rsidR="004920AD" w:rsidRPr="004920AD" w:rsidRDefault="007B1333" w:rsidP="00E42E00">
      <w:r w:rsidRPr="002C2BAC">
        <w:t>E-mail:</w:t>
      </w:r>
      <w:r w:rsidR="00346D76" w:rsidRPr="002C2BAC">
        <w:t xml:space="preserve"> karolina.zabojnikova@czso.cz</w:t>
      </w:r>
    </w:p>
    <w:sectPr w:rsidR="004920AD" w:rsidRPr="004920AD" w:rsidSect="00247E8D">
      <w:headerReference w:type="default" r:id="rId12"/>
      <w:footerReference w:type="default" r:id="rId13"/>
      <w:pgSz w:w="11907" w:h="16839" w:code="9"/>
      <w:pgMar w:top="2948" w:right="1418" w:bottom="1985" w:left="1985" w:header="720" w:footer="85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120EC" w16cid:durableId="24988086"/>
  <w16cid:commentId w16cid:paraId="5100CA3E" w16cid:durableId="2498860C"/>
  <w16cid:commentId w16cid:paraId="4668A4E5" w16cid:durableId="24988C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F4FE" w14:textId="77777777" w:rsidR="00550D6E" w:rsidRDefault="00550D6E" w:rsidP="00BA6370">
      <w:r>
        <w:separator/>
      </w:r>
    </w:p>
  </w:endnote>
  <w:endnote w:type="continuationSeparator" w:id="0">
    <w:p w14:paraId="7866069D" w14:textId="77777777" w:rsidR="00550D6E" w:rsidRDefault="00550D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8405"/>
      <w:docPartObj>
        <w:docPartGallery w:val="Page Numbers (Bottom of Page)"/>
        <w:docPartUnique/>
      </w:docPartObj>
    </w:sdtPr>
    <w:sdtEndPr/>
    <w:sdtContent>
      <w:p w14:paraId="17686819" w14:textId="6EF6DD40" w:rsidR="006A79D4" w:rsidRDefault="006A79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E8">
          <w:rPr>
            <w:noProof/>
          </w:rPr>
          <w:t>6</w:t>
        </w:r>
        <w:r>
          <w:fldChar w:fldCharType="end"/>
        </w:r>
      </w:p>
    </w:sdtContent>
  </w:sdt>
  <w:p w14:paraId="67E19D24" w14:textId="77777777" w:rsidR="006A79D4" w:rsidRDefault="006A7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FB4B5" w14:textId="77777777" w:rsidR="00550D6E" w:rsidRDefault="00550D6E" w:rsidP="00BA6370">
      <w:r>
        <w:separator/>
      </w:r>
    </w:p>
  </w:footnote>
  <w:footnote w:type="continuationSeparator" w:id="0">
    <w:p w14:paraId="7F6E75A8" w14:textId="77777777" w:rsidR="00550D6E" w:rsidRDefault="00550D6E" w:rsidP="00BA6370">
      <w:r>
        <w:continuationSeparator/>
      </w:r>
    </w:p>
  </w:footnote>
  <w:footnote w:id="1">
    <w:p w14:paraId="266FBE34" w14:textId="77777777" w:rsidR="006A79D4" w:rsidRPr="00F5750C" w:rsidRDefault="006A79D4" w:rsidP="0014432B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Není-li uvedeno jinak, jsou všechny údaje použité v textu bez sezónního očištění.</w:t>
      </w:r>
    </w:p>
  </w:footnote>
  <w:footnote w:id="2">
    <w:p w14:paraId="1EF98B99" w14:textId="7C40E039" w:rsidR="006A79D4" w:rsidRPr="0006237B" w:rsidRDefault="006A79D4" w:rsidP="008358E0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reálného vyjádření převedeno s pomocí </w:t>
      </w:r>
      <w:r w:rsidRPr="0006237B">
        <w:rPr>
          <w:sz w:val="16"/>
          <w:szCs w:val="16"/>
        </w:rPr>
        <w:t>celkov</w:t>
      </w:r>
      <w:r>
        <w:rPr>
          <w:sz w:val="16"/>
          <w:szCs w:val="16"/>
        </w:rPr>
        <w:t>ého</w:t>
      </w:r>
      <w:r w:rsidRPr="0006237B">
        <w:rPr>
          <w:sz w:val="16"/>
          <w:szCs w:val="16"/>
        </w:rPr>
        <w:t xml:space="preserve"> deflátor</w:t>
      </w:r>
      <w:r>
        <w:rPr>
          <w:sz w:val="16"/>
          <w:szCs w:val="16"/>
        </w:rPr>
        <w:t>u</w:t>
      </w:r>
      <w:r w:rsidRPr="0006237B">
        <w:rPr>
          <w:sz w:val="16"/>
          <w:szCs w:val="16"/>
        </w:rPr>
        <w:t xml:space="preserve"> HPH.</w:t>
      </w:r>
      <w:r>
        <w:rPr>
          <w:sz w:val="16"/>
          <w:szCs w:val="16"/>
        </w:rPr>
        <w:t xml:space="preserve"> V 1. čtvrtletí 2021 dosahoval meziroční deflátor HPH 3,9 %.</w:t>
      </w:r>
    </w:p>
  </w:footnote>
  <w:footnote w:id="3">
    <w:p w14:paraId="6634663D" w14:textId="77777777" w:rsidR="006A79D4" w:rsidRPr="000F11C8" w:rsidRDefault="006A79D4" w:rsidP="00227AD7">
      <w:pPr>
        <w:pStyle w:val="Textpoznpodarou"/>
        <w:rPr>
          <w:sz w:val="16"/>
          <w:szCs w:val="16"/>
        </w:rPr>
      </w:pPr>
      <w:r w:rsidRPr="000F11C8">
        <w:rPr>
          <w:rStyle w:val="Znakapoznpodarou"/>
          <w:sz w:val="16"/>
          <w:szCs w:val="16"/>
        </w:rPr>
        <w:footnoteRef/>
      </w:r>
      <w:r w:rsidRPr="000F11C8"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 w:rsidRPr="000F11C8">
        <w:rPr>
          <w:sz w:val="16"/>
          <w:szCs w:val="16"/>
        </w:rPr>
        <w:t>osobách</w:t>
      </w:r>
      <w:r>
        <w:rPr>
          <w:sz w:val="16"/>
          <w:szCs w:val="16"/>
        </w:rPr>
        <w:t>;</w:t>
      </w:r>
      <w:r w:rsidRPr="000F11C8">
        <w:rPr>
          <w:sz w:val="16"/>
          <w:szCs w:val="16"/>
        </w:rPr>
        <w:t xml:space="preserve"> úvazky přepočteny na plnou pracovní dobu.</w:t>
      </w:r>
    </w:p>
  </w:footnote>
  <w:footnote w:id="4">
    <w:p w14:paraId="49446753" w14:textId="3F7C9A1C" w:rsidR="006A79D4" w:rsidRPr="00EE227D" w:rsidRDefault="006A79D4" w:rsidP="00701DA6">
      <w:pPr>
        <w:pStyle w:val="Textpoznpodarou"/>
        <w:rPr>
          <w:sz w:val="16"/>
          <w:szCs w:val="16"/>
        </w:rPr>
      </w:pPr>
      <w:r w:rsidRPr="00EE227D">
        <w:rPr>
          <w:rStyle w:val="Znakapoznpodarou"/>
          <w:sz w:val="16"/>
          <w:szCs w:val="16"/>
        </w:rPr>
        <w:footnoteRef/>
      </w:r>
      <w:r w:rsidRPr="00EE22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Položka dotací </w:t>
      </w:r>
      <w:r w:rsidRPr="005D0714">
        <w:rPr>
          <w:sz w:val="16"/>
          <w:szCs w:val="16"/>
        </w:rPr>
        <w:t xml:space="preserve">zahrnovala prostředky </w:t>
      </w:r>
      <w:r>
        <w:rPr>
          <w:sz w:val="16"/>
          <w:szCs w:val="16"/>
        </w:rPr>
        <w:t xml:space="preserve">v rámci </w:t>
      </w:r>
      <w:r w:rsidRPr="005D0714">
        <w:rPr>
          <w:sz w:val="16"/>
          <w:szCs w:val="16"/>
        </w:rPr>
        <w:t>program</w:t>
      </w:r>
      <w:r>
        <w:rPr>
          <w:sz w:val="16"/>
          <w:szCs w:val="16"/>
        </w:rPr>
        <w:t>ů</w:t>
      </w:r>
      <w:r w:rsidRPr="005D0714">
        <w:rPr>
          <w:sz w:val="16"/>
          <w:szCs w:val="16"/>
        </w:rPr>
        <w:t xml:space="preserve"> COVID nájemné pro podnikatele</w:t>
      </w:r>
      <w:r>
        <w:rPr>
          <w:sz w:val="16"/>
          <w:szCs w:val="16"/>
        </w:rPr>
        <w:t>, COVID ubytování a dalších. Podrobnější informace o pohybech ve statistice výdajů a příjmů vládních institucí jsou obsaženy v metodické poznámce zveřejněné na internetových stránkách ČSÚ:</w:t>
      </w:r>
      <w:r w:rsidRPr="005D0714">
        <w:rPr>
          <w:sz w:val="16"/>
          <w:szCs w:val="16"/>
        </w:rPr>
        <w:t xml:space="preserve"> </w:t>
      </w:r>
      <w:hyperlink r:id="rId1" w:history="1">
        <w:r>
          <w:rPr>
            <w:rStyle w:val="Hypertextovodkaz"/>
            <w:sz w:val="16"/>
            <w:szCs w:val="16"/>
          </w:rPr>
          <w:t>https://www.czso.cz/csu/czso/metodicka-poznamka-k-vladni-financni-statistice-2020-covid-19-01042021</w:t>
        </w:r>
      </w:hyperlink>
      <w:r w:rsidRPr="00E77C6D">
        <w:rPr>
          <w:rStyle w:val="Hypertextovodkaz"/>
          <w:color w:val="auto"/>
          <w:sz w:val="16"/>
          <w:szCs w:val="16"/>
          <w:u w:val="none"/>
        </w:rPr>
        <w:t>.</w:t>
      </w:r>
    </w:p>
  </w:footnote>
  <w:footnote w:id="5">
    <w:p w14:paraId="1C60BBD1" w14:textId="77777777" w:rsidR="006A79D4" w:rsidRPr="0006237B" w:rsidRDefault="006A79D4" w:rsidP="0076719B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(B.2g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6">
    <w:p w14:paraId="44CB04BD" w14:textId="68E4ABAA" w:rsidR="006A79D4" w:rsidRPr="00FB11E5" w:rsidRDefault="006A79D4">
      <w:pPr>
        <w:pStyle w:val="Textpoznpodarou"/>
        <w:rPr>
          <w:sz w:val="16"/>
          <w:szCs w:val="16"/>
        </w:rPr>
      </w:pPr>
      <w:r w:rsidRPr="00FB11E5">
        <w:rPr>
          <w:rStyle w:val="Znakapoznpodarou"/>
          <w:sz w:val="16"/>
          <w:szCs w:val="16"/>
        </w:rPr>
        <w:footnoteRef/>
      </w:r>
      <w:r w:rsidRPr="00FB11E5">
        <w:rPr>
          <w:sz w:val="16"/>
          <w:szCs w:val="16"/>
        </w:rPr>
        <w:t xml:space="preserve"> Na straně zdrojů NP obdržely sociální příspěvky</w:t>
      </w:r>
      <w:r>
        <w:rPr>
          <w:sz w:val="16"/>
          <w:szCs w:val="16"/>
        </w:rPr>
        <w:t xml:space="preserve"> ve výši 14,2 mld. korun (meziročně více o 12,0 mld.)</w:t>
      </w:r>
      <w:r w:rsidRPr="00FB11E5">
        <w:rPr>
          <w:sz w:val="16"/>
          <w:szCs w:val="16"/>
        </w:rPr>
        <w:t>, které pak vyplatily jako sociální dávky ve stejné výši. Na celkové saldo tak</w:t>
      </w:r>
      <w:r>
        <w:rPr>
          <w:sz w:val="16"/>
          <w:szCs w:val="16"/>
        </w:rPr>
        <w:t xml:space="preserve"> tento</w:t>
      </w:r>
      <w:r w:rsidRPr="00FB11E5">
        <w:rPr>
          <w:sz w:val="16"/>
          <w:szCs w:val="16"/>
        </w:rPr>
        <w:t xml:space="preserve"> pohyb neměl vliv.</w:t>
      </w:r>
    </w:p>
  </w:footnote>
  <w:footnote w:id="7">
    <w:p w14:paraId="35289690" w14:textId="77777777" w:rsidR="006A79D4" w:rsidRPr="00984434" w:rsidRDefault="006A79D4" w:rsidP="00E0186F">
      <w:pPr>
        <w:pStyle w:val="Textpoznpodarou"/>
        <w:rPr>
          <w:sz w:val="16"/>
          <w:szCs w:val="16"/>
        </w:rPr>
      </w:pPr>
      <w:r w:rsidRPr="00984434">
        <w:rPr>
          <w:rStyle w:val="Znakapoznpodarou"/>
          <w:sz w:val="16"/>
          <w:szCs w:val="16"/>
        </w:rPr>
        <w:footnoteRef/>
      </w:r>
      <w:r w:rsidRPr="00984434">
        <w:rPr>
          <w:sz w:val="16"/>
          <w:szCs w:val="16"/>
        </w:rPr>
        <w:t xml:space="preserve"> Míra úspor nefinančních podniků je definována jako podíl hrubých úspor na hrubé přidané hodnotě </w:t>
      </w:r>
      <w:r w:rsidRPr="00984434">
        <w:rPr>
          <w:rFonts w:eastAsiaTheme="minorHAnsi" w:cs="Arial"/>
          <w:iCs/>
          <w:sz w:val="16"/>
          <w:szCs w:val="16"/>
          <w:lang w:eastAsia="en-US"/>
        </w:rPr>
        <w:t>(B.8g / B.1g).</w:t>
      </w:r>
    </w:p>
  </w:footnote>
  <w:footnote w:id="8">
    <w:p w14:paraId="0481CA82" w14:textId="2E257E65" w:rsidR="006A79D4" w:rsidRPr="00374EF6" w:rsidRDefault="006A79D4">
      <w:pPr>
        <w:pStyle w:val="Textpoznpodarou"/>
        <w:rPr>
          <w:sz w:val="16"/>
          <w:szCs w:val="16"/>
        </w:rPr>
      </w:pPr>
      <w:r w:rsidRPr="00374EF6">
        <w:rPr>
          <w:rStyle w:val="Znakapoznpodarou"/>
          <w:sz w:val="16"/>
          <w:szCs w:val="16"/>
        </w:rPr>
        <w:footnoteRef/>
      </w:r>
      <w:r w:rsidRPr="00374EF6">
        <w:rPr>
          <w:sz w:val="16"/>
          <w:szCs w:val="16"/>
        </w:rPr>
        <w:t xml:space="preserve"> Kompenzační bonus.</w:t>
      </w:r>
    </w:p>
  </w:footnote>
  <w:footnote w:id="9">
    <w:p w14:paraId="129F9990" w14:textId="77777777" w:rsidR="006A79D4" w:rsidRPr="00AB3D8D" w:rsidRDefault="006A79D4" w:rsidP="00850AAD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(P.51g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10">
    <w:p w14:paraId="04D1BD4E" w14:textId="35B144C8" w:rsidR="006A79D4" w:rsidRPr="001D5F9E" w:rsidRDefault="006A79D4">
      <w:pPr>
        <w:pStyle w:val="Textpoznpodarou"/>
        <w:rPr>
          <w:sz w:val="16"/>
          <w:szCs w:val="16"/>
        </w:rPr>
      </w:pPr>
      <w:r w:rsidRPr="001D5F9E">
        <w:rPr>
          <w:rStyle w:val="Znakapoznpodarou"/>
          <w:sz w:val="16"/>
          <w:szCs w:val="16"/>
        </w:rPr>
        <w:footnoteRef/>
      </w:r>
      <w:r w:rsidRPr="001D5F9E">
        <w:rPr>
          <w:sz w:val="16"/>
          <w:szCs w:val="16"/>
        </w:rPr>
        <w:t xml:space="preserve"> Velký výkyv investic v</w:t>
      </w:r>
      <w:r>
        <w:rPr>
          <w:sz w:val="16"/>
          <w:szCs w:val="16"/>
        </w:rPr>
        <w:t> </w:t>
      </w:r>
      <w:r w:rsidRPr="001D5F9E">
        <w:rPr>
          <w:sz w:val="16"/>
          <w:szCs w:val="16"/>
        </w:rPr>
        <w:t>sektorech nefinančních podniků a</w:t>
      </w:r>
      <w:r>
        <w:rPr>
          <w:sz w:val="16"/>
          <w:szCs w:val="16"/>
        </w:rPr>
        <w:t> </w:t>
      </w:r>
      <w:r w:rsidRPr="001D5F9E">
        <w:rPr>
          <w:sz w:val="16"/>
          <w:szCs w:val="16"/>
        </w:rPr>
        <w:t>vládních institucí byl</w:t>
      </w:r>
      <w:r>
        <w:rPr>
          <w:sz w:val="16"/>
          <w:szCs w:val="16"/>
        </w:rPr>
        <w:t xml:space="preserve"> tehdy </w:t>
      </w:r>
      <w:r w:rsidRPr="001D5F9E">
        <w:rPr>
          <w:sz w:val="16"/>
          <w:szCs w:val="16"/>
        </w:rPr>
        <w:t>způsoben odlukou SŽDC od</w:t>
      </w:r>
      <w:r>
        <w:rPr>
          <w:sz w:val="16"/>
          <w:szCs w:val="16"/>
        </w:rPr>
        <w:t> </w:t>
      </w:r>
      <w:r w:rsidRPr="001D5F9E">
        <w:rPr>
          <w:sz w:val="16"/>
          <w:szCs w:val="16"/>
        </w:rPr>
        <w:t>ČD.</w:t>
      </w:r>
    </w:p>
  </w:footnote>
  <w:footnote w:id="11">
    <w:p w14:paraId="399DF9B7" w14:textId="5F079702" w:rsidR="006A79D4" w:rsidRPr="00222B76" w:rsidRDefault="006A79D4">
      <w:pPr>
        <w:pStyle w:val="Textpoznpodarou"/>
        <w:rPr>
          <w:sz w:val="16"/>
          <w:szCs w:val="16"/>
        </w:rPr>
      </w:pPr>
      <w:r w:rsidRPr="00222B76">
        <w:rPr>
          <w:rStyle w:val="Znakapoznpodarou"/>
          <w:sz w:val="16"/>
          <w:szCs w:val="16"/>
        </w:rPr>
        <w:footnoteRef/>
      </w:r>
      <w:r w:rsidRPr="00222B76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222B76">
        <w:rPr>
          <w:sz w:val="16"/>
          <w:szCs w:val="16"/>
        </w:rPr>
        <w:t>rogram</w:t>
      </w:r>
      <w:r>
        <w:rPr>
          <w:sz w:val="16"/>
          <w:szCs w:val="16"/>
        </w:rPr>
        <w:t>y</w:t>
      </w:r>
      <w:r w:rsidRPr="00222B76">
        <w:rPr>
          <w:sz w:val="16"/>
          <w:szCs w:val="16"/>
        </w:rPr>
        <w:t xml:space="preserve"> ANTIVIRUS, COVID nájemné a další podpora v oblasti kultury i cestovního ruchu</w:t>
      </w:r>
      <w:r>
        <w:rPr>
          <w:sz w:val="16"/>
          <w:szCs w:val="16"/>
        </w:rPr>
        <w:t>.</w:t>
      </w:r>
    </w:p>
  </w:footnote>
  <w:footnote w:id="12">
    <w:p w14:paraId="585CE104" w14:textId="413911C0" w:rsidR="006A79D4" w:rsidRPr="00222B76" w:rsidRDefault="006A79D4">
      <w:pPr>
        <w:pStyle w:val="Textpoznpodarou"/>
        <w:rPr>
          <w:sz w:val="16"/>
          <w:szCs w:val="16"/>
        </w:rPr>
      </w:pPr>
      <w:r w:rsidRPr="00222B76">
        <w:rPr>
          <w:rStyle w:val="Znakapoznpodarou"/>
          <w:sz w:val="16"/>
          <w:szCs w:val="16"/>
        </w:rPr>
        <w:footnoteRef/>
      </w:r>
      <w:r w:rsidRPr="00222B76">
        <w:rPr>
          <w:sz w:val="16"/>
          <w:szCs w:val="16"/>
        </w:rPr>
        <w:t xml:space="preserve"> </w:t>
      </w:r>
      <w:r>
        <w:rPr>
          <w:sz w:val="16"/>
          <w:szCs w:val="16"/>
        </w:rPr>
        <w:t>K</w:t>
      </w:r>
      <w:r w:rsidRPr="00222B76">
        <w:rPr>
          <w:sz w:val="16"/>
          <w:szCs w:val="16"/>
        </w:rPr>
        <w:t>ompenzační bonus pro OSVČ</w:t>
      </w:r>
      <w:r>
        <w:rPr>
          <w:sz w:val="16"/>
          <w:szCs w:val="16"/>
        </w:rPr>
        <w:t>.</w:t>
      </w:r>
    </w:p>
  </w:footnote>
  <w:footnote w:id="13">
    <w:p w14:paraId="58905B19" w14:textId="77777777" w:rsidR="006A79D4" w:rsidRPr="00337C71" w:rsidRDefault="006A79D4" w:rsidP="0043790B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  <w:r>
        <w:rPr>
          <w:sz w:val="16"/>
          <w:szCs w:val="16"/>
        </w:rPr>
        <w:t xml:space="preserve"> Liší se zejména zahrnuté závazky i způsob jejich ohodnocení. </w:t>
      </w:r>
      <w:r w:rsidRPr="00EB3C89">
        <w:rPr>
          <w:rFonts w:cs="Arial"/>
          <w:sz w:val="16"/>
          <w:szCs w:val="16"/>
          <w:lang w:eastAsia="cs-CZ"/>
        </w:rPr>
        <w:t>Celkové závazky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sektorových účtech zahrnují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navíc měnové zlato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zvláštní práva čerpání, účasti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podíly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investičních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fondech, pojistné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penzijní programy, finanční deriváty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zaměstnanecké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opce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ostatní závazky. Všechny závazky jsou oceněny tržní hodnotou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bez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vlivu souvisejících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derivátových obchodů.</w:t>
      </w:r>
      <w:r>
        <w:rPr>
          <w:rFonts w:cs="Arial"/>
          <w:sz w:val="16"/>
          <w:szCs w:val="16"/>
          <w:lang w:eastAsia="cs-CZ"/>
        </w:rPr>
        <w:t xml:space="preserve"> Zdroj: Rybáček, V., Musil, P. (2020). </w:t>
      </w:r>
      <w:r w:rsidRPr="00EB3C89">
        <w:rPr>
          <w:rFonts w:cs="Arial"/>
          <w:sz w:val="16"/>
          <w:szCs w:val="16"/>
          <w:lang w:eastAsia="cs-CZ"/>
        </w:rPr>
        <w:t>Vztah mezi saldem hospodaření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dluhem vládních institucí.</w:t>
      </w:r>
      <w:r w:rsidRPr="00EB3C89">
        <w:rPr>
          <w:sz w:val="16"/>
          <w:szCs w:val="16"/>
        </w:rPr>
        <w:t xml:space="preserve"> </w:t>
      </w:r>
      <w:r w:rsidRPr="00EB3C89">
        <w:rPr>
          <w:i/>
          <w:iCs/>
          <w:sz w:val="16"/>
          <w:szCs w:val="16"/>
        </w:rPr>
        <w:t>Politická ekonomie</w:t>
      </w:r>
      <w:r w:rsidRPr="00EB3C89">
        <w:rPr>
          <w:sz w:val="16"/>
          <w:szCs w:val="16"/>
        </w:rPr>
        <w:t>, 68(4), 462</w:t>
      </w:r>
      <w:r>
        <w:rPr>
          <w:sz w:val="16"/>
          <w:szCs w:val="16"/>
        </w:rPr>
        <w:t>–</w:t>
      </w:r>
      <w:r w:rsidRPr="00EB3C89">
        <w:rPr>
          <w:sz w:val="16"/>
          <w:szCs w:val="16"/>
        </w:rPr>
        <w:t>482, https://doi.org/10.18267/j.</w:t>
      </w:r>
      <w:proofErr w:type="gramStart"/>
      <w:r w:rsidRPr="00EB3C89">
        <w:rPr>
          <w:sz w:val="16"/>
          <w:szCs w:val="16"/>
        </w:rPr>
        <w:t>polek.1290</w:t>
      </w:r>
      <w:proofErr w:type="gramEnd"/>
      <w:r>
        <w:rPr>
          <w:sz w:val="16"/>
          <w:szCs w:val="16"/>
        </w:rPr>
        <w:t>.</w:t>
      </w:r>
    </w:p>
  </w:footnote>
  <w:footnote w:id="14">
    <w:p w14:paraId="3388FC03" w14:textId="2BAD12FA" w:rsidR="006A79D4" w:rsidRPr="009E0C2A" w:rsidRDefault="006A79D4" w:rsidP="009F276D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 1. čtvrtletí 2021 činil cenový nárůst 1,2 %.</w:t>
      </w:r>
    </w:p>
  </w:footnote>
  <w:footnote w:id="15">
    <w:p w14:paraId="489753D1" w14:textId="77777777" w:rsidR="006A79D4" w:rsidRPr="00EB5544" w:rsidRDefault="006A79D4" w:rsidP="0017143B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6">
    <w:p w14:paraId="70774D71" w14:textId="77777777" w:rsidR="006A79D4" w:rsidRPr="00EB5544" w:rsidRDefault="006A79D4" w:rsidP="0017143B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7">
    <w:p w14:paraId="23664E90" w14:textId="77777777" w:rsidR="006A79D4" w:rsidRPr="00E9501D" w:rsidRDefault="006A79D4" w:rsidP="00C10B92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(B.8g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</w:t>
      </w:r>
      <w:proofErr w:type="gramStart"/>
      <w:r w:rsidRPr="00E9501D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D.8)).</w:t>
      </w:r>
      <w:proofErr w:type="gramEnd"/>
      <w:r w:rsidRPr="00E9501D">
        <w:rPr>
          <w:rFonts w:cs="Arial"/>
          <w:iCs/>
          <w:sz w:val="16"/>
          <w:szCs w:val="16"/>
        </w:rPr>
        <w:t xml:space="preserve"> Hrubé úspory představují část hrubého disponibilního důchodu, který nebyl spotřebován ve formě výdajů na konečnou spotřebu.</w:t>
      </w:r>
    </w:p>
  </w:footnote>
  <w:footnote w:id="18">
    <w:p w14:paraId="3ED52B0C" w14:textId="77777777" w:rsidR="006A79D4" w:rsidRPr="00D20875" w:rsidRDefault="006A79D4" w:rsidP="00020D9A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(P.51g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</w:t>
      </w:r>
      <w:proofErr w:type="gramStart"/>
      <w:r w:rsidRPr="00D20875">
        <w:rPr>
          <w:rFonts w:cs="Arial"/>
          <w:iCs/>
          <w:sz w:val="16"/>
          <w:szCs w:val="16"/>
        </w:rPr>
        <w:t>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  <w:proofErr w:type="gramEnd"/>
    </w:p>
  </w:footnote>
  <w:footnote w:id="19">
    <w:p w14:paraId="3C785350" w14:textId="77777777" w:rsidR="006A79D4" w:rsidRDefault="006A79D4" w:rsidP="00BE3335">
      <w:pPr>
        <w:pStyle w:val="Textpoznpodarou"/>
        <w:rPr>
          <w:rStyle w:val="odkaz-style-wrapper"/>
          <w:rFonts w:cs="Arial"/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</w:p>
    <w:p w14:paraId="6A3EA95E" w14:textId="39924BF2" w:rsidR="006A79D4" w:rsidRPr="00273CB1" w:rsidRDefault="006A79D4" w:rsidP="00BE3335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BF0C" w14:textId="77777777" w:rsidR="006A79D4" w:rsidRDefault="006A79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5D212" wp14:editId="5BE8D5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group w14:anchorId="045D3155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02857"/>
    <w:rsid w:val="00012BC2"/>
    <w:rsid w:val="00013757"/>
    <w:rsid w:val="00016AA5"/>
    <w:rsid w:val="000171C5"/>
    <w:rsid w:val="000207B9"/>
    <w:rsid w:val="00020D9A"/>
    <w:rsid w:val="00026950"/>
    <w:rsid w:val="00026DC4"/>
    <w:rsid w:val="000302A6"/>
    <w:rsid w:val="00035A2B"/>
    <w:rsid w:val="00036709"/>
    <w:rsid w:val="000370D3"/>
    <w:rsid w:val="000408A4"/>
    <w:rsid w:val="00040CEA"/>
    <w:rsid w:val="00043BF4"/>
    <w:rsid w:val="00060DD8"/>
    <w:rsid w:val="00061682"/>
    <w:rsid w:val="000633FC"/>
    <w:rsid w:val="000657C6"/>
    <w:rsid w:val="00066E38"/>
    <w:rsid w:val="0007050D"/>
    <w:rsid w:val="00073558"/>
    <w:rsid w:val="00073A99"/>
    <w:rsid w:val="00082045"/>
    <w:rsid w:val="00082547"/>
    <w:rsid w:val="000843A5"/>
    <w:rsid w:val="0008507E"/>
    <w:rsid w:val="00087487"/>
    <w:rsid w:val="00087A80"/>
    <w:rsid w:val="00090B9E"/>
    <w:rsid w:val="00092C15"/>
    <w:rsid w:val="0009303F"/>
    <w:rsid w:val="00093BCB"/>
    <w:rsid w:val="000A5AAC"/>
    <w:rsid w:val="000B5EAC"/>
    <w:rsid w:val="000B6F63"/>
    <w:rsid w:val="000B7488"/>
    <w:rsid w:val="000B7652"/>
    <w:rsid w:val="000D19F9"/>
    <w:rsid w:val="000D3E4F"/>
    <w:rsid w:val="000F11C8"/>
    <w:rsid w:val="000F53DF"/>
    <w:rsid w:val="000F5B28"/>
    <w:rsid w:val="000F6917"/>
    <w:rsid w:val="000F6F36"/>
    <w:rsid w:val="000F7F50"/>
    <w:rsid w:val="00101622"/>
    <w:rsid w:val="00127216"/>
    <w:rsid w:val="00130931"/>
    <w:rsid w:val="00137535"/>
    <w:rsid w:val="001404AB"/>
    <w:rsid w:val="00142A45"/>
    <w:rsid w:val="0014432B"/>
    <w:rsid w:val="00145FEE"/>
    <w:rsid w:val="00146931"/>
    <w:rsid w:val="001578BA"/>
    <w:rsid w:val="001658A9"/>
    <w:rsid w:val="00170938"/>
    <w:rsid w:val="0017143B"/>
    <w:rsid w:val="0017231D"/>
    <w:rsid w:val="00174391"/>
    <w:rsid w:val="00175ABA"/>
    <w:rsid w:val="001810DC"/>
    <w:rsid w:val="00182418"/>
    <w:rsid w:val="00183259"/>
    <w:rsid w:val="001876AB"/>
    <w:rsid w:val="00197A07"/>
    <w:rsid w:val="001A532E"/>
    <w:rsid w:val="001A59BF"/>
    <w:rsid w:val="001B1CC6"/>
    <w:rsid w:val="001B5506"/>
    <w:rsid w:val="001B579F"/>
    <w:rsid w:val="001B607F"/>
    <w:rsid w:val="001C0063"/>
    <w:rsid w:val="001C21F4"/>
    <w:rsid w:val="001C7758"/>
    <w:rsid w:val="001C7FEF"/>
    <w:rsid w:val="001D1530"/>
    <w:rsid w:val="001D2496"/>
    <w:rsid w:val="001D369A"/>
    <w:rsid w:val="001D5F9E"/>
    <w:rsid w:val="001D5FDB"/>
    <w:rsid w:val="001D7686"/>
    <w:rsid w:val="001E249C"/>
    <w:rsid w:val="001F1D88"/>
    <w:rsid w:val="001F691A"/>
    <w:rsid w:val="001F6C45"/>
    <w:rsid w:val="00203B05"/>
    <w:rsid w:val="00203B48"/>
    <w:rsid w:val="002070FB"/>
    <w:rsid w:val="00213729"/>
    <w:rsid w:val="00214968"/>
    <w:rsid w:val="00222071"/>
    <w:rsid w:val="00222B76"/>
    <w:rsid w:val="0022766F"/>
    <w:rsid w:val="00227AD7"/>
    <w:rsid w:val="00236EE0"/>
    <w:rsid w:val="002406FA"/>
    <w:rsid w:val="002461C3"/>
    <w:rsid w:val="002464F8"/>
    <w:rsid w:val="00246917"/>
    <w:rsid w:val="002472F5"/>
    <w:rsid w:val="00247354"/>
    <w:rsid w:val="00247E8D"/>
    <w:rsid w:val="00254D66"/>
    <w:rsid w:val="002636CE"/>
    <w:rsid w:val="00265A44"/>
    <w:rsid w:val="002733A3"/>
    <w:rsid w:val="00274A90"/>
    <w:rsid w:val="002805A9"/>
    <w:rsid w:val="00293514"/>
    <w:rsid w:val="002956A8"/>
    <w:rsid w:val="002A27D9"/>
    <w:rsid w:val="002B2E47"/>
    <w:rsid w:val="002B56A8"/>
    <w:rsid w:val="002B5926"/>
    <w:rsid w:val="002B67E8"/>
    <w:rsid w:val="002C2BAC"/>
    <w:rsid w:val="002C363D"/>
    <w:rsid w:val="002D4DB4"/>
    <w:rsid w:val="002D6A6C"/>
    <w:rsid w:val="002D6AA2"/>
    <w:rsid w:val="002E4CA7"/>
    <w:rsid w:val="002E5E99"/>
    <w:rsid w:val="002E6F00"/>
    <w:rsid w:val="002F0CAA"/>
    <w:rsid w:val="002F19E2"/>
    <w:rsid w:val="002F510A"/>
    <w:rsid w:val="003047BF"/>
    <w:rsid w:val="00306DD9"/>
    <w:rsid w:val="00312162"/>
    <w:rsid w:val="003175B7"/>
    <w:rsid w:val="0032007F"/>
    <w:rsid w:val="00321E61"/>
    <w:rsid w:val="0032577C"/>
    <w:rsid w:val="00327644"/>
    <w:rsid w:val="003276BE"/>
    <w:rsid w:val="003301A3"/>
    <w:rsid w:val="00336825"/>
    <w:rsid w:val="00337C71"/>
    <w:rsid w:val="00340993"/>
    <w:rsid w:val="00346D76"/>
    <w:rsid w:val="00361733"/>
    <w:rsid w:val="0036199B"/>
    <w:rsid w:val="0036370A"/>
    <w:rsid w:val="00366A08"/>
    <w:rsid w:val="0036777B"/>
    <w:rsid w:val="00374EF6"/>
    <w:rsid w:val="003757F0"/>
    <w:rsid w:val="00376CF4"/>
    <w:rsid w:val="00377ED2"/>
    <w:rsid w:val="0038007D"/>
    <w:rsid w:val="0038282A"/>
    <w:rsid w:val="00391917"/>
    <w:rsid w:val="00391E86"/>
    <w:rsid w:val="00393979"/>
    <w:rsid w:val="00397580"/>
    <w:rsid w:val="003A1794"/>
    <w:rsid w:val="003A34B3"/>
    <w:rsid w:val="003A45C8"/>
    <w:rsid w:val="003A5771"/>
    <w:rsid w:val="003A5DC7"/>
    <w:rsid w:val="003B3260"/>
    <w:rsid w:val="003C092E"/>
    <w:rsid w:val="003C2DCF"/>
    <w:rsid w:val="003C3817"/>
    <w:rsid w:val="003C7FE7"/>
    <w:rsid w:val="003D0499"/>
    <w:rsid w:val="003D6494"/>
    <w:rsid w:val="003E183B"/>
    <w:rsid w:val="003E2AD7"/>
    <w:rsid w:val="003E47F3"/>
    <w:rsid w:val="003F06AA"/>
    <w:rsid w:val="003F432E"/>
    <w:rsid w:val="003F526A"/>
    <w:rsid w:val="003F5D15"/>
    <w:rsid w:val="00401D42"/>
    <w:rsid w:val="00402910"/>
    <w:rsid w:val="00405244"/>
    <w:rsid w:val="00412FFB"/>
    <w:rsid w:val="00413AF7"/>
    <w:rsid w:val="00415ADE"/>
    <w:rsid w:val="00417D45"/>
    <w:rsid w:val="004222A3"/>
    <w:rsid w:val="00426019"/>
    <w:rsid w:val="0042770B"/>
    <w:rsid w:val="0043790B"/>
    <w:rsid w:val="00437B90"/>
    <w:rsid w:val="004403B3"/>
    <w:rsid w:val="004436EE"/>
    <w:rsid w:val="0045547F"/>
    <w:rsid w:val="00456CCF"/>
    <w:rsid w:val="00457776"/>
    <w:rsid w:val="0045777C"/>
    <w:rsid w:val="00461AA0"/>
    <w:rsid w:val="00474248"/>
    <w:rsid w:val="00491236"/>
    <w:rsid w:val="004920AD"/>
    <w:rsid w:val="004942F4"/>
    <w:rsid w:val="004943E1"/>
    <w:rsid w:val="00495108"/>
    <w:rsid w:val="00495989"/>
    <w:rsid w:val="004A1FAE"/>
    <w:rsid w:val="004A492E"/>
    <w:rsid w:val="004B13D2"/>
    <w:rsid w:val="004C26A0"/>
    <w:rsid w:val="004C3F2E"/>
    <w:rsid w:val="004C52C6"/>
    <w:rsid w:val="004C63CF"/>
    <w:rsid w:val="004D05B3"/>
    <w:rsid w:val="004E479E"/>
    <w:rsid w:val="004E759A"/>
    <w:rsid w:val="004E75C9"/>
    <w:rsid w:val="004E7E1E"/>
    <w:rsid w:val="004F3483"/>
    <w:rsid w:val="004F78E6"/>
    <w:rsid w:val="00501608"/>
    <w:rsid w:val="005019A7"/>
    <w:rsid w:val="005024A7"/>
    <w:rsid w:val="0050484A"/>
    <w:rsid w:val="0050641C"/>
    <w:rsid w:val="00511C14"/>
    <w:rsid w:val="00512D99"/>
    <w:rsid w:val="00514883"/>
    <w:rsid w:val="005237CD"/>
    <w:rsid w:val="00531DBB"/>
    <w:rsid w:val="005320B3"/>
    <w:rsid w:val="00532C1D"/>
    <w:rsid w:val="0053545A"/>
    <w:rsid w:val="005374DA"/>
    <w:rsid w:val="00543277"/>
    <w:rsid w:val="00544B6D"/>
    <w:rsid w:val="00545C39"/>
    <w:rsid w:val="00550D6E"/>
    <w:rsid w:val="00553DAA"/>
    <w:rsid w:val="00557B94"/>
    <w:rsid w:val="005646B3"/>
    <w:rsid w:val="005655D7"/>
    <w:rsid w:val="005670BE"/>
    <w:rsid w:val="00570ABA"/>
    <w:rsid w:val="00572A70"/>
    <w:rsid w:val="00573D5F"/>
    <w:rsid w:val="0057433C"/>
    <w:rsid w:val="00576430"/>
    <w:rsid w:val="00576E3A"/>
    <w:rsid w:val="005900E3"/>
    <w:rsid w:val="00590723"/>
    <w:rsid w:val="00593318"/>
    <w:rsid w:val="005A0668"/>
    <w:rsid w:val="005A0817"/>
    <w:rsid w:val="005A7AC3"/>
    <w:rsid w:val="005B0A5A"/>
    <w:rsid w:val="005B4F27"/>
    <w:rsid w:val="005B6F95"/>
    <w:rsid w:val="005C1BB9"/>
    <w:rsid w:val="005C2AA4"/>
    <w:rsid w:val="005C4003"/>
    <w:rsid w:val="005C5354"/>
    <w:rsid w:val="005D0714"/>
    <w:rsid w:val="005F1E2F"/>
    <w:rsid w:val="005F3DE2"/>
    <w:rsid w:val="005F4667"/>
    <w:rsid w:val="005F699D"/>
    <w:rsid w:val="005F7379"/>
    <w:rsid w:val="005F79FB"/>
    <w:rsid w:val="00604406"/>
    <w:rsid w:val="006052D8"/>
    <w:rsid w:val="00605F4A"/>
    <w:rsid w:val="00607822"/>
    <w:rsid w:val="00610355"/>
    <w:rsid w:val="006103AA"/>
    <w:rsid w:val="00611583"/>
    <w:rsid w:val="006133FC"/>
    <w:rsid w:val="00613BBF"/>
    <w:rsid w:val="00613D4C"/>
    <w:rsid w:val="00614585"/>
    <w:rsid w:val="00614A9F"/>
    <w:rsid w:val="006171E2"/>
    <w:rsid w:val="00622B80"/>
    <w:rsid w:val="00624989"/>
    <w:rsid w:val="006257C0"/>
    <w:rsid w:val="006303F0"/>
    <w:rsid w:val="00630CF8"/>
    <w:rsid w:val="00633A27"/>
    <w:rsid w:val="006370C9"/>
    <w:rsid w:val="00637A81"/>
    <w:rsid w:val="0064139A"/>
    <w:rsid w:val="006502A4"/>
    <w:rsid w:val="00652756"/>
    <w:rsid w:val="006538B5"/>
    <w:rsid w:val="00656651"/>
    <w:rsid w:val="00656A12"/>
    <w:rsid w:val="006616AC"/>
    <w:rsid w:val="006626A5"/>
    <w:rsid w:val="00666BE7"/>
    <w:rsid w:val="00666FF0"/>
    <w:rsid w:val="00667E3D"/>
    <w:rsid w:val="00672CB6"/>
    <w:rsid w:val="00674D43"/>
    <w:rsid w:val="00675702"/>
    <w:rsid w:val="00684E36"/>
    <w:rsid w:val="00685440"/>
    <w:rsid w:val="006861E3"/>
    <w:rsid w:val="00696C16"/>
    <w:rsid w:val="006A50B6"/>
    <w:rsid w:val="006A79D4"/>
    <w:rsid w:val="006B610C"/>
    <w:rsid w:val="006C09DD"/>
    <w:rsid w:val="006C7A42"/>
    <w:rsid w:val="006D08B9"/>
    <w:rsid w:val="006D6521"/>
    <w:rsid w:val="006E024F"/>
    <w:rsid w:val="006E381E"/>
    <w:rsid w:val="006E4E81"/>
    <w:rsid w:val="006F05E3"/>
    <w:rsid w:val="006F1B5E"/>
    <w:rsid w:val="00701DA6"/>
    <w:rsid w:val="00707F7D"/>
    <w:rsid w:val="007146C8"/>
    <w:rsid w:val="0071669A"/>
    <w:rsid w:val="00717EC5"/>
    <w:rsid w:val="007243C8"/>
    <w:rsid w:val="00732745"/>
    <w:rsid w:val="00737B80"/>
    <w:rsid w:val="00741D13"/>
    <w:rsid w:val="00743982"/>
    <w:rsid w:val="00750C6C"/>
    <w:rsid w:val="0075439D"/>
    <w:rsid w:val="00754742"/>
    <w:rsid w:val="007608AF"/>
    <w:rsid w:val="00763254"/>
    <w:rsid w:val="007640A3"/>
    <w:rsid w:val="00766670"/>
    <w:rsid w:val="0076719B"/>
    <w:rsid w:val="007764C0"/>
    <w:rsid w:val="00777139"/>
    <w:rsid w:val="0078195F"/>
    <w:rsid w:val="00783F7F"/>
    <w:rsid w:val="007909AA"/>
    <w:rsid w:val="0079299A"/>
    <w:rsid w:val="00794B22"/>
    <w:rsid w:val="007A15DA"/>
    <w:rsid w:val="007A57F2"/>
    <w:rsid w:val="007B1333"/>
    <w:rsid w:val="007B24C8"/>
    <w:rsid w:val="007B45C5"/>
    <w:rsid w:val="007B7E54"/>
    <w:rsid w:val="007C044D"/>
    <w:rsid w:val="007C1691"/>
    <w:rsid w:val="007C234D"/>
    <w:rsid w:val="007C4CFC"/>
    <w:rsid w:val="007D0ACE"/>
    <w:rsid w:val="007D6250"/>
    <w:rsid w:val="007E23A3"/>
    <w:rsid w:val="007E2D9F"/>
    <w:rsid w:val="007E39B1"/>
    <w:rsid w:val="007F1FEE"/>
    <w:rsid w:val="007F4AEB"/>
    <w:rsid w:val="007F6239"/>
    <w:rsid w:val="007F75B2"/>
    <w:rsid w:val="008043C4"/>
    <w:rsid w:val="008124B8"/>
    <w:rsid w:val="00813976"/>
    <w:rsid w:val="00813DFB"/>
    <w:rsid w:val="00815588"/>
    <w:rsid w:val="008157C0"/>
    <w:rsid w:val="00820E8E"/>
    <w:rsid w:val="008221FB"/>
    <w:rsid w:val="008242CC"/>
    <w:rsid w:val="00825070"/>
    <w:rsid w:val="00827A91"/>
    <w:rsid w:val="00830309"/>
    <w:rsid w:val="00831B1B"/>
    <w:rsid w:val="008358E0"/>
    <w:rsid w:val="00840938"/>
    <w:rsid w:val="00841D76"/>
    <w:rsid w:val="00846BC4"/>
    <w:rsid w:val="00847A8C"/>
    <w:rsid w:val="00850AAD"/>
    <w:rsid w:val="0085193E"/>
    <w:rsid w:val="00852098"/>
    <w:rsid w:val="0085235F"/>
    <w:rsid w:val="00852368"/>
    <w:rsid w:val="00856098"/>
    <w:rsid w:val="00861D0E"/>
    <w:rsid w:val="00861F45"/>
    <w:rsid w:val="00863D68"/>
    <w:rsid w:val="00866BA8"/>
    <w:rsid w:val="00867569"/>
    <w:rsid w:val="0087060D"/>
    <w:rsid w:val="00872B8E"/>
    <w:rsid w:val="008804D0"/>
    <w:rsid w:val="0088129D"/>
    <w:rsid w:val="008914B7"/>
    <w:rsid w:val="00891D95"/>
    <w:rsid w:val="008A1027"/>
    <w:rsid w:val="008A18A9"/>
    <w:rsid w:val="008A6A3B"/>
    <w:rsid w:val="008A750A"/>
    <w:rsid w:val="008B7891"/>
    <w:rsid w:val="008C384C"/>
    <w:rsid w:val="008C45BF"/>
    <w:rsid w:val="008C502E"/>
    <w:rsid w:val="008D0F11"/>
    <w:rsid w:val="008D136D"/>
    <w:rsid w:val="008D2561"/>
    <w:rsid w:val="008D5298"/>
    <w:rsid w:val="008D6F55"/>
    <w:rsid w:val="008E15B5"/>
    <w:rsid w:val="008F0222"/>
    <w:rsid w:val="008F35E4"/>
    <w:rsid w:val="008F73B4"/>
    <w:rsid w:val="008F7E5F"/>
    <w:rsid w:val="009015C7"/>
    <w:rsid w:val="00906ECF"/>
    <w:rsid w:val="0090741A"/>
    <w:rsid w:val="00911AC8"/>
    <w:rsid w:val="009168C2"/>
    <w:rsid w:val="00917CA6"/>
    <w:rsid w:val="0092081A"/>
    <w:rsid w:val="00920D32"/>
    <w:rsid w:val="00927DD9"/>
    <w:rsid w:val="00930B3C"/>
    <w:rsid w:val="00931A52"/>
    <w:rsid w:val="00931B1D"/>
    <w:rsid w:val="00933883"/>
    <w:rsid w:val="009372DF"/>
    <w:rsid w:val="00937610"/>
    <w:rsid w:val="009405D2"/>
    <w:rsid w:val="00941335"/>
    <w:rsid w:val="009416A7"/>
    <w:rsid w:val="00942BAF"/>
    <w:rsid w:val="00942D88"/>
    <w:rsid w:val="009544CC"/>
    <w:rsid w:val="00961ECD"/>
    <w:rsid w:val="009678FC"/>
    <w:rsid w:val="009701AB"/>
    <w:rsid w:val="00973287"/>
    <w:rsid w:val="00976B5B"/>
    <w:rsid w:val="00976D97"/>
    <w:rsid w:val="00982C53"/>
    <w:rsid w:val="00984434"/>
    <w:rsid w:val="00984499"/>
    <w:rsid w:val="00987FFE"/>
    <w:rsid w:val="00991E8D"/>
    <w:rsid w:val="00992601"/>
    <w:rsid w:val="009950AF"/>
    <w:rsid w:val="009A38F9"/>
    <w:rsid w:val="009A4753"/>
    <w:rsid w:val="009A4B79"/>
    <w:rsid w:val="009A5942"/>
    <w:rsid w:val="009B16D4"/>
    <w:rsid w:val="009B4969"/>
    <w:rsid w:val="009B55B1"/>
    <w:rsid w:val="009B68A7"/>
    <w:rsid w:val="009C4150"/>
    <w:rsid w:val="009C6103"/>
    <w:rsid w:val="009D055A"/>
    <w:rsid w:val="009D0BD5"/>
    <w:rsid w:val="009E0621"/>
    <w:rsid w:val="009E52CF"/>
    <w:rsid w:val="009F116F"/>
    <w:rsid w:val="009F276D"/>
    <w:rsid w:val="009F491A"/>
    <w:rsid w:val="009F5F23"/>
    <w:rsid w:val="009F7FD8"/>
    <w:rsid w:val="00A01EEF"/>
    <w:rsid w:val="00A041BC"/>
    <w:rsid w:val="00A0458C"/>
    <w:rsid w:val="00A05534"/>
    <w:rsid w:val="00A13C0B"/>
    <w:rsid w:val="00A15B50"/>
    <w:rsid w:val="00A15C6C"/>
    <w:rsid w:val="00A2003A"/>
    <w:rsid w:val="00A23096"/>
    <w:rsid w:val="00A233AA"/>
    <w:rsid w:val="00A37A32"/>
    <w:rsid w:val="00A40856"/>
    <w:rsid w:val="00A431FA"/>
    <w:rsid w:val="00A4343D"/>
    <w:rsid w:val="00A448C7"/>
    <w:rsid w:val="00A45C7B"/>
    <w:rsid w:val="00A502F1"/>
    <w:rsid w:val="00A53140"/>
    <w:rsid w:val="00A55C4E"/>
    <w:rsid w:val="00A56C80"/>
    <w:rsid w:val="00A63DD4"/>
    <w:rsid w:val="00A65A70"/>
    <w:rsid w:val="00A70A83"/>
    <w:rsid w:val="00A74120"/>
    <w:rsid w:val="00A774B2"/>
    <w:rsid w:val="00A81EB3"/>
    <w:rsid w:val="00A826E6"/>
    <w:rsid w:val="00A904D9"/>
    <w:rsid w:val="00A92693"/>
    <w:rsid w:val="00A961DA"/>
    <w:rsid w:val="00A97AD4"/>
    <w:rsid w:val="00A97CA2"/>
    <w:rsid w:val="00AA3711"/>
    <w:rsid w:val="00AA4ECF"/>
    <w:rsid w:val="00AB22E1"/>
    <w:rsid w:val="00AB2399"/>
    <w:rsid w:val="00AC6A14"/>
    <w:rsid w:val="00AC72CC"/>
    <w:rsid w:val="00AD5C35"/>
    <w:rsid w:val="00AD6519"/>
    <w:rsid w:val="00AD6CA9"/>
    <w:rsid w:val="00AD6D62"/>
    <w:rsid w:val="00AE59AB"/>
    <w:rsid w:val="00AE5C88"/>
    <w:rsid w:val="00AE63EF"/>
    <w:rsid w:val="00AF40A6"/>
    <w:rsid w:val="00AF63B0"/>
    <w:rsid w:val="00AF66FA"/>
    <w:rsid w:val="00AF78C1"/>
    <w:rsid w:val="00B00C1D"/>
    <w:rsid w:val="00B01408"/>
    <w:rsid w:val="00B07CA2"/>
    <w:rsid w:val="00B13907"/>
    <w:rsid w:val="00B15E58"/>
    <w:rsid w:val="00B16369"/>
    <w:rsid w:val="00B1677F"/>
    <w:rsid w:val="00B16FC6"/>
    <w:rsid w:val="00B26AFC"/>
    <w:rsid w:val="00B31464"/>
    <w:rsid w:val="00B328D3"/>
    <w:rsid w:val="00B33194"/>
    <w:rsid w:val="00B33880"/>
    <w:rsid w:val="00B365F7"/>
    <w:rsid w:val="00B403FC"/>
    <w:rsid w:val="00B435ED"/>
    <w:rsid w:val="00B54330"/>
    <w:rsid w:val="00B57649"/>
    <w:rsid w:val="00B60BBA"/>
    <w:rsid w:val="00B70ECD"/>
    <w:rsid w:val="00B70FF6"/>
    <w:rsid w:val="00B72D2F"/>
    <w:rsid w:val="00B8043F"/>
    <w:rsid w:val="00B80695"/>
    <w:rsid w:val="00B817AE"/>
    <w:rsid w:val="00B83EC6"/>
    <w:rsid w:val="00B868B8"/>
    <w:rsid w:val="00BA0F08"/>
    <w:rsid w:val="00BA439F"/>
    <w:rsid w:val="00BA5834"/>
    <w:rsid w:val="00BA6370"/>
    <w:rsid w:val="00BC1564"/>
    <w:rsid w:val="00BC6747"/>
    <w:rsid w:val="00BC748B"/>
    <w:rsid w:val="00BD71CC"/>
    <w:rsid w:val="00BE0028"/>
    <w:rsid w:val="00BE206D"/>
    <w:rsid w:val="00BE210B"/>
    <w:rsid w:val="00BE3335"/>
    <w:rsid w:val="00BE7C44"/>
    <w:rsid w:val="00BF37CC"/>
    <w:rsid w:val="00C00155"/>
    <w:rsid w:val="00C0255B"/>
    <w:rsid w:val="00C04EC7"/>
    <w:rsid w:val="00C0500E"/>
    <w:rsid w:val="00C051D5"/>
    <w:rsid w:val="00C0711F"/>
    <w:rsid w:val="00C10B92"/>
    <w:rsid w:val="00C13B2D"/>
    <w:rsid w:val="00C14FA3"/>
    <w:rsid w:val="00C2278C"/>
    <w:rsid w:val="00C2354F"/>
    <w:rsid w:val="00C24B18"/>
    <w:rsid w:val="00C26525"/>
    <w:rsid w:val="00C269D4"/>
    <w:rsid w:val="00C26D85"/>
    <w:rsid w:val="00C30A81"/>
    <w:rsid w:val="00C3197B"/>
    <w:rsid w:val="00C36AD6"/>
    <w:rsid w:val="00C4160D"/>
    <w:rsid w:val="00C42CB8"/>
    <w:rsid w:val="00C45B06"/>
    <w:rsid w:val="00C50BEB"/>
    <w:rsid w:val="00C51B65"/>
    <w:rsid w:val="00C52C3F"/>
    <w:rsid w:val="00C54720"/>
    <w:rsid w:val="00C558B2"/>
    <w:rsid w:val="00C60451"/>
    <w:rsid w:val="00C63561"/>
    <w:rsid w:val="00C63A88"/>
    <w:rsid w:val="00C65FAA"/>
    <w:rsid w:val="00C6637E"/>
    <w:rsid w:val="00C67D2D"/>
    <w:rsid w:val="00C7577F"/>
    <w:rsid w:val="00C8406E"/>
    <w:rsid w:val="00C86BDB"/>
    <w:rsid w:val="00C874BC"/>
    <w:rsid w:val="00C91BB8"/>
    <w:rsid w:val="00C96221"/>
    <w:rsid w:val="00C969E1"/>
    <w:rsid w:val="00CA1B47"/>
    <w:rsid w:val="00CA2A0A"/>
    <w:rsid w:val="00CB19EA"/>
    <w:rsid w:val="00CB1D8D"/>
    <w:rsid w:val="00CB2709"/>
    <w:rsid w:val="00CB6F89"/>
    <w:rsid w:val="00CC2897"/>
    <w:rsid w:val="00CC410E"/>
    <w:rsid w:val="00CD07B7"/>
    <w:rsid w:val="00CD64C4"/>
    <w:rsid w:val="00CD7418"/>
    <w:rsid w:val="00CE07E7"/>
    <w:rsid w:val="00CE1C49"/>
    <w:rsid w:val="00CE1CC5"/>
    <w:rsid w:val="00CE1E87"/>
    <w:rsid w:val="00CE228C"/>
    <w:rsid w:val="00CE3027"/>
    <w:rsid w:val="00CE75DD"/>
    <w:rsid w:val="00CF1CFF"/>
    <w:rsid w:val="00CF1E81"/>
    <w:rsid w:val="00CF27B5"/>
    <w:rsid w:val="00CF344C"/>
    <w:rsid w:val="00CF3C2E"/>
    <w:rsid w:val="00CF4669"/>
    <w:rsid w:val="00CF545B"/>
    <w:rsid w:val="00CF5795"/>
    <w:rsid w:val="00CF707A"/>
    <w:rsid w:val="00D03A5E"/>
    <w:rsid w:val="00D0656D"/>
    <w:rsid w:val="00D16B34"/>
    <w:rsid w:val="00D175AA"/>
    <w:rsid w:val="00D20BD0"/>
    <w:rsid w:val="00D21345"/>
    <w:rsid w:val="00D26769"/>
    <w:rsid w:val="00D27D69"/>
    <w:rsid w:val="00D33DFC"/>
    <w:rsid w:val="00D448C2"/>
    <w:rsid w:val="00D573FE"/>
    <w:rsid w:val="00D657AC"/>
    <w:rsid w:val="00D666C3"/>
    <w:rsid w:val="00D718B9"/>
    <w:rsid w:val="00D71C1C"/>
    <w:rsid w:val="00D74DBA"/>
    <w:rsid w:val="00D806A3"/>
    <w:rsid w:val="00D80F3C"/>
    <w:rsid w:val="00D819D0"/>
    <w:rsid w:val="00D83BC6"/>
    <w:rsid w:val="00D83EE9"/>
    <w:rsid w:val="00D86734"/>
    <w:rsid w:val="00D875B2"/>
    <w:rsid w:val="00DA0096"/>
    <w:rsid w:val="00DA1298"/>
    <w:rsid w:val="00DA56DA"/>
    <w:rsid w:val="00DA6EE0"/>
    <w:rsid w:val="00DA7A94"/>
    <w:rsid w:val="00DB0CC6"/>
    <w:rsid w:val="00DB3CBA"/>
    <w:rsid w:val="00DB4E76"/>
    <w:rsid w:val="00DB60A2"/>
    <w:rsid w:val="00DC4DBF"/>
    <w:rsid w:val="00DC6E28"/>
    <w:rsid w:val="00DD1DC3"/>
    <w:rsid w:val="00DD1EAE"/>
    <w:rsid w:val="00DD4CB4"/>
    <w:rsid w:val="00DE0ACA"/>
    <w:rsid w:val="00DE3DA2"/>
    <w:rsid w:val="00DF091E"/>
    <w:rsid w:val="00DF1DE4"/>
    <w:rsid w:val="00DF47FE"/>
    <w:rsid w:val="00E014D6"/>
    <w:rsid w:val="00E017FD"/>
    <w:rsid w:val="00E0186F"/>
    <w:rsid w:val="00E1074D"/>
    <w:rsid w:val="00E11D10"/>
    <w:rsid w:val="00E13EE8"/>
    <w:rsid w:val="00E20705"/>
    <w:rsid w:val="00E21F33"/>
    <w:rsid w:val="00E23803"/>
    <w:rsid w:val="00E2448E"/>
    <w:rsid w:val="00E26081"/>
    <w:rsid w:val="00E260AC"/>
    <w:rsid w:val="00E26704"/>
    <w:rsid w:val="00E2757D"/>
    <w:rsid w:val="00E309BB"/>
    <w:rsid w:val="00E316C8"/>
    <w:rsid w:val="00E31980"/>
    <w:rsid w:val="00E3719D"/>
    <w:rsid w:val="00E41272"/>
    <w:rsid w:val="00E41331"/>
    <w:rsid w:val="00E41970"/>
    <w:rsid w:val="00E421D3"/>
    <w:rsid w:val="00E42E00"/>
    <w:rsid w:val="00E52B7F"/>
    <w:rsid w:val="00E571BD"/>
    <w:rsid w:val="00E63873"/>
    <w:rsid w:val="00E6423C"/>
    <w:rsid w:val="00E64284"/>
    <w:rsid w:val="00E64DE8"/>
    <w:rsid w:val="00E77C6D"/>
    <w:rsid w:val="00E843B7"/>
    <w:rsid w:val="00E9349A"/>
    <w:rsid w:val="00E93830"/>
    <w:rsid w:val="00E93E0E"/>
    <w:rsid w:val="00EA0A2C"/>
    <w:rsid w:val="00EA1DBD"/>
    <w:rsid w:val="00EA65C0"/>
    <w:rsid w:val="00EA7AF3"/>
    <w:rsid w:val="00EA7B94"/>
    <w:rsid w:val="00EA7F86"/>
    <w:rsid w:val="00EB01C0"/>
    <w:rsid w:val="00EB1ED3"/>
    <w:rsid w:val="00EB3C89"/>
    <w:rsid w:val="00EB4B5C"/>
    <w:rsid w:val="00EB6F45"/>
    <w:rsid w:val="00EC12DA"/>
    <w:rsid w:val="00EC2D51"/>
    <w:rsid w:val="00ED3B49"/>
    <w:rsid w:val="00ED7B69"/>
    <w:rsid w:val="00EE227D"/>
    <w:rsid w:val="00EE3D9D"/>
    <w:rsid w:val="00EE484C"/>
    <w:rsid w:val="00EE4F33"/>
    <w:rsid w:val="00EF0152"/>
    <w:rsid w:val="00EF05BD"/>
    <w:rsid w:val="00EF788F"/>
    <w:rsid w:val="00F00AEE"/>
    <w:rsid w:val="00F03815"/>
    <w:rsid w:val="00F0500E"/>
    <w:rsid w:val="00F12A9A"/>
    <w:rsid w:val="00F13564"/>
    <w:rsid w:val="00F169B0"/>
    <w:rsid w:val="00F220C4"/>
    <w:rsid w:val="00F23E34"/>
    <w:rsid w:val="00F26395"/>
    <w:rsid w:val="00F271A0"/>
    <w:rsid w:val="00F32DA4"/>
    <w:rsid w:val="00F3675B"/>
    <w:rsid w:val="00F42BCA"/>
    <w:rsid w:val="00F46655"/>
    <w:rsid w:val="00F50CEF"/>
    <w:rsid w:val="00F515A6"/>
    <w:rsid w:val="00F51BBA"/>
    <w:rsid w:val="00F5305C"/>
    <w:rsid w:val="00F55946"/>
    <w:rsid w:val="00F578B6"/>
    <w:rsid w:val="00F61E35"/>
    <w:rsid w:val="00F70CF6"/>
    <w:rsid w:val="00F72354"/>
    <w:rsid w:val="00F73A45"/>
    <w:rsid w:val="00F74BE5"/>
    <w:rsid w:val="00F77F8B"/>
    <w:rsid w:val="00F81280"/>
    <w:rsid w:val="00F81F79"/>
    <w:rsid w:val="00F82B3B"/>
    <w:rsid w:val="00F84060"/>
    <w:rsid w:val="00F90C0B"/>
    <w:rsid w:val="00F91C80"/>
    <w:rsid w:val="00F92017"/>
    <w:rsid w:val="00F92950"/>
    <w:rsid w:val="00F97CCA"/>
    <w:rsid w:val="00FA3ABC"/>
    <w:rsid w:val="00FA3D9D"/>
    <w:rsid w:val="00FB0388"/>
    <w:rsid w:val="00FB11E5"/>
    <w:rsid w:val="00FB6173"/>
    <w:rsid w:val="00FB687C"/>
    <w:rsid w:val="00FB6BCB"/>
    <w:rsid w:val="00FB7E0F"/>
    <w:rsid w:val="00FC5D0B"/>
    <w:rsid w:val="00FD3187"/>
    <w:rsid w:val="00FD5E47"/>
    <w:rsid w:val="00FE0B91"/>
    <w:rsid w:val="00FE0C2F"/>
    <w:rsid w:val="00FE4662"/>
    <w:rsid w:val="00FF04D9"/>
    <w:rsid w:val="00FF3DA2"/>
    <w:rsid w:val="00FF79E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D29D45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6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vladni-financni-statistice-2020-covid-19-0104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1\grafy_sektorove_uc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1\grafy_sektorove_uc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1\grafy_sektorove_uc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1\grafy_sektorove_uc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1\grafy_sektorove_uc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NP!$A$12:$B$36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NP!$C$12:$C$36</c:f>
              <c:numCache>
                <c:formatCode>0.0</c:formatCode>
                <c:ptCount val="25"/>
                <c:pt idx="0">
                  <c:v>46.219000000000001</c:v>
                </c:pt>
                <c:pt idx="1">
                  <c:v>41.719000000000001</c:v>
                </c:pt>
                <c:pt idx="2">
                  <c:v>43.966000000000001</c:v>
                </c:pt>
                <c:pt idx="3">
                  <c:v>44.445999999999998</c:v>
                </c:pt>
                <c:pt idx="4">
                  <c:v>35.908999999999999</c:v>
                </c:pt>
                <c:pt idx="5">
                  <c:v>38.994999999999997</c:v>
                </c:pt>
                <c:pt idx="6">
                  <c:v>17.914999999999999</c:v>
                </c:pt>
                <c:pt idx="7">
                  <c:v>15.045999999999999</c:v>
                </c:pt>
                <c:pt idx="8">
                  <c:v>30.613</c:v>
                </c:pt>
                <c:pt idx="9">
                  <c:v>40.911000000000001</c:v>
                </c:pt>
                <c:pt idx="10">
                  <c:v>61.198999999999998</c:v>
                </c:pt>
                <c:pt idx="11">
                  <c:v>49.415999999999997</c:v>
                </c:pt>
                <c:pt idx="12">
                  <c:v>37.04</c:v>
                </c:pt>
                <c:pt idx="13">
                  <c:v>30.673999999999999</c:v>
                </c:pt>
                <c:pt idx="14">
                  <c:v>28.23</c:v>
                </c:pt>
                <c:pt idx="15">
                  <c:v>35.655000000000001</c:v>
                </c:pt>
                <c:pt idx="16">
                  <c:v>45.645000000000003</c:v>
                </c:pt>
                <c:pt idx="17">
                  <c:v>56.261000000000003</c:v>
                </c:pt>
                <c:pt idx="18">
                  <c:v>69.802000000000007</c:v>
                </c:pt>
                <c:pt idx="19">
                  <c:v>64.924999999999997</c:v>
                </c:pt>
                <c:pt idx="20">
                  <c:v>29.675999999999998</c:v>
                </c:pt>
                <c:pt idx="21">
                  <c:v>-83.167000000000002</c:v>
                </c:pt>
                <c:pt idx="22">
                  <c:v>-23.54</c:v>
                </c:pt>
                <c:pt idx="23">
                  <c:v>-20.206</c:v>
                </c:pt>
                <c:pt idx="24" formatCode="General">
                  <c:v>1.1160000000000001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5-4A2D-BBBC-A7D04AFAC311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NP!$A$12:$B$36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NP!$D$12:$D$36</c:f>
              <c:numCache>
                <c:formatCode>0.0</c:formatCode>
                <c:ptCount val="25"/>
                <c:pt idx="0">
                  <c:v>16.056999999999999</c:v>
                </c:pt>
                <c:pt idx="1">
                  <c:v>18.773</c:v>
                </c:pt>
                <c:pt idx="2">
                  <c:v>17.21</c:v>
                </c:pt>
                <c:pt idx="3">
                  <c:v>22.323</c:v>
                </c:pt>
                <c:pt idx="4">
                  <c:v>21.411999999999999</c:v>
                </c:pt>
                <c:pt idx="5">
                  <c:v>19.292000000000002</c:v>
                </c:pt>
                <c:pt idx="6">
                  <c:v>22.242999999999999</c:v>
                </c:pt>
                <c:pt idx="7">
                  <c:v>19.733000000000001</c:v>
                </c:pt>
                <c:pt idx="8">
                  <c:v>27.047000000000001</c:v>
                </c:pt>
                <c:pt idx="9">
                  <c:v>37.268999999999998</c:v>
                </c:pt>
                <c:pt idx="10">
                  <c:v>35.341999999999999</c:v>
                </c:pt>
                <c:pt idx="11">
                  <c:v>32.363999999999997</c:v>
                </c:pt>
                <c:pt idx="12">
                  <c:v>35.039000000000001</c:v>
                </c:pt>
                <c:pt idx="13">
                  <c:v>36.268000000000001</c:v>
                </c:pt>
                <c:pt idx="14">
                  <c:v>33.268999999999998</c:v>
                </c:pt>
                <c:pt idx="15">
                  <c:v>40.823</c:v>
                </c:pt>
                <c:pt idx="16">
                  <c:v>32.991</c:v>
                </c:pt>
                <c:pt idx="17">
                  <c:v>32.084000000000003</c:v>
                </c:pt>
                <c:pt idx="18">
                  <c:v>27.997</c:v>
                </c:pt>
                <c:pt idx="19">
                  <c:v>27.196000000000002</c:v>
                </c:pt>
                <c:pt idx="20">
                  <c:v>21.783000000000001</c:v>
                </c:pt>
                <c:pt idx="21">
                  <c:v>-32.743000000000002</c:v>
                </c:pt>
                <c:pt idx="22">
                  <c:v>-5.444</c:v>
                </c:pt>
                <c:pt idx="23">
                  <c:v>-1.1080000000000001</c:v>
                </c:pt>
                <c:pt idx="24" formatCode="General">
                  <c:v>-2.0630000000000002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65-4A2D-BBBC-A7D04AFAC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NP!$A$12:$B$36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NP!$E$12:$E$36</c:f>
              <c:numCache>
                <c:formatCode>0.0</c:formatCode>
                <c:ptCount val="25"/>
                <c:pt idx="0">
                  <c:v>49.72001583239112</c:v>
                </c:pt>
                <c:pt idx="1">
                  <c:v>49.525395529592167</c:v>
                </c:pt>
                <c:pt idx="2">
                  <c:v>50.138995457147381</c:v>
                </c:pt>
                <c:pt idx="3">
                  <c:v>49.613422150805832</c:v>
                </c:pt>
                <c:pt idx="4">
                  <c:v>49.503195174700679</c:v>
                </c:pt>
                <c:pt idx="5">
                  <c:v>49.117592337632374</c:v>
                </c:pt>
                <c:pt idx="6">
                  <c:v>48.06778416049498</c:v>
                </c:pt>
                <c:pt idx="7">
                  <c:v>48.005403629194205</c:v>
                </c:pt>
                <c:pt idx="8">
                  <c:v>47.312102495546227</c:v>
                </c:pt>
                <c:pt idx="9">
                  <c:v>47.608262677257876</c:v>
                </c:pt>
                <c:pt idx="10">
                  <c:v>47.502330308116257</c:v>
                </c:pt>
                <c:pt idx="11">
                  <c:v>47.008167770719886</c:v>
                </c:pt>
                <c:pt idx="12">
                  <c:v>45.789931373525633</c:v>
                </c:pt>
                <c:pt idx="13">
                  <c:v>45.131799080502169</c:v>
                </c:pt>
                <c:pt idx="14">
                  <c:v>45.034849488240347</c:v>
                </c:pt>
                <c:pt idx="15">
                  <c:v>44.122263516653554</c:v>
                </c:pt>
                <c:pt idx="16">
                  <c:v>44.929583179077305</c:v>
                </c:pt>
                <c:pt idx="17">
                  <c:v>44.987914992879126</c:v>
                </c:pt>
                <c:pt idx="18">
                  <c:v>45.085001824178569</c:v>
                </c:pt>
                <c:pt idx="19">
                  <c:v>45.17419503303438</c:v>
                </c:pt>
                <c:pt idx="20">
                  <c:v>44.069978242867847</c:v>
                </c:pt>
                <c:pt idx="21" formatCode="General">
                  <c:v>45.091707483632412</c:v>
                </c:pt>
                <c:pt idx="22" formatCode="General">
                  <c:v>45.258020752204608</c:v>
                </c:pt>
                <c:pt idx="23" formatCode="General">
                  <c:v>45.730213458141641</c:v>
                </c:pt>
                <c:pt idx="24" formatCode="General">
                  <c:v>46.387075315972311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65-4A2D-BBBC-A7D04AFAC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</c:valAx>
      <c:valAx>
        <c:axId val="787196880"/>
        <c:scaling>
          <c:orientation val="minMax"/>
          <c:min val="4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'NP2'!$A$11:$B$35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'NP2'!$C$11:$C$35</c:f>
              <c:numCache>
                <c:formatCode>General</c:formatCode>
                <c:ptCount val="25"/>
                <c:pt idx="0">
                  <c:v>14.896000000000001</c:v>
                </c:pt>
                <c:pt idx="1">
                  <c:v>19.86</c:v>
                </c:pt>
                <c:pt idx="2">
                  <c:v>15.653</c:v>
                </c:pt>
                <c:pt idx="3">
                  <c:v>5.8860000000000001</c:v>
                </c:pt>
                <c:pt idx="4">
                  <c:v>3.5840000000000001</c:v>
                </c:pt>
                <c:pt idx="5">
                  <c:v>4.2910000000000004</c:v>
                </c:pt>
                <c:pt idx="6">
                  <c:v>5.6639999999999997</c:v>
                </c:pt>
                <c:pt idx="7">
                  <c:v>13.547000000000001</c:v>
                </c:pt>
                <c:pt idx="8">
                  <c:v>8.5790000000000006</c:v>
                </c:pt>
                <c:pt idx="9">
                  <c:v>16.106000000000002</c:v>
                </c:pt>
                <c:pt idx="10">
                  <c:v>18.687000000000001</c:v>
                </c:pt>
                <c:pt idx="11">
                  <c:v>26.071999999999999</c:v>
                </c:pt>
                <c:pt idx="12">
                  <c:v>6.3949999999999996</c:v>
                </c:pt>
                <c:pt idx="13">
                  <c:v>8.6140000000000008</c:v>
                </c:pt>
                <c:pt idx="14">
                  <c:v>7.9569999999999999</c:v>
                </c:pt>
                <c:pt idx="15">
                  <c:v>16.013000000000002</c:v>
                </c:pt>
                <c:pt idx="16">
                  <c:v>17.695</c:v>
                </c:pt>
                <c:pt idx="17">
                  <c:v>13.617000000000001</c:v>
                </c:pt>
                <c:pt idx="18">
                  <c:v>25.163</c:v>
                </c:pt>
                <c:pt idx="19">
                  <c:v>32.338999999999999</c:v>
                </c:pt>
                <c:pt idx="20">
                  <c:v>-5.0720000000000001</c:v>
                </c:pt>
                <c:pt idx="21">
                  <c:v>-9.09</c:v>
                </c:pt>
                <c:pt idx="22">
                  <c:v>-22.286000000000001</c:v>
                </c:pt>
                <c:pt idx="23">
                  <c:v>-43.829000000000001</c:v>
                </c:pt>
                <c:pt idx="24">
                  <c:v>-7.9420000000000002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3C-48D9-B76A-431584BD7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'NP2'!$A$11:$B$35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'NP2'!$D$11:$D$35</c:f>
              <c:numCache>
                <c:formatCode>General</c:formatCode>
                <c:ptCount val="25"/>
                <c:pt idx="0">
                  <c:v>29.490824624729754</c:v>
                </c:pt>
                <c:pt idx="1">
                  <c:v>29.207885449291197</c:v>
                </c:pt>
                <c:pt idx="2">
                  <c:v>28.669145139878449</c:v>
                </c:pt>
                <c:pt idx="3">
                  <c:v>26.847299501151191</c:v>
                </c:pt>
                <c:pt idx="4">
                  <c:v>28.425122033290297</c:v>
                </c:pt>
                <c:pt idx="5">
                  <c:v>28.691161039212332</c:v>
                </c:pt>
                <c:pt idx="6">
                  <c:v>28.705641226133306</c:v>
                </c:pt>
                <c:pt idx="7">
                  <c:v>27.946547884187083</c:v>
                </c:pt>
                <c:pt idx="8">
                  <c:v>29.072439404327831</c:v>
                </c:pt>
                <c:pt idx="9">
                  <c:v>28.799539894774263</c:v>
                </c:pt>
                <c:pt idx="10">
                  <c:v>28.807492805555292</c:v>
                </c:pt>
                <c:pt idx="11">
                  <c:v>29.174090159884692</c:v>
                </c:pt>
                <c:pt idx="12">
                  <c:v>28.403660437604834</c:v>
                </c:pt>
                <c:pt idx="13">
                  <c:v>28.876710885115465</c:v>
                </c:pt>
                <c:pt idx="14">
                  <c:v>28.855376263007088</c:v>
                </c:pt>
                <c:pt idx="15">
                  <c:v>29.833183006476055</c:v>
                </c:pt>
                <c:pt idx="16">
                  <c:v>29.435600432085927</c:v>
                </c:pt>
                <c:pt idx="17">
                  <c:v>28.209394737539672</c:v>
                </c:pt>
                <c:pt idx="18">
                  <c:v>29.96562219180564</c:v>
                </c:pt>
                <c:pt idx="19">
                  <c:v>30.993574798190526</c:v>
                </c:pt>
                <c:pt idx="20">
                  <c:v>27.898616453723207</c:v>
                </c:pt>
                <c:pt idx="21">
                  <c:v>29.622728157023008</c:v>
                </c:pt>
                <c:pt idx="22">
                  <c:v>27.82001356681657</c:v>
                </c:pt>
                <c:pt idx="23">
                  <c:v>26.85890207270949</c:v>
                </c:pt>
                <c:pt idx="24">
                  <c:v>26.710808347089117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F3C-48D9-B76A-431584BD7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ax val="40"/>
          <c:min val="-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Tvorba HFK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</c:valAx>
      <c:valAx>
        <c:axId val="787206864"/>
        <c:scaling>
          <c:orientation val="minMax"/>
          <c:min val="2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  <c:majorUnit val="1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53843137254902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VI!$A$11:$B$35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VI!$F$11:$F$35</c:f>
              <c:numCache>
                <c:formatCode>General</c:formatCode>
                <c:ptCount val="25"/>
                <c:pt idx="0">
                  <c:v>2.39</c:v>
                </c:pt>
                <c:pt idx="1">
                  <c:v>0.93700000000000006</c:v>
                </c:pt>
                <c:pt idx="2">
                  <c:v>1.048</c:v>
                </c:pt>
                <c:pt idx="3">
                  <c:v>-2.4620000000000002</c:v>
                </c:pt>
                <c:pt idx="4">
                  <c:v>1.337</c:v>
                </c:pt>
                <c:pt idx="5">
                  <c:v>1.087</c:v>
                </c:pt>
                <c:pt idx="6">
                  <c:v>3.8919999999999999</c:v>
                </c:pt>
                <c:pt idx="7">
                  <c:v>-1.43</c:v>
                </c:pt>
                <c:pt idx="8">
                  <c:v>0.34899999999999998</c:v>
                </c:pt>
                <c:pt idx="9">
                  <c:v>4.6449999999999996</c:v>
                </c:pt>
                <c:pt idx="10">
                  <c:v>6.37</c:v>
                </c:pt>
                <c:pt idx="11">
                  <c:v>-3.1819999999999999</c:v>
                </c:pt>
                <c:pt idx="12">
                  <c:v>3.45</c:v>
                </c:pt>
                <c:pt idx="13">
                  <c:v>4.9660000000000002</c:v>
                </c:pt>
                <c:pt idx="14">
                  <c:v>6.6139999999999999</c:v>
                </c:pt>
                <c:pt idx="15">
                  <c:v>1.6160000000000001</c:v>
                </c:pt>
                <c:pt idx="16">
                  <c:v>3.3359999999999999</c:v>
                </c:pt>
                <c:pt idx="17">
                  <c:v>4.9089999999999998</c:v>
                </c:pt>
                <c:pt idx="18">
                  <c:v>5.3339999999999996</c:v>
                </c:pt>
                <c:pt idx="19">
                  <c:v>-2.1880000000000002</c:v>
                </c:pt>
                <c:pt idx="20">
                  <c:v>-1.6759999999999999</c:v>
                </c:pt>
                <c:pt idx="21">
                  <c:v>0.91300000000000003</c:v>
                </c:pt>
                <c:pt idx="22">
                  <c:v>6.9390000000000001</c:v>
                </c:pt>
                <c:pt idx="23">
                  <c:v>-7.7960000000000003</c:v>
                </c:pt>
                <c:pt idx="24">
                  <c:v>4.0640000000000001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42-47FA-8905-A37405F18056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VI!$A$11:$B$35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VI!$E$11:$E$35</c:f>
              <c:numCache>
                <c:formatCode>General</c:formatCode>
                <c:ptCount val="25"/>
                <c:pt idx="0">
                  <c:v>12.942</c:v>
                </c:pt>
                <c:pt idx="1">
                  <c:v>19.292000000000002</c:v>
                </c:pt>
                <c:pt idx="2">
                  <c:v>-2.6890000000000001</c:v>
                </c:pt>
                <c:pt idx="3">
                  <c:v>-3.556</c:v>
                </c:pt>
                <c:pt idx="4">
                  <c:v>17.620999999999999</c:v>
                </c:pt>
                <c:pt idx="5">
                  <c:v>26.577999999999999</c:v>
                </c:pt>
                <c:pt idx="6">
                  <c:v>9.0079999999999991</c:v>
                </c:pt>
                <c:pt idx="7">
                  <c:v>-3.5289999999999999</c:v>
                </c:pt>
                <c:pt idx="8">
                  <c:v>16.695</c:v>
                </c:pt>
                <c:pt idx="9">
                  <c:v>26.521000000000001</c:v>
                </c:pt>
                <c:pt idx="10">
                  <c:v>5.6349999999999998</c:v>
                </c:pt>
                <c:pt idx="11">
                  <c:v>-6.9260000000000002</c:v>
                </c:pt>
                <c:pt idx="12">
                  <c:v>15.24</c:v>
                </c:pt>
                <c:pt idx="13">
                  <c:v>24.675000000000001</c:v>
                </c:pt>
                <c:pt idx="14">
                  <c:v>-5.1619999999999999</c:v>
                </c:pt>
                <c:pt idx="15">
                  <c:v>-11.194000000000001</c:v>
                </c:pt>
                <c:pt idx="16">
                  <c:v>20.981000000000002</c:v>
                </c:pt>
                <c:pt idx="17">
                  <c:v>28.152000000000001</c:v>
                </c:pt>
                <c:pt idx="18">
                  <c:v>-1.296</c:v>
                </c:pt>
                <c:pt idx="19">
                  <c:v>-10.241</c:v>
                </c:pt>
                <c:pt idx="20">
                  <c:v>11.43</c:v>
                </c:pt>
                <c:pt idx="21">
                  <c:v>11.866</c:v>
                </c:pt>
                <c:pt idx="22">
                  <c:v>11.858000000000001</c:v>
                </c:pt>
                <c:pt idx="23">
                  <c:v>-20.620999999999999</c:v>
                </c:pt>
                <c:pt idx="24">
                  <c:v>13.552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42-47FA-8905-A37405F18056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VI!$A$11:$B$35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VI!$D$11:$D$35</c:f>
              <c:numCache>
                <c:formatCode>General</c:formatCode>
                <c:ptCount val="25"/>
                <c:pt idx="0">
                  <c:v>-32.365000000000002</c:v>
                </c:pt>
                <c:pt idx="1">
                  <c:v>-9.8119999999999994</c:v>
                </c:pt>
                <c:pt idx="2">
                  <c:v>10.430999999999999</c:v>
                </c:pt>
                <c:pt idx="3">
                  <c:v>-25.934999999999999</c:v>
                </c:pt>
                <c:pt idx="4">
                  <c:v>-21.896999999999998</c:v>
                </c:pt>
                <c:pt idx="5">
                  <c:v>2.395</c:v>
                </c:pt>
                <c:pt idx="6">
                  <c:v>13.132</c:v>
                </c:pt>
                <c:pt idx="7">
                  <c:v>-14.051</c:v>
                </c:pt>
                <c:pt idx="8">
                  <c:v>-15.212999999999999</c:v>
                </c:pt>
                <c:pt idx="9">
                  <c:v>10.332000000000001</c:v>
                </c:pt>
                <c:pt idx="10">
                  <c:v>20.634</c:v>
                </c:pt>
                <c:pt idx="11">
                  <c:v>10.872999999999999</c:v>
                </c:pt>
                <c:pt idx="12">
                  <c:v>-16.407</c:v>
                </c:pt>
                <c:pt idx="13">
                  <c:v>11.964</c:v>
                </c:pt>
                <c:pt idx="14">
                  <c:v>14.834</c:v>
                </c:pt>
                <c:pt idx="15">
                  <c:v>-1.208</c:v>
                </c:pt>
                <c:pt idx="16">
                  <c:v>-26.007000000000001</c:v>
                </c:pt>
                <c:pt idx="17">
                  <c:v>-5.7880000000000003</c:v>
                </c:pt>
                <c:pt idx="18">
                  <c:v>12.332000000000001</c:v>
                </c:pt>
                <c:pt idx="19">
                  <c:v>-11.664999999999999</c:v>
                </c:pt>
                <c:pt idx="20">
                  <c:v>-65.072999999999993</c:v>
                </c:pt>
                <c:pt idx="21">
                  <c:v>-114.901</c:v>
                </c:pt>
                <c:pt idx="22">
                  <c:v>-67.751000000000005</c:v>
                </c:pt>
                <c:pt idx="23">
                  <c:v>-113.139</c:v>
                </c:pt>
                <c:pt idx="24">
                  <c:v>-153.93100000000001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42-47FA-8905-A37405F180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VI!$A$11:$B$35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VI!$C$11:$C$35</c:f>
              <c:numCache>
                <c:formatCode>General</c:formatCode>
                <c:ptCount val="25"/>
                <c:pt idx="0">
                  <c:v>-17.033000000000001</c:v>
                </c:pt>
                <c:pt idx="1">
                  <c:v>10.417</c:v>
                </c:pt>
                <c:pt idx="2">
                  <c:v>8.7899999999999991</c:v>
                </c:pt>
                <c:pt idx="3">
                  <c:v>-31.952999999999999</c:v>
                </c:pt>
                <c:pt idx="4">
                  <c:v>-2.9390000000000001</c:v>
                </c:pt>
                <c:pt idx="5">
                  <c:v>30.06</c:v>
                </c:pt>
                <c:pt idx="6">
                  <c:v>26.032</c:v>
                </c:pt>
                <c:pt idx="7">
                  <c:v>-19.010000000000002</c:v>
                </c:pt>
                <c:pt idx="8">
                  <c:v>1.831</c:v>
                </c:pt>
                <c:pt idx="9">
                  <c:v>41.497999999999998</c:v>
                </c:pt>
                <c:pt idx="10">
                  <c:v>32.639000000000003</c:v>
                </c:pt>
                <c:pt idx="11">
                  <c:v>0.76500000000000001</c:v>
                </c:pt>
                <c:pt idx="12">
                  <c:v>2.2829999999999999</c:v>
                </c:pt>
                <c:pt idx="13">
                  <c:v>41.604999999999997</c:v>
                </c:pt>
                <c:pt idx="14">
                  <c:v>16.286000000000001</c:v>
                </c:pt>
                <c:pt idx="15">
                  <c:v>-10.786</c:v>
                </c:pt>
                <c:pt idx="16">
                  <c:v>-1.69</c:v>
                </c:pt>
                <c:pt idx="17">
                  <c:v>27.273</c:v>
                </c:pt>
                <c:pt idx="18">
                  <c:v>16.37</c:v>
                </c:pt>
                <c:pt idx="19">
                  <c:v>-24.094000000000001</c:v>
                </c:pt>
                <c:pt idx="20">
                  <c:v>-55.319000000000003</c:v>
                </c:pt>
                <c:pt idx="21">
                  <c:v>-102.122</c:v>
                </c:pt>
                <c:pt idx="22">
                  <c:v>-48.954000000000001</c:v>
                </c:pt>
                <c:pt idx="23">
                  <c:v>-141.55600000000001</c:v>
                </c:pt>
                <c:pt idx="24">
                  <c:v>-136.315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42-47FA-8905-A37405F180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ax val="50"/>
          <c:min val="-1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Saldo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4149411764705884"/>
          <c:w val="0.88776300236406624"/>
          <c:h val="0.1460549019607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04280648429587E-2"/>
          <c:y val="4.5653594771241833E-2"/>
          <c:w val="0.87830821513002355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'VI2'!$A$10:$B$34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'VI2'!$C$10:$C$34</c:f>
              <c:numCache>
                <c:formatCode>General</c:formatCode>
                <c:ptCount val="25"/>
                <c:pt idx="0">
                  <c:v>18.847999999999999</c:v>
                </c:pt>
                <c:pt idx="1">
                  <c:v>17.466999999999999</c:v>
                </c:pt>
                <c:pt idx="2">
                  <c:v>-6.7460000000000004</c:v>
                </c:pt>
                <c:pt idx="3">
                  <c:v>48.031999999999996</c:v>
                </c:pt>
                <c:pt idx="4">
                  <c:v>37.271000000000001</c:v>
                </c:pt>
                <c:pt idx="5">
                  <c:v>69.44</c:v>
                </c:pt>
                <c:pt idx="6">
                  <c:v>83.290999999999997</c:v>
                </c:pt>
                <c:pt idx="7">
                  <c:v>24.291</c:v>
                </c:pt>
                <c:pt idx="8">
                  <c:v>101.614</c:v>
                </c:pt>
                <c:pt idx="9">
                  <c:v>9.9260000000000002</c:v>
                </c:pt>
                <c:pt idx="10">
                  <c:v>-29.707000000000001</c:v>
                </c:pt>
                <c:pt idx="11">
                  <c:v>-30.15</c:v>
                </c:pt>
                <c:pt idx="12">
                  <c:v>-187.25800000000001</c:v>
                </c:pt>
                <c:pt idx="13">
                  <c:v>-61.563000000000002</c:v>
                </c:pt>
                <c:pt idx="14">
                  <c:v>-37.698</c:v>
                </c:pt>
                <c:pt idx="15">
                  <c:v>-8.4459999999999997</c:v>
                </c:pt>
                <c:pt idx="16">
                  <c:v>159.285</c:v>
                </c:pt>
                <c:pt idx="17">
                  <c:v>100.34699999999999</c:v>
                </c:pt>
                <c:pt idx="18">
                  <c:v>88.245999999999995</c:v>
                </c:pt>
                <c:pt idx="19">
                  <c:v>41.860999999999997</c:v>
                </c:pt>
                <c:pt idx="20">
                  <c:v>-24.57</c:v>
                </c:pt>
                <c:pt idx="21">
                  <c:v>303.31900000000002</c:v>
                </c:pt>
                <c:pt idx="22">
                  <c:v>288.69200000000001</c:v>
                </c:pt>
                <c:pt idx="23">
                  <c:v>396.11399999999998</c:v>
                </c:pt>
                <c:pt idx="24">
                  <c:v>541.101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D9-4F43-88D6-F816C9D147E1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'VI2'!$A$10:$B$34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'VI2'!$D$10:$D$34</c:f>
              <c:numCache>
                <c:formatCode>General</c:formatCode>
                <c:ptCount val="25"/>
                <c:pt idx="0">
                  <c:v>-16.446999999999999</c:v>
                </c:pt>
                <c:pt idx="1">
                  <c:v>-9.6340000000000003</c:v>
                </c:pt>
                <c:pt idx="2">
                  <c:v>13.411</c:v>
                </c:pt>
                <c:pt idx="3">
                  <c:v>-22.658000000000001</c:v>
                </c:pt>
                <c:pt idx="4">
                  <c:v>-2.016</c:v>
                </c:pt>
                <c:pt idx="5">
                  <c:v>-30.206</c:v>
                </c:pt>
                <c:pt idx="6">
                  <c:v>-86.369</c:v>
                </c:pt>
                <c:pt idx="7">
                  <c:v>-79.730999999999995</c:v>
                </c:pt>
                <c:pt idx="8">
                  <c:v>-8.9580000000000002</c:v>
                </c:pt>
                <c:pt idx="9">
                  <c:v>89.825000000000003</c:v>
                </c:pt>
                <c:pt idx="10">
                  <c:v>-17.864999999999998</c:v>
                </c:pt>
                <c:pt idx="11">
                  <c:v>39.607999999999997</c:v>
                </c:pt>
                <c:pt idx="12">
                  <c:v>110.06399999999999</c:v>
                </c:pt>
                <c:pt idx="13">
                  <c:v>-73.570999999999998</c:v>
                </c:pt>
                <c:pt idx="14">
                  <c:v>42.71</c:v>
                </c:pt>
                <c:pt idx="15">
                  <c:v>-40.204999999999998</c:v>
                </c:pt>
                <c:pt idx="16">
                  <c:v>-178.68899999999999</c:v>
                </c:pt>
                <c:pt idx="17">
                  <c:v>-72.613</c:v>
                </c:pt>
                <c:pt idx="18">
                  <c:v>-42.478000000000002</c:v>
                </c:pt>
                <c:pt idx="19">
                  <c:v>0.13200000000000001</c:v>
                </c:pt>
                <c:pt idx="20">
                  <c:v>65.545000000000002</c:v>
                </c:pt>
                <c:pt idx="21">
                  <c:v>130.23599999999999</c:v>
                </c:pt>
                <c:pt idx="22">
                  <c:v>100.73</c:v>
                </c:pt>
                <c:pt idx="23">
                  <c:v>19.956</c:v>
                </c:pt>
                <c:pt idx="24">
                  <c:v>-43.765999999999998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D9-4F43-88D6-F816C9D147E1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'VI2'!$A$10:$B$34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'VI2'!$E$10:$E$34</c:f>
              <c:numCache>
                <c:formatCode>General</c:formatCode>
                <c:ptCount val="25"/>
                <c:pt idx="0">
                  <c:v>-16.625</c:v>
                </c:pt>
                <c:pt idx="1">
                  <c:v>-18.791</c:v>
                </c:pt>
                <c:pt idx="2">
                  <c:v>-15.385999999999999</c:v>
                </c:pt>
                <c:pt idx="3">
                  <c:v>-3.4649999999999999</c:v>
                </c:pt>
                <c:pt idx="4">
                  <c:v>-6.1390000000000002</c:v>
                </c:pt>
                <c:pt idx="5">
                  <c:v>-4.306</c:v>
                </c:pt>
                <c:pt idx="6">
                  <c:v>-5.09</c:v>
                </c:pt>
                <c:pt idx="7">
                  <c:v>-22.616</c:v>
                </c:pt>
                <c:pt idx="8">
                  <c:v>-22.443000000000001</c:v>
                </c:pt>
                <c:pt idx="9">
                  <c:v>-21.582999999999998</c:v>
                </c:pt>
                <c:pt idx="10">
                  <c:v>-23.733000000000001</c:v>
                </c:pt>
                <c:pt idx="11">
                  <c:v>-12.262</c:v>
                </c:pt>
                <c:pt idx="12">
                  <c:v>-12.497999999999999</c:v>
                </c:pt>
                <c:pt idx="13">
                  <c:v>-10.695</c:v>
                </c:pt>
                <c:pt idx="14">
                  <c:v>-8.8230000000000004</c:v>
                </c:pt>
                <c:pt idx="15">
                  <c:v>-11.949</c:v>
                </c:pt>
                <c:pt idx="16">
                  <c:v>-9.83</c:v>
                </c:pt>
                <c:pt idx="17">
                  <c:v>-9.6769999999999996</c:v>
                </c:pt>
                <c:pt idx="18">
                  <c:v>-6.806</c:v>
                </c:pt>
                <c:pt idx="19">
                  <c:v>-2.8660000000000001</c:v>
                </c:pt>
                <c:pt idx="20">
                  <c:v>0.86</c:v>
                </c:pt>
                <c:pt idx="21">
                  <c:v>1.927</c:v>
                </c:pt>
                <c:pt idx="22">
                  <c:v>8.56</c:v>
                </c:pt>
                <c:pt idx="23">
                  <c:v>5.6840000000000002</c:v>
                </c:pt>
                <c:pt idx="24">
                  <c:v>54.789000000000001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D9-4F43-88D6-F816C9D147E1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'VI2'!$A$10:$B$34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'VI2'!$F$10:$F$34</c:f>
              <c:numCache>
                <c:formatCode>General</c:formatCode>
                <c:ptCount val="25"/>
                <c:pt idx="0">
                  <c:v>5.234</c:v>
                </c:pt>
                <c:pt idx="1">
                  <c:v>12.789</c:v>
                </c:pt>
                <c:pt idx="2">
                  <c:v>11.449</c:v>
                </c:pt>
                <c:pt idx="3">
                  <c:v>1.895</c:v>
                </c:pt>
                <c:pt idx="4">
                  <c:v>-3.3530000000000002</c:v>
                </c:pt>
                <c:pt idx="5">
                  <c:v>-12.811</c:v>
                </c:pt>
                <c:pt idx="6">
                  <c:v>-10.784000000000001</c:v>
                </c:pt>
                <c:pt idx="7">
                  <c:v>-5.4210000000000003</c:v>
                </c:pt>
                <c:pt idx="8">
                  <c:v>-2.968</c:v>
                </c:pt>
                <c:pt idx="9">
                  <c:v>-1.4670000000000001</c:v>
                </c:pt>
                <c:pt idx="10">
                  <c:v>0.63</c:v>
                </c:pt>
                <c:pt idx="11">
                  <c:v>1.002</c:v>
                </c:pt>
                <c:pt idx="12">
                  <c:v>1.8140000000000001</c:v>
                </c:pt>
                <c:pt idx="13">
                  <c:v>53.356999999999999</c:v>
                </c:pt>
                <c:pt idx="14">
                  <c:v>50.372</c:v>
                </c:pt>
                <c:pt idx="15">
                  <c:v>42.76</c:v>
                </c:pt>
                <c:pt idx="16">
                  <c:v>34.055</c:v>
                </c:pt>
                <c:pt idx="17">
                  <c:v>-27.446000000000002</c:v>
                </c:pt>
                <c:pt idx="18">
                  <c:v>-33.340000000000003</c:v>
                </c:pt>
                <c:pt idx="19">
                  <c:v>-30.263000000000002</c:v>
                </c:pt>
                <c:pt idx="20">
                  <c:v>5.109</c:v>
                </c:pt>
                <c:pt idx="21">
                  <c:v>7.7960000000000003</c:v>
                </c:pt>
                <c:pt idx="22">
                  <c:v>-13.034000000000001</c:v>
                </c:pt>
                <c:pt idx="23">
                  <c:v>-14.414999999999999</c:v>
                </c:pt>
                <c:pt idx="24">
                  <c:v>79.790000000000006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D9-4F43-88D6-F816C9D147E1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'VI2'!$A$10:$B$34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'VI2'!$G$10:$G$34</c:f>
              <c:numCache>
                <c:formatCode>General</c:formatCode>
                <c:ptCount val="25"/>
                <c:pt idx="0">
                  <c:v>5.4</c:v>
                </c:pt>
                <c:pt idx="1">
                  <c:v>8.2270000000000003</c:v>
                </c:pt>
                <c:pt idx="2">
                  <c:v>-1.0999999999999999E-2</c:v>
                </c:pt>
                <c:pt idx="3">
                  <c:v>-6.6449999999999996</c:v>
                </c:pt>
                <c:pt idx="4">
                  <c:v>-2.9249999999999998</c:v>
                </c:pt>
                <c:pt idx="5">
                  <c:v>0.24399999999999999</c:v>
                </c:pt>
                <c:pt idx="6">
                  <c:v>3.173</c:v>
                </c:pt>
                <c:pt idx="7">
                  <c:v>2.1669999999999998</c:v>
                </c:pt>
                <c:pt idx="8">
                  <c:v>-0.40899999999999997</c:v>
                </c:pt>
                <c:pt idx="9">
                  <c:v>-3.468</c:v>
                </c:pt>
                <c:pt idx="10">
                  <c:v>-1.865</c:v>
                </c:pt>
                <c:pt idx="11">
                  <c:v>-3.258</c:v>
                </c:pt>
                <c:pt idx="12">
                  <c:v>-2.6560000000000001</c:v>
                </c:pt>
                <c:pt idx="13">
                  <c:v>-1.3320000000000001</c:v>
                </c:pt>
                <c:pt idx="14">
                  <c:v>-7.0730000000000004</c:v>
                </c:pt>
                <c:pt idx="15">
                  <c:v>2.7650000000000001</c:v>
                </c:pt>
                <c:pt idx="16">
                  <c:v>-2.7530000000000001</c:v>
                </c:pt>
                <c:pt idx="17">
                  <c:v>-3.827</c:v>
                </c:pt>
                <c:pt idx="18">
                  <c:v>0.35099999999999998</c:v>
                </c:pt>
                <c:pt idx="19">
                  <c:v>-3.5339999999999998</c:v>
                </c:pt>
                <c:pt idx="20">
                  <c:v>6.2709999999999999</c:v>
                </c:pt>
                <c:pt idx="21">
                  <c:v>4.931</c:v>
                </c:pt>
                <c:pt idx="22">
                  <c:v>3.0760000000000001</c:v>
                </c:pt>
                <c:pt idx="23">
                  <c:v>5.7610000000000001</c:v>
                </c:pt>
                <c:pt idx="24">
                  <c:v>-1.651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D9-4F43-88D6-F816C9D14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'VI2'!$A$10:$B$34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'VI2'!$H$10:$H$34</c:f>
              <c:numCache>
                <c:formatCode>General</c:formatCode>
                <c:ptCount val="25"/>
                <c:pt idx="0">
                  <c:v>-3.59</c:v>
                </c:pt>
                <c:pt idx="1">
                  <c:v>10.058</c:v>
                </c:pt>
                <c:pt idx="2">
                  <c:v>2.7170000000000001</c:v>
                </c:pt>
                <c:pt idx="3">
                  <c:v>17.158999999999999</c:v>
                </c:pt>
                <c:pt idx="4">
                  <c:v>22.838000000000001</c:v>
                </c:pt>
                <c:pt idx="5">
                  <c:v>22.361000000000001</c:v>
                </c:pt>
                <c:pt idx="6">
                  <c:v>-15.779</c:v>
                </c:pt>
                <c:pt idx="7">
                  <c:v>-81.31</c:v>
                </c:pt>
                <c:pt idx="8">
                  <c:v>66.835999999999999</c:v>
                </c:pt>
                <c:pt idx="9">
                  <c:v>73.233000000000004</c:v>
                </c:pt>
                <c:pt idx="10">
                  <c:v>-72.540000000000006</c:v>
                </c:pt>
                <c:pt idx="11">
                  <c:v>-5.0599999999999996</c:v>
                </c:pt>
                <c:pt idx="12">
                  <c:v>-90.534000000000006</c:v>
                </c:pt>
                <c:pt idx="13">
                  <c:v>-93.804000000000002</c:v>
                </c:pt>
                <c:pt idx="14">
                  <c:v>39.488</c:v>
                </c:pt>
                <c:pt idx="15">
                  <c:v>-15.074999999999999</c:v>
                </c:pt>
                <c:pt idx="16">
                  <c:v>2.0680000000000001</c:v>
                </c:pt>
                <c:pt idx="17">
                  <c:v>-13.215999999999999</c:v>
                </c:pt>
                <c:pt idx="18">
                  <c:v>5.9729999999999999</c:v>
                </c:pt>
                <c:pt idx="19">
                  <c:v>5.33</c:v>
                </c:pt>
                <c:pt idx="20">
                  <c:v>53.215000000000003</c:v>
                </c:pt>
                <c:pt idx="21">
                  <c:v>448.209</c:v>
                </c:pt>
                <c:pt idx="22">
                  <c:v>388.024</c:v>
                </c:pt>
                <c:pt idx="23">
                  <c:v>413.1</c:v>
                </c:pt>
                <c:pt idx="24">
                  <c:v>630.26300000000003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4D9-4F43-88D6-F816C9D14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dluhu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265725261735887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Dom!$A$9:$B$33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Dom!$C$9:$C$33</c:f>
              <c:numCache>
                <c:formatCode>General</c:formatCode>
                <c:ptCount val="25"/>
                <c:pt idx="0">
                  <c:v>1.768</c:v>
                </c:pt>
                <c:pt idx="1">
                  <c:v>1.7310000000000001</c:v>
                </c:pt>
                <c:pt idx="2">
                  <c:v>1.1080000000000001</c:v>
                </c:pt>
                <c:pt idx="3">
                  <c:v>0.75900000000000001</c:v>
                </c:pt>
                <c:pt idx="4">
                  <c:v>0.42799999999999999</c:v>
                </c:pt>
                <c:pt idx="5">
                  <c:v>4.4530000000000003</c:v>
                </c:pt>
                <c:pt idx="6">
                  <c:v>2.6150000000000002</c:v>
                </c:pt>
                <c:pt idx="7">
                  <c:v>10.651999999999999</c:v>
                </c:pt>
                <c:pt idx="8">
                  <c:v>-3.9460000000000002</c:v>
                </c:pt>
                <c:pt idx="9">
                  <c:v>-5.0069999999999997</c:v>
                </c:pt>
                <c:pt idx="10">
                  <c:v>-2.9910000000000001</c:v>
                </c:pt>
                <c:pt idx="11">
                  <c:v>-9.234</c:v>
                </c:pt>
                <c:pt idx="12">
                  <c:v>9.016</c:v>
                </c:pt>
                <c:pt idx="13">
                  <c:v>10.769</c:v>
                </c:pt>
                <c:pt idx="14">
                  <c:v>14.337999999999999</c:v>
                </c:pt>
                <c:pt idx="15">
                  <c:v>14.686</c:v>
                </c:pt>
                <c:pt idx="16">
                  <c:v>7.1550000000000002</c:v>
                </c:pt>
                <c:pt idx="17">
                  <c:v>7.4320000000000004</c:v>
                </c:pt>
                <c:pt idx="18">
                  <c:v>8.4429999999999996</c:v>
                </c:pt>
                <c:pt idx="19">
                  <c:v>8.8279999999999994</c:v>
                </c:pt>
                <c:pt idx="20">
                  <c:v>-0.66500000000000004</c:v>
                </c:pt>
                <c:pt idx="21">
                  <c:v>-2.5999999999999999E-2</c:v>
                </c:pt>
                <c:pt idx="22">
                  <c:v>-3.9289999999999998</c:v>
                </c:pt>
                <c:pt idx="23">
                  <c:v>2.4569999999999999</c:v>
                </c:pt>
                <c:pt idx="24">
                  <c:v>1.911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F8-45A3-9678-F69F911D6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Dom!$A$9:$B$33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Dom!$D$9:$D$33</c:f>
              <c:numCache>
                <c:formatCode>0.0</c:formatCode>
                <c:ptCount val="25"/>
                <c:pt idx="0">
                  <c:v>12.461751697811122</c:v>
                </c:pt>
                <c:pt idx="1">
                  <c:v>11.897553727918796</c:v>
                </c:pt>
                <c:pt idx="2">
                  <c:v>12.485789151494933</c:v>
                </c:pt>
                <c:pt idx="3">
                  <c:v>11.311784297764561</c:v>
                </c:pt>
                <c:pt idx="4">
                  <c:v>11.506206564094324</c:v>
                </c:pt>
                <c:pt idx="5">
                  <c:v>11.571646110548597</c:v>
                </c:pt>
                <c:pt idx="6">
                  <c:v>11.571229686709428</c:v>
                </c:pt>
                <c:pt idx="7">
                  <c:v>10.794478613668176</c:v>
                </c:pt>
                <c:pt idx="8">
                  <c:v>11.486438152465576</c:v>
                </c:pt>
                <c:pt idx="9">
                  <c:v>11.657284065714062</c:v>
                </c:pt>
                <c:pt idx="10">
                  <c:v>11.491582481674499</c:v>
                </c:pt>
                <c:pt idx="11">
                  <c:v>11.731287718077095</c:v>
                </c:pt>
                <c:pt idx="12">
                  <c:v>11.814844664424465</c:v>
                </c:pt>
                <c:pt idx="13">
                  <c:v>12.649477091564041</c:v>
                </c:pt>
                <c:pt idx="14">
                  <c:v>11.380401298809424</c:v>
                </c:pt>
                <c:pt idx="15">
                  <c:v>12.607780781619216</c:v>
                </c:pt>
                <c:pt idx="16">
                  <c:v>12.516189866449507</c:v>
                </c:pt>
                <c:pt idx="17">
                  <c:v>13.941885117879915</c:v>
                </c:pt>
                <c:pt idx="18">
                  <c:v>12.697422703854574</c:v>
                </c:pt>
                <c:pt idx="19">
                  <c:v>13.359330033752126</c:v>
                </c:pt>
                <c:pt idx="20">
                  <c:v>17.181813959502055</c:v>
                </c:pt>
                <c:pt idx="21">
                  <c:v>22.896254673624441</c:v>
                </c:pt>
                <c:pt idx="22" formatCode="General">
                  <c:v>20.0035320044984</c:v>
                </c:pt>
                <c:pt idx="23" formatCode="General">
                  <c:v>25.002027361513051</c:v>
                </c:pt>
                <c:pt idx="24" formatCode="General">
                  <c:v>23.656974900602485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DF8-45A3-9678-F69F911D6338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Dom!$A$9:$B$33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Dom!$E$9:$E$33</c:f>
              <c:numCache>
                <c:formatCode>0.0</c:formatCode>
                <c:ptCount val="25"/>
                <c:pt idx="0">
                  <c:v>8.7490613659895278</c:v>
                </c:pt>
                <c:pt idx="1">
                  <c:v>8.6970527713679004</c:v>
                </c:pt>
                <c:pt idx="2">
                  <c:v>8.6533135973933017</c:v>
                </c:pt>
                <c:pt idx="3">
                  <c:v>8.6990150834600843</c:v>
                </c:pt>
                <c:pt idx="4">
                  <c:v>9.1196721970031724</c:v>
                </c:pt>
                <c:pt idx="5">
                  <c:v>9.2782370903060691</c:v>
                </c:pt>
                <c:pt idx="6">
                  <c:v>9.1023654710986381</c:v>
                </c:pt>
                <c:pt idx="7">
                  <c:v>9.0668632652615884</c:v>
                </c:pt>
                <c:pt idx="8">
                  <c:v>8.0019542575875882</c:v>
                </c:pt>
                <c:pt idx="9">
                  <c:v>7.6775970979675021</c:v>
                </c:pt>
                <c:pt idx="10">
                  <c:v>7.6794957434223887</c:v>
                </c:pt>
                <c:pt idx="11">
                  <c:v>7.7556814489517993</c:v>
                </c:pt>
                <c:pt idx="12">
                  <c:v>8.5164733456170278</c:v>
                </c:pt>
                <c:pt idx="13">
                  <c:v>8.8651869282649365</c:v>
                </c:pt>
                <c:pt idx="14">
                  <c:v>9.2115560735991995</c:v>
                </c:pt>
                <c:pt idx="15">
                  <c:v>9.3817458750144702</c:v>
                </c:pt>
                <c:pt idx="16">
                  <c:v>9.5205120752629568</c:v>
                </c:pt>
                <c:pt idx="17">
                  <c:v>9.4101395292073953</c:v>
                </c:pt>
                <c:pt idx="18">
                  <c:v>9.58569655862423</c:v>
                </c:pt>
                <c:pt idx="19">
                  <c:v>9.3830398449427577</c:v>
                </c:pt>
                <c:pt idx="20">
                  <c:v>9.0227243912818071</c:v>
                </c:pt>
                <c:pt idx="21">
                  <c:v>9.0543873157171131</c:v>
                </c:pt>
                <c:pt idx="22" formatCode="General">
                  <c:v>8.7997194018648486</c:v>
                </c:pt>
                <c:pt idx="23" formatCode="General">
                  <c:v>8.8217459032167884</c:v>
                </c:pt>
                <c:pt idx="24" formatCode="General">
                  <c:v>8.9783398785276969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F8-45A3-9678-F69F911D6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ax val="15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</a:t>
                </a:r>
                <a:r>
                  <a:rPr lang="cs-CZ"/>
                  <a:t>úspor, míra </a:t>
                </a:r>
                <a:r>
                  <a:rPr lang="en-US"/>
                  <a:t>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AF62-12E2-4ABF-B195-C5DF17BB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7</TotalTime>
  <Pages>8</Pages>
  <Words>2289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15768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Mgr. Karolína Zábojníková</cp:lastModifiedBy>
  <cp:revision>5</cp:revision>
  <dcterms:created xsi:type="dcterms:W3CDTF">2021-07-14T08:24:00Z</dcterms:created>
  <dcterms:modified xsi:type="dcterms:W3CDTF">2021-07-19T08:31:00Z</dcterms:modified>
</cp:coreProperties>
</file>