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700A" w14:textId="33FB5E3C" w:rsidR="00E81D18" w:rsidRDefault="00E81D18" w:rsidP="006C3495">
      <w:pPr>
        <w:jc w:val="center"/>
      </w:pPr>
      <w:r>
        <w:rPr>
          <w:noProof/>
        </w:rPr>
        <mc:AlternateContent>
          <mc:Choice Requires="wpg">
            <w:drawing>
              <wp:anchor distT="0" distB="0" distL="114300" distR="114300" simplePos="0" relativeHeight="251663872" behindDoc="0" locked="1" layoutInCell="1" allowOverlap="1" wp14:anchorId="4D5AF731" wp14:editId="4A938A27">
                <wp:simplePos x="0" y="0"/>
                <wp:positionH relativeFrom="margin">
                  <wp:posOffset>-93345</wp:posOffset>
                </wp:positionH>
                <wp:positionV relativeFrom="page">
                  <wp:posOffset>427990</wp:posOffset>
                </wp:positionV>
                <wp:extent cx="2181860" cy="514985"/>
                <wp:effectExtent l="0" t="0" r="8890" b="0"/>
                <wp:wrapSquare wrapText="bothSides"/>
                <wp:docPr id="53" name="Skupina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81860" cy="514985"/>
                          <a:chOff x="0" y="0"/>
                          <a:chExt cx="1671002" cy="395288"/>
                        </a:xfrm>
                      </wpg:grpSpPr>
                      <wps:wsp>
                        <wps:cNvPr id="54" name="Rectangle 5"/>
                        <wps:cNvSpPr>
                          <a:spLocks noChangeArrowheads="1"/>
                        </wps:cNvSpPr>
                        <wps:spPr bwMode="auto">
                          <a:xfrm>
                            <a:off x="395287" y="4763"/>
                            <a:ext cx="419100" cy="98425"/>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
                        <wps:cNvSpPr>
                          <a:spLocks noChangeArrowheads="1"/>
                        </wps:cNvSpPr>
                        <wps:spPr bwMode="auto">
                          <a:xfrm>
                            <a:off x="0" y="147638"/>
                            <a:ext cx="814705"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
                        <wps:cNvSpPr>
                          <a:spLocks noChangeArrowheads="1"/>
                        </wps:cNvSpPr>
                        <wps:spPr bwMode="auto">
                          <a:xfrm>
                            <a:off x="357187" y="295275"/>
                            <a:ext cx="457200"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8"/>
                        <wps:cNvSpPr>
                          <a:spLocks noEditPoints="1"/>
                        </wps:cNvSpPr>
                        <wps:spPr bwMode="auto">
                          <a:xfrm>
                            <a:off x="862012" y="290513"/>
                            <a:ext cx="455295" cy="104775"/>
                          </a:xfrm>
                          <a:custGeom>
                            <a:avLst/>
                            <a:gdLst>
                              <a:gd name="T0" fmla="*/ 34559 w 1436"/>
                              <a:gd name="T1" fmla="*/ 3175 h 330"/>
                              <a:gd name="T2" fmla="*/ 14268 w 1436"/>
                              <a:gd name="T3" fmla="*/ 16193 h 330"/>
                              <a:gd name="T4" fmla="*/ 1268 w 1436"/>
                              <a:gd name="T5" fmla="*/ 40640 h 330"/>
                              <a:gd name="T6" fmla="*/ 2536 w 1436"/>
                              <a:gd name="T7" fmla="*/ 67628 h 330"/>
                              <a:gd name="T8" fmla="*/ 15536 w 1436"/>
                              <a:gd name="T9" fmla="*/ 89535 h 330"/>
                              <a:gd name="T10" fmla="*/ 37096 w 1436"/>
                              <a:gd name="T11" fmla="*/ 102235 h 330"/>
                              <a:gd name="T12" fmla="*/ 63729 w 1436"/>
                              <a:gd name="T13" fmla="*/ 103823 h 330"/>
                              <a:gd name="T14" fmla="*/ 85923 w 1436"/>
                              <a:gd name="T15" fmla="*/ 95250 h 330"/>
                              <a:gd name="T16" fmla="*/ 103044 w 1436"/>
                              <a:gd name="T17" fmla="*/ 74613 h 330"/>
                              <a:gd name="T18" fmla="*/ 107483 w 1436"/>
                              <a:gd name="T19" fmla="*/ 47308 h 330"/>
                              <a:gd name="T20" fmla="*/ 99873 w 1436"/>
                              <a:gd name="T21" fmla="*/ 24448 h 330"/>
                              <a:gd name="T22" fmla="*/ 81167 w 1436"/>
                              <a:gd name="T23" fmla="*/ 6350 h 330"/>
                              <a:gd name="T24" fmla="*/ 53900 w 1436"/>
                              <a:gd name="T25" fmla="*/ 0 h 330"/>
                              <a:gd name="T26" fmla="*/ 62143 w 1436"/>
                              <a:gd name="T27" fmla="*/ 26353 h 330"/>
                              <a:gd name="T28" fmla="*/ 73557 w 1436"/>
                              <a:gd name="T29" fmla="*/ 33020 h 330"/>
                              <a:gd name="T30" fmla="*/ 80216 w 1436"/>
                              <a:gd name="T31" fmla="*/ 44133 h 330"/>
                              <a:gd name="T32" fmla="*/ 81167 w 1436"/>
                              <a:gd name="T33" fmla="*/ 58103 h 330"/>
                              <a:gd name="T34" fmla="*/ 75143 w 1436"/>
                              <a:gd name="T35" fmla="*/ 70168 h 330"/>
                              <a:gd name="T36" fmla="*/ 64363 w 1436"/>
                              <a:gd name="T37" fmla="*/ 78105 h 330"/>
                              <a:gd name="T38" fmla="*/ 51046 w 1436"/>
                              <a:gd name="T39" fmla="*/ 80010 h 330"/>
                              <a:gd name="T40" fmla="*/ 38364 w 1436"/>
                              <a:gd name="T41" fmla="*/ 75248 h 330"/>
                              <a:gd name="T42" fmla="*/ 29803 w 1436"/>
                              <a:gd name="T43" fmla="*/ 65405 h 330"/>
                              <a:gd name="T44" fmla="*/ 26633 w 1436"/>
                              <a:gd name="T45" fmla="*/ 52070 h 330"/>
                              <a:gd name="T46" fmla="*/ 29803 w 1436"/>
                              <a:gd name="T47" fmla="*/ 39053 h 330"/>
                              <a:gd name="T48" fmla="*/ 38681 w 1436"/>
                              <a:gd name="T49" fmla="*/ 29528 h 330"/>
                              <a:gd name="T50" fmla="*/ 51046 w 1436"/>
                              <a:gd name="T51" fmla="*/ 25083 h 330"/>
                              <a:gd name="T52" fmla="*/ 120482 w 1436"/>
                              <a:gd name="T53" fmla="*/ 3175 h 330"/>
                              <a:gd name="T54" fmla="*/ 173748 w 1436"/>
                              <a:gd name="T55" fmla="*/ 40958 h 330"/>
                              <a:gd name="T56" fmla="*/ 248890 w 1436"/>
                              <a:gd name="T57" fmla="*/ 3175 h 330"/>
                              <a:gd name="T58" fmla="*/ 246037 w 1436"/>
                              <a:gd name="T59" fmla="*/ 62548 h 330"/>
                              <a:gd name="T60" fmla="*/ 290742 w 1436"/>
                              <a:gd name="T61" fmla="*/ 3175 h 330"/>
                              <a:gd name="T62" fmla="*/ 380152 w 1436"/>
                              <a:gd name="T63" fmla="*/ 6033 h 330"/>
                              <a:gd name="T64" fmla="*/ 351617 w 1436"/>
                              <a:gd name="T65" fmla="*/ 1270 h 330"/>
                              <a:gd name="T66" fmla="*/ 327838 w 1436"/>
                              <a:gd name="T67" fmla="*/ 9843 h 330"/>
                              <a:gd name="T68" fmla="*/ 311668 w 1436"/>
                              <a:gd name="T69" fmla="*/ 27940 h 330"/>
                              <a:gd name="T70" fmla="*/ 305327 w 1436"/>
                              <a:gd name="T71" fmla="*/ 53023 h 330"/>
                              <a:gd name="T72" fmla="*/ 310717 w 1436"/>
                              <a:gd name="T73" fmla="*/ 75565 h 330"/>
                              <a:gd name="T74" fmla="*/ 326887 w 1436"/>
                              <a:gd name="T75" fmla="*/ 93980 h 330"/>
                              <a:gd name="T76" fmla="*/ 351934 w 1436"/>
                              <a:gd name="T77" fmla="*/ 103505 h 330"/>
                              <a:gd name="T78" fmla="*/ 380152 w 1436"/>
                              <a:gd name="T79" fmla="*/ 99060 h 330"/>
                              <a:gd name="T80" fmla="*/ 369689 w 1436"/>
                              <a:gd name="T81" fmla="*/ 76835 h 330"/>
                              <a:gd name="T82" fmla="*/ 355739 w 1436"/>
                              <a:gd name="T83" fmla="*/ 79375 h 330"/>
                              <a:gd name="T84" fmla="*/ 340520 w 1436"/>
                              <a:gd name="T85" fmla="*/ 73025 h 330"/>
                              <a:gd name="T86" fmla="*/ 333228 w 1436"/>
                              <a:gd name="T87" fmla="*/ 61595 h 330"/>
                              <a:gd name="T88" fmla="*/ 332277 w 1436"/>
                              <a:gd name="T89" fmla="*/ 46990 h 330"/>
                              <a:gd name="T90" fmla="*/ 337984 w 1436"/>
                              <a:gd name="T91" fmla="*/ 35560 h 330"/>
                              <a:gd name="T92" fmla="*/ 347812 w 1436"/>
                              <a:gd name="T93" fmla="*/ 27940 h 330"/>
                              <a:gd name="T94" fmla="*/ 361129 w 1436"/>
                              <a:gd name="T95" fmla="*/ 26035 h 330"/>
                              <a:gd name="T96" fmla="*/ 375396 w 1436"/>
                              <a:gd name="T97" fmla="*/ 31750 h 330"/>
                              <a:gd name="T98" fmla="*/ 455295 w 1436"/>
                              <a:gd name="T99" fmla="*/ 3175 h 330"/>
                              <a:gd name="T100" fmla="*/ 425175 w 1436"/>
                              <a:gd name="T101" fmla="*/ 79693 h 330"/>
                              <a:gd name="T102" fmla="*/ 425175 w 1436"/>
                              <a:gd name="T103" fmla="*/ 24765 h 3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noEditPoints="1"/>
                        </wps:cNvSpPr>
                        <wps:spPr bwMode="auto">
                          <a:xfrm>
                            <a:off x="862012" y="147638"/>
                            <a:ext cx="808990" cy="102870"/>
                          </a:xfrm>
                          <a:custGeom>
                            <a:avLst/>
                            <a:gdLst>
                              <a:gd name="T0" fmla="*/ 45067 w 2549"/>
                              <a:gd name="T1" fmla="*/ 317 h 325"/>
                              <a:gd name="T2" fmla="*/ 20629 w 2549"/>
                              <a:gd name="T3" fmla="*/ 3482 h 325"/>
                              <a:gd name="T4" fmla="*/ 6348 w 2549"/>
                              <a:gd name="T5" fmla="*/ 19308 h 325"/>
                              <a:gd name="T6" fmla="*/ 5078 w 2549"/>
                              <a:gd name="T7" fmla="*/ 41465 h 325"/>
                              <a:gd name="T8" fmla="*/ 18408 w 2549"/>
                              <a:gd name="T9" fmla="*/ 56025 h 325"/>
                              <a:gd name="T10" fmla="*/ 44115 w 2549"/>
                              <a:gd name="T11" fmla="*/ 66153 h 325"/>
                              <a:gd name="T12" fmla="*/ 41894 w 2549"/>
                              <a:gd name="T13" fmla="*/ 78181 h 325"/>
                              <a:gd name="T14" fmla="*/ 25073 w 2549"/>
                              <a:gd name="T15" fmla="*/ 79764 h 325"/>
                              <a:gd name="T16" fmla="*/ 4126 w 2549"/>
                              <a:gd name="T17" fmla="*/ 94007 h 325"/>
                              <a:gd name="T18" fmla="*/ 33642 w 2549"/>
                              <a:gd name="T19" fmla="*/ 102237 h 325"/>
                              <a:gd name="T20" fmla="*/ 59349 w 2549"/>
                              <a:gd name="T21" fmla="*/ 95273 h 325"/>
                              <a:gd name="T22" fmla="*/ 71409 w 2549"/>
                              <a:gd name="T23" fmla="*/ 75649 h 325"/>
                              <a:gd name="T24" fmla="*/ 67601 w 2549"/>
                              <a:gd name="T25" fmla="*/ 52226 h 325"/>
                              <a:gd name="T26" fmla="*/ 47924 w 2549"/>
                              <a:gd name="T27" fmla="*/ 40515 h 325"/>
                              <a:gd name="T28" fmla="*/ 30468 w 2549"/>
                              <a:gd name="T29" fmla="*/ 31019 h 325"/>
                              <a:gd name="T30" fmla="*/ 36816 w 2549"/>
                              <a:gd name="T31" fmla="*/ 21524 h 325"/>
                              <a:gd name="T32" fmla="*/ 53954 w 2549"/>
                              <a:gd name="T33" fmla="*/ 24689 h 325"/>
                              <a:gd name="T34" fmla="*/ 79026 w 2549"/>
                              <a:gd name="T35" fmla="*/ 23739 h 325"/>
                              <a:gd name="T36" fmla="*/ 244379 w 2549"/>
                              <a:gd name="T37" fmla="*/ 100021 h 325"/>
                              <a:gd name="T38" fmla="*/ 204072 w 2549"/>
                              <a:gd name="T39" fmla="*/ 63621 h 325"/>
                              <a:gd name="T40" fmla="*/ 240571 w 2549"/>
                              <a:gd name="T41" fmla="*/ 1899 h 325"/>
                              <a:gd name="T42" fmla="*/ 320867 w 2549"/>
                              <a:gd name="T43" fmla="*/ 1899 h 325"/>
                              <a:gd name="T44" fmla="*/ 419888 w 2549"/>
                              <a:gd name="T45" fmla="*/ 2849 h 325"/>
                              <a:gd name="T46" fmla="*/ 393228 w 2549"/>
                              <a:gd name="T47" fmla="*/ 317 h 325"/>
                              <a:gd name="T48" fmla="*/ 374186 w 2549"/>
                              <a:gd name="T49" fmla="*/ 11078 h 325"/>
                              <a:gd name="T50" fmla="*/ 366886 w 2549"/>
                              <a:gd name="T51" fmla="*/ 32918 h 325"/>
                              <a:gd name="T52" fmla="*/ 372916 w 2549"/>
                              <a:gd name="T53" fmla="*/ 50327 h 325"/>
                              <a:gd name="T54" fmla="*/ 401163 w 2549"/>
                              <a:gd name="T55" fmla="*/ 62672 h 325"/>
                              <a:gd name="T56" fmla="*/ 408462 w 2549"/>
                              <a:gd name="T57" fmla="*/ 73433 h 325"/>
                              <a:gd name="T58" fmla="*/ 396402 w 2549"/>
                              <a:gd name="T59" fmla="*/ 81030 h 325"/>
                              <a:gd name="T60" fmla="*/ 377042 w 2549"/>
                              <a:gd name="T61" fmla="*/ 73433 h 325"/>
                              <a:gd name="T62" fmla="*/ 384024 w 2549"/>
                              <a:gd name="T63" fmla="*/ 100654 h 325"/>
                              <a:gd name="T64" fmla="*/ 412588 w 2549"/>
                              <a:gd name="T65" fmla="*/ 100021 h 325"/>
                              <a:gd name="T66" fmla="*/ 430996 w 2549"/>
                              <a:gd name="T67" fmla="*/ 85778 h 325"/>
                              <a:gd name="T68" fmla="*/ 433852 w 2549"/>
                              <a:gd name="T69" fmla="*/ 58240 h 325"/>
                              <a:gd name="T70" fmla="*/ 424331 w 2549"/>
                              <a:gd name="T71" fmla="*/ 45896 h 325"/>
                              <a:gd name="T72" fmla="*/ 395767 w 2549"/>
                              <a:gd name="T73" fmla="*/ 34184 h 325"/>
                              <a:gd name="T74" fmla="*/ 395450 w 2549"/>
                              <a:gd name="T75" fmla="*/ 24689 h 325"/>
                              <a:gd name="T76" fmla="*/ 408462 w 2549"/>
                              <a:gd name="T77" fmla="*/ 21524 h 325"/>
                              <a:gd name="T78" fmla="*/ 508435 w 2549"/>
                              <a:gd name="T79" fmla="*/ 23739 h 325"/>
                              <a:gd name="T80" fmla="*/ 487489 w 2549"/>
                              <a:gd name="T81" fmla="*/ 23739 h 325"/>
                              <a:gd name="T82" fmla="*/ 629673 w 2549"/>
                              <a:gd name="T83" fmla="*/ 2849 h 325"/>
                              <a:gd name="T84" fmla="*/ 592857 w 2549"/>
                              <a:gd name="T85" fmla="*/ 3798 h 325"/>
                              <a:gd name="T86" fmla="*/ 567785 w 2549"/>
                              <a:gd name="T87" fmla="*/ 26904 h 325"/>
                              <a:gd name="T88" fmla="*/ 562389 w 2549"/>
                              <a:gd name="T89" fmla="*/ 61405 h 325"/>
                              <a:gd name="T90" fmla="*/ 578575 w 2549"/>
                              <a:gd name="T91" fmla="*/ 89260 h 325"/>
                              <a:gd name="T92" fmla="*/ 613487 w 2549"/>
                              <a:gd name="T93" fmla="*/ 102870 h 325"/>
                              <a:gd name="T94" fmla="*/ 631260 w 2549"/>
                              <a:gd name="T95" fmla="*/ 72167 h 325"/>
                              <a:gd name="T96" fmla="*/ 611900 w 2549"/>
                              <a:gd name="T97" fmla="*/ 77865 h 325"/>
                              <a:gd name="T98" fmla="*/ 596666 w 2549"/>
                              <a:gd name="T99" fmla="*/ 71534 h 325"/>
                              <a:gd name="T100" fmla="*/ 588097 w 2549"/>
                              <a:gd name="T101" fmla="*/ 54758 h 325"/>
                              <a:gd name="T102" fmla="*/ 592540 w 2549"/>
                              <a:gd name="T103" fmla="*/ 36400 h 325"/>
                              <a:gd name="T104" fmla="*/ 606187 w 2549"/>
                              <a:gd name="T105" fmla="*/ 25638 h 325"/>
                              <a:gd name="T106" fmla="*/ 626499 w 2549"/>
                              <a:gd name="T107" fmla="*/ 27221 h 325"/>
                              <a:gd name="T108" fmla="*/ 717268 w 2549"/>
                              <a:gd name="T109" fmla="*/ 100021 h 325"/>
                              <a:gd name="T110" fmla="*/ 710921 w 2549"/>
                              <a:gd name="T111" fmla="*/ 82929 h 325"/>
                              <a:gd name="T112" fmla="*/ 753767 w 2549"/>
                              <a:gd name="T113" fmla="*/ 100021 h 32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noEditPoints="1"/>
                        </wps:cNvSpPr>
                        <wps:spPr bwMode="auto">
                          <a:xfrm>
                            <a:off x="862012" y="0"/>
                            <a:ext cx="421005" cy="102870"/>
                          </a:xfrm>
                          <a:custGeom>
                            <a:avLst/>
                            <a:gdLst>
                              <a:gd name="T0" fmla="*/ 57107 w 1327"/>
                              <a:gd name="T1" fmla="*/ 317 h 325"/>
                              <a:gd name="T2" fmla="*/ 36168 w 1327"/>
                              <a:gd name="T3" fmla="*/ 2532 h 325"/>
                              <a:gd name="T4" fmla="*/ 18718 w 1327"/>
                              <a:gd name="T5" fmla="*/ 12028 h 325"/>
                              <a:gd name="T6" fmla="*/ 6345 w 1327"/>
                              <a:gd name="T7" fmla="*/ 26904 h 325"/>
                              <a:gd name="T8" fmla="*/ 635 w 1327"/>
                              <a:gd name="T9" fmla="*/ 46529 h 325"/>
                              <a:gd name="T10" fmla="*/ 2221 w 1327"/>
                              <a:gd name="T11" fmla="*/ 65837 h 325"/>
                              <a:gd name="T12" fmla="*/ 9835 w 1327"/>
                              <a:gd name="T13" fmla="*/ 82296 h 325"/>
                              <a:gd name="T14" fmla="*/ 25698 w 1327"/>
                              <a:gd name="T15" fmla="*/ 95590 h 325"/>
                              <a:gd name="T16" fmla="*/ 46637 w 1327"/>
                              <a:gd name="T17" fmla="*/ 102553 h 325"/>
                              <a:gd name="T18" fmla="*/ 66942 w 1327"/>
                              <a:gd name="T19" fmla="*/ 100338 h 325"/>
                              <a:gd name="T20" fmla="*/ 69797 w 1327"/>
                              <a:gd name="T21" fmla="*/ 72167 h 325"/>
                              <a:gd name="T22" fmla="*/ 58693 w 1327"/>
                              <a:gd name="T23" fmla="*/ 77548 h 325"/>
                              <a:gd name="T24" fmla="*/ 47906 w 1327"/>
                              <a:gd name="T25" fmla="*/ 77548 h 325"/>
                              <a:gd name="T26" fmla="*/ 39340 w 1327"/>
                              <a:gd name="T27" fmla="*/ 74383 h 325"/>
                              <a:gd name="T28" fmla="*/ 31409 w 1327"/>
                              <a:gd name="T29" fmla="*/ 67419 h 325"/>
                              <a:gd name="T30" fmla="*/ 26967 w 1327"/>
                              <a:gd name="T31" fmla="*/ 57607 h 325"/>
                              <a:gd name="T32" fmla="*/ 26967 w 1327"/>
                              <a:gd name="T33" fmla="*/ 46212 h 325"/>
                              <a:gd name="T34" fmla="*/ 30774 w 1327"/>
                              <a:gd name="T35" fmla="*/ 36084 h 325"/>
                              <a:gd name="T36" fmla="*/ 37754 w 1327"/>
                              <a:gd name="T37" fmla="*/ 29120 h 325"/>
                              <a:gd name="T38" fmla="*/ 47272 w 1327"/>
                              <a:gd name="T39" fmla="*/ 25005 h 325"/>
                              <a:gd name="T40" fmla="*/ 59010 w 1327"/>
                              <a:gd name="T41" fmla="*/ 25322 h 325"/>
                              <a:gd name="T42" fmla="*/ 70115 w 1327"/>
                              <a:gd name="T43" fmla="*/ 30703 h 325"/>
                              <a:gd name="T44" fmla="*/ 123732 w 1327"/>
                              <a:gd name="T45" fmla="*/ 78181 h 325"/>
                              <a:gd name="T46" fmla="*/ 127222 w 1327"/>
                              <a:gd name="T47" fmla="*/ 23739 h 325"/>
                              <a:gd name="T48" fmla="*/ 123732 w 1327"/>
                              <a:gd name="T49" fmla="*/ 78181 h 325"/>
                              <a:gd name="T50" fmla="*/ 179570 w 1327"/>
                              <a:gd name="T51" fmla="*/ 100021 h 325"/>
                              <a:gd name="T52" fmla="*/ 204950 w 1327"/>
                              <a:gd name="T53" fmla="*/ 61405 h 325"/>
                              <a:gd name="T54" fmla="*/ 204950 w 1327"/>
                              <a:gd name="T55" fmla="*/ 23739 h 325"/>
                              <a:gd name="T56" fmla="*/ 308060 w 1327"/>
                              <a:gd name="T57" fmla="*/ 1266 h 325"/>
                              <a:gd name="T58" fmla="*/ 286804 w 1327"/>
                              <a:gd name="T59" fmla="*/ 1266 h 325"/>
                              <a:gd name="T60" fmla="*/ 268085 w 1327"/>
                              <a:gd name="T61" fmla="*/ 8863 h 325"/>
                              <a:gd name="T62" fmla="*/ 254126 w 1327"/>
                              <a:gd name="T63" fmla="*/ 22790 h 325"/>
                              <a:gd name="T64" fmla="*/ 246194 w 1327"/>
                              <a:gd name="T65" fmla="*/ 41148 h 325"/>
                              <a:gd name="T66" fmla="*/ 246194 w 1327"/>
                              <a:gd name="T67" fmla="*/ 61405 h 325"/>
                              <a:gd name="T68" fmla="*/ 252540 w 1327"/>
                              <a:gd name="T69" fmla="*/ 78181 h 325"/>
                              <a:gd name="T70" fmla="*/ 266499 w 1327"/>
                              <a:gd name="T71" fmla="*/ 93058 h 325"/>
                              <a:gd name="T72" fmla="*/ 286169 w 1327"/>
                              <a:gd name="T73" fmla="*/ 101604 h 325"/>
                              <a:gd name="T74" fmla="*/ 306791 w 1327"/>
                              <a:gd name="T75" fmla="*/ 101604 h 325"/>
                              <a:gd name="T76" fmla="*/ 317578 w 1327"/>
                              <a:gd name="T77" fmla="*/ 70268 h 325"/>
                              <a:gd name="T78" fmla="*/ 306791 w 1327"/>
                              <a:gd name="T79" fmla="*/ 76599 h 325"/>
                              <a:gd name="T80" fmla="*/ 295687 w 1327"/>
                              <a:gd name="T81" fmla="*/ 77865 h 325"/>
                              <a:gd name="T82" fmla="*/ 286804 w 1327"/>
                              <a:gd name="T83" fmla="*/ 75332 h 325"/>
                              <a:gd name="T84" fmla="*/ 278238 w 1327"/>
                              <a:gd name="T85" fmla="*/ 69635 h 325"/>
                              <a:gd name="T86" fmla="*/ 272844 w 1327"/>
                              <a:gd name="T87" fmla="*/ 60456 h 325"/>
                              <a:gd name="T88" fmla="*/ 271892 w 1327"/>
                              <a:gd name="T89" fmla="*/ 48745 h 325"/>
                              <a:gd name="T90" fmla="*/ 274748 w 1327"/>
                              <a:gd name="T91" fmla="*/ 38616 h 325"/>
                              <a:gd name="T92" fmla="*/ 281093 w 1327"/>
                              <a:gd name="T93" fmla="*/ 30703 h 325"/>
                              <a:gd name="T94" fmla="*/ 289976 w 1327"/>
                              <a:gd name="T95" fmla="*/ 25955 h 325"/>
                              <a:gd name="T96" fmla="*/ 301398 w 1327"/>
                              <a:gd name="T97" fmla="*/ 25005 h 325"/>
                              <a:gd name="T98" fmla="*/ 312819 w 1327"/>
                              <a:gd name="T99" fmla="*/ 29120 h 325"/>
                              <a:gd name="T100" fmla="*/ 319799 w 1327"/>
                              <a:gd name="T101" fmla="*/ 5064 h 325"/>
                              <a:gd name="T102" fmla="*/ 333758 w 1327"/>
                              <a:gd name="T103" fmla="*/ 100021 h 325"/>
                              <a:gd name="T104" fmla="*/ 395624 w 1327"/>
                              <a:gd name="T105" fmla="*/ 100021 h 325"/>
                              <a:gd name="T106" fmla="*/ 395624 w 1327"/>
                              <a:gd name="T107" fmla="*/ 40198 h 32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A4178" id="Skupina 37" o:spid="_x0000_s1026" style="position:absolute;margin-left:-7.35pt;margin-top:33.7pt;width:171.8pt;height:40.55pt;z-index:251663872;mso-position-horizontal-relative:margin;mso-position-vertical-relative:page;mso-width-relative:margin;mso-height-relative:margin" coordsize="167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">
                <o:lock v:ext="edit" aspectratio="t"/>
                <v:rect id="Rectangle 5" o:spid="_x0000_s1027" style="position:absolute;left:3952;top:47;width:419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" fillcolor="#0071bc" stroked="f"/>
                <v:rect id="Rectangle 6" o:spid="_x0000_s1028" style="position:absolute;top:1476;width:814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" fillcolor="#0071bc" stroked="f"/>
                <v:rect id="Rectangle 7" o:spid="_x0000_s1029" style="position:absolute;left:3571;top:2952;width:4572;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" fillcolor="#0071bc" stroked="f"/>
                <v:shape id="Freeform 8" o:spid="_x0000_s1030" style="position:absolute;left:8620;top:2905;width:4553;height:1047;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31" style="position:absolute;left:8620;top:1476;width:8090;height:1029;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32" style="position:absolute;left:8620;width:4210;height:1028;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margin" anchory="page"/>
                <w10:anchorlock/>
              </v:group>
            </w:pict>
          </mc:Fallback>
        </mc:AlternateContent>
      </w:r>
    </w:p>
    <w:p w14:paraId="423DD71C" w14:textId="4CF9FB30" w:rsidR="00A75E40" w:rsidRPr="009110F7" w:rsidRDefault="00BF4329" w:rsidP="00E81D18">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s">
            <w:drawing>
              <wp:anchor distT="0" distB="0" distL="114300" distR="114300" simplePos="0" relativeHeight="251656704" behindDoc="0" locked="1" layoutInCell="1" allowOverlap="1" wp14:anchorId="7757952E" wp14:editId="1933797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132EEE47" w:rsidR="007C581C" w:rsidRPr="001239D6" w:rsidRDefault="007C581C" w:rsidP="004924DC">
                            <w:pPr>
                              <w:rPr>
                                <w:lang w:val="en-GB"/>
                              </w:rPr>
                            </w:pPr>
                            <w:r w:rsidRPr="001239D6">
                              <w:rPr>
                                <w:lang w:val="en-GB"/>
                              </w:rPr>
                              <w:t xml:space="preserve">Prepared by: Office of the President of the CZSO </w:t>
                            </w:r>
                          </w:p>
                          <w:p w14:paraId="6CC24131" w14:textId="36E193C8" w:rsidR="007C581C" w:rsidRPr="001239D6" w:rsidRDefault="007C581C" w:rsidP="004924DC">
                            <w:pPr>
                              <w:rPr>
                                <w:lang w:val="en-GB"/>
                              </w:rPr>
                            </w:pPr>
                            <w:r w:rsidRPr="001239D6">
                              <w:rPr>
                                <w:lang w:val="en-GB"/>
                              </w:rPr>
                              <w:t>Director: Egor Sidorov, Ph.D.</w:t>
                            </w:r>
                          </w:p>
                          <w:p w14:paraId="734BD5FB" w14:textId="4E6DD522" w:rsidR="007C581C" w:rsidRPr="001239D6" w:rsidRDefault="007C581C" w:rsidP="004924DC">
                            <w:pPr>
                              <w:rPr>
                                <w:lang w:val="en-GB"/>
                              </w:rPr>
                            </w:pPr>
                            <w:r w:rsidRPr="001239D6">
                              <w:rPr>
                                <w:lang w:val="en-GB"/>
                              </w:rPr>
                              <w:t>Contact person: Karolína Zábojníková,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132EEE47" w:rsidR="007C581C" w:rsidRPr="001239D6" w:rsidRDefault="007C581C" w:rsidP="004924DC">
                      <w:pPr>
                        <w:rPr>
                          <w:lang w:val="en-GB"/>
                        </w:rPr>
                      </w:pPr>
                      <w:r w:rsidRPr="001239D6">
                        <w:rPr>
                          <w:lang w:val="en-GB"/>
                        </w:rPr>
                        <w:t xml:space="preserve">Prepared by: Office of the President of the CZSO </w:t>
                      </w:r>
                    </w:p>
                    <w:p w14:paraId="6CC24131" w14:textId="36E193C8" w:rsidR="007C581C" w:rsidRPr="001239D6" w:rsidRDefault="007C581C" w:rsidP="004924DC">
                      <w:pPr>
                        <w:rPr>
                          <w:lang w:val="en-GB"/>
                        </w:rPr>
                      </w:pPr>
                      <w:r w:rsidRPr="001239D6">
                        <w:rPr>
                          <w:lang w:val="en-GB"/>
                        </w:rPr>
                        <w:t>Director: Egor Sidorov, Ph.D.</w:t>
                      </w:r>
                    </w:p>
                    <w:p w14:paraId="734BD5FB" w14:textId="4E6DD522" w:rsidR="007C581C" w:rsidRPr="001239D6" w:rsidRDefault="007C581C" w:rsidP="004924DC">
                      <w:pPr>
                        <w:rPr>
                          <w:lang w:val="en-GB"/>
                        </w:rPr>
                      </w:pPr>
                      <w:r w:rsidRPr="001239D6">
                        <w:rPr>
                          <w:lang w:val="en-GB"/>
                        </w:rPr>
                        <w:t>Contact person: Karolína Zábojníková,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9D22B94" w:rsidR="007C581C" w:rsidRPr="00DD0C95" w:rsidRDefault="007C581C" w:rsidP="004924DC">
                            <w:pPr>
                              <w:pStyle w:val="TLIdentifikace-sted"/>
                              <w:rPr>
                                <w:lang w:val="en-GB"/>
                              </w:rPr>
                            </w:pPr>
                            <w:r w:rsidRPr="00DD0C95">
                              <w:rPr>
                                <w:lang w:val="en-GB"/>
                              </w:rPr>
                              <w:t>Summary Data on the Czech Republic</w:t>
                            </w:r>
                          </w:p>
                          <w:p w14:paraId="02C46271" w14:textId="7DABFAF4" w:rsidR="007C581C" w:rsidRPr="00DD0C95" w:rsidRDefault="007C581C" w:rsidP="004924DC">
                            <w:pPr>
                              <w:pStyle w:val="TLIdentifikace-sted"/>
                              <w:rPr>
                                <w:lang w:val="en-GB"/>
                              </w:rPr>
                            </w:pPr>
                            <w:r w:rsidRPr="00DD0C95">
                              <w:rPr>
                                <w:lang w:val="en-GB"/>
                              </w:rPr>
                              <w:t xml:space="preserve">Prague, 22nd </w:t>
                            </w:r>
                            <w:r>
                              <w:rPr>
                                <w:lang w:val="en-GB"/>
                              </w:rPr>
                              <w:t>April</w:t>
                            </w:r>
                            <w:r w:rsidRPr="00DD0C95">
                              <w:rPr>
                                <w:lang w:val="en-GB"/>
                              </w:rPr>
                              <w:t xml:space="preserve"> 2022</w:t>
                            </w:r>
                          </w:p>
                          <w:p w14:paraId="43012AD8" w14:textId="0B034A7F" w:rsidR="007C581C" w:rsidRPr="00DD0C95" w:rsidRDefault="007C581C" w:rsidP="004924DC">
                            <w:pPr>
                              <w:pStyle w:val="TLIdentifikace-sted"/>
                              <w:rPr>
                                <w:lang w:val="en-GB"/>
                              </w:rPr>
                            </w:pPr>
                            <w:r w:rsidRPr="00DD0C95">
                              <w:rPr>
                                <w:lang w:val="en-GB"/>
                              </w:rPr>
                              <w:t>Publication Code: 32019</w:t>
                            </w:r>
                            <w:r>
                              <w:rPr>
                                <w:lang w:val="en-GB"/>
                              </w:rPr>
                              <w:t>4</w:t>
                            </w:r>
                            <w:r w:rsidRPr="00DD0C95">
                              <w:rPr>
                                <w:lang w:val="en-GB"/>
                              </w:rPr>
                              <w:t>-21</w:t>
                            </w:r>
                          </w:p>
                          <w:p w14:paraId="1ED5773E" w14:textId="17266999" w:rsidR="007C581C" w:rsidRPr="00DD0C95" w:rsidRDefault="007C581C" w:rsidP="004924DC">
                            <w:pPr>
                              <w:pStyle w:val="TLIdentifikace-sted"/>
                              <w:rPr>
                                <w:rFonts w:cs="Arial"/>
                                <w:lang w:val="en-GB"/>
                              </w:rPr>
                            </w:pPr>
                            <w:r w:rsidRPr="00DD0C95">
                              <w:rPr>
                                <w:rFonts w:cs="Arial"/>
                                <w:lang w:val="en-GB"/>
                              </w:rPr>
                              <w:t xml:space="preserve">Reference No.: </w:t>
                            </w:r>
                            <w:r w:rsidRPr="00DD0C95">
                              <w:rPr>
                                <w:rFonts w:eastAsia="Calibri" w:cs="Arial"/>
                                <w:lang w:val="en-GB" w:eastAsia="en-US"/>
                              </w:rPr>
                              <w:t>CSU-003482/2022-01</w:t>
                            </w:r>
                          </w:p>
                          <w:p w14:paraId="7E4C36AC" w14:textId="6A76932D" w:rsidR="007C581C" w:rsidRPr="00DD0C95" w:rsidRDefault="007C581C" w:rsidP="004924DC">
                            <w:pPr>
                              <w:pStyle w:val="TLIdentifikace-sted"/>
                              <w:rPr>
                                <w:lang w:val="en-GB"/>
                              </w:rPr>
                            </w:pPr>
                            <w:r>
                              <w:rPr>
                                <w:lang w:val="en-GB"/>
                              </w:rPr>
                              <w:t xml:space="preserve">Yearly Publication Code: </w:t>
                            </w:r>
                            <w:proofErr w:type="gramStart"/>
                            <w:r>
                              <w:rPr>
                                <w:lang w:val="en-GB"/>
                              </w:rPr>
                              <w:t>2</w:t>
                            </w:r>
                            <w:proofErr w:type="gram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39D22B94" w:rsidR="007C581C" w:rsidRPr="00DD0C95" w:rsidRDefault="007C581C" w:rsidP="004924DC">
                      <w:pPr>
                        <w:pStyle w:val="TLIdentifikace-sted"/>
                        <w:rPr>
                          <w:lang w:val="en-GB"/>
                        </w:rPr>
                      </w:pPr>
                      <w:r w:rsidRPr="00DD0C95">
                        <w:rPr>
                          <w:lang w:val="en-GB"/>
                        </w:rPr>
                        <w:t>Summary Data on the Czech Republic</w:t>
                      </w:r>
                    </w:p>
                    <w:p w14:paraId="02C46271" w14:textId="7DABFAF4" w:rsidR="007C581C" w:rsidRPr="00DD0C95" w:rsidRDefault="007C581C" w:rsidP="004924DC">
                      <w:pPr>
                        <w:pStyle w:val="TLIdentifikace-sted"/>
                        <w:rPr>
                          <w:lang w:val="en-GB"/>
                        </w:rPr>
                      </w:pPr>
                      <w:r w:rsidRPr="00DD0C95">
                        <w:rPr>
                          <w:lang w:val="en-GB"/>
                        </w:rPr>
                        <w:t xml:space="preserve">Prague, 22nd </w:t>
                      </w:r>
                      <w:r>
                        <w:rPr>
                          <w:lang w:val="en-GB"/>
                        </w:rPr>
                        <w:t>April</w:t>
                      </w:r>
                      <w:r w:rsidRPr="00DD0C95">
                        <w:rPr>
                          <w:lang w:val="en-GB"/>
                        </w:rPr>
                        <w:t xml:space="preserve"> 2022</w:t>
                      </w:r>
                    </w:p>
                    <w:p w14:paraId="43012AD8" w14:textId="0B034A7F" w:rsidR="007C581C" w:rsidRPr="00DD0C95" w:rsidRDefault="007C581C" w:rsidP="004924DC">
                      <w:pPr>
                        <w:pStyle w:val="TLIdentifikace-sted"/>
                        <w:rPr>
                          <w:lang w:val="en-GB"/>
                        </w:rPr>
                      </w:pPr>
                      <w:r w:rsidRPr="00DD0C95">
                        <w:rPr>
                          <w:lang w:val="en-GB"/>
                        </w:rPr>
                        <w:t>Publication Code: 32019</w:t>
                      </w:r>
                      <w:r>
                        <w:rPr>
                          <w:lang w:val="en-GB"/>
                        </w:rPr>
                        <w:t>4</w:t>
                      </w:r>
                      <w:r w:rsidRPr="00DD0C95">
                        <w:rPr>
                          <w:lang w:val="en-GB"/>
                        </w:rPr>
                        <w:t>-21</w:t>
                      </w:r>
                    </w:p>
                    <w:p w14:paraId="1ED5773E" w14:textId="17266999" w:rsidR="007C581C" w:rsidRPr="00DD0C95" w:rsidRDefault="007C581C" w:rsidP="004924DC">
                      <w:pPr>
                        <w:pStyle w:val="TLIdentifikace-sted"/>
                        <w:rPr>
                          <w:rFonts w:cs="Arial"/>
                          <w:lang w:val="en-GB"/>
                        </w:rPr>
                      </w:pPr>
                      <w:r w:rsidRPr="00DD0C95">
                        <w:rPr>
                          <w:rFonts w:cs="Arial"/>
                          <w:lang w:val="en-GB"/>
                        </w:rPr>
                        <w:t xml:space="preserve">Reference No.: </w:t>
                      </w:r>
                      <w:r w:rsidRPr="00DD0C95">
                        <w:rPr>
                          <w:rFonts w:eastAsia="Calibri" w:cs="Arial"/>
                          <w:lang w:val="en-GB" w:eastAsia="en-US"/>
                        </w:rPr>
                        <w:t>CSU-003482/2022-01</w:t>
                      </w:r>
                    </w:p>
                    <w:p w14:paraId="7E4C36AC" w14:textId="6A76932D" w:rsidR="007C581C" w:rsidRPr="00DD0C95" w:rsidRDefault="007C581C" w:rsidP="004924DC">
                      <w:pPr>
                        <w:pStyle w:val="TLIdentifikace-sted"/>
                        <w:rPr>
                          <w:lang w:val="en-GB"/>
                        </w:rPr>
                      </w:pPr>
                      <w:r>
                        <w:rPr>
                          <w:lang w:val="en-GB"/>
                        </w:rPr>
                        <w:t xml:space="preserve">Yearly Publication Code: </w:t>
                      </w:r>
                      <w:proofErr w:type="gramStart"/>
                      <w:r>
                        <w:rPr>
                          <w:lang w:val="en-GB"/>
                        </w:rPr>
                        <w:t>2</w:t>
                      </w:r>
                      <w:proofErr w:type="gramEnd"/>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32E3803F" w:rsidR="007C581C" w:rsidRPr="000E6FBD" w:rsidRDefault="007C581C" w:rsidP="000E6FBD">
                            <w:pPr>
                              <w:pStyle w:val="Nzev"/>
                            </w:pPr>
                            <w:r>
                              <w:t>THE CZECH ECONOMY DEVELOPMENT</w:t>
                            </w:r>
                          </w:p>
                          <w:p w14:paraId="6EF7822F" w14:textId="77777777" w:rsidR="007C581C" w:rsidRPr="0012192F" w:rsidRDefault="007C581C" w:rsidP="0012192F">
                            <w:pPr>
                              <w:pStyle w:val="Podnadpis"/>
                            </w:pPr>
                          </w:p>
                          <w:p w14:paraId="284A2D4D" w14:textId="6CAC6710" w:rsidR="007C581C" w:rsidRPr="00DD0C95" w:rsidRDefault="007C581C" w:rsidP="00720310">
                            <w:pPr>
                              <w:pStyle w:val="Podnadpis"/>
                              <w:rPr>
                                <w:lang w:val="en-GB"/>
                              </w:rPr>
                            </w:pPr>
                            <w:r w:rsidRPr="00DD0C95">
                              <w:rPr>
                                <w:lang w:val="en-GB"/>
                              </w:rPr>
                              <w:t>Year 2021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32E3803F" w:rsidR="007C581C" w:rsidRPr="000E6FBD" w:rsidRDefault="007C581C" w:rsidP="000E6FBD">
                      <w:pPr>
                        <w:pStyle w:val="Nzev"/>
                      </w:pPr>
                      <w:r>
                        <w:t>THE CZECH ECONOMY DEVELOPMENT</w:t>
                      </w:r>
                    </w:p>
                    <w:p w14:paraId="6EF7822F" w14:textId="77777777" w:rsidR="007C581C" w:rsidRPr="0012192F" w:rsidRDefault="007C581C" w:rsidP="0012192F">
                      <w:pPr>
                        <w:pStyle w:val="Podnadpis"/>
                      </w:pPr>
                    </w:p>
                    <w:p w14:paraId="284A2D4D" w14:textId="6CAC6710" w:rsidR="007C581C" w:rsidRPr="00DD0C95" w:rsidRDefault="007C581C" w:rsidP="00720310">
                      <w:pPr>
                        <w:pStyle w:val="Podnadpis"/>
                        <w:rPr>
                          <w:lang w:val="en-GB"/>
                        </w:rPr>
                      </w:pPr>
                      <w:r w:rsidRPr="00DD0C95">
                        <w:rPr>
                          <w:lang w:val="en-GB"/>
                        </w:rPr>
                        <w:t>Year 2021</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63C1BAF0" w:rsidR="007C581C" w:rsidRPr="001239D6" w:rsidRDefault="007C581C" w:rsidP="004924DC">
                            <w:pPr>
                              <w:rPr>
                                <w:lang w:val="en-GB"/>
                              </w:rPr>
                            </w:pPr>
                            <w:r w:rsidRPr="004924DC">
                              <w:t xml:space="preserve">© </w:t>
                            </w:r>
                            <w:r w:rsidRPr="001239D6">
                              <w:rPr>
                                <w:lang w:val="en-GB"/>
                              </w:rPr>
                              <w:t>Czech Statistical Office, Prague, 2022</w:t>
                            </w:r>
                          </w:p>
                          <w:p w14:paraId="622736FE" w14:textId="77777777" w:rsidR="007C581C" w:rsidRPr="005251DD" w:rsidRDefault="007C581C" w:rsidP="00665BA4"/>
                          <w:p w14:paraId="157588CA" w14:textId="77777777" w:rsidR="007C581C" w:rsidRPr="005251DD" w:rsidRDefault="007C581C" w:rsidP="00FC684B"/>
                          <w:p w14:paraId="590D710B" w14:textId="77777777" w:rsidR="007C581C" w:rsidRDefault="007C581C"/>
                          <w:p w14:paraId="73B68DA8" w14:textId="77777777" w:rsidR="007C581C" w:rsidRPr="00097407" w:rsidRDefault="007C581C"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7C581C" w:rsidRPr="005251DD" w:rsidRDefault="007C581C" w:rsidP="00665BA4"/>
                          <w:p w14:paraId="74D3ABC4" w14:textId="77777777" w:rsidR="007C581C" w:rsidRPr="005251DD" w:rsidRDefault="007C581C"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63C1BAF0" w:rsidR="007C581C" w:rsidRPr="001239D6" w:rsidRDefault="007C581C" w:rsidP="004924DC">
                      <w:pPr>
                        <w:rPr>
                          <w:lang w:val="en-GB"/>
                        </w:rPr>
                      </w:pPr>
                      <w:r w:rsidRPr="004924DC">
                        <w:t xml:space="preserve">© </w:t>
                      </w:r>
                      <w:r w:rsidRPr="001239D6">
                        <w:rPr>
                          <w:lang w:val="en-GB"/>
                        </w:rPr>
                        <w:t>Czech Statistical Office, Prague, 2022</w:t>
                      </w:r>
                    </w:p>
                    <w:p w14:paraId="622736FE" w14:textId="77777777" w:rsidR="007C581C" w:rsidRPr="005251DD" w:rsidRDefault="007C581C" w:rsidP="00665BA4"/>
                    <w:p w14:paraId="157588CA" w14:textId="77777777" w:rsidR="007C581C" w:rsidRPr="005251DD" w:rsidRDefault="007C581C" w:rsidP="00FC684B"/>
                    <w:p w14:paraId="590D710B" w14:textId="77777777" w:rsidR="007C581C" w:rsidRDefault="007C581C"/>
                    <w:p w14:paraId="73B68DA8" w14:textId="77777777" w:rsidR="007C581C" w:rsidRPr="00097407" w:rsidRDefault="007C581C"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D655DFE" w14:textId="77777777" w:rsidR="007C581C" w:rsidRPr="005251DD" w:rsidRDefault="007C581C" w:rsidP="00665BA4"/>
                    <w:p w14:paraId="74D3ABC4" w14:textId="77777777" w:rsidR="007C581C" w:rsidRPr="005251DD" w:rsidRDefault="007C581C"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5071D3D9" w:rsidR="007C581C" w:rsidRPr="006657AF" w:rsidRDefault="007C581C" w:rsidP="006F5416">
                            <w:pPr>
                              <w:pStyle w:val="TLKontaktyerven"/>
                              <w:rPr>
                                <w:lang w:val="en-GB"/>
                              </w:rPr>
                            </w:pPr>
                            <w:r w:rsidRPr="006657AF">
                              <w:rPr>
                                <w:lang w:val="en-GB"/>
                              </w:rPr>
                              <w:t>contacts in the headquarters</w:t>
                            </w:r>
                          </w:p>
                          <w:p w14:paraId="3BEEAF5F" w14:textId="61BF8244" w:rsidR="007C581C" w:rsidRPr="006657AF" w:rsidRDefault="007C581C" w:rsidP="00825C4D">
                            <w:pPr>
                              <w:pStyle w:val="TLKontakty"/>
                              <w:spacing w:after="80" w:line="240" w:lineRule="auto"/>
                              <w:contextualSpacing w:val="0"/>
                              <w:rPr>
                                <w:b w:val="0"/>
                                <w:color w:val="auto"/>
                                <w:lang w:val="en-GB"/>
                              </w:rPr>
                            </w:pPr>
                            <w:r w:rsidRPr="006657AF">
                              <w:rPr>
                                <w:lang w:val="en-GB"/>
                              </w:rPr>
                              <w:t>Czech Statistical Office</w:t>
                            </w:r>
                            <w:r w:rsidRPr="006657AF">
                              <w:rPr>
                                <w:b w:val="0"/>
                                <w:color w:val="auto"/>
                                <w:lang w:val="en-GB"/>
                              </w:rPr>
                              <w:t xml:space="preserve"> | Na padesátém 81, 100 82 Praha 10, ph.: 274 051 111 | </w:t>
                            </w:r>
                            <w:r w:rsidRPr="006657AF">
                              <w:rPr>
                                <w:color w:val="auto"/>
                                <w:lang w:val="en-GB"/>
                              </w:rPr>
                              <w:t>www.czso.cz</w:t>
                            </w:r>
                          </w:p>
                          <w:p w14:paraId="4ECAA215" w14:textId="4F3DC274" w:rsidR="007C581C" w:rsidRPr="00DC4FD0" w:rsidRDefault="007C581C" w:rsidP="00825C4D">
                            <w:pPr>
                              <w:pStyle w:val="TLKontakty"/>
                              <w:spacing w:after="80" w:line="240" w:lineRule="auto"/>
                              <w:contextualSpacing w:val="0"/>
                              <w:rPr>
                                <w:b w:val="0"/>
                                <w:color w:val="auto"/>
                                <w:lang w:val="fr-FR"/>
                              </w:rPr>
                            </w:pPr>
                            <w:r w:rsidRPr="00DC4FD0">
                              <w:rPr>
                                <w:color w:val="auto"/>
                                <w:lang w:val="fr-FR"/>
                              </w:rPr>
                              <w:t>Information Services</w:t>
                            </w:r>
                            <w:r w:rsidRPr="00DC4FD0">
                              <w:rPr>
                                <w:b w:val="0"/>
                                <w:color w:val="auto"/>
                                <w:lang w:val="fr-FR"/>
                              </w:rPr>
                              <w:t xml:space="preserve"> | ph.: 274 052 304, 274 052 451 | e-mail: infoservis@czso.cz</w:t>
                            </w:r>
                          </w:p>
                          <w:p w14:paraId="4EB8DFE9" w14:textId="601C900D" w:rsidR="007C581C" w:rsidRPr="006657AF" w:rsidRDefault="007C581C" w:rsidP="00825C4D">
                            <w:pPr>
                              <w:pStyle w:val="TLKontakty"/>
                              <w:spacing w:after="80" w:line="240" w:lineRule="auto"/>
                              <w:contextualSpacing w:val="0"/>
                              <w:rPr>
                                <w:b w:val="0"/>
                                <w:color w:val="auto"/>
                                <w:lang w:val="en-GB"/>
                              </w:rPr>
                            </w:pPr>
                            <w:r w:rsidRPr="006657AF">
                              <w:rPr>
                                <w:color w:val="auto"/>
                                <w:lang w:val="en-GB"/>
                              </w:rPr>
                              <w:t>CZSO Publication Shop</w:t>
                            </w:r>
                            <w:r w:rsidRPr="006657AF">
                              <w:rPr>
                                <w:b w:val="0"/>
                                <w:color w:val="auto"/>
                                <w:lang w:val="en-GB"/>
                              </w:rPr>
                              <w:t xml:space="preserve"> | ph.: 274 052 361 | e-mail: prodejna@czso.cz</w:t>
                            </w:r>
                          </w:p>
                          <w:p w14:paraId="2572D725" w14:textId="16E520AF" w:rsidR="007C581C" w:rsidRPr="006657AF" w:rsidRDefault="007C581C" w:rsidP="00825C4D">
                            <w:pPr>
                              <w:pStyle w:val="TLKontakty"/>
                              <w:spacing w:after="80" w:line="240" w:lineRule="auto"/>
                              <w:contextualSpacing w:val="0"/>
                              <w:rPr>
                                <w:b w:val="0"/>
                                <w:color w:val="auto"/>
                                <w:lang w:val="en-GB"/>
                              </w:rPr>
                            </w:pPr>
                            <w:r w:rsidRPr="006657AF">
                              <w:rPr>
                                <w:color w:val="auto"/>
                                <w:lang w:val="en-GB"/>
                              </w:rPr>
                              <w:t>E</w:t>
                            </w:r>
                            <w:r>
                              <w:rPr>
                                <w:color w:val="auto"/>
                                <w:lang w:val="en-GB"/>
                              </w:rPr>
                              <w:t xml:space="preserve">uropean Data </w:t>
                            </w:r>
                            <w:r w:rsidRPr="006657AF">
                              <w:rPr>
                                <w:color w:val="auto"/>
                                <w:lang w:val="en-GB"/>
                              </w:rPr>
                              <w:t xml:space="preserve">(ESDS), </w:t>
                            </w:r>
                            <w:r>
                              <w:rPr>
                                <w:color w:val="auto"/>
                                <w:lang w:val="en-GB"/>
                              </w:rPr>
                              <w:t>international comparison</w:t>
                            </w:r>
                            <w:r w:rsidRPr="006657AF">
                              <w:rPr>
                                <w:b w:val="0"/>
                                <w:color w:val="auto"/>
                                <w:lang w:val="en-GB"/>
                              </w:rPr>
                              <w:t xml:space="preserve"> | </w:t>
                            </w:r>
                            <w:r>
                              <w:rPr>
                                <w:b w:val="0"/>
                                <w:color w:val="auto"/>
                                <w:lang w:val="en-GB"/>
                              </w:rPr>
                              <w:t>ph</w:t>
                            </w:r>
                            <w:r w:rsidRPr="006657AF">
                              <w:rPr>
                                <w:b w:val="0"/>
                                <w:color w:val="auto"/>
                                <w:lang w:val="en-GB"/>
                              </w:rPr>
                              <w:t>.: 274 052 347 | e-mail: esds@czso.cz</w:t>
                            </w:r>
                          </w:p>
                          <w:p w14:paraId="41B476B1" w14:textId="5CCC7264" w:rsidR="007C581C" w:rsidRPr="006657AF" w:rsidRDefault="007C581C" w:rsidP="00825C4D">
                            <w:pPr>
                              <w:pStyle w:val="TLKontakty"/>
                              <w:spacing w:after="80" w:line="240" w:lineRule="auto"/>
                              <w:contextualSpacing w:val="0"/>
                              <w:rPr>
                                <w:b w:val="0"/>
                                <w:color w:val="auto"/>
                                <w:lang w:val="en-GB"/>
                              </w:rPr>
                            </w:pPr>
                            <w:r>
                              <w:rPr>
                                <w:color w:val="auto"/>
                                <w:lang w:val="en-GB"/>
                              </w:rPr>
                              <w:t>Central Statistical Library</w:t>
                            </w:r>
                            <w:r w:rsidRPr="006657AF">
                              <w:rPr>
                                <w:b w:val="0"/>
                                <w:color w:val="auto"/>
                                <w:lang w:val="en-GB"/>
                              </w:rPr>
                              <w:t xml:space="preserve"> | </w:t>
                            </w:r>
                            <w:r>
                              <w:rPr>
                                <w:b w:val="0"/>
                                <w:color w:val="auto"/>
                                <w:lang w:val="en-GB"/>
                              </w:rPr>
                              <w:t>ph</w:t>
                            </w:r>
                            <w:r w:rsidRPr="006657AF">
                              <w:rPr>
                                <w:b w:val="0"/>
                                <w:color w:val="auto"/>
                                <w:lang w:val="en-GB"/>
                              </w:rPr>
                              <w:t>.: 274 052 361 | e-mail: knihovna@czso.cz</w:t>
                            </w:r>
                          </w:p>
                          <w:p w14:paraId="433A2C62" w14:textId="77777777" w:rsidR="007C581C" w:rsidRPr="004A61C5" w:rsidRDefault="007C581C" w:rsidP="00825C4D">
                            <w:pPr>
                              <w:pStyle w:val="TLKontakty"/>
                              <w:spacing w:after="80" w:line="240" w:lineRule="auto"/>
                              <w:contextualSpacing w:val="0"/>
                              <w:rPr>
                                <w:color w:val="auto"/>
                              </w:rPr>
                            </w:pPr>
                          </w:p>
                          <w:p w14:paraId="29C57B67" w14:textId="0741FB29" w:rsidR="007C581C" w:rsidRPr="006369CC" w:rsidRDefault="007C581C" w:rsidP="00D66223">
                            <w:pPr>
                              <w:pStyle w:val="TLKontaktyerven"/>
                              <w:rPr>
                                <w:lang w:val="en-GB"/>
                              </w:rPr>
                            </w:pPr>
                            <w:r w:rsidRPr="006369CC">
                              <w:rPr>
                                <w:lang w:val="en-GB"/>
                              </w:rPr>
                              <w:t>INFORMATION SERVICES IN THE REGIONS</w:t>
                            </w:r>
                          </w:p>
                          <w:p w14:paraId="181BE30E" w14:textId="6771ED54" w:rsidR="007C581C" w:rsidRPr="006369CC" w:rsidRDefault="007C581C" w:rsidP="00825C4D">
                            <w:pPr>
                              <w:pStyle w:val="TLKontakty"/>
                              <w:spacing w:after="80" w:line="240" w:lineRule="auto"/>
                              <w:rPr>
                                <w:b w:val="0"/>
                                <w:color w:val="auto"/>
                                <w:lang w:val="en-GB"/>
                              </w:rPr>
                            </w:pPr>
                            <w:r w:rsidRPr="006369CC">
                              <w:rPr>
                                <w:lang w:val="en-GB"/>
                              </w:rPr>
                              <w:t>Capital City Prague</w:t>
                            </w:r>
                            <w:r w:rsidRPr="006369CC">
                              <w:rPr>
                                <w:b w:val="0"/>
                                <w:color w:val="auto"/>
                                <w:lang w:val="en-GB"/>
                              </w:rPr>
                              <w:t xml:space="preserve"> | Na padesátém 81, 100 82 Praha 10, ph.: 274 052 673, 274 054 223</w:t>
                            </w:r>
                          </w:p>
                          <w:p w14:paraId="00E25240"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infoservispraha@czso.cz | </w:t>
                            </w:r>
                            <w:r w:rsidRPr="00DC4FD0">
                              <w:rPr>
                                <w:color w:val="auto"/>
                                <w:lang w:val="fr-FR"/>
                              </w:rPr>
                              <w:t>www.praha.czso.cz</w:t>
                            </w:r>
                          </w:p>
                          <w:p w14:paraId="057A23A4" w14:textId="77777777" w:rsidR="007C581C" w:rsidRPr="00DC4FD0" w:rsidRDefault="007C581C" w:rsidP="00825C4D">
                            <w:pPr>
                              <w:pStyle w:val="TLKontakty"/>
                              <w:spacing w:after="80" w:line="240" w:lineRule="auto"/>
                              <w:rPr>
                                <w:color w:val="auto"/>
                                <w:lang w:val="fr-FR"/>
                              </w:rPr>
                            </w:pPr>
                          </w:p>
                          <w:p w14:paraId="39B5FB82" w14:textId="122825C2" w:rsidR="007C581C" w:rsidRPr="00DC4FD0" w:rsidRDefault="007C581C" w:rsidP="00825C4D">
                            <w:pPr>
                              <w:pStyle w:val="TLKontakty"/>
                              <w:spacing w:after="80" w:line="240" w:lineRule="auto"/>
                              <w:rPr>
                                <w:b w:val="0"/>
                                <w:color w:val="auto"/>
                                <w:lang w:val="fr-FR"/>
                              </w:rPr>
                            </w:pPr>
                            <w:r w:rsidRPr="00DC4FD0">
                              <w:rPr>
                                <w:lang w:val="fr-FR"/>
                              </w:rPr>
                              <w:t>Central Bohemia</w:t>
                            </w:r>
                            <w:r w:rsidRPr="00DC4FD0">
                              <w:rPr>
                                <w:b w:val="0"/>
                                <w:color w:val="auto"/>
                                <w:lang w:val="fr-FR"/>
                              </w:rPr>
                              <w:t xml:space="preserve"> | Na padesátém 81, 100 82 Praha 10, ph.: 274 054 175</w:t>
                            </w:r>
                          </w:p>
                          <w:p w14:paraId="157E80A8"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infoservisstc@czso.cz | </w:t>
                            </w:r>
                            <w:r w:rsidRPr="00DC4FD0">
                              <w:rPr>
                                <w:color w:val="auto"/>
                                <w:lang w:val="fr-FR"/>
                              </w:rPr>
                              <w:t>www.stredocesky.czso.cz</w:t>
                            </w:r>
                          </w:p>
                          <w:p w14:paraId="311A59C4" w14:textId="77777777" w:rsidR="007C581C" w:rsidRPr="00DC4FD0" w:rsidRDefault="007C581C" w:rsidP="00825C4D">
                            <w:pPr>
                              <w:pStyle w:val="TLKontakty"/>
                              <w:spacing w:after="80" w:line="240" w:lineRule="auto"/>
                              <w:rPr>
                                <w:color w:val="auto"/>
                                <w:lang w:val="fr-FR"/>
                              </w:rPr>
                            </w:pPr>
                          </w:p>
                          <w:p w14:paraId="5AF27889" w14:textId="77D6D685" w:rsidR="007C581C" w:rsidRPr="00DC4FD0" w:rsidRDefault="007C581C" w:rsidP="00825C4D">
                            <w:pPr>
                              <w:pStyle w:val="TLKontakty"/>
                              <w:spacing w:after="80" w:line="240" w:lineRule="auto"/>
                              <w:rPr>
                                <w:b w:val="0"/>
                                <w:color w:val="auto"/>
                                <w:lang w:val="fr-FR"/>
                              </w:rPr>
                            </w:pPr>
                            <w:r w:rsidRPr="00DC4FD0">
                              <w:rPr>
                                <w:lang w:val="fr-FR"/>
                              </w:rPr>
                              <w:t>České Budějovice</w:t>
                            </w:r>
                            <w:r w:rsidRPr="00DC4FD0">
                              <w:rPr>
                                <w:b w:val="0"/>
                                <w:color w:val="auto"/>
                                <w:lang w:val="fr-FR"/>
                              </w:rPr>
                              <w:t xml:space="preserve"> | Žižkova 1, 370 77 České Budějovice, ph.: 386 718 440</w:t>
                            </w:r>
                          </w:p>
                          <w:p w14:paraId="230712C9"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infoserviscb@czso.cz | </w:t>
                            </w:r>
                            <w:r w:rsidRPr="00DC4FD0">
                              <w:rPr>
                                <w:color w:val="auto"/>
                                <w:lang w:val="fr-FR"/>
                              </w:rPr>
                              <w:t>www.cbudejovice.czso.cz</w:t>
                            </w:r>
                          </w:p>
                          <w:p w14:paraId="61687BE3" w14:textId="77777777" w:rsidR="007C581C" w:rsidRPr="00DC4FD0" w:rsidRDefault="007C581C" w:rsidP="00825C4D">
                            <w:pPr>
                              <w:pStyle w:val="TLKontakty"/>
                              <w:spacing w:after="80" w:line="240" w:lineRule="auto"/>
                              <w:rPr>
                                <w:color w:val="auto"/>
                                <w:lang w:val="fr-FR"/>
                              </w:rPr>
                            </w:pPr>
                          </w:p>
                          <w:p w14:paraId="0065AFA0" w14:textId="78CDBD69" w:rsidR="007C581C" w:rsidRPr="00DC4FD0" w:rsidRDefault="007C581C" w:rsidP="00825C4D">
                            <w:pPr>
                              <w:pStyle w:val="TLKontakty"/>
                              <w:spacing w:after="80" w:line="240" w:lineRule="auto"/>
                              <w:rPr>
                                <w:b w:val="0"/>
                                <w:color w:val="auto"/>
                                <w:lang w:val="fr-FR"/>
                              </w:rPr>
                            </w:pPr>
                            <w:r w:rsidRPr="00DC4FD0">
                              <w:rPr>
                                <w:lang w:val="fr-FR"/>
                              </w:rPr>
                              <w:t>Plzeň</w:t>
                            </w:r>
                            <w:r w:rsidRPr="00DC4FD0">
                              <w:rPr>
                                <w:b w:val="0"/>
                                <w:color w:val="auto"/>
                                <w:lang w:val="fr-FR"/>
                              </w:rPr>
                              <w:t xml:space="preserve"> | Slovanská alej 36, 326 64 Plzeň, ph.: 377 612 108, 377 612 145</w:t>
                            </w:r>
                          </w:p>
                          <w:p w14:paraId="580F3FC6"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infoservisplzen@czso.cz | </w:t>
                            </w:r>
                            <w:r w:rsidRPr="00DC4FD0">
                              <w:rPr>
                                <w:color w:val="auto"/>
                                <w:lang w:val="fr-FR"/>
                              </w:rPr>
                              <w:t>www.plzen.czso.cz</w:t>
                            </w:r>
                          </w:p>
                          <w:p w14:paraId="5C0E870A" w14:textId="77777777" w:rsidR="007C581C" w:rsidRPr="00DC4FD0" w:rsidRDefault="007C581C" w:rsidP="00825C4D">
                            <w:pPr>
                              <w:pStyle w:val="TLKontakty"/>
                              <w:spacing w:after="80" w:line="240" w:lineRule="auto"/>
                              <w:rPr>
                                <w:color w:val="auto"/>
                                <w:lang w:val="fr-FR"/>
                              </w:rPr>
                            </w:pPr>
                          </w:p>
                          <w:p w14:paraId="345F7961" w14:textId="54B737D5" w:rsidR="007C581C" w:rsidRPr="006369CC" w:rsidRDefault="007C581C" w:rsidP="00825C4D">
                            <w:pPr>
                              <w:pStyle w:val="TLKontakty"/>
                              <w:spacing w:after="80" w:line="240" w:lineRule="auto"/>
                              <w:rPr>
                                <w:b w:val="0"/>
                                <w:color w:val="auto"/>
                                <w:lang w:val="en-GB"/>
                              </w:rPr>
                            </w:pPr>
                            <w:r w:rsidRPr="006369CC">
                              <w:rPr>
                                <w:lang w:val="en-GB"/>
                              </w:rPr>
                              <w:t>Karlovy Vary</w:t>
                            </w:r>
                            <w:r w:rsidRPr="006369CC">
                              <w:rPr>
                                <w:b w:val="0"/>
                                <w:color w:val="auto"/>
                                <w:lang w:val="en-GB"/>
                              </w:rPr>
                              <w:t xml:space="preserve"> | Závodní 360/94, 360 06 Karlovy Vary, ph.: 353 114 529, 353 114 525</w:t>
                            </w:r>
                          </w:p>
                          <w:p w14:paraId="4DC0438C"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infoserviskv@czso.cz | </w:t>
                            </w:r>
                            <w:r w:rsidRPr="00DC4FD0">
                              <w:rPr>
                                <w:color w:val="auto"/>
                                <w:lang w:val="fr-FR"/>
                              </w:rPr>
                              <w:t>www.kvary.czso.cz</w:t>
                            </w:r>
                          </w:p>
                          <w:p w14:paraId="63EC2C5F" w14:textId="77777777" w:rsidR="007C581C" w:rsidRPr="00DC4FD0" w:rsidRDefault="007C581C" w:rsidP="00825C4D">
                            <w:pPr>
                              <w:pStyle w:val="TLKontakty"/>
                              <w:spacing w:after="80" w:line="240" w:lineRule="auto"/>
                              <w:rPr>
                                <w:color w:val="auto"/>
                                <w:lang w:val="fr-FR"/>
                              </w:rPr>
                            </w:pPr>
                          </w:p>
                          <w:p w14:paraId="766F2288" w14:textId="39753C14" w:rsidR="007C581C" w:rsidRPr="00DC4FD0" w:rsidRDefault="007C581C" w:rsidP="00825C4D">
                            <w:pPr>
                              <w:pStyle w:val="TLKontakty"/>
                              <w:spacing w:after="80" w:line="240" w:lineRule="auto"/>
                              <w:rPr>
                                <w:b w:val="0"/>
                                <w:color w:val="auto"/>
                                <w:lang w:val="fr-FR"/>
                              </w:rPr>
                            </w:pPr>
                            <w:r w:rsidRPr="00DC4FD0">
                              <w:rPr>
                                <w:lang w:val="fr-FR"/>
                              </w:rPr>
                              <w:t>Ústí nad Labem</w:t>
                            </w:r>
                            <w:r w:rsidRPr="00DC4FD0">
                              <w:rPr>
                                <w:b w:val="0"/>
                                <w:color w:val="auto"/>
                                <w:lang w:val="fr-FR"/>
                              </w:rPr>
                              <w:t xml:space="preserve"> | Špálova 2684, 400 11 Ústí nad Labem, ph.: 472 706 176, 472 706 121</w:t>
                            </w:r>
                          </w:p>
                          <w:p w14:paraId="208CBC6F"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infoservisul@czso.cz | </w:t>
                            </w:r>
                            <w:r w:rsidRPr="00DC4FD0">
                              <w:rPr>
                                <w:color w:val="auto"/>
                                <w:lang w:val="fr-FR"/>
                              </w:rPr>
                              <w:t>www.ustinadlabem.czso.cz</w:t>
                            </w:r>
                          </w:p>
                          <w:p w14:paraId="5225C012" w14:textId="77777777" w:rsidR="007C581C" w:rsidRPr="00DC4FD0" w:rsidRDefault="007C581C" w:rsidP="00825C4D">
                            <w:pPr>
                              <w:pStyle w:val="TLKontakty"/>
                              <w:spacing w:after="80" w:line="240" w:lineRule="auto"/>
                              <w:rPr>
                                <w:color w:val="auto"/>
                                <w:lang w:val="fr-FR"/>
                              </w:rPr>
                            </w:pPr>
                          </w:p>
                          <w:p w14:paraId="0D4652E6" w14:textId="3AE11F20" w:rsidR="007C581C" w:rsidRPr="00DC4FD0" w:rsidRDefault="007C581C" w:rsidP="00825C4D">
                            <w:pPr>
                              <w:pStyle w:val="TLKontakty"/>
                              <w:spacing w:after="80" w:line="240" w:lineRule="auto"/>
                              <w:rPr>
                                <w:b w:val="0"/>
                                <w:color w:val="auto"/>
                                <w:lang w:val="fr-FR"/>
                              </w:rPr>
                            </w:pPr>
                            <w:r w:rsidRPr="00DC4FD0">
                              <w:rPr>
                                <w:lang w:val="fr-FR"/>
                              </w:rPr>
                              <w:t>Liberec</w:t>
                            </w:r>
                            <w:r w:rsidRPr="00DC4FD0">
                              <w:rPr>
                                <w:b w:val="0"/>
                                <w:color w:val="auto"/>
                                <w:lang w:val="fr-FR"/>
                              </w:rPr>
                              <w:t xml:space="preserve"> | nám. Dr. Edvarda Beneše 585/26, 460 01 Liberec 1, ph.: 485 238 811</w:t>
                            </w:r>
                          </w:p>
                          <w:p w14:paraId="5DE70BA8"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infoservislbc@czso.cz | </w:t>
                            </w:r>
                            <w:r w:rsidRPr="00DC4FD0">
                              <w:rPr>
                                <w:color w:val="auto"/>
                                <w:lang w:val="fr-FR"/>
                              </w:rPr>
                              <w:t>www.liberec.czso.cz</w:t>
                            </w:r>
                          </w:p>
                          <w:p w14:paraId="03B71E87" w14:textId="77777777" w:rsidR="007C581C" w:rsidRPr="00DC4FD0" w:rsidRDefault="007C581C" w:rsidP="00825C4D">
                            <w:pPr>
                              <w:pStyle w:val="TLKontakty"/>
                              <w:spacing w:after="80" w:line="240" w:lineRule="auto"/>
                              <w:rPr>
                                <w:b w:val="0"/>
                                <w:color w:val="auto"/>
                                <w:lang w:val="fr-FR"/>
                              </w:rPr>
                            </w:pPr>
                          </w:p>
                          <w:p w14:paraId="231AC323" w14:textId="7B42DC81" w:rsidR="007C581C" w:rsidRPr="00DC4FD0" w:rsidRDefault="007C581C" w:rsidP="00825C4D">
                            <w:pPr>
                              <w:pStyle w:val="TLKontakty"/>
                              <w:spacing w:after="80" w:line="240" w:lineRule="auto"/>
                              <w:rPr>
                                <w:b w:val="0"/>
                                <w:color w:val="auto"/>
                                <w:lang w:val="fr-FR"/>
                              </w:rPr>
                            </w:pPr>
                            <w:r w:rsidRPr="00DC4FD0">
                              <w:rPr>
                                <w:lang w:val="fr-FR"/>
                              </w:rPr>
                              <w:t>Hradec Králové</w:t>
                            </w:r>
                            <w:r w:rsidRPr="00DC4FD0">
                              <w:rPr>
                                <w:b w:val="0"/>
                                <w:color w:val="auto"/>
                                <w:lang w:val="fr-FR"/>
                              </w:rPr>
                              <w:t xml:space="preserve"> | Myslivečkova 914, 500 03 Hradec Králové 3, ph.: 495 762 322, 495 762 317</w:t>
                            </w:r>
                          </w:p>
                          <w:p w14:paraId="54BCE1FE"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infoservishk@czso.cz | </w:t>
                            </w:r>
                            <w:r w:rsidRPr="00DC4FD0">
                              <w:rPr>
                                <w:color w:val="auto"/>
                                <w:lang w:val="fr-FR"/>
                              </w:rPr>
                              <w:t>www.hradeckralove.czso.cz</w:t>
                            </w:r>
                          </w:p>
                          <w:p w14:paraId="6D36A3AA" w14:textId="77777777" w:rsidR="007C581C" w:rsidRPr="00DC4FD0" w:rsidRDefault="007C581C" w:rsidP="00825C4D">
                            <w:pPr>
                              <w:pStyle w:val="TLKontakty"/>
                              <w:spacing w:after="80" w:line="240" w:lineRule="auto"/>
                              <w:rPr>
                                <w:color w:val="auto"/>
                                <w:lang w:val="fr-FR"/>
                              </w:rPr>
                            </w:pPr>
                          </w:p>
                          <w:p w14:paraId="64319B27" w14:textId="1D1BF96C" w:rsidR="007C581C" w:rsidRPr="00DC4FD0" w:rsidRDefault="007C581C" w:rsidP="00825C4D">
                            <w:pPr>
                              <w:pStyle w:val="TLKontakty"/>
                              <w:spacing w:after="80" w:line="240" w:lineRule="auto"/>
                              <w:rPr>
                                <w:b w:val="0"/>
                                <w:color w:val="auto"/>
                                <w:lang w:val="fr-FR"/>
                              </w:rPr>
                            </w:pPr>
                            <w:r w:rsidRPr="00DC4FD0">
                              <w:rPr>
                                <w:lang w:val="fr-FR"/>
                              </w:rPr>
                              <w:t>Pardubice</w:t>
                            </w:r>
                            <w:r w:rsidRPr="00DC4FD0">
                              <w:rPr>
                                <w:b w:val="0"/>
                                <w:color w:val="auto"/>
                                <w:lang w:val="fr-FR"/>
                              </w:rPr>
                              <w:t xml:space="preserve"> | V Ráji 872, 531 53 Pardubice, ph.: 466 743 480, 466 743 418</w:t>
                            </w:r>
                          </w:p>
                          <w:p w14:paraId="5E1A24AC"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infoservispa@czso.cz | </w:t>
                            </w:r>
                            <w:r w:rsidRPr="00DC4FD0">
                              <w:rPr>
                                <w:color w:val="auto"/>
                                <w:lang w:val="fr-FR"/>
                              </w:rPr>
                              <w:t>www.pardubice.czso.cz</w:t>
                            </w:r>
                          </w:p>
                          <w:p w14:paraId="2BFDBDD7" w14:textId="77777777" w:rsidR="007C581C" w:rsidRPr="00DC4FD0" w:rsidRDefault="007C581C" w:rsidP="00825C4D">
                            <w:pPr>
                              <w:pStyle w:val="TLKontakty"/>
                              <w:spacing w:after="80" w:line="240" w:lineRule="auto"/>
                              <w:rPr>
                                <w:b w:val="0"/>
                                <w:color w:val="auto"/>
                                <w:lang w:val="fr-FR"/>
                              </w:rPr>
                            </w:pPr>
                          </w:p>
                          <w:p w14:paraId="4068B566" w14:textId="67F86AB4" w:rsidR="007C581C" w:rsidRPr="00DC4FD0" w:rsidRDefault="007C581C" w:rsidP="00825C4D">
                            <w:pPr>
                              <w:pStyle w:val="TLKontakty"/>
                              <w:spacing w:after="80" w:line="240" w:lineRule="auto"/>
                              <w:rPr>
                                <w:b w:val="0"/>
                                <w:color w:val="auto"/>
                                <w:lang w:val="fr-FR"/>
                              </w:rPr>
                            </w:pPr>
                            <w:r w:rsidRPr="00DC4FD0">
                              <w:rPr>
                                <w:lang w:val="fr-FR"/>
                              </w:rPr>
                              <w:t>Jihlava</w:t>
                            </w:r>
                            <w:r w:rsidRPr="00DC4FD0">
                              <w:rPr>
                                <w:b w:val="0"/>
                                <w:color w:val="auto"/>
                                <w:lang w:val="fr-FR"/>
                              </w:rPr>
                              <w:t xml:space="preserve"> | Ke Skalce 30, 586 01 Jihlava, ph.: 567 109 062, 567 109 073</w:t>
                            </w:r>
                          </w:p>
                          <w:p w14:paraId="0C03F129"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infoservisvys@czso.cz | </w:t>
                            </w:r>
                            <w:r w:rsidRPr="00DC4FD0">
                              <w:rPr>
                                <w:color w:val="auto"/>
                                <w:lang w:val="fr-FR"/>
                              </w:rPr>
                              <w:t>www.jihlava.czso.cz</w:t>
                            </w:r>
                          </w:p>
                          <w:p w14:paraId="0E4762FA" w14:textId="77777777" w:rsidR="007C581C" w:rsidRPr="00DC4FD0" w:rsidRDefault="007C581C" w:rsidP="00825C4D">
                            <w:pPr>
                              <w:pStyle w:val="TLKontakty"/>
                              <w:spacing w:after="80" w:line="240" w:lineRule="auto"/>
                              <w:rPr>
                                <w:lang w:val="fr-FR"/>
                              </w:rPr>
                            </w:pPr>
                          </w:p>
                          <w:p w14:paraId="63ACC352" w14:textId="145C20BA" w:rsidR="007C581C" w:rsidRPr="00DC4FD0" w:rsidRDefault="007C581C" w:rsidP="00825C4D">
                            <w:pPr>
                              <w:pStyle w:val="TLKontakty"/>
                              <w:spacing w:after="80" w:line="240" w:lineRule="auto"/>
                              <w:rPr>
                                <w:b w:val="0"/>
                                <w:color w:val="auto"/>
                                <w:lang w:val="fr-FR"/>
                              </w:rPr>
                            </w:pPr>
                            <w:r w:rsidRPr="00DC4FD0">
                              <w:rPr>
                                <w:lang w:val="fr-FR"/>
                              </w:rPr>
                              <w:t>Brno</w:t>
                            </w:r>
                            <w:r w:rsidRPr="00DC4FD0">
                              <w:rPr>
                                <w:b w:val="0"/>
                                <w:color w:val="auto"/>
                                <w:lang w:val="fr-FR"/>
                              </w:rPr>
                              <w:t xml:space="preserve"> | Jezuitská 2, 601 59 Brno, ph.: 542 528 115, 542 528 200</w:t>
                            </w:r>
                          </w:p>
                          <w:p w14:paraId="75CE0AF6"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infoservisbrno@czso.cz | </w:t>
                            </w:r>
                            <w:r w:rsidRPr="00DC4FD0">
                              <w:rPr>
                                <w:color w:val="auto"/>
                                <w:lang w:val="fr-FR"/>
                              </w:rPr>
                              <w:t>www.brno.czso.cz</w:t>
                            </w:r>
                          </w:p>
                          <w:p w14:paraId="7C8767F7" w14:textId="77777777" w:rsidR="007C581C" w:rsidRPr="00DC4FD0" w:rsidRDefault="007C581C" w:rsidP="00825C4D">
                            <w:pPr>
                              <w:pStyle w:val="TLKontakty"/>
                              <w:spacing w:after="80" w:line="240" w:lineRule="auto"/>
                              <w:rPr>
                                <w:b w:val="0"/>
                                <w:color w:val="auto"/>
                                <w:lang w:val="fr-FR"/>
                              </w:rPr>
                            </w:pPr>
                          </w:p>
                          <w:p w14:paraId="71AC5E72" w14:textId="1E1CF7A2" w:rsidR="007C581C" w:rsidRPr="00DC4FD0" w:rsidRDefault="007C581C" w:rsidP="00825C4D">
                            <w:pPr>
                              <w:pStyle w:val="TLKontakty"/>
                              <w:spacing w:after="80" w:line="240" w:lineRule="auto"/>
                              <w:rPr>
                                <w:b w:val="0"/>
                                <w:color w:val="auto"/>
                                <w:lang w:val="fr-FR"/>
                              </w:rPr>
                            </w:pPr>
                            <w:r w:rsidRPr="00DC4FD0">
                              <w:rPr>
                                <w:lang w:val="fr-FR"/>
                              </w:rPr>
                              <w:t>Olomouc</w:t>
                            </w:r>
                            <w:r w:rsidRPr="00DC4FD0">
                              <w:rPr>
                                <w:b w:val="0"/>
                                <w:color w:val="auto"/>
                                <w:lang w:val="fr-FR"/>
                              </w:rPr>
                              <w:t xml:space="preserve"> | Jeremenkova 1142/42, 772 11 Olomouc, ph.: 585 731 516, 585 731 511</w:t>
                            </w:r>
                          </w:p>
                          <w:p w14:paraId="7CB03505"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infoservisolom@czso.cz | </w:t>
                            </w:r>
                            <w:r w:rsidRPr="00DC4FD0">
                              <w:rPr>
                                <w:color w:val="auto"/>
                                <w:lang w:val="fr-FR"/>
                              </w:rPr>
                              <w:t>www.olomouc.czso.cz</w:t>
                            </w:r>
                          </w:p>
                          <w:p w14:paraId="0EEEF987" w14:textId="77777777" w:rsidR="007C581C" w:rsidRPr="00DC4FD0" w:rsidRDefault="007C581C" w:rsidP="00825C4D">
                            <w:pPr>
                              <w:pStyle w:val="TLKontakty"/>
                              <w:spacing w:after="80" w:line="240" w:lineRule="auto"/>
                              <w:rPr>
                                <w:b w:val="0"/>
                                <w:color w:val="auto"/>
                                <w:lang w:val="fr-FR"/>
                              </w:rPr>
                            </w:pPr>
                          </w:p>
                          <w:p w14:paraId="00E77B80" w14:textId="50DFF128" w:rsidR="007C581C" w:rsidRPr="00DC4FD0" w:rsidRDefault="007C581C" w:rsidP="00825C4D">
                            <w:pPr>
                              <w:pStyle w:val="TLKontakty"/>
                              <w:spacing w:after="80" w:line="240" w:lineRule="auto"/>
                              <w:rPr>
                                <w:b w:val="0"/>
                                <w:color w:val="auto"/>
                                <w:lang w:val="fr-FR"/>
                              </w:rPr>
                            </w:pPr>
                            <w:r w:rsidRPr="00DC4FD0">
                              <w:rPr>
                                <w:lang w:val="fr-FR"/>
                              </w:rPr>
                              <w:t>Zlín</w:t>
                            </w:r>
                            <w:r w:rsidRPr="00DC4FD0">
                              <w:rPr>
                                <w:b w:val="0"/>
                                <w:color w:val="auto"/>
                                <w:lang w:val="fr-FR"/>
                              </w:rPr>
                              <w:t xml:space="preserve"> | tř. Tomáše Bati 1565, 761 76 Zlín, ph.: 577 004 932, 577 004 935</w:t>
                            </w:r>
                          </w:p>
                          <w:p w14:paraId="4B798D9B"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infoservis-zl@czso.cz | </w:t>
                            </w:r>
                            <w:r w:rsidRPr="00DC4FD0">
                              <w:rPr>
                                <w:color w:val="auto"/>
                                <w:lang w:val="fr-FR"/>
                              </w:rPr>
                              <w:t>www.zlin.czso.cz</w:t>
                            </w:r>
                          </w:p>
                          <w:p w14:paraId="113A3E51" w14:textId="77777777" w:rsidR="007C581C" w:rsidRPr="00DC4FD0" w:rsidRDefault="007C581C" w:rsidP="00095135">
                            <w:pPr>
                              <w:pStyle w:val="TLKontakty"/>
                              <w:spacing w:after="80" w:line="240" w:lineRule="auto"/>
                              <w:rPr>
                                <w:b w:val="0"/>
                                <w:color w:val="auto"/>
                                <w:lang w:val="fr-FR"/>
                              </w:rPr>
                            </w:pPr>
                          </w:p>
                          <w:p w14:paraId="0275618D" w14:textId="2B18FDF9" w:rsidR="007C581C" w:rsidRPr="00DC4FD0" w:rsidRDefault="007C581C" w:rsidP="00095135">
                            <w:pPr>
                              <w:pStyle w:val="TLKontakty"/>
                              <w:spacing w:after="80" w:line="240" w:lineRule="auto"/>
                              <w:rPr>
                                <w:b w:val="0"/>
                                <w:color w:val="auto"/>
                                <w:lang w:val="fr-FR"/>
                              </w:rPr>
                            </w:pPr>
                            <w:r w:rsidRPr="00DC4FD0">
                              <w:rPr>
                                <w:lang w:val="fr-FR"/>
                              </w:rPr>
                              <w:t>Ostrava</w:t>
                            </w:r>
                            <w:r w:rsidRPr="00DC4FD0">
                              <w:rPr>
                                <w:b w:val="0"/>
                                <w:color w:val="auto"/>
                                <w:lang w:val="fr-FR"/>
                              </w:rPr>
                              <w:t xml:space="preserve"> | Repinova 17, 702 03 Ostrava, ph.: 595 131 230, 595 131 232</w:t>
                            </w:r>
                          </w:p>
                          <w:p w14:paraId="6C2C1392"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infoservis_ov@czso.cz | </w:t>
                            </w:r>
                            <w:r w:rsidRPr="00DC4FD0">
                              <w:rPr>
                                <w:color w:val="auto"/>
                                <w:lang w:val="fr-FR"/>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5071D3D9" w:rsidR="007C581C" w:rsidRPr="006657AF" w:rsidRDefault="007C581C" w:rsidP="006F5416">
                      <w:pPr>
                        <w:pStyle w:val="TLKontaktyerven"/>
                        <w:rPr>
                          <w:lang w:val="en-GB"/>
                        </w:rPr>
                      </w:pPr>
                      <w:r w:rsidRPr="006657AF">
                        <w:rPr>
                          <w:lang w:val="en-GB"/>
                        </w:rPr>
                        <w:t>contacts in the headquarters</w:t>
                      </w:r>
                    </w:p>
                    <w:p w14:paraId="3BEEAF5F" w14:textId="61BF8244" w:rsidR="007C581C" w:rsidRPr="006657AF" w:rsidRDefault="007C581C" w:rsidP="00825C4D">
                      <w:pPr>
                        <w:pStyle w:val="TLKontakty"/>
                        <w:spacing w:after="80" w:line="240" w:lineRule="auto"/>
                        <w:contextualSpacing w:val="0"/>
                        <w:rPr>
                          <w:b w:val="0"/>
                          <w:color w:val="auto"/>
                          <w:lang w:val="en-GB"/>
                        </w:rPr>
                      </w:pPr>
                      <w:r w:rsidRPr="006657AF">
                        <w:rPr>
                          <w:lang w:val="en-GB"/>
                        </w:rPr>
                        <w:t>Czech Statistical Office</w:t>
                      </w:r>
                      <w:r w:rsidRPr="006657AF">
                        <w:rPr>
                          <w:b w:val="0"/>
                          <w:color w:val="auto"/>
                          <w:lang w:val="en-GB"/>
                        </w:rPr>
                        <w:t xml:space="preserve"> | Na padesátém 81, 100 82 Praha 10, ph.: 274 051 111 | </w:t>
                      </w:r>
                      <w:r w:rsidRPr="006657AF">
                        <w:rPr>
                          <w:color w:val="auto"/>
                          <w:lang w:val="en-GB"/>
                        </w:rPr>
                        <w:t>www.czso.cz</w:t>
                      </w:r>
                    </w:p>
                    <w:p w14:paraId="4ECAA215" w14:textId="4F3DC274" w:rsidR="007C581C" w:rsidRPr="00DC4FD0" w:rsidRDefault="007C581C" w:rsidP="00825C4D">
                      <w:pPr>
                        <w:pStyle w:val="TLKontakty"/>
                        <w:spacing w:after="80" w:line="240" w:lineRule="auto"/>
                        <w:contextualSpacing w:val="0"/>
                        <w:rPr>
                          <w:b w:val="0"/>
                          <w:color w:val="auto"/>
                          <w:lang w:val="fr-FR"/>
                        </w:rPr>
                      </w:pPr>
                      <w:r w:rsidRPr="00DC4FD0">
                        <w:rPr>
                          <w:color w:val="auto"/>
                          <w:lang w:val="fr-FR"/>
                        </w:rPr>
                        <w:t>Information Services</w:t>
                      </w:r>
                      <w:r w:rsidRPr="00DC4FD0">
                        <w:rPr>
                          <w:b w:val="0"/>
                          <w:color w:val="auto"/>
                          <w:lang w:val="fr-FR"/>
                        </w:rPr>
                        <w:t xml:space="preserve"> | ph.: 274 052 304, 274 052 451 | e-mail: infoservis@czso.cz</w:t>
                      </w:r>
                    </w:p>
                    <w:p w14:paraId="4EB8DFE9" w14:textId="601C900D" w:rsidR="007C581C" w:rsidRPr="006657AF" w:rsidRDefault="007C581C" w:rsidP="00825C4D">
                      <w:pPr>
                        <w:pStyle w:val="TLKontakty"/>
                        <w:spacing w:after="80" w:line="240" w:lineRule="auto"/>
                        <w:contextualSpacing w:val="0"/>
                        <w:rPr>
                          <w:b w:val="0"/>
                          <w:color w:val="auto"/>
                          <w:lang w:val="en-GB"/>
                        </w:rPr>
                      </w:pPr>
                      <w:r w:rsidRPr="006657AF">
                        <w:rPr>
                          <w:color w:val="auto"/>
                          <w:lang w:val="en-GB"/>
                        </w:rPr>
                        <w:t>CZSO Publication Shop</w:t>
                      </w:r>
                      <w:r w:rsidRPr="006657AF">
                        <w:rPr>
                          <w:b w:val="0"/>
                          <w:color w:val="auto"/>
                          <w:lang w:val="en-GB"/>
                        </w:rPr>
                        <w:t xml:space="preserve"> | ph.: 274 052 361 | e-mail: prodejna@czso.cz</w:t>
                      </w:r>
                    </w:p>
                    <w:p w14:paraId="2572D725" w14:textId="16E520AF" w:rsidR="007C581C" w:rsidRPr="006657AF" w:rsidRDefault="007C581C" w:rsidP="00825C4D">
                      <w:pPr>
                        <w:pStyle w:val="TLKontakty"/>
                        <w:spacing w:after="80" w:line="240" w:lineRule="auto"/>
                        <w:contextualSpacing w:val="0"/>
                        <w:rPr>
                          <w:b w:val="0"/>
                          <w:color w:val="auto"/>
                          <w:lang w:val="en-GB"/>
                        </w:rPr>
                      </w:pPr>
                      <w:r w:rsidRPr="006657AF">
                        <w:rPr>
                          <w:color w:val="auto"/>
                          <w:lang w:val="en-GB"/>
                        </w:rPr>
                        <w:t>E</w:t>
                      </w:r>
                      <w:r>
                        <w:rPr>
                          <w:color w:val="auto"/>
                          <w:lang w:val="en-GB"/>
                        </w:rPr>
                        <w:t xml:space="preserve">uropean Data </w:t>
                      </w:r>
                      <w:r w:rsidRPr="006657AF">
                        <w:rPr>
                          <w:color w:val="auto"/>
                          <w:lang w:val="en-GB"/>
                        </w:rPr>
                        <w:t xml:space="preserve">(ESDS), </w:t>
                      </w:r>
                      <w:r>
                        <w:rPr>
                          <w:color w:val="auto"/>
                          <w:lang w:val="en-GB"/>
                        </w:rPr>
                        <w:t>international comparison</w:t>
                      </w:r>
                      <w:r w:rsidRPr="006657AF">
                        <w:rPr>
                          <w:b w:val="0"/>
                          <w:color w:val="auto"/>
                          <w:lang w:val="en-GB"/>
                        </w:rPr>
                        <w:t xml:space="preserve"> | </w:t>
                      </w:r>
                      <w:r>
                        <w:rPr>
                          <w:b w:val="0"/>
                          <w:color w:val="auto"/>
                          <w:lang w:val="en-GB"/>
                        </w:rPr>
                        <w:t>ph</w:t>
                      </w:r>
                      <w:r w:rsidRPr="006657AF">
                        <w:rPr>
                          <w:b w:val="0"/>
                          <w:color w:val="auto"/>
                          <w:lang w:val="en-GB"/>
                        </w:rPr>
                        <w:t>.: 274 052 347 | e-mail: esds@czso.cz</w:t>
                      </w:r>
                    </w:p>
                    <w:p w14:paraId="41B476B1" w14:textId="5CCC7264" w:rsidR="007C581C" w:rsidRPr="006657AF" w:rsidRDefault="007C581C" w:rsidP="00825C4D">
                      <w:pPr>
                        <w:pStyle w:val="TLKontakty"/>
                        <w:spacing w:after="80" w:line="240" w:lineRule="auto"/>
                        <w:contextualSpacing w:val="0"/>
                        <w:rPr>
                          <w:b w:val="0"/>
                          <w:color w:val="auto"/>
                          <w:lang w:val="en-GB"/>
                        </w:rPr>
                      </w:pPr>
                      <w:r>
                        <w:rPr>
                          <w:color w:val="auto"/>
                          <w:lang w:val="en-GB"/>
                        </w:rPr>
                        <w:t>Central Statistical Library</w:t>
                      </w:r>
                      <w:r w:rsidRPr="006657AF">
                        <w:rPr>
                          <w:b w:val="0"/>
                          <w:color w:val="auto"/>
                          <w:lang w:val="en-GB"/>
                        </w:rPr>
                        <w:t xml:space="preserve"> | </w:t>
                      </w:r>
                      <w:r>
                        <w:rPr>
                          <w:b w:val="0"/>
                          <w:color w:val="auto"/>
                          <w:lang w:val="en-GB"/>
                        </w:rPr>
                        <w:t>ph</w:t>
                      </w:r>
                      <w:r w:rsidRPr="006657AF">
                        <w:rPr>
                          <w:b w:val="0"/>
                          <w:color w:val="auto"/>
                          <w:lang w:val="en-GB"/>
                        </w:rPr>
                        <w:t>.: 274 052 361 | e-mail: knihovna@czso.cz</w:t>
                      </w:r>
                    </w:p>
                    <w:p w14:paraId="433A2C62" w14:textId="77777777" w:rsidR="007C581C" w:rsidRPr="004A61C5" w:rsidRDefault="007C581C" w:rsidP="00825C4D">
                      <w:pPr>
                        <w:pStyle w:val="TLKontakty"/>
                        <w:spacing w:after="80" w:line="240" w:lineRule="auto"/>
                        <w:contextualSpacing w:val="0"/>
                        <w:rPr>
                          <w:color w:val="auto"/>
                        </w:rPr>
                      </w:pPr>
                    </w:p>
                    <w:p w14:paraId="29C57B67" w14:textId="0741FB29" w:rsidR="007C581C" w:rsidRPr="006369CC" w:rsidRDefault="007C581C" w:rsidP="00D66223">
                      <w:pPr>
                        <w:pStyle w:val="TLKontaktyerven"/>
                        <w:rPr>
                          <w:lang w:val="en-GB"/>
                        </w:rPr>
                      </w:pPr>
                      <w:r w:rsidRPr="006369CC">
                        <w:rPr>
                          <w:lang w:val="en-GB"/>
                        </w:rPr>
                        <w:t>INFORMATION SERVICES IN THE REGIONS</w:t>
                      </w:r>
                    </w:p>
                    <w:p w14:paraId="181BE30E" w14:textId="6771ED54" w:rsidR="007C581C" w:rsidRPr="006369CC" w:rsidRDefault="007C581C" w:rsidP="00825C4D">
                      <w:pPr>
                        <w:pStyle w:val="TLKontakty"/>
                        <w:spacing w:after="80" w:line="240" w:lineRule="auto"/>
                        <w:rPr>
                          <w:b w:val="0"/>
                          <w:color w:val="auto"/>
                          <w:lang w:val="en-GB"/>
                        </w:rPr>
                      </w:pPr>
                      <w:r w:rsidRPr="006369CC">
                        <w:rPr>
                          <w:lang w:val="en-GB"/>
                        </w:rPr>
                        <w:t>Capital City Prague</w:t>
                      </w:r>
                      <w:r w:rsidRPr="006369CC">
                        <w:rPr>
                          <w:b w:val="0"/>
                          <w:color w:val="auto"/>
                          <w:lang w:val="en-GB"/>
                        </w:rPr>
                        <w:t xml:space="preserve"> | Na padesátém 81, 100 82 Praha 10, ph.: 274 052 673, 274 054 223</w:t>
                      </w:r>
                    </w:p>
                    <w:p w14:paraId="00E25240"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infoservispraha@czso.cz | </w:t>
                      </w:r>
                      <w:r w:rsidRPr="00DC4FD0">
                        <w:rPr>
                          <w:color w:val="auto"/>
                          <w:lang w:val="fr-FR"/>
                        </w:rPr>
                        <w:t>www.praha.czso.cz</w:t>
                      </w:r>
                    </w:p>
                    <w:p w14:paraId="057A23A4" w14:textId="77777777" w:rsidR="007C581C" w:rsidRPr="00DC4FD0" w:rsidRDefault="007C581C" w:rsidP="00825C4D">
                      <w:pPr>
                        <w:pStyle w:val="TLKontakty"/>
                        <w:spacing w:after="80" w:line="240" w:lineRule="auto"/>
                        <w:rPr>
                          <w:color w:val="auto"/>
                          <w:lang w:val="fr-FR"/>
                        </w:rPr>
                      </w:pPr>
                    </w:p>
                    <w:p w14:paraId="39B5FB82" w14:textId="122825C2" w:rsidR="007C581C" w:rsidRPr="00DC4FD0" w:rsidRDefault="007C581C" w:rsidP="00825C4D">
                      <w:pPr>
                        <w:pStyle w:val="TLKontakty"/>
                        <w:spacing w:after="80" w:line="240" w:lineRule="auto"/>
                        <w:rPr>
                          <w:b w:val="0"/>
                          <w:color w:val="auto"/>
                          <w:lang w:val="fr-FR"/>
                        </w:rPr>
                      </w:pPr>
                      <w:r w:rsidRPr="00DC4FD0">
                        <w:rPr>
                          <w:lang w:val="fr-FR"/>
                        </w:rPr>
                        <w:t>Central Bohemia</w:t>
                      </w:r>
                      <w:r w:rsidRPr="00DC4FD0">
                        <w:rPr>
                          <w:b w:val="0"/>
                          <w:color w:val="auto"/>
                          <w:lang w:val="fr-FR"/>
                        </w:rPr>
                        <w:t xml:space="preserve"> | Na padesátém 81, 100 82 Praha 10, ph.: 274 054 175</w:t>
                      </w:r>
                    </w:p>
                    <w:p w14:paraId="157E80A8"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infoservisstc@czso.cz | </w:t>
                      </w:r>
                      <w:r w:rsidRPr="00DC4FD0">
                        <w:rPr>
                          <w:color w:val="auto"/>
                          <w:lang w:val="fr-FR"/>
                        </w:rPr>
                        <w:t>www.stredocesky.czso.cz</w:t>
                      </w:r>
                    </w:p>
                    <w:p w14:paraId="311A59C4" w14:textId="77777777" w:rsidR="007C581C" w:rsidRPr="00DC4FD0" w:rsidRDefault="007C581C" w:rsidP="00825C4D">
                      <w:pPr>
                        <w:pStyle w:val="TLKontakty"/>
                        <w:spacing w:after="80" w:line="240" w:lineRule="auto"/>
                        <w:rPr>
                          <w:color w:val="auto"/>
                          <w:lang w:val="fr-FR"/>
                        </w:rPr>
                      </w:pPr>
                    </w:p>
                    <w:p w14:paraId="5AF27889" w14:textId="77D6D685" w:rsidR="007C581C" w:rsidRPr="00DC4FD0" w:rsidRDefault="007C581C" w:rsidP="00825C4D">
                      <w:pPr>
                        <w:pStyle w:val="TLKontakty"/>
                        <w:spacing w:after="80" w:line="240" w:lineRule="auto"/>
                        <w:rPr>
                          <w:b w:val="0"/>
                          <w:color w:val="auto"/>
                          <w:lang w:val="fr-FR"/>
                        </w:rPr>
                      </w:pPr>
                      <w:r w:rsidRPr="00DC4FD0">
                        <w:rPr>
                          <w:lang w:val="fr-FR"/>
                        </w:rPr>
                        <w:t>České Budějovice</w:t>
                      </w:r>
                      <w:r w:rsidRPr="00DC4FD0">
                        <w:rPr>
                          <w:b w:val="0"/>
                          <w:color w:val="auto"/>
                          <w:lang w:val="fr-FR"/>
                        </w:rPr>
                        <w:t xml:space="preserve"> | Žižkova 1, 370 77 České Budějovice, ph.: 386 718 440</w:t>
                      </w:r>
                    </w:p>
                    <w:p w14:paraId="230712C9"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infoserviscb@czso.cz | </w:t>
                      </w:r>
                      <w:r w:rsidRPr="00DC4FD0">
                        <w:rPr>
                          <w:color w:val="auto"/>
                          <w:lang w:val="fr-FR"/>
                        </w:rPr>
                        <w:t>www.cbudejovice.czso.cz</w:t>
                      </w:r>
                    </w:p>
                    <w:p w14:paraId="61687BE3" w14:textId="77777777" w:rsidR="007C581C" w:rsidRPr="00DC4FD0" w:rsidRDefault="007C581C" w:rsidP="00825C4D">
                      <w:pPr>
                        <w:pStyle w:val="TLKontakty"/>
                        <w:spacing w:after="80" w:line="240" w:lineRule="auto"/>
                        <w:rPr>
                          <w:color w:val="auto"/>
                          <w:lang w:val="fr-FR"/>
                        </w:rPr>
                      </w:pPr>
                    </w:p>
                    <w:p w14:paraId="0065AFA0" w14:textId="78CDBD69" w:rsidR="007C581C" w:rsidRPr="00DC4FD0" w:rsidRDefault="007C581C" w:rsidP="00825C4D">
                      <w:pPr>
                        <w:pStyle w:val="TLKontakty"/>
                        <w:spacing w:after="80" w:line="240" w:lineRule="auto"/>
                        <w:rPr>
                          <w:b w:val="0"/>
                          <w:color w:val="auto"/>
                          <w:lang w:val="fr-FR"/>
                        </w:rPr>
                      </w:pPr>
                      <w:r w:rsidRPr="00DC4FD0">
                        <w:rPr>
                          <w:lang w:val="fr-FR"/>
                        </w:rPr>
                        <w:t>Plzeň</w:t>
                      </w:r>
                      <w:r w:rsidRPr="00DC4FD0">
                        <w:rPr>
                          <w:b w:val="0"/>
                          <w:color w:val="auto"/>
                          <w:lang w:val="fr-FR"/>
                        </w:rPr>
                        <w:t xml:space="preserve"> | Slovanská alej 36, 326 64 Plzeň, ph.: 377 612 108, 377 612 145</w:t>
                      </w:r>
                    </w:p>
                    <w:p w14:paraId="580F3FC6"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infoservisplzen@czso.cz | </w:t>
                      </w:r>
                      <w:r w:rsidRPr="00DC4FD0">
                        <w:rPr>
                          <w:color w:val="auto"/>
                          <w:lang w:val="fr-FR"/>
                        </w:rPr>
                        <w:t>www.plzen.czso.cz</w:t>
                      </w:r>
                    </w:p>
                    <w:p w14:paraId="5C0E870A" w14:textId="77777777" w:rsidR="007C581C" w:rsidRPr="00DC4FD0" w:rsidRDefault="007C581C" w:rsidP="00825C4D">
                      <w:pPr>
                        <w:pStyle w:val="TLKontakty"/>
                        <w:spacing w:after="80" w:line="240" w:lineRule="auto"/>
                        <w:rPr>
                          <w:color w:val="auto"/>
                          <w:lang w:val="fr-FR"/>
                        </w:rPr>
                      </w:pPr>
                    </w:p>
                    <w:p w14:paraId="345F7961" w14:textId="54B737D5" w:rsidR="007C581C" w:rsidRPr="006369CC" w:rsidRDefault="007C581C" w:rsidP="00825C4D">
                      <w:pPr>
                        <w:pStyle w:val="TLKontakty"/>
                        <w:spacing w:after="80" w:line="240" w:lineRule="auto"/>
                        <w:rPr>
                          <w:b w:val="0"/>
                          <w:color w:val="auto"/>
                          <w:lang w:val="en-GB"/>
                        </w:rPr>
                      </w:pPr>
                      <w:r w:rsidRPr="006369CC">
                        <w:rPr>
                          <w:lang w:val="en-GB"/>
                        </w:rPr>
                        <w:t>Karlovy Vary</w:t>
                      </w:r>
                      <w:r w:rsidRPr="006369CC">
                        <w:rPr>
                          <w:b w:val="0"/>
                          <w:color w:val="auto"/>
                          <w:lang w:val="en-GB"/>
                        </w:rPr>
                        <w:t xml:space="preserve"> | Závodní 360/94, 360 06 Karlovy Vary, ph.: 353 114 529, 353 114 525</w:t>
                      </w:r>
                    </w:p>
                    <w:p w14:paraId="4DC0438C"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infoserviskv@czso.cz | </w:t>
                      </w:r>
                      <w:r w:rsidRPr="00DC4FD0">
                        <w:rPr>
                          <w:color w:val="auto"/>
                          <w:lang w:val="fr-FR"/>
                        </w:rPr>
                        <w:t>www.kvary.czso.cz</w:t>
                      </w:r>
                    </w:p>
                    <w:p w14:paraId="63EC2C5F" w14:textId="77777777" w:rsidR="007C581C" w:rsidRPr="00DC4FD0" w:rsidRDefault="007C581C" w:rsidP="00825C4D">
                      <w:pPr>
                        <w:pStyle w:val="TLKontakty"/>
                        <w:spacing w:after="80" w:line="240" w:lineRule="auto"/>
                        <w:rPr>
                          <w:color w:val="auto"/>
                          <w:lang w:val="fr-FR"/>
                        </w:rPr>
                      </w:pPr>
                    </w:p>
                    <w:p w14:paraId="766F2288" w14:textId="39753C14" w:rsidR="007C581C" w:rsidRPr="00DC4FD0" w:rsidRDefault="007C581C" w:rsidP="00825C4D">
                      <w:pPr>
                        <w:pStyle w:val="TLKontakty"/>
                        <w:spacing w:after="80" w:line="240" w:lineRule="auto"/>
                        <w:rPr>
                          <w:b w:val="0"/>
                          <w:color w:val="auto"/>
                          <w:lang w:val="fr-FR"/>
                        </w:rPr>
                      </w:pPr>
                      <w:r w:rsidRPr="00DC4FD0">
                        <w:rPr>
                          <w:lang w:val="fr-FR"/>
                        </w:rPr>
                        <w:t>Ústí nad Labem</w:t>
                      </w:r>
                      <w:r w:rsidRPr="00DC4FD0">
                        <w:rPr>
                          <w:b w:val="0"/>
                          <w:color w:val="auto"/>
                          <w:lang w:val="fr-FR"/>
                        </w:rPr>
                        <w:t xml:space="preserve"> | Špálova 2684, 400 11 Ústí nad Labem, ph.: 472 706 176, 472 706 121</w:t>
                      </w:r>
                    </w:p>
                    <w:p w14:paraId="208CBC6F"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infoservisul@czso.cz | </w:t>
                      </w:r>
                      <w:r w:rsidRPr="00DC4FD0">
                        <w:rPr>
                          <w:color w:val="auto"/>
                          <w:lang w:val="fr-FR"/>
                        </w:rPr>
                        <w:t>www.ustinadlabem.czso.cz</w:t>
                      </w:r>
                    </w:p>
                    <w:p w14:paraId="5225C012" w14:textId="77777777" w:rsidR="007C581C" w:rsidRPr="00DC4FD0" w:rsidRDefault="007C581C" w:rsidP="00825C4D">
                      <w:pPr>
                        <w:pStyle w:val="TLKontakty"/>
                        <w:spacing w:after="80" w:line="240" w:lineRule="auto"/>
                        <w:rPr>
                          <w:color w:val="auto"/>
                          <w:lang w:val="fr-FR"/>
                        </w:rPr>
                      </w:pPr>
                    </w:p>
                    <w:p w14:paraId="0D4652E6" w14:textId="3AE11F20" w:rsidR="007C581C" w:rsidRPr="00DC4FD0" w:rsidRDefault="007C581C" w:rsidP="00825C4D">
                      <w:pPr>
                        <w:pStyle w:val="TLKontakty"/>
                        <w:spacing w:after="80" w:line="240" w:lineRule="auto"/>
                        <w:rPr>
                          <w:b w:val="0"/>
                          <w:color w:val="auto"/>
                          <w:lang w:val="fr-FR"/>
                        </w:rPr>
                      </w:pPr>
                      <w:r w:rsidRPr="00DC4FD0">
                        <w:rPr>
                          <w:lang w:val="fr-FR"/>
                        </w:rPr>
                        <w:t>Liberec</w:t>
                      </w:r>
                      <w:r w:rsidRPr="00DC4FD0">
                        <w:rPr>
                          <w:b w:val="0"/>
                          <w:color w:val="auto"/>
                          <w:lang w:val="fr-FR"/>
                        </w:rPr>
                        <w:t xml:space="preserve"> | nám. Dr. Edvarda Beneše 585/26, 460 01 Liberec 1, ph.: 485 238 811</w:t>
                      </w:r>
                    </w:p>
                    <w:p w14:paraId="5DE70BA8"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infoservislbc@czso.cz | </w:t>
                      </w:r>
                      <w:r w:rsidRPr="00DC4FD0">
                        <w:rPr>
                          <w:color w:val="auto"/>
                          <w:lang w:val="fr-FR"/>
                        </w:rPr>
                        <w:t>www.liberec.czso.cz</w:t>
                      </w:r>
                    </w:p>
                    <w:p w14:paraId="03B71E87" w14:textId="77777777" w:rsidR="007C581C" w:rsidRPr="00DC4FD0" w:rsidRDefault="007C581C" w:rsidP="00825C4D">
                      <w:pPr>
                        <w:pStyle w:val="TLKontakty"/>
                        <w:spacing w:after="80" w:line="240" w:lineRule="auto"/>
                        <w:rPr>
                          <w:b w:val="0"/>
                          <w:color w:val="auto"/>
                          <w:lang w:val="fr-FR"/>
                        </w:rPr>
                      </w:pPr>
                    </w:p>
                    <w:p w14:paraId="231AC323" w14:textId="7B42DC81" w:rsidR="007C581C" w:rsidRPr="00DC4FD0" w:rsidRDefault="007C581C" w:rsidP="00825C4D">
                      <w:pPr>
                        <w:pStyle w:val="TLKontakty"/>
                        <w:spacing w:after="80" w:line="240" w:lineRule="auto"/>
                        <w:rPr>
                          <w:b w:val="0"/>
                          <w:color w:val="auto"/>
                          <w:lang w:val="fr-FR"/>
                        </w:rPr>
                      </w:pPr>
                      <w:r w:rsidRPr="00DC4FD0">
                        <w:rPr>
                          <w:lang w:val="fr-FR"/>
                        </w:rPr>
                        <w:t>Hradec Králové</w:t>
                      </w:r>
                      <w:r w:rsidRPr="00DC4FD0">
                        <w:rPr>
                          <w:b w:val="0"/>
                          <w:color w:val="auto"/>
                          <w:lang w:val="fr-FR"/>
                        </w:rPr>
                        <w:t xml:space="preserve"> | Myslivečkova 914, 500 03 Hradec Králové 3, ph.: 495 762 322, 495 762 317</w:t>
                      </w:r>
                    </w:p>
                    <w:p w14:paraId="54BCE1FE"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infoservishk@czso.cz | </w:t>
                      </w:r>
                      <w:r w:rsidRPr="00DC4FD0">
                        <w:rPr>
                          <w:color w:val="auto"/>
                          <w:lang w:val="fr-FR"/>
                        </w:rPr>
                        <w:t>www.hradeckralove.czso.cz</w:t>
                      </w:r>
                    </w:p>
                    <w:p w14:paraId="6D36A3AA" w14:textId="77777777" w:rsidR="007C581C" w:rsidRPr="00DC4FD0" w:rsidRDefault="007C581C" w:rsidP="00825C4D">
                      <w:pPr>
                        <w:pStyle w:val="TLKontakty"/>
                        <w:spacing w:after="80" w:line="240" w:lineRule="auto"/>
                        <w:rPr>
                          <w:color w:val="auto"/>
                          <w:lang w:val="fr-FR"/>
                        </w:rPr>
                      </w:pPr>
                    </w:p>
                    <w:p w14:paraId="64319B27" w14:textId="1D1BF96C" w:rsidR="007C581C" w:rsidRPr="00DC4FD0" w:rsidRDefault="007C581C" w:rsidP="00825C4D">
                      <w:pPr>
                        <w:pStyle w:val="TLKontakty"/>
                        <w:spacing w:after="80" w:line="240" w:lineRule="auto"/>
                        <w:rPr>
                          <w:b w:val="0"/>
                          <w:color w:val="auto"/>
                          <w:lang w:val="fr-FR"/>
                        </w:rPr>
                      </w:pPr>
                      <w:r w:rsidRPr="00DC4FD0">
                        <w:rPr>
                          <w:lang w:val="fr-FR"/>
                        </w:rPr>
                        <w:t>Pardubice</w:t>
                      </w:r>
                      <w:r w:rsidRPr="00DC4FD0">
                        <w:rPr>
                          <w:b w:val="0"/>
                          <w:color w:val="auto"/>
                          <w:lang w:val="fr-FR"/>
                        </w:rPr>
                        <w:t xml:space="preserve"> | V Ráji 872, 531 53 Pardubice, ph.: 466 743 480, 466 743 418</w:t>
                      </w:r>
                    </w:p>
                    <w:p w14:paraId="5E1A24AC"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infoservispa@czso.cz | </w:t>
                      </w:r>
                      <w:r w:rsidRPr="00DC4FD0">
                        <w:rPr>
                          <w:color w:val="auto"/>
                          <w:lang w:val="fr-FR"/>
                        </w:rPr>
                        <w:t>www.pardubice.czso.cz</w:t>
                      </w:r>
                    </w:p>
                    <w:p w14:paraId="2BFDBDD7" w14:textId="77777777" w:rsidR="007C581C" w:rsidRPr="00DC4FD0" w:rsidRDefault="007C581C" w:rsidP="00825C4D">
                      <w:pPr>
                        <w:pStyle w:val="TLKontakty"/>
                        <w:spacing w:after="80" w:line="240" w:lineRule="auto"/>
                        <w:rPr>
                          <w:b w:val="0"/>
                          <w:color w:val="auto"/>
                          <w:lang w:val="fr-FR"/>
                        </w:rPr>
                      </w:pPr>
                    </w:p>
                    <w:p w14:paraId="4068B566" w14:textId="67F86AB4" w:rsidR="007C581C" w:rsidRPr="00DC4FD0" w:rsidRDefault="007C581C" w:rsidP="00825C4D">
                      <w:pPr>
                        <w:pStyle w:val="TLKontakty"/>
                        <w:spacing w:after="80" w:line="240" w:lineRule="auto"/>
                        <w:rPr>
                          <w:b w:val="0"/>
                          <w:color w:val="auto"/>
                          <w:lang w:val="fr-FR"/>
                        </w:rPr>
                      </w:pPr>
                      <w:r w:rsidRPr="00DC4FD0">
                        <w:rPr>
                          <w:lang w:val="fr-FR"/>
                        </w:rPr>
                        <w:t>Jihlava</w:t>
                      </w:r>
                      <w:r w:rsidRPr="00DC4FD0">
                        <w:rPr>
                          <w:b w:val="0"/>
                          <w:color w:val="auto"/>
                          <w:lang w:val="fr-FR"/>
                        </w:rPr>
                        <w:t xml:space="preserve"> | Ke Skalce 30, 586 01 Jihlava, ph.: 567 109 062, 567 109 073</w:t>
                      </w:r>
                    </w:p>
                    <w:p w14:paraId="0C03F129"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infoservisvys@czso.cz | </w:t>
                      </w:r>
                      <w:r w:rsidRPr="00DC4FD0">
                        <w:rPr>
                          <w:color w:val="auto"/>
                          <w:lang w:val="fr-FR"/>
                        </w:rPr>
                        <w:t>www.jihlava.czso.cz</w:t>
                      </w:r>
                    </w:p>
                    <w:p w14:paraId="0E4762FA" w14:textId="77777777" w:rsidR="007C581C" w:rsidRPr="00DC4FD0" w:rsidRDefault="007C581C" w:rsidP="00825C4D">
                      <w:pPr>
                        <w:pStyle w:val="TLKontakty"/>
                        <w:spacing w:after="80" w:line="240" w:lineRule="auto"/>
                        <w:rPr>
                          <w:lang w:val="fr-FR"/>
                        </w:rPr>
                      </w:pPr>
                    </w:p>
                    <w:p w14:paraId="63ACC352" w14:textId="145C20BA" w:rsidR="007C581C" w:rsidRPr="00DC4FD0" w:rsidRDefault="007C581C" w:rsidP="00825C4D">
                      <w:pPr>
                        <w:pStyle w:val="TLKontakty"/>
                        <w:spacing w:after="80" w:line="240" w:lineRule="auto"/>
                        <w:rPr>
                          <w:b w:val="0"/>
                          <w:color w:val="auto"/>
                          <w:lang w:val="fr-FR"/>
                        </w:rPr>
                      </w:pPr>
                      <w:r w:rsidRPr="00DC4FD0">
                        <w:rPr>
                          <w:lang w:val="fr-FR"/>
                        </w:rPr>
                        <w:t>Brno</w:t>
                      </w:r>
                      <w:r w:rsidRPr="00DC4FD0">
                        <w:rPr>
                          <w:b w:val="0"/>
                          <w:color w:val="auto"/>
                          <w:lang w:val="fr-FR"/>
                        </w:rPr>
                        <w:t xml:space="preserve"> | Jezuitská 2, 601 59 Brno, ph.: 542 528 115, 542 528 200</w:t>
                      </w:r>
                    </w:p>
                    <w:p w14:paraId="75CE0AF6"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infoservisbrno@czso.cz | </w:t>
                      </w:r>
                      <w:r w:rsidRPr="00DC4FD0">
                        <w:rPr>
                          <w:color w:val="auto"/>
                          <w:lang w:val="fr-FR"/>
                        </w:rPr>
                        <w:t>www.brno.czso.cz</w:t>
                      </w:r>
                    </w:p>
                    <w:p w14:paraId="7C8767F7" w14:textId="77777777" w:rsidR="007C581C" w:rsidRPr="00DC4FD0" w:rsidRDefault="007C581C" w:rsidP="00825C4D">
                      <w:pPr>
                        <w:pStyle w:val="TLKontakty"/>
                        <w:spacing w:after="80" w:line="240" w:lineRule="auto"/>
                        <w:rPr>
                          <w:b w:val="0"/>
                          <w:color w:val="auto"/>
                          <w:lang w:val="fr-FR"/>
                        </w:rPr>
                      </w:pPr>
                    </w:p>
                    <w:p w14:paraId="71AC5E72" w14:textId="1E1CF7A2" w:rsidR="007C581C" w:rsidRPr="00DC4FD0" w:rsidRDefault="007C581C" w:rsidP="00825C4D">
                      <w:pPr>
                        <w:pStyle w:val="TLKontakty"/>
                        <w:spacing w:after="80" w:line="240" w:lineRule="auto"/>
                        <w:rPr>
                          <w:b w:val="0"/>
                          <w:color w:val="auto"/>
                          <w:lang w:val="fr-FR"/>
                        </w:rPr>
                      </w:pPr>
                      <w:r w:rsidRPr="00DC4FD0">
                        <w:rPr>
                          <w:lang w:val="fr-FR"/>
                        </w:rPr>
                        <w:t>Olomouc</w:t>
                      </w:r>
                      <w:r w:rsidRPr="00DC4FD0">
                        <w:rPr>
                          <w:b w:val="0"/>
                          <w:color w:val="auto"/>
                          <w:lang w:val="fr-FR"/>
                        </w:rPr>
                        <w:t xml:space="preserve"> | Jeremenkova 1142/42, 772 11 Olomouc, ph.: 585 731 516, 585 731 511</w:t>
                      </w:r>
                    </w:p>
                    <w:p w14:paraId="7CB03505"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infoservisolom@czso.cz | </w:t>
                      </w:r>
                      <w:r w:rsidRPr="00DC4FD0">
                        <w:rPr>
                          <w:color w:val="auto"/>
                          <w:lang w:val="fr-FR"/>
                        </w:rPr>
                        <w:t>www.olomouc.czso.cz</w:t>
                      </w:r>
                    </w:p>
                    <w:p w14:paraId="0EEEF987" w14:textId="77777777" w:rsidR="007C581C" w:rsidRPr="00DC4FD0" w:rsidRDefault="007C581C" w:rsidP="00825C4D">
                      <w:pPr>
                        <w:pStyle w:val="TLKontakty"/>
                        <w:spacing w:after="80" w:line="240" w:lineRule="auto"/>
                        <w:rPr>
                          <w:b w:val="0"/>
                          <w:color w:val="auto"/>
                          <w:lang w:val="fr-FR"/>
                        </w:rPr>
                      </w:pPr>
                    </w:p>
                    <w:p w14:paraId="00E77B80" w14:textId="50DFF128" w:rsidR="007C581C" w:rsidRPr="00DC4FD0" w:rsidRDefault="007C581C" w:rsidP="00825C4D">
                      <w:pPr>
                        <w:pStyle w:val="TLKontakty"/>
                        <w:spacing w:after="80" w:line="240" w:lineRule="auto"/>
                        <w:rPr>
                          <w:b w:val="0"/>
                          <w:color w:val="auto"/>
                          <w:lang w:val="fr-FR"/>
                        </w:rPr>
                      </w:pPr>
                      <w:r w:rsidRPr="00DC4FD0">
                        <w:rPr>
                          <w:lang w:val="fr-FR"/>
                        </w:rPr>
                        <w:t>Zlín</w:t>
                      </w:r>
                      <w:r w:rsidRPr="00DC4FD0">
                        <w:rPr>
                          <w:b w:val="0"/>
                          <w:color w:val="auto"/>
                          <w:lang w:val="fr-FR"/>
                        </w:rPr>
                        <w:t xml:space="preserve"> | tř. Tomáše Bati 1565, 761 76 Zlín, ph.: 577 004 932, 577 004 935</w:t>
                      </w:r>
                    </w:p>
                    <w:p w14:paraId="4B798D9B" w14:textId="77777777" w:rsidR="007C581C" w:rsidRPr="00DC4FD0" w:rsidRDefault="007C581C" w:rsidP="00825C4D">
                      <w:pPr>
                        <w:pStyle w:val="TLKontakty"/>
                        <w:spacing w:after="80" w:line="240" w:lineRule="auto"/>
                        <w:rPr>
                          <w:color w:val="auto"/>
                          <w:lang w:val="fr-FR"/>
                        </w:rPr>
                      </w:pPr>
                      <w:r w:rsidRPr="00DC4FD0">
                        <w:rPr>
                          <w:b w:val="0"/>
                          <w:color w:val="auto"/>
                          <w:lang w:val="fr-FR"/>
                        </w:rPr>
                        <w:t xml:space="preserve">e-mail: infoservis-zl@czso.cz | </w:t>
                      </w:r>
                      <w:r w:rsidRPr="00DC4FD0">
                        <w:rPr>
                          <w:color w:val="auto"/>
                          <w:lang w:val="fr-FR"/>
                        </w:rPr>
                        <w:t>www.zlin.czso.cz</w:t>
                      </w:r>
                    </w:p>
                    <w:p w14:paraId="113A3E51" w14:textId="77777777" w:rsidR="007C581C" w:rsidRPr="00DC4FD0" w:rsidRDefault="007C581C" w:rsidP="00095135">
                      <w:pPr>
                        <w:pStyle w:val="TLKontakty"/>
                        <w:spacing w:after="80" w:line="240" w:lineRule="auto"/>
                        <w:rPr>
                          <w:b w:val="0"/>
                          <w:color w:val="auto"/>
                          <w:lang w:val="fr-FR"/>
                        </w:rPr>
                      </w:pPr>
                    </w:p>
                    <w:p w14:paraId="0275618D" w14:textId="2B18FDF9" w:rsidR="007C581C" w:rsidRPr="00DC4FD0" w:rsidRDefault="007C581C" w:rsidP="00095135">
                      <w:pPr>
                        <w:pStyle w:val="TLKontakty"/>
                        <w:spacing w:after="80" w:line="240" w:lineRule="auto"/>
                        <w:rPr>
                          <w:b w:val="0"/>
                          <w:color w:val="auto"/>
                          <w:lang w:val="fr-FR"/>
                        </w:rPr>
                      </w:pPr>
                      <w:r w:rsidRPr="00DC4FD0">
                        <w:rPr>
                          <w:lang w:val="fr-FR"/>
                        </w:rPr>
                        <w:t>Ostrava</w:t>
                      </w:r>
                      <w:r w:rsidRPr="00DC4FD0">
                        <w:rPr>
                          <w:b w:val="0"/>
                          <w:color w:val="auto"/>
                          <w:lang w:val="fr-FR"/>
                        </w:rPr>
                        <w:t xml:space="preserve"> | Repinova 17, 702 03 Ostrava, ph.: 595 131 230, 595 131 232</w:t>
                      </w:r>
                    </w:p>
                    <w:p w14:paraId="6C2C1392" w14:textId="77777777" w:rsidR="007C581C" w:rsidRPr="00DC4FD0" w:rsidRDefault="007C581C" w:rsidP="00825C4D">
                      <w:pPr>
                        <w:pStyle w:val="TLKontakty"/>
                        <w:spacing w:after="80" w:line="240" w:lineRule="auto"/>
                        <w:rPr>
                          <w:b w:val="0"/>
                          <w:color w:val="auto"/>
                          <w:lang w:val="fr-FR"/>
                        </w:rPr>
                      </w:pPr>
                      <w:r w:rsidRPr="00DC4FD0">
                        <w:rPr>
                          <w:b w:val="0"/>
                          <w:color w:val="auto"/>
                          <w:lang w:val="fr-FR"/>
                        </w:rPr>
                        <w:t xml:space="preserve">e-mail: infoservis_ov@czso.cz | </w:t>
                      </w:r>
                      <w:r w:rsidRPr="00DC4FD0">
                        <w:rPr>
                          <w:color w:val="auto"/>
                          <w:lang w:val="fr-FR"/>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413EB828" w:rsidR="007C581C" w:rsidRPr="001239D6" w:rsidRDefault="007C581C" w:rsidP="00A16E1D">
                            <w:pPr>
                              <w:jc w:val="left"/>
                              <w:rPr>
                                <w:lang w:val="en-GB"/>
                              </w:rPr>
                            </w:pPr>
                            <w:r w:rsidRPr="00321924">
                              <w:br/>
                              <w:t xml:space="preserve">© </w:t>
                            </w:r>
                            <w:r w:rsidRPr="001239D6">
                              <w:rPr>
                                <w:lang w:val="en-GB"/>
                              </w:rPr>
                              <w:t>Czech Statistical Office, Prague, 2022</w:t>
                            </w:r>
                          </w:p>
                          <w:p w14:paraId="314CB98A" w14:textId="77777777" w:rsidR="007C581C" w:rsidRDefault="007C581C"/>
                          <w:p w14:paraId="6776AB5D" w14:textId="77777777" w:rsidR="007C581C" w:rsidRPr="00841D9F" w:rsidRDefault="007C581C"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7C581C" w:rsidRPr="00AF2852" w:rsidRDefault="007C581C"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413EB828" w:rsidR="007C581C" w:rsidRPr="001239D6" w:rsidRDefault="007C581C" w:rsidP="00A16E1D">
                      <w:pPr>
                        <w:jc w:val="left"/>
                        <w:rPr>
                          <w:lang w:val="en-GB"/>
                        </w:rPr>
                      </w:pPr>
                      <w:r w:rsidRPr="00321924">
                        <w:br/>
                        <w:t xml:space="preserve">© </w:t>
                      </w:r>
                      <w:r w:rsidRPr="001239D6">
                        <w:rPr>
                          <w:lang w:val="en-GB"/>
                        </w:rPr>
                        <w:t>Czech Statistical Office, Prague, 2022</w:t>
                      </w:r>
                    </w:p>
                    <w:p w14:paraId="314CB98A" w14:textId="77777777" w:rsidR="007C581C" w:rsidRDefault="007C581C"/>
                    <w:p w14:paraId="6776AB5D" w14:textId="77777777" w:rsidR="007C581C" w:rsidRPr="00841D9F" w:rsidRDefault="007C581C"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7C581C" w:rsidRPr="00AF2852" w:rsidRDefault="007C581C"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A2CF" w14:textId="77777777" w:rsidR="007C581C" w:rsidRPr="006557C0" w:rsidRDefault="007C581C" w:rsidP="006657AF">
                            <w:pPr>
                              <w:rPr>
                                <w:b/>
                                <w:bCs/>
                                <w:i/>
                                <w:sz w:val="24"/>
                                <w:lang w:val="en-GB"/>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09098EAF" w:rsidR="007C581C" w:rsidRPr="009A1902" w:rsidRDefault="007C581C" w:rsidP="000A3A2C">
                            <w:pPr>
                              <w:rPr>
                                <w:b/>
                                <w:bCs/>
                                <w:i/>
                                <w:sz w:val="2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5365A2CF" w14:textId="77777777" w:rsidR="007C581C" w:rsidRPr="006557C0" w:rsidRDefault="007C581C" w:rsidP="006657AF">
                      <w:pPr>
                        <w:rPr>
                          <w:b/>
                          <w:bCs/>
                          <w:i/>
                          <w:sz w:val="24"/>
                          <w:lang w:val="en-GB"/>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09098EAF" w:rsidR="007C581C" w:rsidRPr="009A1902" w:rsidRDefault="007C581C" w:rsidP="000A3A2C">
                      <w:pPr>
                        <w:rPr>
                          <w:b/>
                          <w:bCs/>
                          <w:i/>
                          <w:sz w:val="24"/>
                        </w:rPr>
                      </w:pP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54ED61F" w:rsidR="00867DAB" w:rsidRPr="001239D6" w:rsidRDefault="001239D6" w:rsidP="00867DAB">
          <w:pPr>
            <w:pStyle w:val="Obsah"/>
            <w:rPr>
              <w:lang w:val="en-GB"/>
            </w:rPr>
          </w:pPr>
          <w:r w:rsidRPr="001239D6">
            <w:rPr>
              <w:lang w:val="en-GB"/>
            </w:rPr>
            <w:t>Contents</w:t>
          </w:r>
        </w:p>
        <w:bookmarkStart w:id="0" w:name="_GoBack"/>
        <w:bookmarkEnd w:id="0"/>
        <w:p w14:paraId="6B7F7962" w14:textId="452A0DA3" w:rsidR="005C5FB1"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01437431" w:history="1">
            <w:r w:rsidR="005C5FB1" w:rsidRPr="004265C0">
              <w:rPr>
                <w:rStyle w:val="Hypertextovodkaz"/>
                <w:noProof/>
              </w:rPr>
              <w:t>1. </w:t>
            </w:r>
            <w:r w:rsidR="005C5FB1" w:rsidRPr="004265C0">
              <w:rPr>
                <w:rStyle w:val="Hypertextovodkaz"/>
                <w:noProof/>
                <w:lang w:val="en-GB"/>
              </w:rPr>
              <w:t>Summary</w:t>
            </w:r>
            <w:r w:rsidR="005C5FB1">
              <w:rPr>
                <w:noProof/>
                <w:webHidden/>
              </w:rPr>
              <w:tab/>
            </w:r>
            <w:r w:rsidR="005C5FB1">
              <w:rPr>
                <w:noProof/>
                <w:webHidden/>
              </w:rPr>
              <w:fldChar w:fldCharType="begin"/>
            </w:r>
            <w:r w:rsidR="005C5FB1">
              <w:rPr>
                <w:noProof/>
                <w:webHidden/>
              </w:rPr>
              <w:instrText xml:space="preserve"> PAGEREF _Toc101437431 \h </w:instrText>
            </w:r>
            <w:r w:rsidR="005C5FB1">
              <w:rPr>
                <w:noProof/>
                <w:webHidden/>
              </w:rPr>
            </w:r>
            <w:r w:rsidR="005C5FB1">
              <w:rPr>
                <w:noProof/>
                <w:webHidden/>
              </w:rPr>
              <w:fldChar w:fldCharType="separate"/>
            </w:r>
            <w:r w:rsidR="005C5FB1">
              <w:rPr>
                <w:noProof/>
                <w:webHidden/>
              </w:rPr>
              <w:t>4</w:t>
            </w:r>
            <w:r w:rsidR="005C5FB1">
              <w:rPr>
                <w:noProof/>
                <w:webHidden/>
              </w:rPr>
              <w:fldChar w:fldCharType="end"/>
            </w:r>
          </w:hyperlink>
        </w:p>
        <w:p w14:paraId="14608D21" w14:textId="36E0FFC7" w:rsidR="005C5FB1" w:rsidRDefault="005C5FB1">
          <w:pPr>
            <w:pStyle w:val="Obsah1"/>
            <w:rPr>
              <w:rFonts w:asciiTheme="minorHAnsi" w:eastAsiaTheme="minorEastAsia" w:hAnsiTheme="minorHAnsi" w:cstheme="minorBidi"/>
              <w:noProof/>
              <w:sz w:val="22"/>
              <w:szCs w:val="22"/>
            </w:rPr>
          </w:pPr>
          <w:hyperlink w:anchor="_Toc101437432" w:history="1">
            <w:r w:rsidRPr="004265C0">
              <w:rPr>
                <w:rStyle w:val="Hypertextovodkaz"/>
                <w:noProof/>
              </w:rPr>
              <w:t>2. </w:t>
            </w:r>
            <w:r w:rsidRPr="004265C0">
              <w:rPr>
                <w:rStyle w:val="Hypertextovodkaz"/>
                <w:noProof/>
                <w:lang w:val="en-GB"/>
              </w:rPr>
              <w:t>Overall Economic Performance</w:t>
            </w:r>
            <w:r>
              <w:rPr>
                <w:noProof/>
                <w:webHidden/>
              </w:rPr>
              <w:tab/>
            </w:r>
            <w:r>
              <w:rPr>
                <w:noProof/>
                <w:webHidden/>
              </w:rPr>
              <w:fldChar w:fldCharType="begin"/>
            </w:r>
            <w:r>
              <w:rPr>
                <w:noProof/>
                <w:webHidden/>
              </w:rPr>
              <w:instrText xml:space="preserve"> PAGEREF _Toc101437432 \h </w:instrText>
            </w:r>
            <w:r>
              <w:rPr>
                <w:noProof/>
                <w:webHidden/>
              </w:rPr>
            </w:r>
            <w:r>
              <w:rPr>
                <w:noProof/>
                <w:webHidden/>
              </w:rPr>
              <w:fldChar w:fldCharType="separate"/>
            </w:r>
            <w:r>
              <w:rPr>
                <w:noProof/>
                <w:webHidden/>
              </w:rPr>
              <w:t>6</w:t>
            </w:r>
            <w:r>
              <w:rPr>
                <w:noProof/>
                <w:webHidden/>
              </w:rPr>
              <w:fldChar w:fldCharType="end"/>
            </w:r>
          </w:hyperlink>
        </w:p>
        <w:p w14:paraId="5712ED73" w14:textId="1CD652DC" w:rsidR="005C5FB1" w:rsidRDefault="005C5FB1">
          <w:pPr>
            <w:pStyle w:val="Obsah1"/>
            <w:rPr>
              <w:rFonts w:asciiTheme="minorHAnsi" w:eastAsiaTheme="minorEastAsia" w:hAnsiTheme="minorHAnsi" w:cstheme="minorBidi"/>
              <w:noProof/>
              <w:sz w:val="22"/>
              <w:szCs w:val="22"/>
            </w:rPr>
          </w:pPr>
          <w:hyperlink w:anchor="_Toc101437433" w:history="1">
            <w:r w:rsidRPr="004265C0">
              <w:rPr>
                <w:rStyle w:val="Hypertextovodkaz"/>
                <w:noProof/>
              </w:rPr>
              <w:t>3. </w:t>
            </w:r>
            <w:r w:rsidRPr="004265C0">
              <w:rPr>
                <w:rStyle w:val="Hypertextovodkaz"/>
                <w:noProof/>
                <w:lang w:val="en-GB"/>
              </w:rPr>
              <w:t>Branches Performance</w:t>
            </w:r>
            <w:r>
              <w:rPr>
                <w:noProof/>
                <w:webHidden/>
              </w:rPr>
              <w:tab/>
            </w:r>
            <w:r>
              <w:rPr>
                <w:noProof/>
                <w:webHidden/>
              </w:rPr>
              <w:fldChar w:fldCharType="begin"/>
            </w:r>
            <w:r>
              <w:rPr>
                <w:noProof/>
                <w:webHidden/>
              </w:rPr>
              <w:instrText xml:space="preserve"> PAGEREF _Toc101437433 \h </w:instrText>
            </w:r>
            <w:r>
              <w:rPr>
                <w:noProof/>
                <w:webHidden/>
              </w:rPr>
            </w:r>
            <w:r>
              <w:rPr>
                <w:noProof/>
                <w:webHidden/>
              </w:rPr>
              <w:fldChar w:fldCharType="separate"/>
            </w:r>
            <w:r>
              <w:rPr>
                <w:noProof/>
                <w:webHidden/>
              </w:rPr>
              <w:t>12</w:t>
            </w:r>
            <w:r>
              <w:rPr>
                <w:noProof/>
                <w:webHidden/>
              </w:rPr>
              <w:fldChar w:fldCharType="end"/>
            </w:r>
          </w:hyperlink>
        </w:p>
        <w:p w14:paraId="0C2C330A" w14:textId="2BE38E47" w:rsidR="005C5FB1" w:rsidRDefault="005C5FB1">
          <w:pPr>
            <w:pStyle w:val="Obsah1"/>
            <w:rPr>
              <w:rFonts w:asciiTheme="minorHAnsi" w:eastAsiaTheme="minorEastAsia" w:hAnsiTheme="minorHAnsi" w:cstheme="minorBidi"/>
              <w:noProof/>
              <w:sz w:val="22"/>
              <w:szCs w:val="22"/>
            </w:rPr>
          </w:pPr>
          <w:hyperlink w:anchor="_Toc101437434" w:history="1">
            <w:r w:rsidRPr="004265C0">
              <w:rPr>
                <w:rStyle w:val="Hypertextovodkaz"/>
                <w:noProof/>
              </w:rPr>
              <w:t>4. </w:t>
            </w:r>
            <w:r w:rsidRPr="004265C0">
              <w:rPr>
                <w:rStyle w:val="Hypertextovodkaz"/>
                <w:noProof/>
                <w:lang w:val="en-GB"/>
              </w:rPr>
              <w:t>External Relations</w:t>
            </w:r>
            <w:r>
              <w:rPr>
                <w:noProof/>
                <w:webHidden/>
              </w:rPr>
              <w:tab/>
            </w:r>
            <w:r>
              <w:rPr>
                <w:noProof/>
                <w:webHidden/>
              </w:rPr>
              <w:fldChar w:fldCharType="begin"/>
            </w:r>
            <w:r>
              <w:rPr>
                <w:noProof/>
                <w:webHidden/>
              </w:rPr>
              <w:instrText xml:space="preserve"> PAGEREF _Toc101437434 \h </w:instrText>
            </w:r>
            <w:r>
              <w:rPr>
                <w:noProof/>
                <w:webHidden/>
              </w:rPr>
            </w:r>
            <w:r>
              <w:rPr>
                <w:noProof/>
                <w:webHidden/>
              </w:rPr>
              <w:fldChar w:fldCharType="separate"/>
            </w:r>
            <w:r>
              <w:rPr>
                <w:noProof/>
                <w:webHidden/>
              </w:rPr>
              <w:t>21</w:t>
            </w:r>
            <w:r>
              <w:rPr>
                <w:noProof/>
                <w:webHidden/>
              </w:rPr>
              <w:fldChar w:fldCharType="end"/>
            </w:r>
          </w:hyperlink>
        </w:p>
        <w:p w14:paraId="16AECD71" w14:textId="298D5A57" w:rsidR="005C5FB1" w:rsidRDefault="005C5FB1">
          <w:pPr>
            <w:pStyle w:val="Obsah1"/>
            <w:rPr>
              <w:rFonts w:asciiTheme="minorHAnsi" w:eastAsiaTheme="minorEastAsia" w:hAnsiTheme="minorHAnsi" w:cstheme="minorBidi"/>
              <w:noProof/>
              <w:sz w:val="22"/>
              <w:szCs w:val="22"/>
            </w:rPr>
          </w:pPr>
          <w:hyperlink w:anchor="_Toc101437435" w:history="1">
            <w:r w:rsidRPr="004265C0">
              <w:rPr>
                <w:rStyle w:val="Hypertextovodkaz"/>
                <w:noProof/>
              </w:rPr>
              <w:t>5. </w:t>
            </w:r>
            <w:r w:rsidRPr="004265C0">
              <w:rPr>
                <w:rStyle w:val="Hypertextovodkaz"/>
                <w:noProof/>
                <w:lang w:val="en-GB"/>
              </w:rPr>
              <w:t>Prices</w:t>
            </w:r>
            <w:r>
              <w:rPr>
                <w:noProof/>
                <w:webHidden/>
              </w:rPr>
              <w:tab/>
            </w:r>
            <w:r>
              <w:rPr>
                <w:noProof/>
                <w:webHidden/>
              </w:rPr>
              <w:fldChar w:fldCharType="begin"/>
            </w:r>
            <w:r>
              <w:rPr>
                <w:noProof/>
                <w:webHidden/>
              </w:rPr>
              <w:instrText xml:space="preserve"> PAGEREF _Toc101437435 \h </w:instrText>
            </w:r>
            <w:r>
              <w:rPr>
                <w:noProof/>
                <w:webHidden/>
              </w:rPr>
            </w:r>
            <w:r>
              <w:rPr>
                <w:noProof/>
                <w:webHidden/>
              </w:rPr>
              <w:fldChar w:fldCharType="separate"/>
            </w:r>
            <w:r>
              <w:rPr>
                <w:noProof/>
                <w:webHidden/>
              </w:rPr>
              <w:t>25</w:t>
            </w:r>
            <w:r>
              <w:rPr>
                <w:noProof/>
                <w:webHidden/>
              </w:rPr>
              <w:fldChar w:fldCharType="end"/>
            </w:r>
          </w:hyperlink>
        </w:p>
        <w:p w14:paraId="4B0C347A" w14:textId="34429F73" w:rsidR="005C5FB1" w:rsidRDefault="005C5FB1">
          <w:pPr>
            <w:pStyle w:val="Obsah1"/>
            <w:rPr>
              <w:rFonts w:asciiTheme="minorHAnsi" w:eastAsiaTheme="minorEastAsia" w:hAnsiTheme="minorHAnsi" w:cstheme="minorBidi"/>
              <w:noProof/>
              <w:sz w:val="22"/>
              <w:szCs w:val="22"/>
            </w:rPr>
          </w:pPr>
          <w:hyperlink w:anchor="_Toc101437436" w:history="1">
            <w:r w:rsidRPr="004265C0">
              <w:rPr>
                <w:rStyle w:val="Hypertextovodkaz"/>
                <w:noProof/>
              </w:rPr>
              <w:t>6. </w:t>
            </w:r>
            <w:r w:rsidRPr="004265C0">
              <w:rPr>
                <w:rStyle w:val="Hypertextovodkaz"/>
                <w:noProof/>
                <w:lang w:val="en-GB"/>
              </w:rPr>
              <w:t>Labour Market</w:t>
            </w:r>
            <w:r>
              <w:rPr>
                <w:noProof/>
                <w:webHidden/>
              </w:rPr>
              <w:tab/>
            </w:r>
            <w:r>
              <w:rPr>
                <w:noProof/>
                <w:webHidden/>
              </w:rPr>
              <w:fldChar w:fldCharType="begin"/>
            </w:r>
            <w:r>
              <w:rPr>
                <w:noProof/>
                <w:webHidden/>
              </w:rPr>
              <w:instrText xml:space="preserve"> PAGEREF _Toc101437436 \h </w:instrText>
            </w:r>
            <w:r>
              <w:rPr>
                <w:noProof/>
                <w:webHidden/>
              </w:rPr>
            </w:r>
            <w:r>
              <w:rPr>
                <w:noProof/>
                <w:webHidden/>
              </w:rPr>
              <w:fldChar w:fldCharType="separate"/>
            </w:r>
            <w:r>
              <w:rPr>
                <w:noProof/>
                <w:webHidden/>
              </w:rPr>
              <w:t>32</w:t>
            </w:r>
            <w:r>
              <w:rPr>
                <w:noProof/>
                <w:webHidden/>
              </w:rPr>
              <w:fldChar w:fldCharType="end"/>
            </w:r>
          </w:hyperlink>
        </w:p>
        <w:p w14:paraId="2E4610A7" w14:textId="637AC21D" w:rsidR="005C5FB1" w:rsidRDefault="005C5FB1">
          <w:pPr>
            <w:pStyle w:val="Obsah1"/>
            <w:rPr>
              <w:rFonts w:asciiTheme="minorHAnsi" w:eastAsiaTheme="minorEastAsia" w:hAnsiTheme="minorHAnsi" w:cstheme="minorBidi"/>
              <w:noProof/>
              <w:sz w:val="22"/>
              <w:szCs w:val="22"/>
            </w:rPr>
          </w:pPr>
          <w:hyperlink w:anchor="_Toc101437437" w:history="1">
            <w:r w:rsidRPr="004265C0">
              <w:rPr>
                <w:rStyle w:val="Hypertextovodkaz"/>
                <w:noProof/>
              </w:rPr>
              <w:t>7. </w:t>
            </w:r>
            <w:r w:rsidRPr="004265C0">
              <w:rPr>
                <w:rStyle w:val="Hypertextovodkaz"/>
                <w:noProof/>
                <w:lang w:val="en-GB"/>
              </w:rPr>
              <w:t>Monetary Conditions</w:t>
            </w:r>
            <w:r>
              <w:rPr>
                <w:noProof/>
                <w:webHidden/>
              </w:rPr>
              <w:tab/>
            </w:r>
            <w:r>
              <w:rPr>
                <w:noProof/>
                <w:webHidden/>
              </w:rPr>
              <w:fldChar w:fldCharType="begin"/>
            </w:r>
            <w:r>
              <w:rPr>
                <w:noProof/>
                <w:webHidden/>
              </w:rPr>
              <w:instrText xml:space="preserve"> PAGEREF _Toc101437437 \h </w:instrText>
            </w:r>
            <w:r>
              <w:rPr>
                <w:noProof/>
                <w:webHidden/>
              </w:rPr>
            </w:r>
            <w:r>
              <w:rPr>
                <w:noProof/>
                <w:webHidden/>
              </w:rPr>
              <w:fldChar w:fldCharType="separate"/>
            </w:r>
            <w:r>
              <w:rPr>
                <w:noProof/>
                <w:webHidden/>
              </w:rPr>
              <w:t>38</w:t>
            </w:r>
            <w:r>
              <w:rPr>
                <w:noProof/>
                <w:webHidden/>
              </w:rPr>
              <w:fldChar w:fldCharType="end"/>
            </w:r>
          </w:hyperlink>
        </w:p>
        <w:p w14:paraId="50F99276" w14:textId="0268DBA5" w:rsidR="005C5FB1" w:rsidRDefault="005C5FB1">
          <w:pPr>
            <w:pStyle w:val="Obsah1"/>
            <w:rPr>
              <w:rFonts w:asciiTheme="minorHAnsi" w:eastAsiaTheme="minorEastAsia" w:hAnsiTheme="minorHAnsi" w:cstheme="minorBidi"/>
              <w:noProof/>
              <w:sz w:val="22"/>
              <w:szCs w:val="22"/>
            </w:rPr>
          </w:pPr>
          <w:hyperlink w:anchor="_Toc101437438" w:history="1">
            <w:r w:rsidRPr="004265C0">
              <w:rPr>
                <w:rStyle w:val="Hypertextovodkaz"/>
                <w:noProof/>
              </w:rPr>
              <w:t>8. </w:t>
            </w:r>
            <w:r w:rsidRPr="004265C0">
              <w:rPr>
                <w:rStyle w:val="Hypertextovodkaz"/>
                <w:noProof/>
                <w:lang w:val="en-GB"/>
              </w:rPr>
              <w:t>State Budget</w:t>
            </w:r>
            <w:r>
              <w:rPr>
                <w:noProof/>
                <w:webHidden/>
              </w:rPr>
              <w:tab/>
            </w:r>
            <w:r>
              <w:rPr>
                <w:noProof/>
                <w:webHidden/>
              </w:rPr>
              <w:fldChar w:fldCharType="begin"/>
            </w:r>
            <w:r>
              <w:rPr>
                <w:noProof/>
                <w:webHidden/>
              </w:rPr>
              <w:instrText xml:space="preserve"> PAGEREF _Toc101437438 \h </w:instrText>
            </w:r>
            <w:r>
              <w:rPr>
                <w:noProof/>
                <w:webHidden/>
              </w:rPr>
            </w:r>
            <w:r>
              <w:rPr>
                <w:noProof/>
                <w:webHidden/>
              </w:rPr>
              <w:fldChar w:fldCharType="separate"/>
            </w:r>
            <w:r>
              <w:rPr>
                <w:noProof/>
                <w:webHidden/>
              </w:rPr>
              <w:t>40</w:t>
            </w:r>
            <w:r>
              <w:rPr>
                <w:noProof/>
                <w:webHidden/>
              </w:rPr>
              <w:fldChar w:fldCharType="end"/>
            </w:r>
          </w:hyperlink>
        </w:p>
        <w:p w14:paraId="39BB97E5" w14:textId="7D66CAD0"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27AFDDD8" w14:textId="621B5310" w:rsidR="001239D6" w:rsidRPr="00A17559" w:rsidRDefault="001239D6" w:rsidP="001239D6">
      <w:pPr>
        <w:pStyle w:val="Textpoznpodarou"/>
        <w:jc w:val="both"/>
        <w:rPr>
          <w:rFonts w:cs="Arial"/>
          <w:color w:val="000000"/>
          <w:lang w:val="en-GB"/>
        </w:rPr>
      </w:pPr>
      <w:r w:rsidRPr="00A17559">
        <w:rPr>
          <w:rFonts w:cs="Arial"/>
          <w:color w:val="000000"/>
          <w:lang w:val="en-GB"/>
        </w:rPr>
        <w:t xml:space="preserve">Source of data in the whole analysis: </w:t>
      </w:r>
      <w:r>
        <w:rPr>
          <w:rFonts w:cs="Arial"/>
          <w:color w:val="000000"/>
          <w:lang w:val="en-GB"/>
        </w:rPr>
        <w:t>Czech Statistical Office (</w:t>
      </w:r>
      <w:r w:rsidRPr="00A17559">
        <w:rPr>
          <w:rFonts w:cs="Arial"/>
          <w:color w:val="000000"/>
          <w:lang w:val="en-GB"/>
        </w:rPr>
        <w:t>CZSO</w:t>
      </w:r>
      <w:r>
        <w:rPr>
          <w:rFonts w:cs="Arial"/>
          <w:color w:val="000000"/>
          <w:lang w:val="en-GB"/>
        </w:rPr>
        <w:t>)</w:t>
      </w:r>
      <w:r w:rsidRPr="00A17559">
        <w:rPr>
          <w:rFonts w:cs="Arial"/>
          <w:color w:val="000000"/>
          <w:lang w:val="en-GB"/>
        </w:rPr>
        <w:t xml:space="preserve">, </w:t>
      </w:r>
      <w:r>
        <w:rPr>
          <w:rFonts w:cs="Arial"/>
          <w:color w:val="000000"/>
          <w:lang w:val="en-GB"/>
        </w:rPr>
        <w:t>Ministry of Finance (</w:t>
      </w:r>
      <w:r w:rsidRPr="00A17559">
        <w:rPr>
          <w:rFonts w:cs="Arial"/>
          <w:color w:val="000000"/>
          <w:lang w:val="en-GB"/>
        </w:rPr>
        <w:t>MF CR</w:t>
      </w:r>
      <w:r>
        <w:rPr>
          <w:rFonts w:cs="Arial"/>
          <w:color w:val="000000"/>
          <w:lang w:val="en-GB"/>
        </w:rPr>
        <w:t>)</w:t>
      </w:r>
      <w:r w:rsidRPr="00A17559">
        <w:rPr>
          <w:rFonts w:cs="Arial"/>
          <w:color w:val="000000"/>
          <w:lang w:val="en-GB"/>
        </w:rPr>
        <w:t xml:space="preserve">, </w:t>
      </w:r>
      <w:r>
        <w:rPr>
          <w:rFonts w:cs="Arial"/>
          <w:color w:val="000000"/>
          <w:lang w:val="en-GB"/>
        </w:rPr>
        <w:t>Czech National Bank (</w:t>
      </w:r>
      <w:r w:rsidRPr="00A17559">
        <w:rPr>
          <w:rFonts w:cs="Arial"/>
          <w:color w:val="000000"/>
          <w:lang w:val="en-GB"/>
        </w:rPr>
        <w:t>CNB</w:t>
      </w:r>
      <w:r>
        <w:rPr>
          <w:rFonts w:cs="Arial"/>
          <w:color w:val="000000"/>
          <w:lang w:val="en-GB"/>
        </w:rPr>
        <w:t>)</w:t>
      </w:r>
      <w:r w:rsidRPr="00A17559">
        <w:rPr>
          <w:rFonts w:cs="Arial"/>
          <w:color w:val="000000"/>
          <w:lang w:val="en-GB"/>
        </w:rPr>
        <w:t xml:space="preserve">, </w:t>
      </w:r>
      <w:r>
        <w:rPr>
          <w:rFonts w:cs="Arial"/>
          <w:color w:val="000000"/>
          <w:lang w:val="en-GB"/>
        </w:rPr>
        <w:t>Ministry of Labour and Social Affairs (</w:t>
      </w:r>
      <w:r w:rsidRPr="00A17559">
        <w:rPr>
          <w:rFonts w:cs="Arial"/>
          <w:color w:val="000000"/>
          <w:lang w:val="en-GB"/>
        </w:rPr>
        <w:t>MLSA</w:t>
      </w:r>
      <w:r>
        <w:rPr>
          <w:rFonts w:cs="Arial"/>
          <w:color w:val="000000"/>
          <w:lang w:val="en-GB"/>
        </w:rPr>
        <w:t>),</w:t>
      </w:r>
      <w:r w:rsidR="009F2A54">
        <w:rPr>
          <w:rFonts w:cs="Arial"/>
          <w:color w:val="000000"/>
          <w:lang w:val="en-GB"/>
        </w:rPr>
        <w:t xml:space="preserve"> </w:t>
      </w:r>
      <w:r w:rsidR="009F2A54" w:rsidRPr="009F2A54">
        <w:rPr>
          <w:rFonts w:cs="Arial"/>
          <w:color w:val="000000"/>
          <w:lang w:val="en-GB"/>
        </w:rPr>
        <w:t>Czech Social Security Administration</w:t>
      </w:r>
      <w:r w:rsidR="009F2A54">
        <w:rPr>
          <w:rFonts w:cs="Arial"/>
          <w:color w:val="000000"/>
          <w:lang w:val="en-GB"/>
        </w:rPr>
        <w:t xml:space="preserve"> (CSSA), </w:t>
      </w:r>
      <w:r w:rsidRPr="00A17559">
        <w:rPr>
          <w:rFonts w:cs="Arial"/>
          <w:color w:val="000000"/>
          <w:lang w:val="en-GB"/>
        </w:rPr>
        <w:t>Eurostat, CZSO calculations.</w:t>
      </w:r>
    </w:p>
    <w:p w14:paraId="20DE753F" w14:textId="0D1C365F" w:rsidR="001239D6" w:rsidRPr="000A5DBC" w:rsidRDefault="001239D6" w:rsidP="001239D6">
      <w:pPr>
        <w:pStyle w:val="Textpoznpodarou"/>
        <w:jc w:val="both"/>
        <w:rPr>
          <w:rFonts w:cs="Arial"/>
          <w:color w:val="000000"/>
          <w:lang w:val="en-GB"/>
        </w:rPr>
      </w:pPr>
      <w:r w:rsidRPr="000A5DBC">
        <w:rPr>
          <w:rFonts w:cs="Arial"/>
          <w:color w:val="000000"/>
          <w:lang w:val="en-GB"/>
        </w:rPr>
        <w:t xml:space="preserve">Latest information provided in this report </w:t>
      </w:r>
      <w:proofErr w:type="gramStart"/>
      <w:r w:rsidRPr="000A5DBC">
        <w:rPr>
          <w:rFonts w:cs="Arial"/>
          <w:color w:val="000000"/>
          <w:lang w:val="en-GB"/>
        </w:rPr>
        <w:t>has been dated</w:t>
      </w:r>
      <w:proofErr w:type="gramEnd"/>
      <w:r w:rsidRPr="000A5DBC">
        <w:rPr>
          <w:rFonts w:cs="Arial"/>
          <w:color w:val="000000"/>
          <w:lang w:val="en-GB"/>
        </w:rPr>
        <w:t xml:space="preserve"> the 1</w:t>
      </w:r>
      <w:r w:rsidR="009F2A54">
        <w:rPr>
          <w:rFonts w:cs="Arial"/>
          <w:color w:val="000000"/>
          <w:lang w:val="en-GB"/>
        </w:rPr>
        <w:t>4</w:t>
      </w:r>
      <w:r w:rsidR="009F2A54" w:rsidRPr="009F2A54">
        <w:rPr>
          <w:rFonts w:cs="Arial"/>
          <w:color w:val="000000"/>
          <w:vertAlign w:val="superscript"/>
          <w:lang w:val="en-GB"/>
        </w:rPr>
        <w:t>th</w:t>
      </w:r>
      <w:r w:rsidR="009F2A54">
        <w:rPr>
          <w:rFonts w:cs="Arial"/>
          <w:color w:val="000000"/>
          <w:lang w:val="en-GB"/>
        </w:rPr>
        <w:t xml:space="preserve"> March </w:t>
      </w:r>
      <w:r w:rsidRPr="000A5DBC">
        <w:rPr>
          <w:rFonts w:cs="Arial"/>
          <w:color w:val="000000"/>
          <w:lang w:val="en-GB"/>
        </w:rPr>
        <w:t>202</w:t>
      </w:r>
      <w:r w:rsidR="009F2A54">
        <w:rPr>
          <w:rFonts w:cs="Arial"/>
          <w:color w:val="000000"/>
          <w:lang w:val="en-GB"/>
        </w:rPr>
        <w:t>2</w:t>
      </w:r>
      <w:r w:rsidRPr="000A5DBC">
        <w:rPr>
          <w:rFonts w:cs="Arial"/>
          <w:color w:val="000000"/>
          <w:lang w:val="en-GB"/>
        </w:rPr>
        <w:t>.</w:t>
      </w:r>
    </w:p>
    <w:p w14:paraId="38EBE8F7" w14:textId="77777777" w:rsidR="00003F5C" w:rsidRPr="009110F7" w:rsidRDefault="00003F5C" w:rsidP="00003F5C">
      <w:pPr>
        <w:pStyle w:val="Textpoznpodarou"/>
        <w:jc w:val="both"/>
        <w:rPr>
          <w:rFonts w:cs="Arial"/>
          <w:color w:val="000000"/>
        </w:rPr>
      </w:pP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1" w:name="_Toc97736114"/>
      <w:bookmarkStart w:id="2" w:name="_Toc444112494"/>
      <w:bookmarkStart w:id="3" w:name="_Toc511215208"/>
      <w:bookmarkStart w:id="4" w:name="_Toc26865017"/>
      <w:bookmarkStart w:id="5" w:name="_Toc74643854"/>
      <w:bookmarkStart w:id="6" w:name="_Toc66719928"/>
      <w:bookmarkStart w:id="7" w:name="_Toc19090676"/>
      <w:bookmarkStart w:id="8" w:name="_Toc58605372"/>
    </w:p>
    <w:p w14:paraId="187361FF" w14:textId="425D9363" w:rsidR="001777BA" w:rsidRPr="000D0237" w:rsidRDefault="001777BA" w:rsidP="001777BA">
      <w:pPr>
        <w:pStyle w:val="Nadpis1"/>
        <w:rPr>
          <w:lang w:val="en-GB"/>
        </w:rPr>
      </w:pPr>
      <w:bookmarkStart w:id="9" w:name="_Toc101437431"/>
      <w:r w:rsidRPr="00AF7277">
        <w:lastRenderedPageBreak/>
        <w:t>1. </w:t>
      </w:r>
      <w:r w:rsidRPr="000D0237">
        <w:rPr>
          <w:lang w:val="en-GB"/>
        </w:rPr>
        <w:t>S</w:t>
      </w:r>
      <w:r w:rsidR="00790943" w:rsidRPr="000D0237">
        <w:rPr>
          <w:lang w:val="en-GB"/>
        </w:rPr>
        <w:t>ummary</w:t>
      </w:r>
      <w:bookmarkEnd w:id="1"/>
      <w:bookmarkEnd w:id="9"/>
    </w:p>
    <w:p w14:paraId="1D834250" w14:textId="7A16DA17" w:rsidR="001777BA" w:rsidRPr="00464AF9" w:rsidRDefault="00464AF9" w:rsidP="001777BA">
      <w:pPr>
        <w:pStyle w:val="Normalodrka"/>
        <w:spacing w:after="120"/>
        <w:rPr>
          <w:spacing w:val="-4"/>
          <w:lang w:val="en-GB"/>
        </w:rPr>
      </w:pPr>
      <w:r w:rsidRPr="000D0237">
        <w:rPr>
          <w:spacing w:val="-4"/>
          <w:lang w:val="en-GB"/>
        </w:rPr>
        <w:t>The Gross</w:t>
      </w:r>
      <w:r w:rsidR="00790943" w:rsidRPr="000D0237">
        <w:rPr>
          <w:spacing w:val="-4"/>
          <w:lang w:val="en-GB"/>
        </w:rPr>
        <w:t xml:space="preserve"> </w:t>
      </w:r>
      <w:r w:rsidRPr="000D0237">
        <w:rPr>
          <w:spacing w:val="-4"/>
          <w:lang w:val="en-GB"/>
        </w:rPr>
        <w:t>domestic</w:t>
      </w:r>
      <w:r w:rsidR="00790943">
        <w:rPr>
          <w:spacing w:val="-4"/>
          <w:lang w:val="en-GB"/>
        </w:rPr>
        <w:t xml:space="preserve"> </w:t>
      </w:r>
      <w:r w:rsidRPr="00464AF9">
        <w:rPr>
          <w:spacing w:val="-4"/>
          <w:lang w:val="en-GB"/>
        </w:rPr>
        <w:t>product</w:t>
      </w:r>
      <w:r w:rsidR="00790943">
        <w:rPr>
          <w:spacing w:val="-4"/>
          <w:lang w:val="en-GB"/>
        </w:rPr>
        <w:t xml:space="preserve"> </w:t>
      </w:r>
      <w:r w:rsidRPr="00464AF9">
        <w:rPr>
          <w:spacing w:val="-4"/>
          <w:lang w:val="en-GB"/>
        </w:rPr>
        <w:t>(GDP)</w:t>
      </w:r>
      <w:r w:rsidR="00790943">
        <w:rPr>
          <w:spacing w:val="-4"/>
          <w:lang w:val="en-GB"/>
        </w:rPr>
        <w:t xml:space="preserve"> </w:t>
      </w:r>
      <w:r w:rsidRPr="00464AF9">
        <w:rPr>
          <w:spacing w:val="-4"/>
          <w:lang w:val="en-GB"/>
        </w:rPr>
        <w:t>went</w:t>
      </w:r>
      <w:r w:rsidR="00790943">
        <w:rPr>
          <w:spacing w:val="-4"/>
          <w:lang w:val="en-GB"/>
        </w:rPr>
        <w:t xml:space="preserve"> </w:t>
      </w:r>
      <w:r w:rsidRPr="00464AF9">
        <w:rPr>
          <w:spacing w:val="-4"/>
          <w:lang w:val="en-GB"/>
        </w:rPr>
        <w:t>up</w:t>
      </w:r>
      <w:r w:rsidR="00790943">
        <w:rPr>
          <w:spacing w:val="-4"/>
          <w:lang w:val="en-GB"/>
        </w:rPr>
        <w:t xml:space="preserve"> </w:t>
      </w:r>
      <w:r w:rsidRPr="00464AF9">
        <w:rPr>
          <w:spacing w:val="-4"/>
          <w:lang w:val="en-GB"/>
        </w:rPr>
        <w:t>by</w:t>
      </w:r>
      <w:r w:rsidR="00790943">
        <w:rPr>
          <w:spacing w:val="-4"/>
          <w:lang w:val="en-GB"/>
        </w:rPr>
        <w:t xml:space="preserve"> </w:t>
      </w:r>
      <w:r w:rsidR="001777BA" w:rsidRPr="00464AF9">
        <w:rPr>
          <w:spacing w:val="-4"/>
          <w:lang w:val="en-GB"/>
        </w:rPr>
        <w:t>3</w:t>
      </w:r>
      <w:r w:rsidR="009D3081">
        <w:rPr>
          <w:spacing w:val="-4"/>
          <w:lang w:val="en-GB"/>
        </w:rPr>
        <w:t>.</w:t>
      </w:r>
      <w:r w:rsidR="001777BA" w:rsidRPr="00464AF9">
        <w:rPr>
          <w:spacing w:val="-4"/>
          <w:lang w:val="en-GB"/>
        </w:rPr>
        <w:t>3%</w:t>
      </w:r>
      <w:r w:rsidR="001777BA" w:rsidRPr="00464AF9">
        <w:rPr>
          <w:rStyle w:val="Znakapoznpodarou"/>
          <w:spacing w:val="-4"/>
          <w:szCs w:val="20"/>
          <w:lang w:val="en-GB"/>
        </w:rPr>
        <w:footnoteReference w:id="1"/>
      </w:r>
      <w:r w:rsidRPr="00464AF9">
        <w:rPr>
          <w:spacing w:val="-4"/>
          <w:lang w:val="en-GB"/>
        </w:rPr>
        <w:t xml:space="preserve"> in 2021</w:t>
      </w:r>
      <w:r w:rsidR="001777BA" w:rsidRPr="00464AF9">
        <w:rPr>
          <w:spacing w:val="-4"/>
          <w:lang w:val="en-GB"/>
        </w:rPr>
        <w:t xml:space="preserve">. </w:t>
      </w:r>
      <w:r w:rsidR="009D3081">
        <w:rPr>
          <w:spacing w:val="-4"/>
          <w:lang w:val="en-GB"/>
        </w:rPr>
        <w:t xml:space="preserve">The domestic demand contributed the most, especially the capital </w:t>
      </w:r>
      <w:r w:rsidR="00790943">
        <w:rPr>
          <w:spacing w:val="-4"/>
          <w:lang w:val="en-GB"/>
        </w:rPr>
        <w:t xml:space="preserve">expenditure </w:t>
      </w:r>
      <w:r w:rsidR="009D3081">
        <w:rPr>
          <w:spacing w:val="-4"/>
          <w:lang w:val="en-GB"/>
        </w:rPr>
        <w:t xml:space="preserve">and household consumption. In contrast, the foreign demand decelerated the GDP growth, which was </w:t>
      </w:r>
      <w:r w:rsidR="008C17B6">
        <w:rPr>
          <w:spacing w:val="-4"/>
          <w:lang w:val="en-GB"/>
        </w:rPr>
        <w:t xml:space="preserve">associated with the disruption of global supply chains and consequent </w:t>
      </w:r>
      <w:r w:rsidR="001D129C">
        <w:rPr>
          <w:spacing w:val="-4"/>
          <w:lang w:val="en-GB"/>
        </w:rPr>
        <w:t>slowdown</w:t>
      </w:r>
      <w:r w:rsidR="008C17B6">
        <w:rPr>
          <w:spacing w:val="-4"/>
          <w:lang w:val="en-GB"/>
        </w:rPr>
        <w:t xml:space="preserve"> of domestic export oriented industrial production. The domestic economy </w:t>
      </w:r>
      <w:r w:rsidR="005C32E1">
        <w:rPr>
          <w:spacing w:val="-4"/>
          <w:lang w:val="en-GB"/>
        </w:rPr>
        <w:t>was lagging behind the year 2019 in real terms despite the growth. In Q</w:t>
      </w:r>
      <w:r w:rsidR="001777BA" w:rsidRPr="00464AF9">
        <w:rPr>
          <w:spacing w:val="-4"/>
          <w:lang w:val="en-GB"/>
        </w:rPr>
        <w:t>4</w:t>
      </w:r>
      <w:r w:rsidR="005C32E1">
        <w:rPr>
          <w:spacing w:val="-4"/>
          <w:lang w:val="en-GB"/>
        </w:rPr>
        <w:t xml:space="preserve"> </w:t>
      </w:r>
      <w:r w:rsidR="001777BA" w:rsidRPr="00464AF9">
        <w:rPr>
          <w:spacing w:val="-4"/>
          <w:lang w:val="en-GB"/>
        </w:rPr>
        <w:t>2021</w:t>
      </w:r>
      <w:r w:rsidR="005C32E1">
        <w:rPr>
          <w:spacing w:val="-4"/>
          <w:lang w:val="en-GB"/>
        </w:rPr>
        <w:t xml:space="preserve"> itself, the GDP grew by </w:t>
      </w:r>
      <w:r w:rsidR="001777BA" w:rsidRPr="00464AF9">
        <w:rPr>
          <w:spacing w:val="-4"/>
          <w:lang w:val="en-GB"/>
        </w:rPr>
        <w:t>3</w:t>
      </w:r>
      <w:r w:rsidR="005C32E1">
        <w:rPr>
          <w:spacing w:val="-4"/>
          <w:lang w:val="en-GB"/>
        </w:rPr>
        <w:t>.</w:t>
      </w:r>
      <w:r w:rsidR="001777BA" w:rsidRPr="00464AF9">
        <w:rPr>
          <w:spacing w:val="-4"/>
          <w:lang w:val="en-GB"/>
        </w:rPr>
        <w:t>6%</w:t>
      </w:r>
      <w:r w:rsidR="005C32E1">
        <w:rPr>
          <w:spacing w:val="-4"/>
          <w:lang w:val="en-GB"/>
        </w:rPr>
        <w:t xml:space="preserve"> year-on-year</w:t>
      </w:r>
      <w:r w:rsidR="001777BA" w:rsidRPr="00464AF9">
        <w:rPr>
          <w:spacing w:val="-4"/>
          <w:lang w:val="en-GB"/>
        </w:rPr>
        <w:t xml:space="preserve">. </w:t>
      </w:r>
      <w:r w:rsidR="00C110EA">
        <w:rPr>
          <w:spacing w:val="-4"/>
          <w:lang w:val="en-GB"/>
        </w:rPr>
        <w:t xml:space="preserve">It was again solely thanks to the domestic demand. The GDP grew by </w:t>
      </w:r>
      <w:r w:rsidR="001777BA" w:rsidRPr="00464AF9">
        <w:rPr>
          <w:spacing w:val="-4"/>
          <w:lang w:val="en-GB"/>
        </w:rPr>
        <w:t>0</w:t>
      </w:r>
      <w:r w:rsidR="00C110EA">
        <w:rPr>
          <w:spacing w:val="-4"/>
          <w:lang w:val="en-GB"/>
        </w:rPr>
        <w:t>.</w:t>
      </w:r>
      <w:r w:rsidR="001777BA" w:rsidRPr="00464AF9">
        <w:rPr>
          <w:spacing w:val="-4"/>
          <w:lang w:val="en-GB"/>
        </w:rPr>
        <w:t>9%</w:t>
      </w:r>
      <w:r w:rsidR="00C110EA">
        <w:rPr>
          <w:spacing w:val="-4"/>
          <w:lang w:val="en-GB"/>
        </w:rPr>
        <w:t xml:space="preserve"> compared to Q3 2021</w:t>
      </w:r>
      <w:r w:rsidR="001777BA" w:rsidRPr="00464AF9">
        <w:rPr>
          <w:spacing w:val="-4"/>
          <w:lang w:val="en-GB"/>
        </w:rPr>
        <w:t xml:space="preserve">. </w:t>
      </w:r>
      <w:r w:rsidR="00790943">
        <w:rPr>
          <w:spacing w:val="-4"/>
          <w:lang w:val="en-GB"/>
        </w:rPr>
        <w:t xml:space="preserve">Both consumption and capital expenditure however featured negative development </w:t>
      </w:r>
      <w:r w:rsidR="001777BA" w:rsidRPr="00464AF9">
        <w:rPr>
          <w:spacing w:val="-4"/>
          <w:lang w:val="en-GB"/>
        </w:rPr>
        <w:t>a</w:t>
      </w:r>
      <w:r w:rsidR="00790943">
        <w:rPr>
          <w:spacing w:val="-4"/>
          <w:lang w:val="en-GB"/>
        </w:rPr>
        <w:t xml:space="preserve">nd only the development of the foreign demand contributed to the growth. </w:t>
      </w:r>
      <w:r w:rsidR="000D0237">
        <w:rPr>
          <w:spacing w:val="-4"/>
          <w:lang w:val="en-GB"/>
        </w:rPr>
        <w:t xml:space="preserve">The Czech Republic ranked </w:t>
      </w:r>
      <w:proofErr w:type="gramStart"/>
      <w:r w:rsidR="000D0237">
        <w:rPr>
          <w:spacing w:val="-4"/>
          <w:lang w:val="en-GB"/>
        </w:rPr>
        <w:t>among the countries with below average year-on-year GDP growth within the EU states in Q4</w:t>
      </w:r>
      <w:proofErr w:type="gramEnd"/>
      <w:r w:rsidR="000D0237">
        <w:rPr>
          <w:spacing w:val="-4"/>
          <w:lang w:val="en-GB"/>
        </w:rPr>
        <w:t xml:space="preserve">. The GDP grew by </w:t>
      </w:r>
      <w:r w:rsidR="001777BA" w:rsidRPr="00464AF9">
        <w:rPr>
          <w:spacing w:val="-4"/>
          <w:lang w:val="en-GB"/>
        </w:rPr>
        <w:t>4</w:t>
      </w:r>
      <w:r w:rsidR="000D0237">
        <w:rPr>
          <w:spacing w:val="-4"/>
          <w:lang w:val="en-GB"/>
        </w:rPr>
        <w:t>.</w:t>
      </w:r>
      <w:r w:rsidR="001777BA" w:rsidRPr="00464AF9">
        <w:rPr>
          <w:spacing w:val="-4"/>
          <w:lang w:val="en-GB"/>
        </w:rPr>
        <w:t>8%</w:t>
      </w:r>
      <w:r w:rsidR="00B3385E">
        <w:rPr>
          <w:spacing w:val="-4"/>
          <w:lang w:val="en-GB"/>
        </w:rPr>
        <w:t xml:space="preserve"> in the EU year-on-year</w:t>
      </w:r>
      <w:r w:rsidR="001777BA" w:rsidRPr="00464AF9">
        <w:rPr>
          <w:spacing w:val="-4"/>
          <w:lang w:val="en-GB"/>
        </w:rPr>
        <w:t xml:space="preserve">. </w:t>
      </w:r>
      <w:r w:rsidR="001D129C">
        <w:rPr>
          <w:spacing w:val="-4"/>
          <w:lang w:val="en-GB"/>
        </w:rPr>
        <w:t xml:space="preserve">Quarter-on-quarter, the GDP increased by </w:t>
      </w:r>
      <w:r w:rsidR="001777BA" w:rsidRPr="00464AF9">
        <w:rPr>
          <w:spacing w:val="-4"/>
          <w:lang w:val="en-GB"/>
        </w:rPr>
        <w:t>0</w:t>
      </w:r>
      <w:r w:rsidR="001D129C">
        <w:rPr>
          <w:spacing w:val="-4"/>
          <w:lang w:val="en-GB"/>
        </w:rPr>
        <w:t>.</w:t>
      </w:r>
      <w:r w:rsidR="001777BA" w:rsidRPr="00464AF9">
        <w:rPr>
          <w:spacing w:val="-4"/>
          <w:lang w:val="en-GB"/>
        </w:rPr>
        <w:t>4%</w:t>
      </w:r>
      <w:r w:rsidR="001D129C">
        <w:rPr>
          <w:spacing w:val="-4"/>
          <w:lang w:val="en-GB"/>
        </w:rPr>
        <w:t xml:space="preserve"> in the EU</w:t>
      </w:r>
      <w:r w:rsidR="001777BA" w:rsidRPr="00464AF9">
        <w:rPr>
          <w:spacing w:val="-4"/>
          <w:lang w:val="en-GB"/>
        </w:rPr>
        <w:t>.</w:t>
      </w:r>
    </w:p>
    <w:p w14:paraId="4F93C643" w14:textId="5C2720D8" w:rsidR="001777BA" w:rsidRPr="00E86E5D" w:rsidRDefault="00E86E5D" w:rsidP="001777BA">
      <w:pPr>
        <w:pStyle w:val="Normalodrka"/>
        <w:spacing w:after="120"/>
        <w:rPr>
          <w:spacing w:val="-4"/>
          <w:lang w:val="en-GB"/>
        </w:rPr>
      </w:pPr>
      <w:r>
        <w:rPr>
          <w:spacing w:val="-4"/>
          <w:lang w:val="en-GB"/>
        </w:rPr>
        <w:t xml:space="preserve">The Gross </w:t>
      </w:r>
      <w:r w:rsidR="00B3385E">
        <w:rPr>
          <w:spacing w:val="-4"/>
          <w:lang w:val="en-GB"/>
        </w:rPr>
        <w:t>value-added</w:t>
      </w:r>
      <w:r>
        <w:rPr>
          <w:spacing w:val="-4"/>
          <w:lang w:val="en-GB"/>
        </w:rPr>
        <w:t xml:space="preserve"> </w:t>
      </w:r>
      <w:r w:rsidR="001777BA" w:rsidRPr="00E86E5D">
        <w:rPr>
          <w:spacing w:val="-4"/>
          <w:lang w:val="en-GB"/>
        </w:rPr>
        <w:t>(</w:t>
      </w:r>
      <w:r>
        <w:rPr>
          <w:spacing w:val="-4"/>
          <w:lang w:val="en-GB"/>
        </w:rPr>
        <w:t>GVA</w:t>
      </w:r>
      <w:r w:rsidR="001777BA" w:rsidRPr="00E86E5D">
        <w:rPr>
          <w:spacing w:val="-4"/>
          <w:lang w:val="en-GB"/>
        </w:rPr>
        <w:t>)</w:t>
      </w:r>
      <w:r>
        <w:rPr>
          <w:spacing w:val="-4"/>
          <w:lang w:val="en-GB"/>
        </w:rPr>
        <w:t xml:space="preserve"> increased by </w:t>
      </w:r>
      <w:r w:rsidR="001777BA" w:rsidRPr="00E86E5D">
        <w:rPr>
          <w:spacing w:val="-4"/>
          <w:lang w:val="en-GB"/>
        </w:rPr>
        <w:t>3</w:t>
      </w:r>
      <w:r>
        <w:rPr>
          <w:spacing w:val="-4"/>
          <w:lang w:val="en-GB"/>
        </w:rPr>
        <w:t>.</w:t>
      </w:r>
      <w:r w:rsidR="001777BA" w:rsidRPr="00E86E5D">
        <w:rPr>
          <w:spacing w:val="-4"/>
          <w:lang w:val="en-GB"/>
        </w:rPr>
        <w:t>0%</w:t>
      </w:r>
      <w:r>
        <w:rPr>
          <w:spacing w:val="-4"/>
          <w:lang w:val="en-GB"/>
        </w:rPr>
        <w:t xml:space="preserve"> in year 2021</w:t>
      </w:r>
      <w:r w:rsidR="001777BA" w:rsidRPr="00E86E5D">
        <w:rPr>
          <w:spacing w:val="-4"/>
          <w:lang w:val="en-GB"/>
        </w:rPr>
        <w:t xml:space="preserve">. </w:t>
      </w:r>
      <w:r w:rsidR="00C976DD">
        <w:rPr>
          <w:spacing w:val="-4"/>
          <w:lang w:val="en-GB"/>
        </w:rPr>
        <w:t>It was for the main part due to services, especially p</w:t>
      </w:r>
      <w:r w:rsidR="00852421" w:rsidRPr="00852421">
        <w:rPr>
          <w:spacing w:val="-4"/>
          <w:lang w:val="en-GB"/>
        </w:rPr>
        <w:t>ublic administration, education, health and social work</w:t>
      </w:r>
      <w:r w:rsidR="001777BA" w:rsidRPr="00E86E5D">
        <w:rPr>
          <w:spacing w:val="-4"/>
          <w:lang w:val="en-GB"/>
        </w:rPr>
        <w:t xml:space="preserve"> </w:t>
      </w:r>
      <w:r w:rsidR="00852421">
        <w:rPr>
          <w:spacing w:val="-4"/>
          <w:lang w:val="en-GB"/>
        </w:rPr>
        <w:t xml:space="preserve">and gradually recovering trade, transportation, accommodation and food service, further </w:t>
      </w:r>
      <w:r w:rsidR="00C976DD">
        <w:rPr>
          <w:spacing w:val="-4"/>
          <w:lang w:val="en-GB"/>
        </w:rPr>
        <w:t>finance and insurance activities</w:t>
      </w:r>
      <w:r w:rsidR="00852421">
        <w:rPr>
          <w:spacing w:val="-4"/>
          <w:lang w:val="en-GB"/>
        </w:rPr>
        <w:t xml:space="preserve">. </w:t>
      </w:r>
      <w:r>
        <w:rPr>
          <w:spacing w:val="-4"/>
          <w:lang w:val="en-GB"/>
        </w:rPr>
        <w:t>Manufacturing also shared markedly on the GVA growth. Large part of</w:t>
      </w:r>
      <w:r w:rsidR="00C976DD">
        <w:rPr>
          <w:spacing w:val="-4"/>
          <w:lang w:val="en-GB"/>
        </w:rPr>
        <w:t xml:space="preserve"> branches of services as well as industry however still lagged in real terms behind the level from year </w:t>
      </w:r>
      <w:r w:rsidR="001777BA" w:rsidRPr="00E86E5D">
        <w:rPr>
          <w:spacing w:val="-4"/>
          <w:lang w:val="en-GB"/>
        </w:rPr>
        <w:t xml:space="preserve">2019. </w:t>
      </w:r>
      <w:r>
        <w:rPr>
          <w:spacing w:val="-4"/>
          <w:lang w:val="en-GB"/>
        </w:rPr>
        <w:t xml:space="preserve">The GVA increased by </w:t>
      </w:r>
      <w:r w:rsidR="001777BA" w:rsidRPr="00E86E5D">
        <w:rPr>
          <w:spacing w:val="-4"/>
          <w:lang w:val="en-GB"/>
        </w:rPr>
        <w:t>2</w:t>
      </w:r>
      <w:r>
        <w:rPr>
          <w:spacing w:val="-4"/>
          <w:lang w:val="en-GB"/>
        </w:rPr>
        <w:t>.</w:t>
      </w:r>
      <w:r w:rsidR="001777BA" w:rsidRPr="00E86E5D">
        <w:rPr>
          <w:spacing w:val="-4"/>
          <w:lang w:val="en-GB"/>
        </w:rPr>
        <w:t>9%</w:t>
      </w:r>
      <w:r>
        <w:rPr>
          <w:spacing w:val="-4"/>
          <w:lang w:val="en-GB"/>
        </w:rPr>
        <w:t xml:space="preserve"> year-on-year in Q4 2021 itself</w:t>
      </w:r>
      <w:r w:rsidR="001777BA" w:rsidRPr="00E86E5D">
        <w:rPr>
          <w:spacing w:val="-4"/>
          <w:lang w:val="en-GB"/>
        </w:rPr>
        <w:t xml:space="preserve">. </w:t>
      </w:r>
      <w:r w:rsidR="00C976DD">
        <w:rPr>
          <w:spacing w:val="-4"/>
          <w:lang w:val="en-GB"/>
        </w:rPr>
        <w:t xml:space="preserve">While the GVA of services grew towards the end of the year – the most the </w:t>
      </w:r>
      <w:r w:rsidR="00477DB5">
        <w:rPr>
          <w:spacing w:val="-4"/>
          <w:lang w:val="en-GB"/>
        </w:rPr>
        <w:t>division</w:t>
      </w:r>
      <w:r w:rsidR="00C976DD">
        <w:rPr>
          <w:spacing w:val="-4"/>
          <w:lang w:val="en-GB"/>
        </w:rPr>
        <w:t xml:space="preserve"> trade, transportation, accommodation and food service </w:t>
      </w:r>
      <w:proofErr w:type="gramStart"/>
      <w:r w:rsidR="00C976DD">
        <w:rPr>
          <w:spacing w:val="-4"/>
          <w:lang w:val="en-GB"/>
        </w:rPr>
        <w:t>and also</w:t>
      </w:r>
      <w:proofErr w:type="gramEnd"/>
      <w:r w:rsidR="00C976DD">
        <w:rPr>
          <w:spacing w:val="-4"/>
          <w:lang w:val="en-GB"/>
        </w:rPr>
        <w:t xml:space="preserve"> in other activities</w:t>
      </w:r>
      <w:r w:rsidR="001777BA" w:rsidRPr="00E86E5D">
        <w:rPr>
          <w:spacing w:val="-4"/>
          <w:lang w:val="en-GB"/>
        </w:rPr>
        <w:t xml:space="preserve">–, </w:t>
      </w:r>
      <w:r w:rsidR="00C976DD">
        <w:rPr>
          <w:spacing w:val="-4"/>
          <w:lang w:val="en-GB"/>
        </w:rPr>
        <w:t xml:space="preserve">manufacturing curbed the total GVA growth for the reason of prevailing difficulties with the supplies of components. </w:t>
      </w:r>
      <w:r w:rsidR="00903A0D">
        <w:rPr>
          <w:spacing w:val="-4"/>
          <w:lang w:val="en-GB"/>
        </w:rPr>
        <w:t xml:space="preserve">GVA </w:t>
      </w:r>
      <w:r w:rsidR="00F21E3B">
        <w:rPr>
          <w:spacing w:val="-4"/>
          <w:lang w:val="en-GB"/>
        </w:rPr>
        <w:t xml:space="preserve">grew by </w:t>
      </w:r>
      <w:r w:rsidR="001777BA" w:rsidRPr="00E86E5D">
        <w:rPr>
          <w:spacing w:val="-4"/>
          <w:lang w:val="en-GB"/>
        </w:rPr>
        <w:t>0</w:t>
      </w:r>
      <w:r w:rsidR="00F21E3B">
        <w:rPr>
          <w:spacing w:val="-4"/>
          <w:lang w:val="en-GB"/>
        </w:rPr>
        <w:t>.</w:t>
      </w:r>
      <w:r w:rsidR="001777BA" w:rsidRPr="00E86E5D">
        <w:rPr>
          <w:spacing w:val="-4"/>
          <w:lang w:val="en-GB"/>
        </w:rPr>
        <w:t>7%</w:t>
      </w:r>
      <w:r w:rsidR="00F21E3B">
        <w:rPr>
          <w:spacing w:val="-4"/>
          <w:lang w:val="en-GB"/>
        </w:rPr>
        <w:t xml:space="preserve"> quarter-on-quarter in Q4. </w:t>
      </w:r>
    </w:p>
    <w:p w14:paraId="7329D1F4" w14:textId="6972E24A" w:rsidR="001777BA" w:rsidRPr="0026718D" w:rsidRDefault="000842E9" w:rsidP="001777BA">
      <w:pPr>
        <w:pStyle w:val="Normalodrka"/>
        <w:spacing w:after="120"/>
        <w:rPr>
          <w:spacing w:val="-4"/>
          <w:lang w:val="en-GB"/>
        </w:rPr>
      </w:pPr>
      <w:r>
        <w:rPr>
          <w:spacing w:val="-4"/>
        </w:rPr>
        <w:t>Ex</w:t>
      </w:r>
      <w:r w:rsidRPr="000842E9">
        <w:rPr>
          <w:spacing w:val="-4"/>
          <w:lang w:val="en-GB"/>
        </w:rPr>
        <w:t xml:space="preserve">port </w:t>
      </w:r>
      <w:r w:rsidRPr="0026718D">
        <w:rPr>
          <w:spacing w:val="-4"/>
          <w:lang w:val="en-GB"/>
        </w:rPr>
        <w:t xml:space="preserve">of goods and services went up by </w:t>
      </w:r>
      <w:r w:rsidR="001777BA" w:rsidRPr="0026718D">
        <w:rPr>
          <w:spacing w:val="-4"/>
          <w:lang w:val="en-GB"/>
        </w:rPr>
        <w:t>5</w:t>
      </w:r>
      <w:r w:rsidRPr="0026718D">
        <w:rPr>
          <w:spacing w:val="-4"/>
          <w:lang w:val="en-GB"/>
        </w:rPr>
        <w:t>.</w:t>
      </w:r>
      <w:r w:rsidR="001777BA" w:rsidRPr="0026718D">
        <w:rPr>
          <w:spacing w:val="-4"/>
          <w:lang w:val="en-GB"/>
        </w:rPr>
        <w:t>0%</w:t>
      </w:r>
      <w:r w:rsidR="001777BA" w:rsidRPr="0026718D">
        <w:rPr>
          <w:rStyle w:val="Znakapoznpodarou"/>
          <w:lang w:val="en-GB"/>
        </w:rPr>
        <w:footnoteReference w:id="2"/>
      </w:r>
      <w:r w:rsidRPr="0026718D">
        <w:rPr>
          <w:spacing w:val="-4"/>
          <w:lang w:val="en-GB"/>
        </w:rPr>
        <w:t xml:space="preserve"> in real terms in 2021 and import by </w:t>
      </w:r>
      <w:r w:rsidR="001777BA" w:rsidRPr="0026718D">
        <w:rPr>
          <w:spacing w:val="-4"/>
          <w:lang w:val="en-GB"/>
        </w:rPr>
        <w:t>11</w:t>
      </w:r>
      <w:r w:rsidRPr="0026718D">
        <w:rPr>
          <w:spacing w:val="-4"/>
          <w:lang w:val="en-GB"/>
        </w:rPr>
        <w:t>.</w:t>
      </w:r>
      <w:r w:rsidR="001777BA" w:rsidRPr="0026718D">
        <w:rPr>
          <w:spacing w:val="-4"/>
          <w:lang w:val="en-GB"/>
        </w:rPr>
        <w:t xml:space="preserve">4%. </w:t>
      </w:r>
      <w:r w:rsidR="0026718D" w:rsidRPr="0026718D">
        <w:rPr>
          <w:spacing w:val="-4"/>
          <w:lang w:val="en-GB"/>
        </w:rPr>
        <w:t xml:space="preserve">Resulting balance reached surplus of </w:t>
      </w:r>
      <w:r w:rsidR="001777BA" w:rsidRPr="0026718D">
        <w:rPr>
          <w:spacing w:val="-4"/>
          <w:lang w:val="en-GB"/>
        </w:rPr>
        <w:t>185</w:t>
      </w:r>
      <w:r w:rsidR="0026718D" w:rsidRPr="0026718D">
        <w:rPr>
          <w:spacing w:val="-4"/>
          <w:lang w:val="en-GB"/>
        </w:rPr>
        <w:t>.</w:t>
      </w:r>
      <w:r w:rsidR="001777BA" w:rsidRPr="0026718D">
        <w:rPr>
          <w:spacing w:val="-4"/>
          <w:lang w:val="en-GB"/>
        </w:rPr>
        <w:t>2</w:t>
      </w:r>
      <w:r w:rsidR="0026718D" w:rsidRPr="0026718D">
        <w:rPr>
          <w:spacing w:val="-4"/>
          <w:lang w:val="en-GB"/>
        </w:rPr>
        <w:t xml:space="preserve"> CZK bn</w:t>
      </w:r>
      <w:r w:rsidR="001777BA" w:rsidRPr="0026718D">
        <w:rPr>
          <w:spacing w:val="-4"/>
          <w:lang w:val="en-GB"/>
        </w:rPr>
        <w:t xml:space="preserve">, </w:t>
      </w:r>
      <w:r w:rsidR="0026718D" w:rsidRPr="0026718D">
        <w:rPr>
          <w:spacing w:val="-4"/>
          <w:lang w:val="en-GB"/>
        </w:rPr>
        <w:t xml:space="preserve">which represented worsening by </w:t>
      </w:r>
      <w:r w:rsidR="001777BA" w:rsidRPr="0026718D">
        <w:rPr>
          <w:spacing w:val="-4"/>
          <w:lang w:val="en-GB"/>
        </w:rPr>
        <w:t>204</w:t>
      </w:r>
      <w:r w:rsidR="0026718D" w:rsidRPr="0026718D">
        <w:rPr>
          <w:spacing w:val="-4"/>
          <w:lang w:val="en-GB"/>
        </w:rPr>
        <w:t>.</w:t>
      </w:r>
      <w:r w:rsidR="001777BA" w:rsidRPr="0026718D">
        <w:rPr>
          <w:spacing w:val="-4"/>
          <w:lang w:val="en-GB"/>
        </w:rPr>
        <w:t>1</w:t>
      </w:r>
      <w:r w:rsidR="0026718D" w:rsidRPr="0026718D">
        <w:rPr>
          <w:spacing w:val="-4"/>
          <w:lang w:val="en-GB"/>
        </w:rPr>
        <w:t xml:space="preserve"> bn</w:t>
      </w:r>
      <w:r w:rsidR="001777BA" w:rsidRPr="0026718D">
        <w:rPr>
          <w:spacing w:val="-4"/>
          <w:lang w:val="en-GB"/>
        </w:rPr>
        <w:t xml:space="preserve">. </w:t>
      </w:r>
      <w:r w:rsidR="003F69BC">
        <w:rPr>
          <w:spacing w:val="-4"/>
          <w:lang w:val="en-GB"/>
        </w:rPr>
        <w:t xml:space="preserve">The export slumped by 5.7% year-on-year in Q4 itself, while import was higher by </w:t>
      </w:r>
      <w:r w:rsidR="001777BA" w:rsidRPr="0026718D">
        <w:rPr>
          <w:spacing w:val="-4"/>
          <w:lang w:val="en-GB"/>
        </w:rPr>
        <w:t>4</w:t>
      </w:r>
      <w:r w:rsidR="003F69BC">
        <w:rPr>
          <w:spacing w:val="-4"/>
          <w:lang w:val="en-GB"/>
        </w:rPr>
        <w:t>.</w:t>
      </w:r>
      <w:r w:rsidR="001777BA" w:rsidRPr="0026718D">
        <w:rPr>
          <w:spacing w:val="-4"/>
          <w:lang w:val="en-GB"/>
        </w:rPr>
        <w:t>0%.</w:t>
      </w:r>
      <w:r w:rsidR="003F69BC">
        <w:rPr>
          <w:spacing w:val="-4"/>
          <w:lang w:val="en-GB"/>
        </w:rPr>
        <w:t xml:space="preserve"> Resulting balance attained surplus of </w:t>
      </w:r>
      <w:r w:rsidR="001777BA" w:rsidRPr="0026718D">
        <w:rPr>
          <w:spacing w:val="-4"/>
          <w:lang w:val="en-GB"/>
        </w:rPr>
        <w:t>22</w:t>
      </w:r>
      <w:r w:rsidR="003F69BC">
        <w:rPr>
          <w:spacing w:val="-4"/>
          <w:lang w:val="en-GB"/>
        </w:rPr>
        <w:t>.</w:t>
      </w:r>
      <w:r w:rsidR="001777BA" w:rsidRPr="0026718D">
        <w:rPr>
          <w:spacing w:val="-4"/>
          <w:lang w:val="en-GB"/>
        </w:rPr>
        <w:t>5</w:t>
      </w:r>
      <w:r w:rsidR="003F69BC">
        <w:rPr>
          <w:spacing w:val="-4"/>
          <w:lang w:val="en-GB"/>
        </w:rPr>
        <w:t xml:space="preserve"> CZK bn, which was by </w:t>
      </w:r>
      <w:r w:rsidR="001777BA" w:rsidRPr="0026718D">
        <w:rPr>
          <w:spacing w:val="-4"/>
          <w:lang w:val="en-GB"/>
        </w:rPr>
        <w:t>122</w:t>
      </w:r>
      <w:r w:rsidR="003F69BC">
        <w:rPr>
          <w:spacing w:val="-4"/>
          <w:lang w:val="en-GB"/>
        </w:rPr>
        <w:t>.</w:t>
      </w:r>
      <w:r w:rsidR="001777BA" w:rsidRPr="0026718D">
        <w:rPr>
          <w:spacing w:val="-4"/>
          <w:lang w:val="en-GB"/>
        </w:rPr>
        <w:t>6</w:t>
      </w:r>
      <w:r w:rsidR="003F69BC">
        <w:rPr>
          <w:spacing w:val="-4"/>
          <w:lang w:val="en-GB"/>
        </w:rPr>
        <w:t xml:space="preserve"> bn year-on-year worse result. </w:t>
      </w:r>
      <w:r w:rsidR="00B62E55">
        <w:rPr>
          <w:spacing w:val="-4"/>
          <w:lang w:val="en-GB"/>
        </w:rPr>
        <w:t>Trade with oil and natural gas, basic metals and motor vehicles contributed the most to worsening of the balance of trade with goods in Q4</w:t>
      </w:r>
      <w:r w:rsidR="001777BA" w:rsidRPr="0026718D">
        <w:rPr>
          <w:spacing w:val="-4"/>
          <w:lang w:val="en-GB"/>
        </w:rPr>
        <w:t xml:space="preserve">. </w:t>
      </w:r>
      <w:r w:rsidR="00B62E55">
        <w:rPr>
          <w:spacing w:val="-4"/>
          <w:lang w:val="en-GB"/>
        </w:rPr>
        <w:t xml:space="preserve">On the contrary, the trade with electricity had a favourable effect. </w:t>
      </w:r>
    </w:p>
    <w:p w14:paraId="266860C6" w14:textId="3B1203F0" w:rsidR="001777BA" w:rsidRPr="0026718D" w:rsidRDefault="00FB00D6" w:rsidP="001777BA">
      <w:pPr>
        <w:pStyle w:val="Normalodrka"/>
        <w:spacing w:after="120"/>
        <w:rPr>
          <w:spacing w:val="-4"/>
          <w:lang w:val="en-GB"/>
        </w:rPr>
      </w:pPr>
      <w:r w:rsidRPr="0026718D">
        <w:rPr>
          <w:spacing w:val="-4"/>
          <w:lang w:val="en-GB"/>
        </w:rPr>
        <w:t xml:space="preserve">Price level </w:t>
      </w:r>
      <w:r w:rsidR="001777BA" w:rsidRPr="0026718D">
        <w:rPr>
          <w:spacing w:val="-4"/>
          <w:lang w:val="en-GB"/>
        </w:rPr>
        <w:t>(</w:t>
      </w:r>
      <w:r w:rsidR="002C2583">
        <w:rPr>
          <w:spacing w:val="-4"/>
          <w:lang w:val="en-GB"/>
        </w:rPr>
        <w:t>according to the GDP deflator</w:t>
      </w:r>
      <w:r w:rsidR="001777BA" w:rsidRPr="0026718D">
        <w:rPr>
          <w:spacing w:val="-4"/>
          <w:lang w:val="en-GB"/>
        </w:rPr>
        <w:t>)</w:t>
      </w:r>
      <w:r w:rsidR="002C2583">
        <w:rPr>
          <w:spacing w:val="-4"/>
          <w:lang w:val="en-GB"/>
        </w:rPr>
        <w:t xml:space="preserve"> increased in total by </w:t>
      </w:r>
      <w:r w:rsidR="001777BA" w:rsidRPr="0026718D">
        <w:rPr>
          <w:spacing w:val="-4"/>
          <w:lang w:val="en-GB"/>
        </w:rPr>
        <w:t>4</w:t>
      </w:r>
      <w:r w:rsidR="002C2583">
        <w:rPr>
          <w:spacing w:val="-4"/>
          <w:lang w:val="en-GB"/>
        </w:rPr>
        <w:t>.</w:t>
      </w:r>
      <w:r w:rsidR="001777BA" w:rsidRPr="0026718D">
        <w:rPr>
          <w:spacing w:val="-4"/>
          <w:lang w:val="en-GB"/>
        </w:rPr>
        <w:t>1%</w:t>
      </w:r>
      <w:r w:rsidR="002C2583">
        <w:rPr>
          <w:spacing w:val="-4"/>
          <w:lang w:val="en-GB"/>
        </w:rPr>
        <w:t xml:space="preserve"> in year 2021</w:t>
      </w:r>
      <w:r w:rsidR="001777BA" w:rsidRPr="0026718D">
        <w:rPr>
          <w:spacing w:val="-4"/>
          <w:lang w:val="en-GB"/>
        </w:rPr>
        <w:t xml:space="preserve">. </w:t>
      </w:r>
      <w:r w:rsidR="004A5AC1">
        <w:rPr>
          <w:spacing w:val="-4"/>
          <w:lang w:val="en-GB"/>
        </w:rPr>
        <w:t>In Q</w:t>
      </w:r>
      <w:r w:rsidR="001777BA" w:rsidRPr="0026718D">
        <w:rPr>
          <w:spacing w:val="-4"/>
          <w:lang w:val="en-GB"/>
        </w:rPr>
        <w:t>4</w:t>
      </w:r>
      <w:r w:rsidR="004A5AC1">
        <w:rPr>
          <w:spacing w:val="-4"/>
          <w:lang w:val="en-GB"/>
        </w:rPr>
        <w:t xml:space="preserve"> itself, the price grew </w:t>
      </w:r>
      <w:proofErr w:type="gramStart"/>
      <w:r w:rsidR="004A5AC1">
        <w:rPr>
          <w:spacing w:val="-4"/>
          <w:lang w:val="en-GB"/>
        </w:rPr>
        <w:t>by</w:t>
      </w:r>
      <w:proofErr w:type="gramEnd"/>
      <w:r w:rsidR="004A5AC1">
        <w:rPr>
          <w:spacing w:val="-4"/>
          <w:lang w:val="en-GB"/>
        </w:rPr>
        <w:t xml:space="preserve"> </w:t>
      </w:r>
      <w:r w:rsidR="001777BA" w:rsidRPr="0026718D">
        <w:rPr>
          <w:spacing w:val="-4"/>
          <w:lang w:val="en-GB"/>
        </w:rPr>
        <w:t>3</w:t>
      </w:r>
      <w:r w:rsidR="004A5AC1">
        <w:rPr>
          <w:spacing w:val="-4"/>
          <w:lang w:val="en-GB"/>
        </w:rPr>
        <w:t>.</w:t>
      </w:r>
      <w:r w:rsidR="001777BA" w:rsidRPr="0026718D">
        <w:rPr>
          <w:spacing w:val="-4"/>
          <w:lang w:val="en-GB"/>
        </w:rPr>
        <w:t>3%</w:t>
      </w:r>
      <w:r w:rsidR="004A5AC1">
        <w:rPr>
          <w:spacing w:val="-4"/>
          <w:lang w:val="en-GB"/>
        </w:rPr>
        <w:t xml:space="preserve"> year-on-year and it fell by </w:t>
      </w:r>
      <w:r w:rsidR="001777BA" w:rsidRPr="0026718D">
        <w:rPr>
          <w:spacing w:val="-4"/>
          <w:lang w:val="en-GB"/>
        </w:rPr>
        <w:t>0</w:t>
      </w:r>
      <w:r w:rsidR="004A5AC1">
        <w:rPr>
          <w:spacing w:val="-4"/>
          <w:lang w:val="en-GB"/>
        </w:rPr>
        <w:t>.</w:t>
      </w:r>
      <w:r w:rsidR="001777BA" w:rsidRPr="0026718D">
        <w:rPr>
          <w:spacing w:val="-4"/>
          <w:lang w:val="en-GB"/>
        </w:rPr>
        <w:t>6%</w:t>
      </w:r>
      <w:r w:rsidR="004A5AC1">
        <w:rPr>
          <w:spacing w:val="-4"/>
          <w:lang w:val="en-GB"/>
        </w:rPr>
        <w:t xml:space="preserve"> quarter-on-quarter</w:t>
      </w:r>
      <w:r w:rsidR="001777BA" w:rsidRPr="0026718D">
        <w:rPr>
          <w:spacing w:val="-4"/>
          <w:lang w:val="en-GB"/>
        </w:rPr>
        <w:t xml:space="preserve">. </w:t>
      </w:r>
      <w:r w:rsidR="004A5AC1">
        <w:rPr>
          <w:spacing w:val="-4"/>
          <w:lang w:val="en-GB"/>
        </w:rPr>
        <w:t xml:space="preserve">The year-on-year growth of the consumer prices accelerated throughout the whole year. They increased by </w:t>
      </w:r>
      <w:r w:rsidR="001777BA" w:rsidRPr="0026718D">
        <w:rPr>
          <w:spacing w:val="-4"/>
          <w:lang w:val="en-GB"/>
        </w:rPr>
        <w:t>3</w:t>
      </w:r>
      <w:r w:rsidR="004A5AC1">
        <w:rPr>
          <w:spacing w:val="-4"/>
          <w:lang w:val="en-GB"/>
        </w:rPr>
        <w:t>.</w:t>
      </w:r>
      <w:r w:rsidR="001777BA" w:rsidRPr="0026718D">
        <w:rPr>
          <w:spacing w:val="-4"/>
          <w:lang w:val="en-GB"/>
        </w:rPr>
        <w:t>8%</w:t>
      </w:r>
      <w:r w:rsidR="004A5AC1">
        <w:rPr>
          <w:spacing w:val="-4"/>
          <w:lang w:val="en-GB"/>
        </w:rPr>
        <w:t xml:space="preserve"> in total last year</w:t>
      </w:r>
      <w:r w:rsidR="001777BA" w:rsidRPr="0026718D">
        <w:rPr>
          <w:spacing w:val="-4"/>
          <w:lang w:val="en-GB"/>
        </w:rPr>
        <w:t>,</w:t>
      </w:r>
      <w:r w:rsidR="004A5AC1">
        <w:rPr>
          <w:spacing w:val="-4"/>
          <w:lang w:val="en-GB"/>
        </w:rPr>
        <w:t xml:space="preserve"> the most since year </w:t>
      </w:r>
      <w:r w:rsidR="001777BA" w:rsidRPr="0026718D">
        <w:rPr>
          <w:spacing w:val="-4"/>
          <w:lang w:val="en-GB"/>
        </w:rPr>
        <w:t xml:space="preserve">2008. </w:t>
      </w:r>
      <w:r w:rsidR="006044A3">
        <w:rPr>
          <w:spacing w:val="-4"/>
          <w:lang w:val="en-GB"/>
        </w:rPr>
        <w:t>Mainly the prices of transportation and housing and energies affected the sharp hike</w:t>
      </w:r>
      <w:r w:rsidR="001777BA" w:rsidRPr="0026718D">
        <w:rPr>
          <w:spacing w:val="-4"/>
          <w:lang w:val="en-GB"/>
        </w:rPr>
        <w:t>.</w:t>
      </w:r>
      <w:r w:rsidR="006044A3">
        <w:rPr>
          <w:spacing w:val="-4"/>
          <w:lang w:val="en-GB"/>
        </w:rPr>
        <w:t xml:space="preserve"> The consumer prices grew by </w:t>
      </w:r>
      <w:r w:rsidR="001777BA" w:rsidRPr="0026718D">
        <w:rPr>
          <w:spacing w:val="-4"/>
          <w:lang w:val="en-GB"/>
        </w:rPr>
        <w:t>6</w:t>
      </w:r>
      <w:r w:rsidR="006044A3">
        <w:rPr>
          <w:spacing w:val="-4"/>
          <w:lang w:val="en-GB"/>
        </w:rPr>
        <w:t>.</w:t>
      </w:r>
      <w:r w:rsidR="001777BA" w:rsidRPr="0026718D">
        <w:rPr>
          <w:spacing w:val="-4"/>
          <w:lang w:val="en-GB"/>
        </w:rPr>
        <w:t>1%</w:t>
      </w:r>
      <w:r w:rsidR="006044A3">
        <w:rPr>
          <w:spacing w:val="-4"/>
          <w:lang w:val="en-GB"/>
        </w:rPr>
        <w:t xml:space="preserve"> year-on-year in Q4</w:t>
      </w:r>
      <w:r w:rsidR="001777BA" w:rsidRPr="0026718D">
        <w:rPr>
          <w:spacing w:val="-4"/>
          <w:lang w:val="en-GB"/>
        </w:rPr>
        <w:t xml:space="preserve"> a</w:t>
      </w:r>
      <w:r w:rsidR="006044A3">
        <w:rPr>
          <w:spacing w:val="-4"/>
          <w:lang w:val="en-GB"/>
        </w:rPr>
        <w:t xml:space="preserve">nd apart from prices of transportation and housing and </w:t>
      </w:r>
      <w:proofErr w:type="gramStart"/>
      <w:r w:rsidR="006044A3">
        <w:rPr>
          <w:spacing w:val="-4"/>
          <w:lang w:val="en-GB"/>
        </w:rPr>
        <w:t>energies</w:t>
      </w:r>
      <w:proofErr w:type="gramEnd"/>
      <w:r w:rsidR="006044A3">
        <w:rPr>
          <w:spacing w:val="-4"/>
          <w:lang w:val="en-GB"/>
        </w:rPr>
        <w:t xml:space="preserve"> the growing prices of food also contributed. </w:t>
      </w:r>
      <w:r w:rsidR="008F69C3">
        <w:rPr>
          <w:spacing w:val="-4"/>
          <w:lang w:val="en-GB"/>
        </w:rPr>
        <w:t>The domestic and European industrial producers also strongly experienced the increase of pr</w:t>
      </w:r>
      <w:r w:rsidR="0000567F">
        <w:rPr>
          <w:spacing w:val="-4"/>
          <w:lang w:val="en-GB"/>
        </w:rPr>
        <w:t>ices</w:t>
      </w:r>
      <w:r w:rsidR="008F69C3">
        <w:rPr>
          <w:spacing w:val="-4"/>
          <w:lang w:val="en-GB"/>
        </w:rPr>
        <w:t xml:space="preserve"> of both oil and electricity last year. </w:t>
      </w:r>
      <w:r w:rsidR="00991A2D">
        <w:rPr>
          <w:spacing w:val="-4"/>
          <w:lang w:val="en-GB"/>
        </w:rPr>
        <w:t xml:space="preserve">Industrial producer prices rose by </w:t>
      </w:r>
      <w:r w:rsidR="001777BA" w:rsidRPr="0026718D">
        <w:rPr>
          <w:spacing w:val="-4"/>
          <w:lang w:val="en-GB"/>
        </w:rPr>
        <w:t>7</w:t>
      </w:r>
      <w:r w:rsidR="00991A2D">
        <w:rPr>
          <w:spacing w:val="-4"/>
          <w:lang w:val="en-GB"/>
        </w:rPr>
        <w:t>.</w:t>
      </w:r>
      <w:r w:rsidR="001777BA" w:rsidRPr="0026718D">
        <w:rPr>
          <w:spacing w:val="-4"/>
          <w:lang w:val="en-GB"/>
        </w:rPr>
        <w:t>1%</w:t>
      </w:r>
      <w:r w:rsidR="00991A2D">
        <w:rPr>
          <w:spacing w:val="-4"/>
          <w:lang w:val="en-GB"/>
        </w:rPr>
        <w:t xml:space="preserve"> in the CR last year</w:t>
      </w:r>
      <w:r w:rsidR="001777BA" w:rsidRPr="0026718D">
        <w:rPr>
          <w:spacing w:val="-4"/>
          <w:lang w:val="en-GB"/>
        </w:rPr>
        <w:t xml:space="preserve">, </w:t>
      </w:r>
      <w:r w:rsidR="00991A2D">
        <w:rPr>
          <w:spacing w:val="-4"/>
          <w:lang w:val="en-GB"/>
        </w:rPr>
        <w:t xml:space="preserve">the most since year </w:t>
      </w:r>
      <w:r w:rsidR="001777BA" w:rsidRPr="0026718D">
        <w:rPr>
          <w:spacing w:val="-4"/>
          <w:lang w:val="en-GB"/>
        </w:rPr>
        <w:t>1995.</w:t>
      </w:r>
      <w:r w:rsidR="00991A2D">
        <w:rPr>
          <w:spacing w:val="-4"/>
          <w:lang w:val="en-GB"/>
        </w:rPr>
        <w:t xml:space="preserve"> They increased by 12.8% year-on-year in Q</w:t>
      </w:r>
      <w:r w:rsidR="001777BA" w:rsidRPr="0026718D">
        <w:rPr>
          <w:spacing w:val="-4"/>
          <w:lang w:val="en-GB"/>
        </w:rPr>
        <w:t>4.</w:t>
      </w:r>
    </w:p>
    <w:p w14:paraId="0D554B66" w14:textId="1005D7BE" w:rsidR="001777BA" w:rsidRPr="00CA749B" w:rsidRDefault="00593407" w:rsidP="001777BA">
      <w:pPr>
        <w:pStyle w:val="Normalodrka"/>
        <w:spacing w:after="120"/>
        <w:rPr>
          <w:spacing w:val="-4"/>
          <w:lang w:val="en-GB"/>
        </w:rPr>
      </w:pPr>
      <w:r>
        <w:rPr>
          <w:spacing w:val="-4"/>
        </w:rPr>
        <w:t xml:space="preserve">In </w:t>
      </w:r>
      <w:r w:rsidRPr="00AE552C">
        <w:rPr>
          <w:spacing w:val="-4"/>
          <w:lang w:val="en-GB"/>
        </w:rPr>
        <w:t>Q</w:t>
      </w:r>
      <w:r w:rsidR="001777BA" w:rsidRPr="00AE552C">
        <w:rPr>
          <w:spacing w:val="-4"/>
          <w:lang w:val="en-GB"/>
        </w:rPr>
        <w:t>4</w:t>
      </w:r>
      <w:r w:rsidRPr="00AE552C">
        <w:rPr>
          <w:spacing w:val="-4"/>
          <w:lang w:val="en-GB"/>
        </w:rPr>
        <w:t>, several increases of the monetary</w:t>
      </w:r>
      <w:r>
        <w:rPr>
          <w:spacing w:val="-4"/>
          <w:lang w:val="en-GB"/>
        </w:rPr>
        <w:t xml:space="preserve"> policy-relevant rates </w:t>
      </w:r>
      <w:r w:rsidR="00AE552C">
        <w:rPr>
          <w:spacing w:val="-4"/>
          <w:lang w:val="en-GB"/>
        </w:rPr>
        <w:t>occurred</w:t>
      </w:r>
      <w:r>
        <w:rPr>
          <w:spacing w:val="-4"/>
          <w:lang w:val="en-GB"/>
        </w:rPr>
        <w:t xml:space="preserve">, which </w:t>
      </w:r>
      <w:r w:rsidR="00AE552C">
        <w:rPr>
          <w:spacing w:val="-4"/>
          <w:lang w:val="en-GB"/>
        </w:rPr>
        <w:t xml:space="preserve">was significantly reflected on the size of the interest rates of credit for both households as well as businesses. </w:t>
      </w:r>
      <w:r w:rsidR="00CA749B" w:rsidRPr="00CA749B">
        <w:rPr>
          <w:spacing w:val="-4"/>
          <w:lang w:val="en-GB"/>
        </w:rPr>
        <w:t>The interest rates on term deposit</w:t>
      </w:r>
      <w:r w:rsidR="000A1077">
        <w:rPr>
          <w:spacing w:val="-4"/>
          <w:lang w:val="en-GB"/>
        </w:rPr>
        <w:t>s</w:t>
      </w:r>
      <w:r w:rsidR="00CA749B" w:rsidRPr="00CA749B">
        <w:rPr>
          <w:spacing w:val="-4"/>
          <w:lang w:val="en-GB"/>
        </w:rPr>
        <w:t xml:space="preserve"> </w:t>
      </w:r>
      <w:proofErr w:type="gramStart"/>
      <w:r w:rsidR="00CA749B" w:rsidRPr="00CA749B">
        <w:rPr>
          <w:spacing w:val="-4"/>
          <w:lang w:val="en-GB"/>
        </w:rPr>
        <w:t>were also raised</w:t>
      </w:r>
      <w:proofErr w:type="gramEnd"/>
      <w:r w:rsidR="00CA749B" w:rsidRPr="00CA749B">
        <w:rPr>
          <w:spacing w:val="-4"/>
          <w:lang w:val="en-GB"/>
        </w:rPr>
        <w:t xml:space="preserve">. </w:t>
      </w:r>
      <w:r w:rsidR="007210D0">
        <w:rPr>
          <w:spacing w:val="-4"/>
          <w:lang w:val="en-GB"/>
        </w:rPr>
        <w:t xml:space="preserve">Interest </w:t>
      </w:r>
      <w:r w:rsidR="000A1077">
        <w:rPr>
          <w:spacing w:val="-4"/>
          <w:lang w:val="en-GB"/>
        </w:rPr>
        <w:t>rates</w:t>
      </w:r>
      <w:r w:rsidR="0041664E">
        <w:rPr>
          <w:spacing w:val="-4"/>
          <w:lang w:val="en-GB"/>
        </w:rPr>
        <w:t xml:space="preserve"> </w:t>
      </w:r>
      <w:r w:rsidR="007210D0">
        <w:rPr>
          <w:spacing w:val="-4"/>
          <w:lang w:val="en-GB"/>
        </w:rPr>
        <w:t xml:space="preserve">on government bonds were also higher. </w:t>
      </w:r>
    </w:p>
    <w:p w14:paraId="1C3A35C3" w14:textId="2285B90C" w:rsidR="001777BA" w:rsidRPr="00CA749B" w:rsidRDefault="00474310" w:rsidP="001777BA">
      <w:pPr>
        <w:pStyle w:val="Normalodrka"/>
        <w:spacing w:after="120"/>
        <w:rPr>
          <w:spacing w:val="-4"/>
          <w:lang w:val="en-GB"/>
        </w:rPr>
      </w:pPr>
      <w:r w:rsidRPr="00CA749B">
        <w:rPr>
          <w:spacing w:val="-4"/>
          <w:lang w:val="en-GB"/>
        </w:rPr>
        <w:t>The labour market was gradually returning to the</w:t>
      </w:r>
      <w:r w:rsidR="00AE552C">
        <w:rPr>
          <w:spacing w:val="-4"/>
          <w:lang w:val="en-GB"/>
        </w:rPr>
        <w:t xml:space="preserve"> state before the pandemics i</w:t>
      </w:r>
      <w:r w:rsidRPr="00CA749B">
        <w:rPr>
          <w:spacing w:val="-4"/>
          <w:lang w:val="en-GB"/>
        </w:rPr>
        <w:t>n the CR last year</w:t>
      </w:r>
      <w:r w:rsidR="001777BA" w:rsidRPr="00CA749B">
        <w:rPr>
          <w:spacing w:val="-4"/>
          <w:lang w:val="en-GB"/>
        </w:rPr>
        <w:t xml:space="preserve">. </w:t>
      </w:r>
      <w:r w:rsidRPr="00CA749B">
        <w:rPr>
          <w:spacing w:val="-4"/>
          <w:lang w:val="en-GB"/>
        </w:rPr>
        <w:t xml:space="preserve">The total employment, which reached </w:t>
      </w:r>
      <w:r w:rsidR="001777BA" w:rsidRPr="00CA749B">
        <w:rPr>
          <w:spacing w:val="-4"/>
          <w:lang w:val="en-GB"/>
        </w:rPr>
        <w:t>5</w:t>
      </w:r>
      <w:r w:rsidRPr="00CA749B">
        <w:rPr>
          <w:spacing w:val="-4"/>
          <w:lang w:val="en-GB"/>
        </w:rPr>
        <w:t>.</w:t>
      </w:r>
      <w:r w:rsidR="001777BA" w:rsidRPr="00CA749B">
        <w:rPr>
          <w:spacing w:val="-4"/>
          <w:lang w:val="en-GB"/>
        </w:rPr>
        <w:t>37 mil</w:t>
      </w:r>
      <w:r w:rsidRPr="00CA749B">
        <w:rPr>
          <w:spacing w:val="-4"/>
          <w:lang w:val="en-GB"/>
        </w:rPr>
        <w:t xml:space="preserve"> persons</w:t>
      </w:r>
      <w:r w:rsidR="001777BA" w:rsidRPr="00CA749B">
        <w:rPr>
          <w:rStyle w:val="Znakapoznpodarou"/>
          <w:spacing w:val="-4"/>
          <w:lang w:val="en-GB"/>
        </w:rPr>
        <w:footnoteReference w:id="3"/>
      </w:r>
      <w:r w:rsidRPr="00CA749B">
        <w:rPr>
          <w:spacing w:val="-4"/>
          <w:lang w:val="en-GB"/>
        </w:rPr>
        <w:t xml:space="preserve"> in Q4, was growing for </w:t>
      </w:r>
      <w:r w:rsidR="00AE552C" w:rsidRPr="00CA749B">
        <w:rPr>
          <w:spacing w:val="-4"/>
          <w:lang w:val="en-GB"/>
        </w:rPr>
        <w:t>a</w:t>
      </w:r>
      <w:r w:rsidRPr="00CA749B">
        <w:rPr>
          <w:spacing w:val="-4"/>
          <w:lang w:val="en-GB"/>
        </w:rPr>
        <w:t xml:space="preserve"> major part of the year.</w:t>
      </w:r>
      <w:r w:rsidR="00AE552C">
        <w:rPr>
          <w:spacing w:val="-4"/>
          <w:lang w:val="en-GB"/>
        </w:rPr>
        <w:t xml:space="preserve"> </w:t>
      </w:r>
      <w:r w:rsidR="004D2DBD">
        <w:rPr>
          <w:spacing w:val="-4"/>
          <w:lang w:val="en-GB"/>
        </w:rPr>
        <w:t>Especially the number of employees was expanding</w:t>
      </w:r>
      <w:r w:rsidR="001777BA" w:rsidRPr="00CA749B">
        <w:rPr>
          <w:spacing w:val="-4"/>
          <w:lang w:val="en-GB"/>
        </w:rPr>
        <w:t xml:space="preserve">, </w:t>
      </w:r>
      <w:r w:rsidR="00AE552C">
        <w:rPr>
          <w:spacing w:val="-4"/>
          <w:lang w:val="en-GB"/>
        </w:rPr>
        <w:t xml:space="preserve">in contrast the decrease in the number of entrepreneurs deepened. The general unemployment rate reached its maximum of </w:t>
      </w:r>
      <w:r w:rsidR="001777BA" w:rsidRPr="00CA749B">
        <w:rPr>
          <w:spacing w:val="-4"/>
          <w:lang w:val="en-GB"/>
        </w:rPr>
        <w:t>3</w:t>
      </w:r>
      <w:r w:rsidR="00AE552C">
        <w:rPr>
          <w:spacing w:val="-4"/>
          <w:lang w:val="en-GB"/>
        </w:rPr>
        <w:t>.</w:t>
      </w:r>
      <w:r w:rsidR="001777BA" w:rsidRPr="00CA749B">
        <w:rPr>
          <w:spacing w:val="-4"/>
          <w:lang w:val="en-GB"/>
        </w:rPr>
        <w:t>4%</w:t>
      </w:r>
      <w:r w:rsidR="00AE552C">
        <w:rPr>
          <w:spacing w:val="-4"/>
          <w:lang w:val="en-GB"/>
        </w:rPr>
        <w:t xml:space="preserve"> in March </w:t>
      </w:r>
      <w:r w:rsidR="001777BA" w:rsidRPr="00CA749B">
        <w:rPr>
          <w:spacing w:val="-4"/>
          <w:lang w:val="en-GB"/>
        </w:rPr>
        <w:t>2021,</w:t>
      </w:r>
      <w:r w:rsidR="00AE552C">
        <w:rPr>
          <w:spacing w:val="-4"/>
          <w:lang w:val="en-GB"/>
        </w:rPr>
        <w:t xml:space="preserve"> but </w:t>
      </w:r>
      <w:r w:rsidR="004D2DBD">
        <w:rPr>
          <w:spacing w:val="-4"/>
          <w:lang w:val="en-GB"/>
        </w:rPr>
        <w:t xml:space="preserve">it subsequently fell down to December </w:t>
      </w:r>
      <w:r w:rsidR="001777BA" w:rsidRPr="00CA749B">
        <w:rPr>
          <w:spacing w:val="-4"/>
          <w:lang w:val="en-GB"/>
        </w:rPr>
        <w:t>2</w:t>
      </w:r>
      <w:r w:rsidR="004D2DBD">
        <w:rPr>
          <w:spacing w:val="-4"/>
          <w:lang w:val="en-GB"/>
        </w:rPr>
        <w:t>.</w:t>
      </w:r>
      <w:r w:rsidR="001777BA" w:rsidRPr="00CA749B">
        <w:rPr>
          <w:spacing w:val="-4"/>
          <w:lang w:val="en-GB"/>
        </w:rPr>
        <w:t>2%. T</w:t>
      </w:r>
      <w:r w:rsidR="004D2DBD">
        <w:rPr>
          <w:spacing w:val="-4"/>
          <w:lang w:val="en-GB"/>
        </w:rPr>
        <w:t xml:space="preserve">his development alleviated the concerns of households regarding the unemployment growth. The average gross monthly wage increased in total by </w:t>
      </w:r>
      <w:r w:rsidR="001777BA" w:rsidRPr="00CA749B">
        <w:rPr>
          <w:spacing w:val="-4"/>
          <w:lang w:val="en-GB"/>
        </w:rPr>
        <w:t>6</w:t>
      </w:r>
      <w:r w:rsidR="004D2DBD">
        <w:rPr>
          <w:spacing w:val="-4"/>
          <w:lang w:val="en-GB"/>
        </w:rPr>
        <w:t>.</w:t>
      </w:r>
      <w:r w:rsidR="001777BA" w:rsidRPr="00CA749B">
        <w:rPr>
          <w:spacing w:val="-4"/>
          <w:lang w:val="en-GB"/>
        </w:rPr>
        <w:t>1%</w:t>
      </w:r>
      <w:r w:rsidR="004D2DBD">
        <w:rPr>
          <w:spacing w:val="-4"/>
          <w:lang w:val="en-GB"/>
        </w:rPr>
        <w:t xml:space="preserve"> to </w:t>
      </w:r>
      <w:r w:rsidR="001777BA" w:rsidRPr="00CA749B">
        <w:rPr>
          <w:spacing w:val="-4"/>
          <w:lang w:val="en-GB"/>
        </w:rPr>
        <w:t>37 839 </w:t>
      </w:r>
      <w:r w:rsidR="004D2DBD">
        <w:rPr>
          <w:spacing w:val="-4"/>
          <w:lang w:val="en-GB"/>
        </w:rPr>
        <w:t xml:space="preserve">CZK in 2021. In real </w:t>
      </w:r>
      <w:proofErr w:type="gramStart"/>
      <w:r w:rsidR="004D2DBD">
        <w:rPr>
          <w:spacing w:val="-4"/>
          <w:lang w:val="en-GB"/>
        </w:rPr>
        <w:t>terms</w:t>
      </w:r>
      <w:proofErr w:type="gramEnd"/>
      <w:r w:rsidR="004D2DBD">
        <w:rPr>
          <w:spacing w:val="-4"/>
          <w:lang w:val="en-GB"/>
        </w:rPr>
        <w:t xml:space="preserve"> it grew by </w:t>
      </w:r>
      <w:r w:rsidR="001777BA" w:rsidRPr="00CA749B">
        <w:rPr>
          <w:spacing w:val="-4"/>
          <w:lang w:val="en-GB"/>
        </w:rPr>
        <w:t>2</w:t>
      </w:r>
      <w:r w:rsidR="004D2DBD">
        <w:rPr>
          <w:spacing w:val="-4"/>
          <w:lang w:val="en-GB"/>
        </w:rPr>
        <w:t>.</w:t>
      </w:r>
      <w:r w:rsidR="001777BA" w:rsidRPr="00CA749B">
        <w:rPr>
          <w:spacing w:val="-4"/>
          <w:lang w:val="en-GB"/>
        </w:rPr>
        <w:t xml:space="preserve">2%. </w:t>
      </w:r>
      <w:r w:rsidR="00C121E8">
        <w:rPr>
          <w:spacing w:val="-4"/>
          <w:lang w:val="en-GB"/>
        </w:rPr>
        <w:t xml:space="preserve">The average wage reached </w:t>
      </w:r>
      <w:r w:rsidR="001777BA" w:rsidRPr="00CA749B">
        <w:rPr>
          <w:spacing w:val="-4"/>
          <w:lang w:val="en-GB"/>
        </w:rPr>
        <w:t>40</w:t>
      </w:r>
      <w:r w:rsidR="00C121E8">
        <w:rPr>
          <w:spacing w:val="-4"/>
          <w:lang w:val="en-GB"/>
        </w:rPr>
        <w:t> </w:t>
      </w:r>
      <w:r w:rsidR="001777BA" w:rsidRPr="00CA749B">
        <w:rPr>
          <w:spacing w:val="-4"/>
          <w:lang w:val="en-GB"/>
        </w:rPr>
        <w:t>135</w:t>
      </w:r>
      <w:r w:rsidR="00C121E8">
        <w:rPr>
          <w:spacing w:val="-4"/>
          <w:lang w:val="en-GB"/>
        </w:rPr>
        <w:t xml:space="preserve"> CZK in Q4 and it was by </w:t>
      </w:r>
      <w:r w:rsidR="001777BA" w:rsidRPr="00CA749B">
        <w:rPr>
          <w:spacing w:val="-4"/>
          <w:lang w:val="en-GB"/>
        </w:rPr>
        <w:t>4</w:t>
      </w:r>
      <w:r w:rsidR="00C121E8">
        <w:rPr>
          <w:spacing w:val="-4"/>
          <w:lang w:val="en-GB"/>
        </w:rPr>
        <w:t>.</w:t>
      </w:r>
      <w:r w:rsidR="001777BA" w:rsidRPr="00CA749B">
        <w:rPr>
          <w:spacing w:val="-4"/>
          <w:lang w:val="en-GB"/>
        </w:rPr>
        <w:t>0%</w:t>
      </w:r>
      <w:r w:rsidR="00C121E8">
        <w:rPr>
          <w:spacing w:val="-4"/>
          <w:lang w:val="en-GB"/>
        </w:rPr>
        <w:t xml:space="preserve"> higher year-on-year</w:t>
      </w:r>
      <w:r w:rsidR="001777BA" w:rsidRPr="00CA749B">
        <w:rPr>
          <w:spacing w:val="-4"/>
          <w:lang w:val="en-GB"/>
        </w:rPr>
        <w:t xml:space="preserve">. </w:t>
      </w:r>
      <w:r w:rsidR="004A4BE6">
        <w:rPr>
          <w:spacing w:val="-4"/>
          <w:lang w:val="en-GB"/>
        </w:rPr>
        <w:t xml:space="preserve">However, with a view to the strong price growth the average </w:t>
      </w:r>
      <w:r w:rsidR="00381548">
        <w:rPr>
          <w:spacing w:val="-4"/>
          <w:lang w:val="en-GB"/>
        </w:rPr>
        <w:t xml:space="preserve">real </w:t>
      </w:r>
      <w:r w:rsidR="004A4BE6">
        <w:rPr>
          <w:spacing w:val="-4"/>
          <w:lang w:val="en-GB"/>
        </w:rPr>
        <w:t xml:space="preserve">wage fell by </w:t>
      </w:r>
      <w:r w:rsidR="001777BA" w:rsidRPr="00CA749B">
        <w:rPr>
          <w:spacing w:val="-4"/>
          <w:lang w:val="en-GB"/>
        </w:rPr>
        <w:t>2</w:t>
      </w:r>
      <w:r w:rsidR="004A4BE6">
        <w:rPr>
          <w:spacing w:val="-4"/>
          <w:lang w:val="en-GB"/>
        </w:rPr>
        <w:t>.</w:t>
      </w:r>
      <w:r w:rsidR="001777BA" w:rsidRPr="00CA749B">
        <w:rPr>
          <w:spacing w:val="-4"/>
          <w:lang w:val="en-GB"/>
        </w:rPr>
        <w:t>0%</w:t>
      </w:r>
      <w:r w:rsidR="004A4BE6">
        <w:rPr>
          <w:spacing w:val="-4"/>
          <w:lang w:val="en-GB"/>
        </w:rPr>
        <w:t xml:space="preserve"> year-on-year in this period</w:t>
      </w:r>
      <w:r w:rsidR="001777BA" w:rsidRPr="00CA749B">
        <w:rPr>
          <w:spacing w:val="-4"/>
          <w:lang w:val="en-GB"/>
        </w:rPr>
        <w:t>.</w:t>
      </w:r>
    </w:p>
    <w:p w14:paraId="002D4C0A" w14:textId="6ECCD383" w:rsidR="001777BA" w:rsidRPr="004A4BE6" w:rsidRDefault="004A4BE6" w:rsidP="001777BA">
      <w:pPr>
        <w:pStyle w:val="Normalodrka"/>
        <w:spacing w:after="100"/>
        <w:rPr>
          <w:lang w:val="en-GB"/>
        </w:rPr>
      </w:pPr>
      <w:r w:rsidRPr="004A4BE6">
        <w:rPr>
          <w:spacing w:val="-4"/>
          <w:lang w:val="en-GB"/>
        </w:rPr>
        <w:lastRenderedPageBreak/>
        <w:t xml:space="preserve">State budget ended in deficit of </w:t>
      </w:r>
      <w:r w:rsidR="001777BA" w:rsidRPr="004A4BE6">
        <w:rPr>
          <w:spacing w:val="-4"/>
          <w:lang w:val="en-GB"/>
        </w:rPr>
        <w:t>419</w:t>
      </w:r>
      <w:r w:rsidRPr="004A4BE6">
        <w:rPr>
          <w:spacing w:val="-4"/>
          <w:lang w:val="en-GB"/>
        </w:rPr>
        <w:t>.</w:t>
      </w:r>
      <w:r w:rsidR="001777BA" w:rsidRPr="004A4BE6">
        <w:rPr>
          <w:spacing w:val="-4"/>
          <w:lang w:val="en-GB"/>
        </w:rPr>
        <w:t>7</w:t>
      </w:r>
      <w:r w:rsidRPr="004A4BE6">
        <w:rPr>
          <w:spacing w:val="-4"/>
          <w:lang w:val="en-GB"/>
        </w:rPr>
        <w:t xml:space="preserve"> CZK bn in 2021</w:t>
      </w:r>
      <w:r w:rsidR="001777BA" w:rsidRPr="004A4BE6">
        <w:rPr>
          <w:spacing w:val="-4"/>
          <w:lang w:val="en-GB"/>
        </w:rPr>
        <w:t>,</w:t>
      </w:r>
      <w:r w:rsidRPr="004A4BE6">
        <w:rPr>
          <w:spacing w:val="-4"/>
          <w:lang w:val="en-GB"/>
        </w:rPr>
        <w:t xml:space="preserve"> which is by </w:t>
      </w:r>
      <w:r w:rsidR="001777BA" w:rsidRPr="004A4BE6">
        <w:rPr>
          <w:spacing w:val="-4"/>
          <w:lang w:val="en-GB"/>
        </w:rPr>
        <w:t>52</w:t>
      </w:r>
      <w:r w:rsidRPr="004A4BE6">
        <w:rPr>
          <w:spacing w:val="-4"/>
          <w:lang w:val="en-GB"/>
        </w:rPr>
        <w:t>.</w:t>
      </w:r>
      <w:r w:rsidR="001777BA" w:rsidRPr="004A4BE6">
        <w:rPr>
          <w:spacing w:val="-4"/>
          <w:lang w:val="en-GB"/>
        </w:rPr>
        <w:t>2</w:t>
      </w:r>
      <w:r w:rsidRPr="004A4BE6">
        <w:rPr>
          <w:spacing w:val="-4"/>
          <w:lang w:val="en-GB"/>
        </w:rPr>
        <w:t xml:space="preserve"> bn worse result</w:t>
      </w:r>
      <w:r w:rsidR="00381548">
        <w:rPr>
          <w:spacing w:val="-4"/>
          <w:lang w:val="en-GB"/>
        </w:rPr>
        <w:t xml:space="preserve"> compared to the</w:t>
      </w:r>
      <w:r w:rsidRPr="004A4BE6">
        <w:rPr>
          <w:spacing w:val="-4"/>
          <w:lang w:val="en-GB"/>
        </w:rPr>
        <w:t xml:space="preserve"> year </w:t>
      </w:r>
      <w:r w:rsidR="001777BA" w:rsidRPr="004A4BE6">
        <w:rPr>
          <w:spacing w:val="-4"/>
          <w:lang w:val="en-GB"/>
        </w:rPr>
        <w:t xml:space="preserve">2020. </w:t>
      </w:r>
      <w:r w:rsidR="001B494B">
        <w:rPr>
          <w:spacing w:val="-4"/>
          <w:lang w:val="en-GB"/>
        </w:rPr>
        <w:t xml:space="preserve">Growth of current expenditures, especially the payments for state insured persons </w:t>
      </w:r>
      <w:proofErr w:type="gramStart"/>
      <w:r w:rsidR="001B494B">
        <w:rPr>
          <w:spacing w:val="-4"/>
          <w:lang w:val="en-GB"/>
        </w:rPr>
        <w:t>and also</w:t>
      </w:r>
      <w:proofErr w:type="gramEnd"/>
      <w:r w:rsidR="001B494B">
        <w:rPr>
          <w:spacing w:val="-4"/>
          <w:lang w:val="en-GB"/>
        </w:rPr>
        <w:t xml:space="preserve"> the non-investment transfers to business entities were mainly behind the deeper deficit. Especially in the second half of the year, the partially loosened pres</w:t>
      </w:r>
      <w:r w:rsidR="00381548">
        <w:rPr>
          <w:spacing w:val="-4"/>
          <w:lang w:val="en-GB"/>
        </w:rPr>
        <w:t>sure on the expenditure side as well as</w:t>
      </w:r>
      <w:r w:rsidR="001B494B">
        <w:rPr>
          <w:spacing w:val="-4"/>
          <w:lang w:val="en-GB"/>
        </w:rPr>
        <w:t xml:space="preserve"> the gradual recovery of the economy assisted the higher tax collection. </w:t>
      </w:r>
      <w:r w:rsidR="00381548">
        <w:rPr>
          <w:spacing w:val="-4"/>
          <w:lang w:val="en-GB"/>
        </w:rPr>
        <w:t>Reduction of tax</w:t>
      </w:r>
      <w:r w:rsidR="001C2EB2">
        <w:rPr>
          <w:spacing w:val="-4"/>
          <w:lang w:val="en-GB"/>
        </w:rPr>
        <w:t xml:space="preserve"> </w:t>
      </w:r>
      <w:r w:rsidR="00381548">
        <w:rPr>
          <w:spacing w:val="-4"/>
          <w:lang w:val="en-GB"/>
        </w:rPr>
        <w:t>burden on labour, capital and</w:t>
      </w:r>
      <w:r w:rsidR="001C2EB2">
        <w:rPr>
          <w:spacing w:val="-4"/>
          <w:lang w:val="en-GB"/>
        </w:rPr>
        <w:t xml:space="preserve"> property </w:t>
      </w:r>
      <w:proofErr w:type="gramStart"/>
      <w:r w:rsidR="001C2EB2">
        <w:rPr>
          <w:spacing w:val="-4"/>
          <w:lang w:val="en-GB"/>
        </w:rPr>
        <w:t>and also</w:t>
      </w:r>
      <w:proofErr w:type="gramEnd"/>
      <w:r w:rsidR="001C2EB2">
        <w:rPr>
          <w:spacing w:val="-4"/>
          <w:lang w:val="en-GB"/>
        </w:rPr>
        <w:t xml:space="preserve"> the change of the budget allocation of taxes </w:t>
      </w:r>
      <w:r w:rsidR="00381548">
        <w:rPr>
          <w:spacing w:val="-4"/>
          <w:lang w:val="en-GB"/>
        </w:rPr>
        <w:t>(</w:t>
      </w:r>
      <w:r w:rsidR="001C2EB2">
        <w:rPr>
          <w:spacing w:val="-4"/>
          <w:lang w:val="en-GB"/>
        </w:rPr>
        <w:t>to the benefit of regional budgets</w:t>
      </w:r>
      <w:r w:rsidR="00381548">
        <w:rPr>
          <w:spacing w:val="-4"/>
          <w:lang w:val="en-GB"/>
        </w:rPr>
        <w:t>)</w:t>
      </w:r>
      <w:r w:rsidR="001C2EB2">
        <w:rPr>
          <w:spacing w:val="-4"/>
          <w:lang w:val="en-GB"/>
        </w:rPr>
        <w:t xml:space="preserve"> </w:t>
      </w:r>
      <w:r w:rsidR="001C2EB2">
        <w:rPr>
          <w:spacing w:val="-2"/>
          <w:lang w:val="en-GB"/>
        </w:rPr>
        <w:t>were negatively reflected in the budget revenues</w:t>
      </w:r>
      <w:r w:rsidR="001777BA" w:rsidRPr="004A4BE6">
        <w:rPr>
          <w:spacing w:val="-2"/>
          <w:lang w:val="en-GB"/>
        </w:rPr>
        <w:t>.</w:t>
      </w:r>
    </w:p>
    <w:p w14:paraId="1EE62149" w14:textId="77777777" w:rsidR="00AA570E" w:rsidRDefault="00AA570E">
      <w:pPr>
        <w:spacing w:after="0" w:line="240" w:lineRule="auto"/>
        <w:jc w:val="left"/>
        <w:rPr>
          <w:rFonts w:eastAsia="MS Gothic"/>
          <w:b/>
          <w:bCs/>
          <w:color w:val="71818C"/>
          <w:sz w:val="32"/>
          <w:szCs w:val="28"/>
        </w:rPr>
      </w:pPr>
      <w:bookmarkStart w:id="10" w:name="_Toc90395910"/>
      <w:bookmarkStart w:id="11" w:name="_Toc58605374"/>
      <w:bookmarkStart w:id="12" w:name="_Toc66719930"/>
      <w:bookmarkStart w:id="13" w:name="_Toc532558287"/>
      <w:bookmarkStart w:id="14" w:name="_Toc58605375"/>
      <w:bookmarkEnd w:id="2"/>
      <w:bookmarkEnd w:id="3"/>
      <w:bookmarkEnd w:id="4"/>
      <w:bookmarkEnd w:id="5"/>
      <w:bookmarkEnd w:id="6"/>
      <w:bookmarkEnd w:id="7"/>
      <w:bookmarkEnd w:id="8"/>
      <w:r>
        <w:br w:type="page"/>
      </w:r>
    </w:p>
    <w:p w14:paraId="32E230D2" w14:textId="65879EDB" w:rsidR="00010A2C" w:rsidRPr="009110F7" w:rsidRDefault="00010A2C" w:rsidP="00010A2C">
      <w:pPr>
        <w:pStyle w:val="Nadpis1"/>
      </w:pPr>
      <w:bookmarkStart w:id="15" w:name="_Toc101437432"/>
      <w:r w:rsidRPr="0077605B">
        <w:lastRenderedPageBreak/>
        <w:t>2</w:t>
      </w:r>
      <w:r>
        <w:t>. </w:t>
      </w:r>
      <w:r w:rsidR="004A4BE6" w:rsidRPr="004A4BE6">
        <w:rPr>
          <w:lang w:val="en-GB"/>
        </w:rPr>
        <w:t>Overall Economic Performance</w:t>
      </w:r>
      <w:bookmarkEnd w:id="10"/>
      <w:bookmarkEnd w:id="15"/>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010A2C" w:rsidRPr="009110F7" w14:paraId="1A74DB39" w14:textId="77777777" w:rsidTr="00D2240D">
        <w:trPr>
          <w:trHeight w:val="145"/>
        </w:trPr>
        <w:tc>
          <w:tcPr>
            <w:tcW w:w="1806" w:type="dxa"/>
            <w:shd w:val="clear" w:color="auto" w:fill="auto"/>
            <w:tcMar>
              <w:left w:w="0" w:type="dxa"/>
            </w:tcMar>
          </w:tcPr>
          <w:p w14:paraId="0E4E54F9" w14:textId="77777777" w:rsidR="00FE263A" w:rsidRDefault="00DE1CEC" w:rsidP="00913237">
            <w:pPr>
              <w:pStyle w:val="Marginlie"/>
              <w:rPr>
                <w:lang w:val="en-GB"/>
              </w:rPr>
            </w:pPr>
            <w:r w:rsidRPr="00DE1CEC">
              <w:rPr>
                <w:lang w:val="en-GB"/>
              </w:rPr>
              <w:t xml:space="preserve">Gross domestic product expanded last year, </w:t>
            </w:r>
          </w:p>
          <w:p w14:paraId="2A77C6ED" w14:textId="27BCBA93" w:rsidR="00010A2C" w:rsidRPr="00DE1CEC" w:rsidRDefault="00DE1CEC" w:rsidP="00913237">
            <w:pPr>
              <w:pStyle w:val="Marginlie"/>
              <w:rPr>
                <w:lang w:val="en-GB"/>
              </w:rPr>
            </w:pPr>
            <w:proofErr w:type="gramStart"/>
            <w:r w:rsidRPr="00DE1CEC">
              <w:rPr>
                <w:lang w:val="en-GB"/>
              </w:rPr>
              <w:t>however</w:t>
            </w:r>
            <w:proofErr w:type="gramEnd"/>
            <w:r w:rsidRPr="00DE1CEC">
              <w:rPr>
                <w:lang w:val="en-GB"/>
              </w:rPr>
              <w:t xml:space="preserve"> it still lagged behin</w:t>
            </w:r>
            <w:r>
              <w:rPr>
                <w:lang w:val="en-GB"/>
              </w:rPr>
              <w:t>d</w:t>
            </w:r>
            <w:r w:rsidRPr="00DE1CEC">
              <w:rPr>
                <w:lang w:val="en-GB"/>
              </w:rPr>
              <w:t xml:space="preserve"> the 2019 level in real terms. </w:t>
            </w:r>
          </w:p>
        </w:tc>
        <w:tc>
          <w:tcPr>
            <w:tcW w:w="223" w:type="dxa"/>
            <w:shd w:val="clear" w:color="auto" w:fill="auto"/>
            <w:tcMar>
              <w:left w:w="0" w:type="dxa"/>
            </w:tcMar>
          </w:tcPr>
          <w:p w14:paraId="50173562" w14:textId="77777777" w:rsidR="00010A2C" w:rsidRDefault="00010A2C" w:rsidP="00913237">
            <w:pPr>
              <w:pStyle w:val="Textpoznpodarou"/>
              <w:jc w:val="both"/>
              <w:rPr>
                <w:spacing w:val="-4"/>
              </w:rPr>
            </w:pPr>
          </w:p>
        </w:tc>
        <w:tc>
          <w:tcPr>
            <w:tcW w:w="7610" w:type="dxa"/>
            <w:shd w:val="clear" w:color="auto" w:fill="auto"/>
            <w:tcMar>
              <w:left w:w="0" w:type="dxa"/>
            </w:tcMar>
          </w:tcPr>
          <w:p w14:paraId="2567CECA" w14:textId="4ABED284" w:rsidR="00010A2C" w:rsidRPr="00DE1CEC" w:rsidRDefault="00DE1CEC" w:rsidP="00913237">
            <w:pPr>
              <w:rPr>
                <w:spacing w:val="-2"/>
                <w:lang w:val="en-GB"/>
              </w:rPr>
            </w:pPr>
            <w:r w:rsidRPr="00DE1CEC">
              <w:rPr>
                <w:spacing w:val="-2"/>
                <w:lang w:val="en-GB"/>
              </w:rPr>
              <w:t xml:space="preserve">The Gross domestic product </w:t>
            </w:r>
            <w:r w:rsidR="00010A2C" w:rsidRPr="00DE1CEC">
              <w:rPr>
                <w:spacing w:val="-2"/>
                <w:lang w:val="en-GB"/>
              </w:rPr>
              <w:t>(</w:t>
            </w:r>
            <w:r w:rsidRPr="00DE1CEC">
              <w:rPr>
                <w:spacing w:val="-2"/>
                <w:lang w:val="en-GB"/>
              </w:rPr>
              <w:t>GDP</w:t>
            </w:r>
            <w:r w:rsidR="00010A2C" w:rsidRPr="00DE1CEC">
              <w:rPr>
                <w:spacing w:val="-2"/>
                <w:lang w:val="en-GB"/>
              </w:rPr>
              <w:t xml:space="preserve">) </w:t>
            </w:r>
            <w:r w:rsidR="00600FFC">
              <w:rPr>
                <w:spacing w:val="-2"/>
                <w:lang w:val="en-GB"/>
              </w:rPr>
              <w:t xml:space="preserve">increased by </w:t>
            </w:r>
            <w:r w:rsidR="00010A2C" w:rsidRPr="00DE1CEC">
              <w:rPr>
                <w:spacing w:val="-2"/>
                <w:lang w:val="en-GB"/>
              </w:rPr>
              <w:t>3</w:t>
            </w:r>
            <w:r w:rsidR="00600FFC">
              <w:rPr>
                <w:spacing w:val="-2"/>
                <w:lang w:val="en-GB"/>
              </w:rPr>
              <w:t>.</w:t>
            </w:r>
            <w:r w:rsidR="00010A2C" w:rsidRPr="00DE1CEC">
              <w:rPr>
                <w:spacing w:val="-2"/>
                <w:lang w:val="en-GB"/>
              </w:rPr>
              <w:t>3%</w:t>
            </w:r>
            <w:r w:rsidR="00010A2C" w:rsidRPr="00DE1CEC">
              <w:rPr>
                <w:rStyle w:val="Znakapoznpodarou"/>
                <w:rFonts w:cs="Arial"/>
                <w:spacing w:val="-2"/>
                <w:lang w:val="en-GB"/>
              </w:rPr>
              <w:footnoteReference w:id="4"/>
            </w:r>
            <w:r w:rsidR="00600FFC">
              <w:rPr>
                <w:spacing w:val="-2"/>
                <w:lang w:val="en-GB"/>
              </w:rPr>
              <w:t xml:space="preserve"> in real terms in year 2021</w:t>
            </w:r>
            <w:r w:rsidR="00010A2C" w:rsidRPr="00DE1CEC">
              <w:rPr>
                <w:spacing w:val="-2"/>
                <w:lang w:val="en-GB"/>
              </w:rPr>
              <w:t xml:space="preserve">. </w:t>
            </w:r>
            <w:r w:rsidR="003734C8">
              <w:rPr>
                <w:spacing w:val="-2"/>
                <w:lang w:val="en-GB"/>
              </w:rPr>
              <w:t xml:space="preserve">Following the deep slump in year </w:t>
            </w:r>
            <w:r w:rsidR="00010A2C" w:rsidRPr="00DE1CEC">
              <w:rPr>
                <w:spacing w:val="-2"/>
                <w:lang w:val="en-GB"/>
              </w:rPr>
              <w:t>2020</w:t>
            </w:r>
            <w:r w:rsidR="003734C8">
              <w:rPr>
                <w:spacing w:val="-2"/>
                <w:lang w:val="en-GB"/>
              </w:rPr>
              <w:t xml:space="preserve">, the domestic economy thus gradually revived. In total nevertheless, the GDP expressed in constant prices fell behind the level of year 2019 for now. </w:t>
            </w:r>
            <w:r w:rsidR="002C3D02">
              <w:rPr>
                <w:spacing w:val="-2"/>
                <w:lang w:val="en-GB"/>
              </w:rPr>
              <w:t>The gross capital formation supported the last year</w:t>
            </w:r>
            <w:r w:rsidR="002C3D02">
              <w:rPr>
                <w:spacing w:val="-2"/>
                <w:lang w:val="en-US"/>
              </w:rPr>
              <w:t>’</w:t>
            </w:r>
            <w:r w:rsidR="002C3D02">
              <w:rPr>
                <w:spacing w:val="-2"/>
                <w:lang w:val="en-GB"/>
              </w:rPr>
              <w:t>s GDP growth the most</w:t>
            </w:r>
            <w:r w:rsidR="00010A2C" w:rsidRPr="00DE1CEC">
              <w:rPr>
                <w:spacing w:val="-2"/>
                <w:lang w:val="en-GB"/>
              </w:rPr>
              <w:t xml:space="preserve">, </w:t>
            </w:r>
            <w:r w:rsidR="002C3D02">
              <w:rPr>
                <w:spacing w:val="-2"/>
                <w:lang w:val="en-GB"/>
              </w:rPr>
              <w:t xml:space="preserve">mainly the increase of inventory stock. The household consumption also grew strongly. On the contrary, the foreign demand significantly </w:t>
            </w:r>
            <w:r w:rsidR="00061E88">
              <w:rPr>
                <w:spacing w:val="-2"/>
                <w:lang w:val="en-GB"/>
              </w:rPr>
              <w:t xml:space="preserve">decelerated the growth of GDP, even more compared to year </w:t>
            </w:r>
            <w:r w:rsidR="00010A2C" w:rsidRPr="00DE1CEC">
              <w:rPr>
                <w:spacing w:val="-2"/>
                <w:lang w:val="en-GB"/>
              </w:rPr>
              <w:t xml:space="preserve">2020, </w:t>
            </w:r>
            <w:r w:rsidR="00061E88">
              <w:rPr>
                <w:spacing w:val="-2"/>
                <w:lang w:val="en-GB"/>
              </w:rPr>
              <w:t xml:space="preserve">when the production in some export oriented businesses halted for some time. </w:t>
            </w:r>
          </w:p>
        </w:tc>
      </w:tr>
      <w:tr w:rsidR="00010A2C" w:rsidRPr="009110F7" w14:paraId="68168430" w14:textId="77777777" w:rsidTr="00D2240D">
        <w:trPr>
          <w:trHeight w:val="145"/>
        </w:trPr>
        <w:tc>
          <w:tcPr>
            <w:tcW w:w="1806" w:type="dxa"/>
            <w:shd w:val="clear" w:color="auto" w:fill="auto"/>
            <w:tcMar>
              <w:left w:w="0" w:type="dxa"/>
            </w:tcMar>
          </w:tcPr>
          <w:p w14:paraId="100AEA42" w14:textId="2E471B5D" w:rsidR="00010A2C" w:rsidRPr="00DE1CEC" w:rsidRDefault="00DE1CEC" w:rsidP="00913237">
            <w:pPr>
              <w:pStyle w:val="Marginlie"/>
              <w:rPr>
                <w:lang w:val="en-GB"/>
              </w:rPr>
            </w:pPr>
            <w:r w:rsidRPr="00DE1CEC">
              <w:rPr>
                <w:lang w:val="en-GB"/>
              </w:rPr>
              <w:t>In Q</w:t>
            </w:r>
            <w:r w:rsidR="00010A2C" w:rsidRPr="00DE1CEC">
              <w:rPr>
                <w:lang w:val="en-GB"/>
              </w:rPr>
              <w:t>4</w:t>
            </w:r>
            <w:r w:rsidRPr="00DE1CEC">
              <w:rPr>
                <w:lang w:val="en-GB"/>
              </w:rPr>
              <w:t>, the GDP grew both year-on-</w:t>
            </w:r>
            <w:r>
              <w:rPr>
                <w:lang w:val="en-GB"/>
              </w:rPr>
              <w:t>y</w:t>
            </w:r>
            <w:r w:rsidRPr="00DE1CEC">
              <w:rPr>
                <w:lang w:val="en-GB"/>
              </w:rPr>
              <w:t xml:space="preserve">ear and quarter-on-quarter. </w:t>
            </w:r>
          </w:p>
        </w:tc>
        <w:tc>
          <w:tcPr>
            <w:tcW w:w="223" w:type="dxa"/>
            <w:shd w:val="clear" w:color="auto" w:fill="auto"/>
            <w:tcMar>
              <w:left w:w="0" w:type="dxa"/>
            </w:tcMar>
          </w:tcPr>
          <w:p w14:paraId="0DC9A392" w14:textId="77777777" w:rsidR="00010A2C" w:rsidRDefault="00010A2C" w:rsidP="00913237">
            <w:pPr>
              <w:pStyle w:val="Textpoznpodarou"/>
              <w:jc w:val="both"/>
              <w:rPr>
                <w:spacing w:val="-4"/>
              </w:rPr>
            </w:pPr>
          </w:p>
        </w:tc>
        <w:tc>
          <w:tcPr>
            <w:tcW w:w="7610" w:type="dxa"/>
            <w:shd w:val="clear" w:color="auto" w:fill="auto"/>
            <w:tcMar>
              <w:left w:w="0" w:type="dxa"/>
            </w:tcMar>
          </w:tcPr>
          <w:p w14:paraId="0B94D75B" w14:textId="38DE5B2C" w:rsidR="00010A2C" w:rsidRPr="005D2FD8" w:rsidRDefault="002C3D02" w:rsidP="00913237">
            <w:pPr>
              <w:rPr>
                <w:spacing w:val="-2"/>
                <w:lang w:val="en-GB"/>
              </w:rPr>
            </w:pPr>
            <w:r w:rsidRPr="005D2FD8">
              <w:rPr>
                <w:spacing w:val="-2"/>
                <w:lang w:val="en-GB"/>
              </w:rPr>
              <w:t xml:space="preserve">Year-on-year GDP dynamics was </w:t>
            </w:r>
            <w:r w:rsidR="005D2FD8" w:rsidRPr="005D2FD8">
              <w:rPr>
                <w:spacing w:val="-2"/>
                <w:lang w:val="en-GB"/>
              </w:rPr>
              <w:t xml:space="preserve">notably affected by the low comparative basis of year 2020 in the course of the last year </w:t>
            </w:r>
            <w:r w:rsidR="00010A2C" w:rsidRPr="005D2FD8">
              <w:rPr>
                <w:spacing w:val="-2"/>
                <w:lang w:val="en-GB"/>
              </w:rPr>
              <w:t xml:space="preserve">– </w:t>
            </w:r>
            <w:r w:rsidR="005D2FD8" w:rsidRPr="005D2FD8">
              <w:rPr>
                <w:spacing w:val="-2"/>
                <w:lang w:val="en-GB"/>
              </w:rPr>
              <w:t>it was apparent the most in Q</w:t>
            </w:r>
            <w:r w:rsidR="00010A2C" w:rsidRPr="005D2FD8">
              <w:rPr>
                <w:spacing w:val="-2"/>
                <w:lang w:val="en-GB"/>
              </w:rPr>
              <w:t>2.</w:t>
            </w:r>
            <w:r w:rsidR="005D2FD8" w:rsidRPr="005D2FD8">
              <w:rPr>
                <w:spacing w:val="-2"/>
                <w:lang w:val="en-GB"/>
              </w:rPr>
              <w:t xml:space="preserve"> </w:t>
            </w:r>
            <w:r w:rsidR="00A452F3">
              <w:rPr>
                <w:spacing w:val="-2"/>
                <w:lang w:val="en-GB"/>
              </w:rPr>
              <w:t>The rules in place in Q</w:t>
            </w:r>
            <w:r w:rsidR="00010A2C" w:rsidRPr="005D2FD8">
              <w:rPr>
                <w:spacing w:val="-2"/>
                <w:lang w:val="en-GB"/>
              </w:rPr>
              <w:t>4</w:t>
            </w:r>
            <w:r w:rsidR="00A452F3">
              <w:rPr>
                <w:spacing w:val="-2"/>
                <w:lang w:val="en-GB"/>
              </w:rPr>
              <w:t xml:space="preserve"> </w:t>
            </w:r>
            <w:r w:rsidR="00010A2C" w:rsidRPr="005D2FD8">
              <w:rPr>
                <w:spacing w:val="-2"/>
                <w:lang w:val="en-GB"/>
              </w:rPr>
              <w:t>2021</w:t>
            </w:r>
            <w:r w:rsidR="00A452F3">
              <w:rPr>
                <w:spacing w:val="-2"/>
                <w:lang w:val="en-GB"/>
              </w:rPr>
              <w:t xml:space="preserve"> were not as restrictive as in the same period of year </w:t>
            </w:r>
            <w:r w:rsidR="00010A2C" w:rsidRPr="005D2FD8">
              <w:rPr>
                <w:spacing w:val="-2"/>
                <w:lang w:val="en-GB"/>
              </w:rPr>
              <w:t>2020</w:t>
            </w:r>
            <w:r w:rsidR="00010A2C" w:rsidRPr="005D2FD8">
              <w:rPr>
                <w:rStyle w:val="Znakapoznpodarou"/>
                <w:spacing w:val="-2"/>
                <w:lang w:val="en-GB"/>
              </w:rPr>
              <w:footnoteReference w:id="5"/>
            </w:r>
            <w:r w:rsidR="00010A2C" w:rsidRPr="005D2FD8">
              <w:rPr>
                <w:spacing w:val="-2"/>
                <w:lang w:val="en-GB"/>
              </w:rPr>
              <w:t xml:space="preserve">, </w:t>
            </w:r>
            <w:r w:rsidR="00D65528">
              <w:rPr>
                <w:spacing w:val="-2"/>
                <w:lang w:val="en-GB"/>
              </w:rPr>
              <w:t>however they were more severe compared to Q</w:t>
            </w:r>
            <w:r w:rsidR="00010A2C" w:rsidRPr="005D2FD8">
              <w:rPr>
                <w:spacing w:val="-2"/>
                <w:lang w:val="en-GB"/>
              </w:rPr>
              <w:t>3</w:t>
            </w:r>
            <w:r w:rsidR="00D65528">
              <w:rPr>
                <w:spacing w:val="-2"/>
                <w:lang w:val="en-GB"/>
              </w:rPr>
              <w:t xml:space="preserve"> </w:t>
            </w:r>
            <w:r w:rsidR="00010A2C" w:rsidRPr="005D2FD8">
              <w:rPr>
                <w:spacing w:val="-2"/>
                <w:lang w:val="en-GB"/>
              </w:rPr>
              <w:t xml:space="preserve">2021. </w:t>
            </w:r>
            <w:r w:rsidR="00E75597">
              <w:rPr>
                <w:spacing w:val="-2"/>
                <w:lang w:val="en-GB"/>
              </w:rPr>
              <w:t xml:space="preserve">Year-on-year GDP addition thus reached </w:t>
            </w:r>
            <w:r w:rsidR="00010A2C" w:rsidRPr="005D2FD8">
              <w:rPr>
                <w:spacing w:val="-2"/>
                <w:lang w:val="en-GB"/>
              </w:rPr>
              <w:t>3</w:t>
            </w:r>
            <w:r w:rsidR="00E75597">
              <w:rPr>
                <w:spacing w:val="-2"/>
                <w:lang w:val="en-GB"/>
              </w:rPr>
              <w:t>.</w:t>
            </w:r>
            <w:r w:rsidR="00010A2C" w:rsidRPr="005D2FD8">
              <w:rPr>
                <w:spacing w:val="-2"/>
                <w:lang w:val="en-GB"/>
              </w:rPr>
              <w:t>6%</w:t>
            </w:r>
            <w:r w:rsidR="00E75597">
              <w:rPr>
                <w:spacing w:val="-2"/>
                <w:lang w:val="en-GB"/>
              </w:rPr>
              <w:t xml:space="preserve"> in Q4</w:t>
            </w:r>
            <w:r w:rsidR="00010A2C" w:rsidRPr="005D2FD8">
              <w:rPr>
                <w:spacing w:val="-2"/>
                <w:lang w:val="en-GB"/>
              </w:rPr>
              <w:t xml:space="preserve">. </w:t>
            </w:r>
            <w:r w:rsidR="00E75597">
              <w:rPr>
                <w:spacing w:val="-2"/>
                <w:lang w:val="en-GB"/>
              </w:rPr>
              <w:t xml:space="preserve">The domestic demand strongly supported its growth </w:t>
            </w:r>
            <w:r w:rsidR="00010A2C" w:rsidRPr="005D2FD8">
              <w:rPr>
                <w:spacing w:val="-2"/>
                <w:lang w:val="en-GB"/>
              </w:rPr>
              <w:t xml:space="preserve">– </w:t>
            </w:r>
            <w:r w:rsidR="00A452F3">
              <w:rPr>
                <w:spacing w:val="-2"/>
                <w:lang w:val="en-GB"/>
              </w:rPr>
              <w:t>both consumption and capital expenditure. The foreign trade balance on the contrary had a negative effect,</w:t>
            </w:r>
            <w:r w:rsidR="00E75597">
              <w:rPr>
                <w:spacing w:val="-2"/>
                <w:lang w:val="en-GB"/>
              </w:rPr>
              <w:t xml:space="preserve"> which </w:t>
            </w:r>
            <w:proofErr w:type="gramStart"/>
            <w:r w:rsidR="00E75597">
              <w:rPr>
                <w:spacing w:val="-2"/>
                <w:lang w:val="en-GB"/>
              </w:rPr>
              <w:t>was influenced</w:t>
            </w:r>
            <w:proofErr w:type="gramEnd"/>
            <w:r w:rsidR="00E75597">
              <w:rPr>
                <w:spacing w:val="-2"/>
                <w:lang w:val="en-GB"/>
              </w:rPr>
              <w:t xml:space="preserve"> also by the comparison with the strong ending of </w:t>
            </w:r>
            <w:r w:rsidR="00010A2C" w:rsidRPr="005D2FD8">
              <w:rPr>
                <w:spacing w:val="-2"/>
                <w:lang w:val="en-GB"/>
              </w:rPr>
              <w:t xml:space="preserve">2020, </w:t>
            </w:r>
            <w:r w:rsidR="00E75597">
              <w:rPr>
                <w:spacing w:val="-2"/>
                <w:lang w:val="en-GB"/>
              </w:rPr>
              <w:t xml:space="preserve">when the export grew significantly and the foreign trade balance reached record levels. </w:t>
            </w:r>
            <w:r w:rsidR="00A452F3">
              <w:rPr>
                <w:spacing w:val="-2"/>
                <w:lang w:val="en-GB"/>
              </w:rPr>
              <w:t>The quarter-on-quarter GDP addition was</w:t>
            </w:r>
            <w:r w:rsidR="00E75597">
              <w:rPr>
                <w:spacing w:val="-2"/>
                <w:lang w:val="en-GB"/>
              </w:rPr>
              <w:t xml:space="preserve"> </w:t>
            </w:r>
            <w:r w:rsidR="00010A2C" w:rsidRPr="005D2FD8">
              <w:rPr>
                <w:spacing w:val="-2"/>
                <w:lang w:val="en-GB"/>
              </w:rPr>
              <w:t>0</w:t>
            </w:r>
            <w:r w:rsidR="00A452F3">
              <w:rPr>
                <w:spacing w:val="-2"/>
                <w:lang w:val="en-GB"/>
              </w:rPr>
              <w:t>.</w:t>
            </w:r>
            <w:r w:rsidR="00010A2C" w:rsidRPr="005D2FD8">
              <w:rPr>
                <w:spacing w:val="-2"/>
                <w:lang w:val="en-GB"/>
              </w:rPr>
              <w:t>9%</w:t>
            </w:r>
            <w:r w:rsidR="00A452F3">
              <w:rPr>
                <w:spacing w:val="-2"/>
                <w:lang w:val="en-GB"/>
              </w:rPr>
              <w:t xml:space="preserve"> in Q4 2021 and slowed down compared to the dynamics of both Q</w:t>
            </w:r>
            <w:r w:rsidR="00010A2C" w:rsidRPr="005D2FD8">
              <w:rPr>
                <w:spacing w:val="-2"/>
                <w:lang w:val="en-GB"/>
              </w:rPr>
              <w:t>2</w:t>
            </w:r>
            <w:r w:rsidR="00A452F3">
              <w:rPr>
                <w:spacing w:val="-2"/>
                <w:lang w:val="en-GB"/>
              </w:rPr>
              <w:t xml:space="preserve"> and </w:t>
            </w:r>
            <w:r w:rsidR="00010A2C" w:rsidRPr="005D2FD8">
              <w:rPr>
                <w:spacing w:val="-2"/>
                <w:lang w:val="en-GB"/>
              </w:rPr>
              <w:t>3.</w:t>
            </w:r>
            <w:r w:rsidR="00A452F3">
              <w:rPr>
                <w:spacing w:val="-2"/>
                <w:lang w:val="en-GB"/>
              </w:rPr>
              <w:t xml:space="preserve"> </w:t>
            </w:r>
            <w:r w:rsidR="0092303E">
              <w:rPr>
                <w:spacing w:val="-2"/>
                <w:lang w:val="en-GB"/>
              </w:rPr>
              <w:t xml:space="preserve">Simultaneously the domestic consumption as well as expenditures on gross capital formation fell. </w:t>
            </w:r>
            <w:r w:rsidR="004867CC">
              <w:rPr>
                <w:spacing w:val="-2"/>
                <w:lang w:val="en-GB"/>
              </w:rPr>
              <w:t xml:space="preserve">Only the foreign demand thus contributed to the GDP growth. The Gross domestic product expressed in </w:t>
            </w:r>
            <w:r w:rsidR="00010A2C" w:rsidRPr="005D2FD8">
              <w:rPr>
                <w:spacing w:val="-2"/>
                <w:lang w:val="en-GB"/>
              </w:rPr>
              <w:t>2015</w:t>
            </w:r>
            <w:r w:rsidR="004867CC">
              <w:rPr>
                <w:spacing w:val="-2"/>
                <w:lang w:val="en-GB"/>
              </w:rPr>
              <w:t xml:space="preserve"> prices</w:t>
            </w:r>
            <w:r w:rsidR="0092303E">
              <w:rPr>
                <w:spacing w:val="-2"/>
                <w:lang w:val="en-GB"/>
              </w:rPr>
              <w:t xml:space="preserve"> failed to reach the level of the same period of year 2019 in Q</w:t>
            </w:r>
            <w:r w:rsidR="00010A2C" w:rsidRPr="005D2FD8">
              <w:rPr>
                <w:spacing w:val="-2"/>
                <w:lang w:val="en-GB"/>
              </w:rPr>
              <w:t>4</w:t>
            </w:r>
            <w:r w:rsidR="0092303E">
              <w:rPr>
                <w:spacing w:val="-2"/>
                <w:lang w:val="en-GB"/>
              </w:rPr>
              <w:t xml:space="preserve"> </w:t>
            </w:r>
            <w:r w:rsidR="00010A2C" w:rsidRPr="005D2FD8">
              <w:rPr>
                <w:spacing w:val="-2"/>
                <w:lang w:val="en-GB"/>
              </w:rPr>
              <w:t>2021</w:t>
            </w:r>
            <w:r w:rsidR="0092303E">
              <w:rPr>
                <w:spacing w:val="-2"/>
                <w:lang w:val="en-GB"/>
              </w:rPr>
              <w:t xml:space="preserve">. </w:t>
            </w:r>
          </w:p>
        </w:tc>
      </w:tr>
      <w:tr w:rsidR="00364B62" w:rsidRPr="009110F7" w14:paraId="6266996C" w14:textId="77777777" w:rsidTr="00D2240D">
        <w:trPr>
          <w:trHeight w:val="170"/>
        </w:trPr>
        <w:tc>
          <w:tcPr>
            <w:tcW w:w="1806" w:type="dxa"/>
            <w:vMerge w:val="restart"/>
            <w:shd w:val="clear" w:color="auto" w:fill="auto"/>
            <w:tcMar>
              <w:left w:w="0" w:type="dxa"/>
            </w:tcMar>
          </w:tcPr>
          <w:p w14:paraId="42DA263D" w14:textId="77777777" w:rsidR="00364B62" w:rsidRDefault="00364B62" w:rsidP="00364B62">
            <w:pPr>
              <w:pStyle w:val="Marginlie"/>
            </w:pPr>
          </w:p>
        </w:tc>
        <w:tc>
          <w:tcPr>
            <w:tcW w:w="223" w:type="dxa"/>
            <w:vMerge w:val="restart"/>
            <w:shd w:val="clear" w:color="auto" w:fill="auto"/>
            <w:tcMar>
              <w:left w:w="0" w:type="dxa"/>
            </w:tcMar>
          </w:tcPr>
          <w:p w14:paraId="45F9D537" w14:textId="77777777" w:rsidR="00364B62" w:rsidRDefault="00364B62" w:rsidP="00364B62">
            <w:pPr>
              <w:pStyle w:val="Textpoznpodarou"/>
              <w:jc w:val="both"/>
              <w:rPr>
                <w:spacing w:val="-4"/>
              </w:rPr>
            </w:pPr>
          </w:p>
        </w:tc>
        <w:tc>
          <w:tcPr>
            <w:tcW w:w="7610" w:type="dxa"/>
            <w:shd w:val="clear" w:color="auto" w:fill="auto"/>
            <w:tcMar>
              <w:left w:w="0" w:type="dxa"/>
            </w:tcMar>
          </w:tcPr>
          <w:p w14:paraId="1C757DC4" w14:textId="1016FADC" w:rsidR="00364B62" w:rsidRPr="00D721B4" w:rsidRDefault="00364B62" w:rsidP="00364B62">
            <w:pPr>
              <w:spacing w:after="0"/>
              <w:rPr>
                <w:b/>
                <w:szCs w:val="20"/>
              </w:rPr>
            </w:pPr>
            <w:r w:rsidRPr="00D970F7">
              <w:rPr>
                <w:rFonts w:cs="Arial"/>
                <w:b/>
                <w:bCs/>
                <w:color w:val="000000"/>
                <w:sz w:val="18"/>
                <w:szCs w:val="18"/>
                <w:lang w:val="en-GB"/>
              </w:rPr>
              <w:t>Chart </w:t>
            </w:r>
            <w:proofErr w:type="gramStart"/>
            <w:r w:rsidRPr="00D970F7">
              <w:rPr>
                <w:rFonts w:cs="Arial"/>
                <w:b/>
                <w:bCs/>
                <w:color w:val="000000"/>
                <w:sz w:val="18"/>
                <w:szCs w:val="18"/>
                <w:lang w:val="en-GB"/>
              </w:rPr>
              <w:t>1</w:t>
            </w:r>
            <w:r>
              <w:rPr>
                <w:rFonts w:cs="Arial"/>
                <w:b/>
                <w:bCs/>
                <w:color w:val="000000"/>
                <w:sz w:val="18"/>
                <w:szCs w:val="18"/>
                <w:lang w:val="en-GB"/>
              </w:rPr>
              <w:t xml:space="preserve"> </w:t>
            </w:r>
            <w:r w:rsidRPr="00D970F7">
              <w:rPr>
                <w:rFonts w:cs="Arial"/>
                <w:b/>
                <w:bCs/>
                <w:color w:val="000000"/>
                <w:sz w:val="18"/>
                <w:szCs w:val="18"/>
                <w:lang w:val="en-GB"/>
              </w:rPr>
              <w:t xml:space="preserve"> GDP</w:t>
            </w:r>
            <w:proofErr w:type="gramEnd"/>
            <w:r w:rsidRPr="00D970F7">
              <w:rPr>
                <w:rFonts w:cs="Arial"/>
                <w:b/>
                <w:sz w:val="18"/>
                <w:szCs w:val="18"/>
                <w:lang w:val="en-GB" w:eastAsia="en-US"/>
              </w:rPr>
              <w:t xml:space="preserve"> (volume indices, adjusted for seasonal and calendar effects, in %)</w:t>
            </w:r>
          </w:p>
        </w:tc>
      </w:tr>
      <w:tr w:rsidR="00364B62" w:rsidRPr="009110F7" w14:paraId="15F04752" w14:textId="77777777" w:rsidTr="00D2240D">
        <w:tblPrEx>
          <w:tblCellMar>
            <w:left w:w="70" w:type="dxa"/>
            <w:right w:w="70" w:type="dxa"/>
          </w:tblCellMar>
        </w:tblPrEx>
        <w:trPr>
          <w:trHeight w:val="170"/>
        </w:trPr>
        <w:tc>
          <w:tcPr>
            <w:tcW w:w="1806" w:type="dxa"/>
            <w:vMerge/>
            <w:shd w:val="clear" w:color="auto" w:fill="auto"/>
          </w:tcPr>
          <w:p w14:paraId="1518C08B" w14:textId="77777777" w:rsidR="00364B62" w:rsidRPr="009110F7" w:rsidRDefault="00364B62" w:rsidP="00364B62">
            <w:pPr>
              <w:pStyle w:val="Marginlie"/>
            </w:pPr>
          </w:p>
        </w:tc>
        <w:tc>
          <w:tcPr>
            <w:tcW w:w="223" w:type="dxa"/>
            <w:vMerge/>
            <w:shd w:val="clear" w:color="auto" w:fill="auto"/>
          </w:tcPr>
          <w:p w14:paraId="719F5515" w14:textId="77777777" w:rsidR="00364B62" w:rsidRPr="009110F7" w:rsidRDefault="00364B62" w:rsidP="00364B62">
            <w:pPr>
              <w:pStyle w:val="Textpoznpodarou"/>
              <w:jc w:val="both"/>
              <w:rPr>
                <w:spacing w:val="-4"/>
              </w:rPr>
            </w:pPr>
          </w:p>
        </w:tc>
        <w:tc>
          <w:tcPr>
            <w:tcW w:w="7610" w:type="dxa"/>
            <w:shd w:val="clear" w:color="auto" w:fill="auto"/>
          </w:tcPr>
          <w:p w14:paraId="088FF680" w14:textId="5FB0F90F" w:rsidR="00364B62" w:rsidRPr="009110F7" w:rsidRDefault="00AA570E" w:rsidP="00364B62">
            <w:pPr>
              <w:spacing w:after="0"/>
            </w:pPr>
            <w:r>
              <w:rPr>
                <w:noProof/>
              </w:rPr>
              <w:drawing>
                <wp:inline distT="0" distB="0" distL="0" distR="0" wp14:anchorId="234FAA8A" wp14:editId="3D1A28B4">
                  <wp:extent cx="4737600" cy="3553200"/>
                  <wp:effectExtent l="0" t="0" r="6350" b="0"/>
                  <wp:docPr id="4" name="Graf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64B62" w:rsidRPr="009110F7" w14:paraId="290891F6" w14:textId="77777777" w:rsidTr="00D2240D">
        <w:trPr>
          <w:trHeight w:val="170"/>
        </w:trPr>
        <w:tc>
          <w:tcPr>
            <w:tcW w:w="1806" w:type="dxa"/>
            <w:vMerge/>
            <w:shd w:val="clear" w:color="auto" w:fill="auto"/>
            <w:tcMar>
              <w:left w:w="0" w:type="dxa"/>
            </w:tcMar>
          </w:tcPr>
          <w:p w14:paraId="3DECDED2" w14:textId="77777777" w:rsidR="00364B62" w:rsidRPr="009110F7" w:rsidRDefault="00364B62" w:rsidP="00364B62">
            <w:pPr>
              <w:pStyle w:val="Marginlie"/>
            </w:pPr>
          </w:p>
        </w:tc>
        <w:tc>
          <w:tcPr>
            <w:tcW w:w="223" w:type="dxa"/>
            <w:vMerge/>
            <w:shd w:val="clear" w:color="auto" w:fill="auto"/>
            <w:tcMar>
              <w:left w:w="0" w:type="dxa"/>
            </w:tcMar>
          </w:tcPr>
          <w:p w14:paraId="432CE373" w14:textId="77777777" w:rsidR="00364B62" w:rsidRPr="009110F7" w:rsidRDefault="00364B62" w:rsidP="00364B62">
            <w:pPr>
              <w:pStyle w:val="Textpoznpodarou"/>
              <w:jc w:val="both"/>
              <w:rPr>
                <w:spacing w:val="-4"/>
              </w:rPr>
            </w:pPr>
          </w:p>
        </w:tc>
        <w:tc>
          <w:tcPr>
            <w:tcW w:w="7610" w:type="dxa"/>
            <w:shd w:val="clear" w:color="auto" w:fill="auto"/>
            <w:tcMar>
              <w:left w:w="0" w:type="dxa"/>
            </w:tcMar>
          </w:tcPr>
          <w:p w14:paraId="2C1E7F5B" w14:textId="351F60B7" w:rsidR="00364B62" w:rsidRPr="009110F7" w:rsidRDefault="00364B62" w:rsidP="00AA570E">
            <w:pPr>
              <w:spacing w:after="220"/>
              <w:rPr>
                <w:sz w:val="14"/>
                <w:szCs w:val="14"/>
              </w:rPr>
            </w:pPr>
            <w:r>
              <w:rPr>
                <w:sz w:val="14"/>
                <w:szCs w:val="14"/>
              </w:rPr>
              <w:t>Source: CZSO, Eurostat</w:t>
            </w:r>
          </w:p>
        </w:tc>
      </w:tr>
      <w:tr w:rsidR="00364B62" w:rsidRPr="009110F7" w14:paraId="4797E8D7" w14:textId="77777777" w:rsidTr="00D2240D">
        <w:trPr>
          <w:trHeight w:val="145"/>
        </w:trPr>
        <w:tc>
          <w:tcPr>
            <w:tcW w:w="1806" w:type="dxa"/>
            <w:shd w:val="clear" w:color="auto" w:fill="auto"/>
            <w:tcMar>
              <w:left w:w="0" w:type="dxa"/>
            </w:tcMar>
          </w:tcPr>
          <w:p w14:paraId="48D46448" w14:textId="5069E771" w:rsidR="00364B62" w:rsidRPr="004A5A24" w:rsidRDefault="00364B62" w:rsidP="00364B62">
            <w:pPr>
              <w:pStyle w:val="Marginlie"/>
              <w:rPr>
                <w:lang w:val="en-GB"/>
              </w:rPr>
            </w:pPr>
            <w:r w:rsidRPr="004A5A24">
              <w:rPr>
                <w:lang w:val="en-GB"/>
              </w:rPr>
              <w:lastRenderedPageBreak/>
              <w:t>European economies managed to recover and many already overcame the pre</w:t>
            </w:r>
            <w:r w:rsidR="00D43857">
              <w:rPr>
                <w:lang w:val="en-GB"/>
              </w:rPr>
              <w:t>-</w:t>
            </w:r>
            <w:r w:rsidRPr="004A5A24">
              <w:rPr>
                <w:lang w:val="en-GB"/>
              </w:rPr>
              <w:t xml:space="preserve">crisis level. </w:t>
            </w:r>
          </w:p>
        </w:tc>
        <w:tc>
          <w:tcPr>
            <w:tcW w:w="223" w:type="dxa"/>
            <w:shd w:val="clear" w:color="auto" w:fill="auto"/>
            <w:tcMar>
              <w:left w:w="0" w:type="dxa"/>
            </w:tcMar>
          </w:tcPr>
          <w:p w14:paraId="1717F6CD" w14:textId="77777777" w:rsidR="00364B62" w:rsidRPr="004A5A24" w:rsidRDefault="00364B62" w:rsidP="00364B62">
            <w:pPr>
              <w:pStyle w:val="Textpoznpodarou"/>
              <w:jc w:val="both"/>
              <w:rPr>
                <w:spacing w:val="-4"/>
                <w:lang w:val="en-GB"/>
              </w:rPr>
            </w:pPr>
          </w:p>
        </w:tc>
        <w:tc>
          <w:tcPr>
            <w:tcW w:w="7610" w:type="dxa"/>
            <w:shd w:val="clear" w:color="auto" w:fill="auto"/>
            <w:tcMar>
              <w:left w:w="0" w:type="dxa"/>
            </w:tcMar>
          </w:tcPr>
          <w:p w14:paraId="0D63C562" w14:textId="57CA2ADF" w:rsidR="00364B62" w:rsidRPr="004A5A24" w:rsidRDefault="00364B62" w:rsidP="00364B62">
            <w:pPr>
              <w:rPr>
                <w:lang w:val="en-GB"/>
              </w:rPr>
            </w:pPr>
            <w:r>
              <w:rPr>
                <w:lang w:val="en-GB"/>
              </w:rPr>
              <w:t>The total year-on-year growth of GDP in the European Union slightly accelerated to 4.</w:t>
            </w:r>
            <w:r w:rsidRPr="004A5A24">
              <w:rPr>
                <w:lang w:val="en-GB"/>
              </w:rPr>
              <w:t>8%</w:t>
            </w:r>
            <w:r w:rsidRPr="004A5A24">
              <w:rPr>
                <w:rStyle w:val="Znakapoznpodarou"/>
                <w:lang w:val="en-GB"/>
              </w:rPr>
              <w:footnoteReference w:id="6"/>
            </w:r>
            <w:r>
              <w:rPr>
                <w:lang w:val="en-GB"/>
              </w:rPr>
              <w:t xml:space="preserve"> in Q4 2021</w:t>
            </w:r>
            <w:r w:rsidRPr="004A5A24">
              <w:rPr>
                <w:lang w:val="en-GB"/>
              </w:rPr>
              <w:t xml:space="preserve">. </w:t>
            </w:r>
            <w:r>
              <w:rPr>
                <w:lang w:val="en-GB"/>
              </w:rPr>
              <w:t xml:space="preserve">The gradual revival of European economies thus continued and majority of </w:t>
            </w:r>
            <w:proofErr w:type="gramStart"/>
            <w:r>
              <w:rPr>
                <w:lang w:val="en-GB"/>
              </w:rPr>
              <w:t>them also</w:t>
            </w:r>
            <w:proofErr w:type="gramEnd"/>
            <w:r>
              <w:rPr>
                <w:lang w:val="en-GB"/>
              </w:rPr>
              <w:t xml:space="preserve"> exceeded the level from the same period of year </w:t>
            </w:r>
            <w:r w:rsidRPr="004A5A24">
              <w:rPr>
                <w:lang w:val="en-GB"/>
              </w:rPr>
              <w:t>2019</w:t>
            </w:r>
            <w:r w:rsidRPr="004A5A24">
              <w:rPr>
                <w:rStyle w:val="Znakapoznpodarou"/>
                <w:lang w:val="en-GB"/>
              </w:rPr>
              <w:footnoteReference w:id="7"/>
            </w:r>
            <w:r w:rsidRPr="004A5A24">
              <w:rPr>
                <w:lang w:val="en-GB"/>
              </w:rPr>
              <w:t xml:space="preserve">. </w:t>
            </w:r>
            <w:r>
              <w:rPr>
                <w:lang w:val="en-GB"/>
              </w:rPr>
              <w:t xml:space="preserve">The GDP grew in all EU economies year-on-year and based on the available data, Slovenia </w:t>
            </w:r>
            <w:r w:rsidRPr="004A5A24">
              <w:rPr>
                <w:lang w:val="en-GB"/>
              </w:rPr>
              <w:t>(10</w:t>
            </w:r>
            <w:r>
              <w:rPr>
                <w:lang w:val="en-GB"/>
              </w:rPr>
              <w:t>.</w:t>
            </w:r>
            <w:r w:rsidRPr="004A5A24">
              <w:rPr>
                <w:lang w:val="en-GB"/>
              </w:rPr>
              <w:t>5%), C</w:t>
            </w:r>
            <w:r>
              <w:rPr>
                <w:lang w:val="en-GB"/>
              </w:rPr>
              <w:t xml:space="preserve">roatia </w:t>
            </w:r>
            <w:r w:rsidRPr="004A5A24">
              <w:rPr>
                <w:lang w:val="en-GB"/>
              </w:rPr>
              <w:t>(9</w:t>
            </w:r>
            <w:r>
              <w:rPr>
                <w:lang w:val="en-GB"/>
              </w:rPr>
              <w:t>.</w:t>
            </w:r>
            <w:r w:rsidRPr="004A5A24">
              <w:rPr>
                <w:lang w:val="en-GB"/>
              </w:rPr>
              <w:t>9%) a</w:t>
            </w:r>
            <w:r>
              <w:rPr>
                <w:lang w:val="en-GB"/>
              </w:rPr>
              <w:t xml:space="preserve">nd Estonia </w:t>
            </w:r>
            <w:r w:rsidRPr="004A5A24">
              <w:rPr>
                <w:lang w:val="en-GB"/>
              </w:rPr>
              <w:t>(8</w:t>
            </w:r>
            <w:r>
              <w:rPr>
                <w:lang w:val="en-GB"/>
              </w:rPr>
              <w:t>.</w:t>
            </w:r>
            <w:r w:rsidRPr="004A5A24">
              <w:rPr>
                <w:lang w:val="en-GB"/>
              </w:rPr>
              <w:t>8%)</w:t>
            </w:r>
            <w:r>
              <w:rPr>
                <w:lang w:val="en-GB"/>
              </w:rPr>
              <w:t xml:space="preserve"> recorded the largest increase</w:t>
            </w:r>
            <w:r w:rsidRPr="004A5A24">
              <w:rPr>
                <w:lang w:val="en-GB"/>
              </w:rPr>
              <w:t xml:space="preserve">. </w:t>
            </w:r>
            <w:r>
              <w:rPr>
                <w:lang w:val="en-GB"/>
              </w:rPr>
              <w:t xml:space="preserve">GDP grew only slightly in Slovakia </w:t>
            </w:r>
            <w:r w:rsidRPr="004A5A24">
              <w:rPr>
                <w:lang w:val="en-GB"/>
              </w:rPr>
              <w:t>(1</w:t>
            </w:r>
            <w:r>
              <w:rPr>
                <w:lang w:val="en-GB"/>
              </w:rPr>
              <w:t>.</w:t>
            </w:r>
            <w:r w:rsidRPr="004A5A24">
              <w:rPr>
                <w:lang w:val="en-GB"/>
              </w:rPr>
              <w:t>1%),</w:t>
            </w:r>
            <w:r>
              <w:rPr>
                <w:lang w:val="en-GB"/>
              </w:rPr>
              <w:t xml:space="preserve"> Germany </w:t>
            </w:r>
            <w:r w:rsidRPr="004A5A24">
              <w:rPr>
                <w:lang w:val="en-GB"/>
              </w:rPr>
              <w:t>(1</w:t>
            </w:r>
            <w:r>
              <w:rPr>
                <w:lang w:val="en-GB"/>
              </w:rPr>
              <w:t>.</w:t>
            </w:r>
            <w:r w:rsidRPr="004A5A24">
              <w:rPr>
                <w:lang w:val="en-GB"/>
              </w:rPr>
              <w:t>8%) a</w:t>
            </w:r>
            <w:r>
              <w:rPr>
                <w:lang w:val="en-GB"/>
              </w:rPr>
              <w:t xml:space="preserve">nd Romania </w:t>
            </w:r>
            <w:r w:rsidRPr="004A5A24">
              <w:rPr>
                <w:lang w:val="en-GB"/>
              </w:rPr>
              <w:t>(2</w:t>
            </w:r>
            <w:r>
              <w:rPr>
                <w:lang w:val="en-GB"/>
              </w:rPr>
              <w:t>.</w:t>
            </w:r>
            <w:r w:rsidRPr="004A5A24">
              <w:rPr>
                <w:lang w:val="en-GB"/>
              </w:rPr>
              <w:t xml:space="preserve">7%). </w:t>
            </w:r>
            <w:r>
              <w:rPr>
                <w:lang w:val="en-GB"/>
              </w:rPr>
              <w:t>The GDP increased by 0.4% in the EU compared to Q</w:t>
            </w:r>
            <w:r w:rsidRPr="004A5A24">
              <w:rPr>
                <w:lang w:val="en-GB"/>
              </w:rPr>
              <w:t>3</w:t>
            </w:r>
            <w:r>
              <w:rPr>
                <w:lang w:val="en-GB"/>
              </w:rPr>
              <w:t xml:space="preserve"> </w:t>
            </w:r>
            <w:r w:rsidRPr="004A5A24">
              <w:rPr>
                <w:lang w:val="en-GB"/>
              </w:rPr>
              <w:t xml:space="preserve">2021. </w:t>
            </w:r>
            <w:r>
              <w:rPr>
                <w:lang w:val="en-GB"/>
              </w:rPr>
              <w:t>Relatively low total increase was mainly affected by the difficult development of the German economy</w:t>
            </w:r>
            <w:r w:rsidRPr="004A5A24">
              <w:rPr>
                <w:lang w:val="en-GB"/>
              </w:rPr>
              <w:t xml:space="preserve">, </w:t>
            </w:r>
            <w:r>
              <w:rPr>
                <w:lang w:val="en-GB"/>
              </w:rPr>
              <w:t xml:space="preserve">which fell by </w:t>
            </w:r>
            <w:r w:rsidRPr="004A5A24">
              <w:rPr>
                <w:lang w:val="en-GB"/>
              </w:rPr>
              <w:t>0</w:t>
            </w:r>
            <w:r>
              <w:rPr>
                <w:lang w:val="en-GB"/>
              </w:rPr>
              <w:t>.</w:t>
            </w:r>
            <w:r w:rsidRPr="004A5A24">
              <w:rPr>
                <w:lang w:val="en-GB"/>
              </w:rPr>
              <w:t>3%</w:t>
            </w:r>
            <w:r>
              <w:rPr>
                <w:lang w:val="en-GB"/>
              </w:rPr>
              <w:t xml:space="preserve"> quarter-on-quarter</w:t>
            </w:r>
            <w:r w:rsidRPr="004A5A24">
              <w:rPr>
                <w:lang w:val="en-GB"/>
              </w:rPr>
              <w:t>.</w:t>
            </w:r>
            <w:r>
              <w:rPr>
                <w:lang w:val="en-GB"/>
              </w:rPr>
              <w:t xml:space="preserve"> The GDP was also lower in Austria </w:t>
            </w:r>
            <w:r w:rsidRPr="004A5A24">
              <w:rPr>
                <w:lang w:val="en-GB"/>
              </w:rPr>
              <w:t>(–2</w:t>
            </w:r>
            <w:r>
              <w:rPr>
                <w:lang w:val="en-GB"/>
              </w:rPr>
              <w:t>.</w:t>
            </w:r>
            <w:r w:rsidRPr="004A5A24">
              <w:rPr>
                <w:lang w:val="en-GB"/>
              </w:rPr>
              <w:t>2%), R</w:t>
            </w:r>
            <w:r>
              <w:rPr>
                <w:lang w:val="en-GB"/>
              </w:rPr>
              <w:t xml:space="preserve">omania </w:t>
            </w:r>
            <w:r w:rsidRPr="004A5A24">
              <w:rPr>
                <w:lang w:val="en-GB"/>
              </w:rPr>
              <w:t>(–0</w:t>
            </w:r>
            <w:r>
              <w:rPr>
                <w:lang w:val="en-GB"/>
              </w:rPr>
              <w:t>.</w:t>
            </w:r>
            <w:r w:rsidRPr="004A5A24">
              <w:rPr>
                <w:lang w:val="en-GB"/>
              </w:rPr>
              <w:t>5%),</w:t>
            </w:r>
            <w:r>
              <w:rPr>
                <w:lang w:val="en-GB"/>
              </w:rPr>
              <w:t xml:space="preserve"> in Latvia </w:t>
            </w:r>
            <w:r w:rsidRPr="004A5A24">
              <w:rPr>
                <w:lang w:val="en-GB"/>
              </w:rPr>
              <w:t>(–0</w:t>
            </w:r>
            <w:r>
              <w:rPr>
                <w:lang w:val="en-GB"/>
              </w:rPr>
              <w:t>.</w:t>
            </w:r>
            <w:r w:rsidRPr="004A5A24">
              <w:rPr>
                <w:lang w:val="en-GB"/>
              </w:rPr>
              <w:t>1%)</w:t>
            </w:r>
            <w:r>
              <w:rPr>
                <w:lang w:val="en-GB"/>
              </w:rPr>
              <w:t xml:space="preserve"> and in Croatia </w:t>
            </w:r>
            <w:r w:rsidRPr="004A5A24">
              <w:rPr>
                <w:lang w:val="en-GB"/>
              </w:rPr>
              <w:t>(–0</w:t>
            </w:r>
            <w:r>
              <w:rPr>
                <w:lang w:val="en-GB"/>
              </w:rPr>
              <w:t>.</w:t>
            </w:r>
            <w:r w:rsidRPr="004A5A24">
              <w:rPr>
                <w:lang w:val="en-GB"/>
              </w:rPr>
              <w:t>1%). Slov</w:t>
            </w:r>
            <w:r>
              <w:rPr>
                <w:lang w:val="en-GB"/>
              </w:rPr>
              <w:t xml:space="preserve">enia </w:t>
            </w:r>
            <w:r w:rsidRPr="004A5A24">
              <w:rPr>
                <w:lang w:val="en-GB"/>
              </w:rPr>
              <w:t>(5</w:t>
            </w:r>
            <w:r>
              <w:rPr>
                <w:lang w:val="en-GB"/>
              </w:rPr>
              <w:t>.</w:t>
            </w:r>
            <w:r w:rsidRPr="004A5A24">
              <w:rPr>
                <w:lang w:val="en-GB"/>
              </w:rPr>
              <w:t xml:space="preserve">4%), </w:t>
            </w:r>
            <w:r>
              <w:rPr>
                <w:lang w:val="en-GB"/>
              </w:rPr>
              <w:t xml:space="preserve">Spain </w:t>
            </w:r>
            <w:r w:rsidRPr="004A5A24">
              <w:rPr>
                <w:lang w:val="en-GB"/>
              </w:rPr>
              <w:t>(2</w:t>
            </w:r>
            <w:r>
              <w:rPr>
                <w:lang w:val="en-GB"/>
              </w:rPr>
              <w:t>.</w:t>
            </w:r>
            <w:r w:rsidRPr="004A5A24">
              <w:rPr>
                <w:lang w:val="en-GB"/>
              </w:rPr>
              <w:t>0%) a</w:t>
            </w:r>
            <w:r>
              <w:rPr>
                <w:lang w:val="en-GB"/>
              </w:rPr>
              <w:t xml:space="preserve">nd Hungary </w:t>
            </w:r>
            <w:r w:rsidRPr="004A5A24">
              <w:rPr>
                <w:lang w:val="en-GB"/>
              </w:rPr>
              <w:t>(2</w:t>
            </w:r>
            <w:r>
              <w:rPr>
                <w:lang w:val="en-GB"/>
              </w:rPr>
              <w:t>.</w:t>
            </w:r>
            <w:r w:rsidRPr="004A5A24">
              <w:rPr>
                <w:lang w:val="en-GB"/>
              </w:rPr>
              <w:t>0%)</w:t>
            </w:r>
            <w:r>
              <w:rPr>
                <w:lang w:val="en-GB"/>
              </w:rPr>
              <w:t xml:space="preserve"> on the contrary attained a very strong quarter-on-quarter increase of GDP</w:t>
            </w:r>
            <w:r w:rsidRPr="004A5A24">
              <w:rPr>
                <w:lang w:val="en-GB"/>
              </w:rPr>
              <w:t>.</w:t>
            </w:r>
          </w:p>
        </w:tc>
      </w:tr>
      <w:tr w:rsidR="00364B62" w:rsidRPr="009110F7" w14:paraId="40D86DAD" w14:textId="77777777" w:rsidTr="00D2240D">
        <w:trPr>
          <w:trHeight w:val="145"/>
        </w:trPr>
        <w:tc>
          <w:tcPr>
            <w:tcW w:w="1806" w:type="dxa"/>
            <w:shd w:val="clear" w:color="auto" w:fill="auto"/>
            <w:tcMar>
              <w:left w:w="0" w:type="dxa"/>
            </w:tcMar>
          </w:tcPr>
          <w:p w14:paraId="29CC4857" w14:textId="70EE57E4" w:rsidR="00364B62" w:rsidRPr="00CC1B66" w:rsidRDefault="00364B62" w:rsidP="00364B62">
            <w:pPr>
              <w:pStyle w:val="Marginlie"/>
              <w:rPr>
                <w:lang w:val="en-GB"/>
              </w:rPr>
            </w:pPr>
            <w:r w:rsidRPr="00CC1B66">
              <w:rPr>
                <w:lang w:val="en-GB"/>
              </w:rPr>
              <w:t xml:space="preserve">Wages and salaries faced the strong price growth last year, which dampened their real growth. </w:t>
            </w:r>
          </w:p>
        </w:tc>
        <w:tc>
          <w:tcPr>
            <w:tcW w:w="223" w:type="dxa"/>
            <w:shd w:val="clear" w:color="auto" w:fill="auto"/>
            <w:tcMar>
              <w:left w:w="0" w:type="dxa"/>
            </w:tcMar>
          </w:tcPr>
          <w:p w14:paraId="1CFFE8FB" w14:textId="77777777" w:rsidR="00364B62" w:rsidRPr="00CC1B66" w:rsidRDefault="00364B62" w:rsidP="00364B62">
            <w:pPr>
              <w:pStyle w:val="Textpoznpodarou"/>
              <w:jc w:val="both"/>
              <w:rPr>
                <w:spacing w:val="-4"/>
                <w:lang w:val="en-GB"/>
              </w:rPr>
            </w:pPr>
          </w:p>
        </w:tc>
        <w:tc>
          <w:tcPr>
            <w:tcW w:w="7610" w:type="dxa"/>
            <w:shd w:val="clear" w:color="auto" w:fill="auto"/>
            <w:tcMar>
              <w:left w:w="0" w:type="dxa"/>
            </w:tcMar>
          </w:tcPr>
          <w:p w14:paraId="2099A194" w14:textId="448D117B" w:rsidR="00364B62" w:rsidRPr="00CC1B66" w:rsidRDefault="00364B62" w:rsidP="00364B62">
            <w:pPr>
              <w:rPr>
                <w:spacing w:val="-2"/>
                <w:lang w:val="en-GB"/>
              </w:rPr>
            </w:pPr>
            <w:r>
              <w:rPr>
                <w:spacing w:val="-2"/>
                <w:lang w:val="en-GB"/>
              </w:rPr>
              <w:t xml:space="preserve">In </w:t>
            </w:r>
            <w:r w:rsidRPr="00CC1B66">
              <w:rPr>
                <w:spacing w:val="-2"/>
                <w:lang w:val="en-GB"/>
              </w:rPr>
              <w:t>2021</w:t>
            </w:r>
            <w:r>
              <w:rPr>
                <w:spacing w:val="-2"/>
                <w:lang w:val="en-GB"/>
              </w:rPr>
              <w:t xml:space="preserve">, the total volume of paid out wages and salaries expanded by </w:t>
            </w:r>
            <w:r w:rsidRPr="00CC1B66">
              <w:rPr>
                <w:spacing w:val="-2"/>
                <w:lang w:val="en-GB"/>
              </w:rPr>
              <w:t>6</w:t>
            </w:r>
            <w:r>
              <w:rPr>
                <w:spacing w:val="-2"/>
                <w:lang w:val="en-GB"/>
              </w:rPr>
              <w:t>.</w:t>
            </w:r>
            <w:r w:rsidRPr="00CC1B66">
              <w:rPr>
                <w:spacing w:val="-2"/>
                <w:lang w:val="en-GB"/>
              </w:rPr>
              <w:t>8%</w:t>
            </w:r>
            <w:r>
              <w:rPr>
                <w:spacing w:val="-2"/>
                <w:lang w:val="en-GB"/>
              </w:rPr>
              <w:t xml:space="preserve"> given the simultaneous increase of the total employment by </w:t>
            </w:r>
            <w:r w:rsidRPr="00CC1B66">
              <w:rPr>
                <w:spacing w:val="-2"/>
                <w:lang w:val="en-GB"/>
              </w:rPr>
              <w:t>0</w:t>
            </w:r>
            <w:r>
              <w:rPr>
                <w:spacing w:val="-2"/>
                <w:lang w:val="en-GB"/>
              </w:rPr>
              <w:t>.</w:t>
            </w:r>
            <w:r w:rsidRPr="00CC1B66">
              <w:rPr>
                <w:spacing w:val="-2"/>
                <w:lang w:val="en-GB"/>
              </w:rPr>
              <w:t>1%</w:t>
            </w:r>
            <w:r w:rsidRPr="00CC1B66">
              <w:rPr>
                <w:rStyle w:val="Znakapoznpodarou"/>
                <w:spacing w:val="-2"/>
                <w:lang w:val="en-GB"/>
              </w:rPr>
              <w:footnoteReference w:id="8"/>
            </w:r>
            <w:r w:rsidRPr="00CC1B66">
              <w:rPr>
                <w:spacing w:val="-2"/>
                <w:lang w:val="en-GB"/>
              </w:rPr>
              <w:t xml:space="preserve">. </w:t>
            </w:r>
            <w:r>
              <w:rPr>
                <w:spacing w:val="-2"/>
                <w:lang w:val="en-GB"/>
              </w:rPr>
              <w:t xml:space="preserve">However, strengthening of the price growth caused, that the real increase of the volume of wages ended at </w:t>
            </w:r>
            <w:r w:rsidRPr="00CC1B66">
              <w:rPr>
                <w:spacing w:val="-2"/>
                <w:lang w:val="en-GB"/>
              </w:rPr>
              <w:t>3</w:t>
            </w:r>
            <w:r>
              <w:rPr>
                <w:spacing w:val="-2"/>
                <w:lang w:val="en-GB"/>
              </w:rPr>
              <w:t>.</w:t>
            </w:r>
            <w:r w:rsidRPr="00CC1B66">
              <w:rPr>
                <w:spacing w:val="-2"/>
                <w:lang w:val="en-GB"/>
              </w:rPr>
              <w:t>7%</w:t>
            </w:r>
            <w:r w:rsidRPr="00CC1B66">
              <w:rPr>
                <w:rStyle w:val="Znakapoznpodarou"/>
                <w:spacing w:val="-2"/>
                <w:lang w:val="en-GB"/>
              </w:rPr>
              <w:footnoteReference w:id="9"/>
            </w:r>
            <w:r>
              <w:rPr>
                <w:spacing w:val="-2"/>
                <w:lang w:val="en-GB"/>
              </w:rPr>
              <w:t xml:space="preserve"> last year</w:t>
            </w:r>
            <w:r w:rsidRPr="00CC1B66">
              <w:rPr>
                <w:spacing w:val="-2"/>
                <w:lang w:val="en-GB"/>
              </w:rPr>
              <w:t xml:space="preserve">. </w:t>
            </w:r>
            <w:r>
              <w:rPr>
                <w:spacing w:val="-2"/>
                <w:lang w:val="en-GB"/>
              </w:rPr>
              <w:t xml:space="preserve">The volume of paid out wages expanded the most in real estate activities </w:t>
            </w:r>
            <w:r w:rsidRPr="00CC1B66">
              <w:rPr>
                <w:spacing w:val="-2"/>
                <w:lang w:val="en-GB"/>
              </w:rPr>
              <w:t>(14</w:t>
            </w:r>
            <w:r>
              <w:rPr>
                <w:spacing w:val="-2"/>
                <w:lang w:val="en-GB"/>
              </w:rPr>
              <w:t>.</w:t>
            </w:r>
            <w:r w:rsidRPr="00CC1B66">
              <w:rPr>
                <w:spacing w:val="-2"/>
                <w:lang w:val="en-GB"/>
              </w:rPr>
              <w:t>1%</w:t>
            </w:r>
            <w:r>
              <w:rPr>
                <w:spacing w:val="-2"/>
                <w:lang w:val="en-GB"/>
              </w:rPr>
              <w:t xml:space="preserve"> </w:t>
            </w:r>
            <w:r w:rsidRPr="00CC1B66">
              <w:rPr>
                <w:spacing w:val="-2"/>
                <w:lang w:val="en-GB"/>
              </w:rPr>
              <w:t xml:space="preserve"> </w:t>
            </w:r>
            <w:r>
              <w:rPr>
                <w:spacing w:val="-2"/>
                <w:lang w:val="en-GB"/>
              </w:rPr>
              <w:t>given the employment stagnation</w:t>
            </w:r>
            <w:r w:rsidRPr="00CC1B66">
              <w:rPr>
                <w:spacing w:val="-2"/>
                <w:lang w:val="en-GB"/>
              </w:rPr>
              <w:t>) a</w:t>
            </w:r>
            <w:r>
              <w:rPr>
                <w:spacing w:val="-2"/>
                <w:lang w:val="en-GB"/>
              </w:rPr>
              <w:t>nd further in branches with the dominant government sector activities</w:t>
            </w:r>
            <w:r w:rsidRPr="00CC1B66">
              <w:rPr>
                <w:rStyle w:val="Znakapoznpodarou"/>
                <w:spacing w:val="-2"/>
                <w:lang w:val="en-GB"/>
              </w:rPr>
              <w:footnoteReference w:id="10"/>
            </w:r>
            <w:r w:rsidRPr="00CC1B66">
              <w:rPr>
                <w:spacing w:val="-2"/>
                <w:lang w:val="en-GB"/>
              </w:rPr>
              <w:t xml:space="preserve"> (8</w:t>
            </w:r>
            <w:r>
              <w:rPr>
                <w:spacing w:val="-2"/>
                <w:lang w:val="en-GB"/>
              </w:rPr>
              <w:t>.</w:t>
            </w:r>
            <w:r w:rsidRPr="00CC1B66">
              <w:rPr>
                <w:spacing w:val="-2"/>
                <w:lang w:val="en-GB"/>
              </w:rPr>
              <w:t xml:space="preserve">9%, </w:t>
            </w:r>
            <w:r>
              <w:rPr>
                <w:spacing w:val="-2"/>
                <w:lang w:val="en-GB"/>
              </w:rPr>
              <w:t xml:space="preserve">employment growth of </w:t>
            </w:r>
            <w:r w:rsidRPr="00CC1B66">
              <w:rPr>
                <w:spacing w:val="-2"/>
                <w:lang w:val="en-GB"/>
              </w:rPr>
              <w:t>2</w:t>
            </w:r>
            <w:r>
              <w:rPr>
                <w:spacing w:val="-2"/>
                <w:lang w:val="en-GB"/>
              </w:rPr>
              <w:t>.</w:t>
            </w:r>
            <w:r w:rsidRPr="00CC1B66">
              <w:rPr>
                <w:spacing w:val="-2"/>
                <w:lang w:val="en-GB"/>
              </w:rPr>
              <w:t>8%),</w:t>
            </w:r>
            <w:r>
              <w:rPr>
                <w:spacing w:val="-2"/>
                <w:lang w:val="en-GB"/>
              </w:rPr>
              <w:t xml:space="preserve"> where the payment of bonuses to health care professionals and other forces participating on tackling the pandemics. The volume of earnings also grew at above average pace </w:t>
            </w:r>
            <w:r w:rsidRPr="00CC1B66">
              <w:rPr>
                <w:spacing w:val="-2"/>
                <w:lang w:val="en-GB"/>
              </w:rPr>
              <w:t>(7</w:t>
            </w:r>
            <w:r>
              <w:rPr>
                <w:spacing w:val="-2"/>
                <w:lang w:val="en-GB"/>
              </w:rPr>
              <w:t>.</w:t>
            </w:r>
            <w:r w:rsidRPr="00CC1B66">
              <w:rPr>
                <w:spacing w:val="-2"/>
                <w:lang w:val="en-GB"/>
              </w:rPr>
              <w:t>7%)</w:t>
            </w:r>
            <w:r>
              <w:rPr>
                <w:spacing w:val="-2"/>
                <w:lang w:val="en-GB"/>
              </w:rPr>
              <w:t xml:space="preserve"> in professional, scientific, technical and administrative activities and continuing growth of employment</w:t>
            </w:r>
            <w:r w:rsidRPr="00CC1B66">
              <w:rPr>
                <w:rStyle w:val="Znakapoznpodarou"/>
                <w:spacing w:val="-2"/>
                <w:lang w:val="en-GB"/>
              </w:rPr>
              <w:footnoteReference w:id="11"/>
            </w:r>
            <w:r>
              <w:rPr>
                <w:spacing w:val="-2"/>
                <w:lang w:val="en-GB"/>
              </w:rPr>
              <w:t xml:space="preserve"> </w:t>
            </w:r>
            <w:r w:rsidRPr="00CC1B66">
              <w:rPr>
                <w:spacing w:val="-2"/>
                <w:lang w:val="en-GB"/>
              </w:rPr>
              <w:t>(3</w:t>
            </w:r>
            <w:r>
              <w:rPr>
                <w:spacing w:val="-2"/>
                <w:lang w:val="en-GB"/>
              </w:rPr>
              <w:t>.</w:t>
            </w:r>
            <w:r w:rsidRPr="00CC1B66">
              <w:rPr>
                <w:spacing w:val="-2"/>
                <w:lang w:val="en-GB"/>
              </w:rPr>
              <w:t>4%)</w:t>
            </w:r>
            <w:r>
              <w:rPr>
                <w:spacing w:val="-2"/>
                <w:lang w:val="en-GB"/>
              </w:rPr>
              <w:t xml:space="preserve"> supported the growth of wages and salaries in information and communication </w:t>
            </w:r>
            <w:r w:rsidRPr="00CC1B66">
              <w:rPr>
                <w:spacing w:val="-2"/>
                <w:lang w:val="en-GB"/>
              </w:rPr>
              <w:t>(6</w:t>
            </w:r>
            <w:r>
              <w:rPr>
                <w:spacing w:val="-2"/>
                <w:lang w:val="en-GB"/>
              </w:rPr>
              <w:t>.</w:t>
            </w:r>
            <w:r w:rsidRPr="00CC1B66">
              <w:rPr>
                <w:spacing w:val="-2"/>
                <w:lang w:val="en-GB"/>
              </w:rPr>
              <w:t xml:space="preserve">9%). </w:t>
            </w:r>
            <w:r>
              <w:rPr>
                <w:spacing w:val="-2"/>
                <w:lang w:val="en-GB"/>
              </w:rPr>
              <w:t xml:space="preserve">Wages and salaries were by </w:t>
            </w:r>
            <w:r w:rsidRPr="00CC1B66">
              <w:rPr>
                <w:spacing w:val="-2"/>
                <w:lang w:val="en-GB"/>
              </w:rPr>
              <w:t>6</w:t>
            </w:r>
            <w:r>
              <w:rPr>
                <w:spacing w:val="-2"/>
                <w:lang w:val="en-GB"/>
              </w:rPr>
              <w:t>.</w:t>
            </w:r>
            <w:r w:rsidRPr="00CC1B66">
              <w:rPr>
                <w:spacing w:val="-2"/>
                <w:lang w:val="en-GB"/>
              </w:rPr>
              <w:t>3%</w:t>
            </w:r>
            <w:r>
              <w:rPr>
                <w:spacing w:val="-2"/>
                <w:lang w:val="en-GB"/>
              </w:rPr>
              <w:t xml:space="preserve"> higher in manufacturing</w:t>
            </w:r>
            <w:r w:rsidRPr="00CC1B66">
              <w:rPr>
                <w:spacing w:val="-2"/>
                <w:lang w:val="en-GB"/>
              </w:rPr>
              <w:t xml:space="preserve">, </w:t>
            </w:r>
            <w:r>
              <w:rPr>
                <w:spacing w:val="-2"/>
                <w:lang w:val="en-GB"/>
              </w:rPr>
              <w:t xml:space="preserve">while the employment dropped by </w:t>
            </w:r>
            <w:r w:rsidRPr="00CC1B66">
              <w:rPr>
                <w:spacing w:val="-2"/>
                <w:lang w:val="en-GB"/>
              </w:rPr>
              <w:t>0</w:t>
            </w:r>
            <w:r>
              <w:rPr>
                <w:spacing w:val="-2"/>
                <w:lang w:val="en-GB"/>
              </w:rPr>
              <w:t>.</w:t>
            </w:r>
            <w:r w:rsidRPr="00CC1B66">
              <w:rPr>
                <w:spacing w:val="-2"/>
                <w:lang w:val="en-GB"/>
              </w:rPr>
              <w:t>5%.</w:t>
            </w:r>
            <w:r>
              <w:rPr>
                <w:spacing w:val="-2"/>
                <w:lang w:val="en-GB"/>
              </w:rPr>
              <w:t xml:space="preserve"> The </w:t>
            </w:r>
            <w:r w:rsidR="00801CCF">
              <w:rPr>
                <w:spacing w:val="-2"/>
                <w:lang w:val="en-GB"/>
              </w:rPr>
              <w:t xml:space="preserve">division </w:t>
            </w:r>
            <w:r>
              <w:rPr>
                <w:spacing w:val="-2"/>
                <w:lang w:val="en-GB"/>
              </w:rPr>
              <w:t xml:space="preserve">trade, transportation, accommodation and food </w:t>
            </w:r>
            <w:r w:rsidR="00FE263A">
              <w:rPr>
                <w:spacing w:val="-2"/>
                <w:lang w:val="en-GB"/>
              </w:rPr>
              <w:t xml:space="preserve">service </w:t>
            </w:r>
            <w:r w:rsidR="00FE263A" w:rsidRPr="00CC1B66">
              <w:rPr>
                <w:spacing w:val="-2"/>
                <w:lang w:val="en-GB"/>
              </w:rPr>
              <w:t>(</w:t>
            </w:r>
            <w:r w:rsidRPr="00CC1B66">
              <w:rPr>
                <w:spacing w:val="-2"/>
                <w:lang w:val="en-GB"/>
              </w:rPr>
              <w:t>5</w:t>
            </w:r>
            <w:r>
              <w:rPr>
                <w:spacing w:val="-2"/>
                <w:lang w:val="en-GB"/>
              </w:rPr>
              <w:t>.</w:t>
            </w:r>
            <w:r w:rsidRPr="00CC1B66">
              <w:rPr>
                <w:spacing w:val="-2"/>
                <w:lang w:val="en-GB"/>
              </w:rPr>
              <w:t>7%</w:t>
            </w:r>
            <w:r>
              <w:rPr>
                <w:spacing w:val="-2"/>
                <w:lang w:val="en-GB"/>
              </w:rPr>
              <w:t xml:space="preserve"> given the fall of employment by </w:t>
            </w:r>
            <w:r w:rsidRPr="00CC1B66">
              <w:rPr>
                <w:spacing w:val="-2"/>
                <w:lang w:val="en-GB"/>
              </w:rPr>
              <w:t>1</w:t>
            </w:r>
            <w:r>
              <w:rPr>
                <w:spacing w:val="-2"/>
                <w:lang w:val="en-GB"/>
              </w:rPr>
              <w:t>.</w:t>
            </w:r>
            <w:r w:rsidRPr="00CC1B66">
              <w:rPr>
                <w:spacing w:val="-2"/>
                <w:lang w:val="en-GB"/>
              </w:rPr>
              <w:t xml:space="preserve">7%), </w:t>
            </w:r>
            <w:r>
              <w:rPr>
                <w:spacing w:val="-2"/>
                <w:lang w:val="en-GB"/>
              </w:rPr>
              <w:t xml:space="preserve">construction </w:t>
            </w:r>
            <w:r w:rsidRPr="00CC1B66">
              <w:rPr>
                <w:spacing w:val="-2"/>
                <w:lang w:val="en-GB"/>
              </w:rPr>
              <w:t>(5</w:t>
            </w:r>
            <w:r>
              <w:rPr>
                <w:spacing w:val="-2"/>
                <w:lang w:val="en-GB"/>
              </w:rPr>
              <w:t>.</w:t>
            </w:r>
            <w:r w:rsidRPr="00CC1B66">
              <w:rPr>
                <w:spacing w:val="-2"/>
                <w:lang w:val="en-GB"/>
              </w:rPr>
              <w:t>5%),</w:t>
            </w:r>
            <w:r>
              <w:rPr>
                <w:spacing w:val="-2"/>
                <w:lang w:val="en-GB"/>
              </w:rPr>
              <w:t xml:space="preserve"> other activities </w:t>
            </w:r>
            <w:r w:rsidRPr="00CC1B66">
              <w:rPr>
                <w:spacing w:val="-2"/>
                <w:lang w:val="en-GB"/>
              </w:rPr>
              <w:t>(5</w:t>
            </w:r>
            <w:r>
              <w:rPr>
                <w:spacing w:val="-2"/>
                <w:lang w:val="en-GB"/>
              </w:rPr>
              <w:t>.</w:t>
            </w:r>
            <w:r w:rsidRPr="00CC1B66">
              <w:rPr>
                <w:spacing w:val="-2"/>
                <w:lang w:val="en-GB"/>
              </w:rPr>
              <w:t>4%),</w:t>
            </w:r>
            <w:r>
              <w:rPr>
                <w:spacing w:val="-2"/>
                <w:lang w:val="en-GB"/>
              </w:rPr>
              <w:t xml:space="preserve"> agriculture, forestry and fishing </w:t>
            </w:r>
            <w:r w:rsidRPr="00CC1B66">
              <w:rPr>
                <w:spacing w:val="-2"/>
                <w:lang w:val="en-GB"/>
              </w:rPr>
              <w:t>(4</w:t>
            </w:r>
            <w:r>
              <w:rPr>
                <w:spacing w:val="-2"/>
                <w:lang w:val="en-GB"/>
              </w:rPr>
              <w:t>.</w:t>
            </w:r>
            <w:r w:rsidRPr="00CC1B66">
              <w:rPr>
                <w:spacing w:val="-2"/>
                <w:lang w:val="en-GB"/>
              </w:rPr>
              <w:t>9%) a</w:t>
            </w:r>
            <w:r>
              <w:rPr>
                <w:spacing w:val="-2"/>
                <w:lang w:val="en-GB"/>
              </w:rPr>
              <w:t xml:space="preserve">nd financial and insurance activities </w:t>
            </w:r>
            <w:r w:rsidRPr="00CC1B66">
              <w:rPr>
                <w:spacing w:val="-2"/>
                <w:lang w:val="en-GB"/>
              </w:rPr>
              <w:t>(2</w:t>
            </w:r>
            <w:r>
              <w:rPr>
                <w:spacing w:val="-2"/>
                <w:lang w:val="en-GB"/>
              </w:rPr>
              <w:t>.</w:t>
            </w:r>
            <w:r w:rsidRPr="00CC1B66">
              <w:rPr>
                <w:spacing w:val="-2"/>
                <w:lang w:val="en-GB"/>
              </w:rPr>
              <w:t>2%)</w:t>
            </w:r>
            <w:r>
              <w:rPr>
                <w:spacing w:val="-2"/>
                <w:lang w:val="en-GB"/>
              </w:rPr>
              <w:t xml:space="preserve"> also featured below average increase</w:t>
            </w:r>
            <w:r w:rsidRPr="00CC1B66">
              <w:rPr>
                <w:spacing w:val="-2"/>
                <w:lang w:val="en-GB"/>
              </w:rPr>
              <w:t>.</w:t>
            </w:r>
          </w:p>
        </w:tc>
      </w:tr>
      <w:tr w:rsidR="00364B62" w:rsidRPr="009110F7" w14:paraId="2B117F54" w14:textId="77777777" w:rsidTr="00D2240D">
        <w:trPr>
          <w:trHeight w:val="145"/>
        </w:trPr>
        <w:tc>
          <w:tcPr>
            <w:tcW w:w="1806" w:type="dxa"/>
            <w:shd w:val="clear" w:color="auto" w:fill="auto"/>
            <w:tcMar>
              <w:left w:w="0" w:type="dxa"/>
            </w:tcMar>
          </w:tcPr>
          <w:p w14:paraId="49F4678E" w14:textId="083B0203" w:rsidR="00364B62" w:rsidRPr="007118D5" w:rsidRDefault="00364B62" w:rsidP="00364B62">
            <w:pPr>
              <w:pStyle w:val="Marginlie"/>
              <w:rPr>
                <w:lang w:val="en-GB"/>
              </w:rPr>
            </w:pPr>
            <w:r w:rsidRPr="007118D5">
              <w:rPr>
                <w:lang w:val="en-GB"/>
              </w:rPr>
              <w:t>Both wages and employment expanded year-on-year in Q4.</w:t>
            </w:r>
          </w:p>
        </w:tc>
        <w:tc>
          <w:tcPr>
            <w:tcW w:w="223" w:type="dxa"/>
            <w:shd w:val="clear" w:color="auto" w:fill="auto"/>
            <w:tcMar>
              <w:left w:w="0" w:type="dxa"/>
            </w:tcMar>
          </w:tcPr>
          <w:p w14:paraId="40358708" w14:textId="77777777" w:rsidR="00364B62" w:rsidRPr="007118D5" w:rsidRDefault="00364B62" w:rsidP="00364B62">
            <w:pPr>
              <w:pStyle w:val="Textpoznpodarou"/>
              <w:jc w:val="both"/>
              <w:rPr>
                <w:spacing w:val="-4"/>
                <w:lang w:val="en-GB"/>
              </w:rPr>
            </w:pPr>
          </w:p>
        </w:tc>
        <w:tc>
          <w:tcPr>
            <w:tcW w:w="7610" w:type="dxa"/>
            <w:shd w:val="clear" w:color="auto" w:fill="auto"/>
            <w:tcMar>
              <w:left w:w="0" w:type="dxa"/>
            </w:tcMar>
          </w:tcPr>
          <w:p w14:paraId="608A0C94" w14:textId="5AEE6954" w:rsidR="00364B62" w:rsidRPr="007118D5" w:rsidRDefault="00364B62" w:rsidP="00364B62">
            <w:pPr>
              <w:rPr>
                <w:spacing w:val="-2"/>
                <w:lang w:val="en-GB"/>
              </w:rPr>
            </w:pPr>
            <w:r>
              <w:rPr>
                <w:spacing w:val="-2"/>
                <w:lang w:val="en-GB"/>
              </w:rPr>
              <w:t>In Q</w:t>
            </w:r>
            <w:r w:rsidRPr="007118D5">
              <w:rPr>
                <w:spacing w:val="-2"/>
                <w:lang w:val="en-GB"/>
              </w:rPr>
              <w:t>4</w:t>
            </w:r>
            <w:r>
              <w:rPr>
                <w:spacing w:val="-2"/>
                <w:lang w:val="en-GB"/>
              </w:rPr>
              <w:t xml:space="preserve">, the volume of paid out wages and salaries increased by </w:t>
            </w:r>
            <w:r w:rsidRPr="007118D5">
              <w:rPr>
                <w:spacing w:val="-2"/>
                <w:lang w:val="en-GB"/>
              </w:rPr>
              <w:t>7</w:t>
            </w:r>
            <w:r>
              <w:rPr>
                <w:spacing w:val="-2"/>
                <w:lang w:val="en-GB"/>
              </w:rPr>
              <w:t>.</w:t>
            </w:r>
            <w:r w:rsidRPr="007118D5">
              <w:rPr>
                <w:spacing w:val="-2"/>
                <w:lang w:val="en-GB"/>
              </w:rPr>
              <w:t>6%</w:t>
            </w:r>
            <w:r>
              <w:rPr>
                <w:spacing w:val="-2"/>
                <w:lang w:val="en-GB"/>
              </w:rPr>
              <w:t xml:space="preserve"> year-on-year and the total employment was by </w:t>
            </w:r>
            <w:r w:rsidRPr="007118D5">
              <w:rPr>
                <w:spacing w:val="-2"/>
                <w:lang w:val="en-GB"/>
              </w:rPr>
              <w:t>1</w:t>
            </w:r>
            <w:r>
              <w:rPr>
                <w:spacing w:val="-2"/>
                <w:lang w:val="en-GB"/>
              </w:rPr>
              <w:t>.</w:t>
            </w:r>
            <w:r w:rsidRPr="007118D5">
              <w:rPr>
                <w:spacing w:val="-2"/>
                <w:lang w:val="en-GB"/>
              </w:rPr>
              <w:t>3%</w:t>
            </w:r>
            <w:r>
              <w:rPr>
                <w:spacing w:val="-2"/>
                <w:lang w:val="en-GB"/>
              </w:rPr>
              <w:t xml:space="preserve"> higher</w:t>
            </w:r>
            <w:r w:rsidRPr="007118D5">
              <w:rPr>
                <w:spacing w:val="-2"/>
                <w:lang w:val="en-GB"/>
              </w:rPr>
              <w:t>.</w:t>
            </w:r>
            <w:r>
              <w:rPr>
                <w:spacing w:val="-2"/>
                <w:lang w:val="en-GB"/>
              </w:rPr>
              <w:t xml:space="preserve"> Real growth of the volume of wages was </w:t>
            </w:r>
            <w:r w:rsidRPr="007118D5">
              <w:rPr>
                <w:spacing w:val="-2"/>
                <w:lang w:val="en-GB"/>
              </w:rPr>
              <w:t>2</w:t>
            </w:r>
            <w:r>
              <w:rPr>
                <w:spacing w:val="-2"/>
                <w:lang w:val="en-GB"/>
              </w:rPr>
              <w:t>.</w:t>
            </w:r>
            <w:r w:rsidRPr="007118D5">
              <w:rPr>
                <w:spacing w:val="-2"/>
                <w:lang w:val="en-GB"/>
              </w:rPr>
              <w:t>8%,</w:t>
            </w:r>
            <w:r>
              <w:rPr>
                <w:spacing w:val="-2"/>
                <w:lang w:val="en-GB"/>
              </w:rPr>
              <w:t xml:space="preserve"> which is with the </w:t>
            </w:r>
            <w:r w:rsidRPr="004D57FF">
              <w:rPr>
                <w:spacing w:val="-2"/>
                <w:lang w:val="en-GB"/>
              </w:rPr>
              <w:t xml:space="preserve">exception of periods </w:t>
            </w:r>
            <w:r w:rsidR="00687D2B">
              <w:rPr>
                <w:spacing w:val="-2"/>
                <w:lang w:val="en-GB"/>
              </w:rPr>
              <w:t xml:space="preserve">of </w:t>
            </w:r>
            <w:r w:rsidRPr="004D57FF">
              <w:rPr>
                <w:spacing w:val="-2"/>
                <w:lang w:val="en-GB"/>
              </w:rPr>
              <w:t>year 2020 and last year’s Q1, hit by the pandemics, the least since Q3 2014.</w:t>
            </w:r>
            <w:r>
              <w:rPr>
                <w:spacing w:val="-2"/>
                <w:lang w:val="en-GB"/>
              </w:rPr>
              <w:t xml:space="preserve"> Quarter-on-quarter, the volume of wages and salaries grew by </w:t>
            </w:r>
            <w:r w:rsidRPr="004D57FF">
              <w:rPr>
                <w:spacing w:val="-2"/>
                <w:lang w:val="en-GB"/>
              </w:rPr>
              <w:t>1</w:t>
            </w:r>
            <w:r>
              <w:rPr>
                <w:spacing w:val="-2"/>
                <w:lang w:val="en-GB"/>
              </w:rPr>
              <w:t>.</w:t>
            </w:r>
            <w:r w:rsidRPr="004D57FF">
              <w:rPr>
                <w:spacing w:val="-2"/>
                <w:lang w:val="en-GB"/>
              </w:rPr>
              <w:t>5% a</w:t>
            </w:r>
            <w:r>
              <w:rPr>
                <w:spacing w:val="-2"/>
                <w:lang w:val="en-GB"/>
              </w:rPr>
              <w:t xml:space="preserve">nd employment by </w:t>
            </w:r>
            <w:r w:rsidRPr="004D57FF">
              <w:rPr>
                <w:spacing w:val="-2"/>
                <w:lang w:val="en-GB"/>
              </w:rPr>
              <w:t>0</w:t>
            </w:r>
            <w:r>
              <w:rPr>
                <w:spacing w:val="-2"/>
                <w:lang w:val="en-GB"/>
              </w:rPr>
              <w:t>.</w:t>
            </w:r>
            <w:r w:rsidRPr="004D57FF">
              <w:rPr>
                <w:spacing w:val="-2"/>
                <w:lang w:val="en-GB"/>
              </w:rPr>
              <w:t>1%.</w:t>
            </w:r>
            <w:r>
              <w:rPr>
                <w:spacing w:val="-2"/>
                <w:lang w:val="en-GB"/>
              </w:rPr>
              <w:t xml:space="preserve"> Wages and salaries in real estate activities achieve the strongest year-on-year increase </w:t>
            </w:r>
            <w:r w:rsidRPr="004D57FF">
              <w:rPr>
                <w:spacing w:val="-2"/>
                <w:lang w:val="en-GB"/>
              </w:rPr>
              <w:t>(21</w:t>
            </w:r>
            <w:r>
              <w:rPr>
                <w:spacing w:val="-2"/>
                <w:lang w:val="en-GB"/>
              </w:rPr>
              <w:t>.</w:t>
            </w:r>
            <w:r w:rsidRPr="004D57FF">
              <w:rPr>
                <w:spacing w:val="-2"/>
                <w:lang w:val="en-GB"/>
              </w:rPr>
              <w:t xml:space="preserve">8%). </w:t>
            </w:r>
            <w:r>
              <w:rPr>
                <w:spacing w:val="-2"/>
                <w:lang w:val="en-GB"/>
              </w:rPr>
              <w:t xml:space="preserve">Increase in other activities </w:t>
            </w:r>
            <w:r w:rsidRPr="004D57FF">
              <w:rPr>
                <w:spacing w:val="-2"/>
                <w:lang w:val="en-GB"/>
              </w:rPr>
              <w:t>(20</w:t>
            </w:r>
            <w:r>
              <w:rPr>
                <w:spacing w:val="-2"/>
                <w:lang w:val="en-GB"/>
              </w:rPr>
              <w:t>.</w:t>
            </w:r>
            <w:r w:rsidRPr="004D57FF">
              <w:rPr>
                <w:spacing w:val="-2"/>
                <w:lang w:val="en-GB"/>
              </w:rPr>
              <w:t>5%)</w:t>
            </w:r>
            <w:r>
              <w:rPr>
                <w:spacing w:val="-2"/>
                <w:lang w:val="en-GB"/>
              </w:rPr>
              <w:t xml:space="preserve"> and in trade, transportation, accommodation and food service </w:t>
            </w:r>
            <w:r w:rsidRPr="004D57FF">
              <w:rPr>
                <w:spacing w:val="-2"/>
                <w:lang w:val="en-GB"/>
              </w:rPr>
              <w:t>(18</w:t>
            </w:r>
            <w:r>
              <w:rPr>
                <w:spacing w:val="-2"/>
                <w:lang w:val="en-GB"/>
              </w:rPr>
              <w:t>.</w:t>
            </w:r>
            <w:r w:rsidRPr="004D57FF">
              <w:rPr>
                <w:spacing w:val="-2"/>
                <w:lang w:val="en-GB"/>
              </w:rPr>
              <w:t>2%)</w:t>
            </w:r>
            <w:r>
              <w:rPr>
                <w:spacing w:val="-2"/>
                <w:lang w:val="en-GB"/>
              </w:rPr>
              <w:t xml:space="preserve"> was </w:t>
            </w:r>
            <w:proofErr w:type="gramStart"/>
            <w:r>
              <w:rPr>
                <w:spacing w:val="-2"/>
                <w:lang w:val="en-GB"/>
              </w:rPr>
              <w:t>to a large extent</w:t>
            </w:r>
            <w:proofErr w:type="gramEnd"/>
            <w:r>
              <w:rPr>
                <w:spacing w:val="-2"/>
                <w:lang w:val="en-GB"/>
              </w:rPr>
              <w:t xml:space="preserve"> affected by low comparative basis of Q</w:t>
            </w:r>
            <w:r w:rsidRPr="004D57FF">
              <w:rPr>
                <w:spacing w:val="-2"/>
                <w:lang w:val="en-GB"/>
              </w:rPr>
              <w:t>4</w:t>
            </w:r>
            <w:r>
              <w:rPr>
                <w:spacing w:val="-2"/>
                <w:lang w:val="en-GB"/>
              </w:rPr>
              <w:t xml:space="preserve"> </w:t>
            </w:r>
            <w:r w:rsidRPr="004D57FF">
              <w:rPr>
                <w:spacing w:val="-2"/>
                <w:lang w:val="en-GB"/>
              </w:rPr>
              <w:t xml:space="preserve">2020. </w:t>
            </w:r>
            <w:r>
              <w:rPr>
                <w:spacing w:val="-2"/>
                <w:lang w:val="en-GB"/>
              </w:rPr>
              <w:t>Volume of wages and salaries also expanded at above average pace in professional, scientific, technical and administrative activities (</w:t>
            </w:r>
            <w:r w:rsidRPr="004D57FF">
              <w:rPr>
                <w:spacing w:val="-2"/>
                <w:lang w:val="en-GB"/>
              </w:rPr>
              <w:t>9</w:t>
            </w:r>
            <w:r>
              <w:rPr>
                <w:spacing w:val="-2"/>
                <w:lang w:val="en-GB"/>
              </w:rPr>
              <w:t>.</w:t>
            </w:r>
            <w:r w:rsidRPr="004D57FF">
              <w:rPr>
                <w:spacing w:val="-2"/>
                <w:lang w:val="en-GB"/>
              </w:rPr>
              <w:t xml:space="preserve">7%). </w:t>
            </w:r>
            <w:r>
              <w:rPr>
                <w:spacing w:val="-2"/>
                <w:lang w:val="en-GB"/>
              </w:rPr>
              <w:t xml:space="preserve">The wage resources were growing slower in the remaining part of the economy. It was by </w:t>
            </w:r>
            <w:r w:rsidRPr="004D57FF">
              <w:rPr>
                <w:spacing w:val="-2"/>
                <w:lang w:val="en-GB"/>
              </w:rPr>
              <w:t>6</w:t>
            </w:r>
            <w:r>
              <w:rPr>
                <w:spacing w:val="-2"/>
                <w:lang w:val="en-GB"/>
              </w:rPr>
              <w:t>.</w:t>
            </w:r>
            <w:r w:rsidRPr="004D57FF">
              <w:rPr>
                <w:spacing w:val="-2"/>
                <w:lang w:val="en-GB"/>
              </w:rPr>
              <w:t>4%</w:t>
            </w:r>
            <w:r>
              <w:rPr>
                <w:spacing w:val="-2"/>
                <w:lang w:val="en-GB"/>
              </w:rPr>
              <w:t xml:space="preserve"> in communication</w:t>
            </w:r>
            <w:r w:rsidRPr="004D57FF">
              <w:rPr>
                <w:spacing w:val="-2"/>
                <w:lang w:val="en-GB"/>
              </w:rPr>
              <w:t>,</w:t>
            </w:r>
            <w:r>
              <w:rPr>
                <w:spacing w:val="-2"/>
                <w:lang w:val="en-GB"/>
              </w:rPr>
              <w:t xml:space="preserve"> by 6.1% in agriculture, forestry and fishing, by </w:t>
            </w:r>
            <w:r w:rsidRPr="004D57FF">
              <w:rPr>
                <w:spacing w:val="-2"/>
                <w:lang w:val="en-GB"/>
              </w:rPr>
              <w:t>5</w:t>
            </w:r>
            <w:r>
              <w:rPr>
                <w:spacing w:val="-2"/>
                <w:lang w:val="en-GB"/>
              </w:rPr>
              <w:t>.</w:t>
            </w:r>
            <w:r w:rsidRPr="004D57FF">
              <w:rPr>
                <w:spacing w:val="-2"/>
                <w:lang w:val="en-GB"/>
              </w:rPr>
              <w:t>5%</w:t>
            </w:r>
            <w:r>
              <w:rPr>
                <w:spacing w:val="-2"/>
                <w:lang w:val="en-GB"/>
              </w:rPr>
              <w:t xml:space="preserve"> in construction</w:t>
            </w:r>
            <w:r w:rsidRPr="004D57FF">
              <w:rPr>
                <w:spacing w:val="-2"/>
                <w:lang w:val="en-GB"/>
              </w:rPr>
              <w:t>,</w:t>
            </w:r>
            <w:r>
              <w:rPr>
                <w:spacing w:val="-2"/>
                <w:lang w:val="en-GB"/>
              </w:rPr>
              <w:t xml:space="preserve"> by </w:t>
            </w:r>
            <w:r w:rsidRPr="004D57FF">
              <w:rPr>
                <w:spacing w:val="-2"/>
                <w:lang w:val="en-GB"/>
              </w:rPr>
              <w:t>5</w:t>
            </w:r>
            <w:r>
              <w:rPr>
                <w:spacing w:val="-2"/>
                <w:lang w:val="en-GB"/>
              </w:rPr>
              <w:t>.</w:t>
            </w:r>
            <w:r w:rsidRPr="004D57FF">
              <w:rPr>
                <w:spacing w:val="-2"/>
                <w:lang w:val="en-GB"/>
              </w:rPr>
              <w:t>4%</w:t>
            </w:r>
            <w:r>
              <w:rPr>
                <w:spacing w:val="-2"/>
                <w:lang w:val="en-GB"/>
              </w:rPr>
              <w:t xml:space="preserve"> in financial and insurance activities</w:t>
            </w:r>
            <w:r w:rsidRPr="004D57FF">
              <w:rPr>
                <w:spacing w:val="-2"/>
                <w:lang w:val="en-GB"/>
              </w:rPr>
              <w:t xml:space="preserve">. </w:t>
            </w:r>
            <w:r>
              <w:rPr>
                <w:spacing w:val="-2"/>
                <w:lang w:val="en-GB"/>
              </w:rPr>
              <w:t xml:space="preserve">Their year-on-year growth markedly slowed down to </w:t>
            </w:r>
            <w:r w:rsidRPr="004D57FF">
              <w:rPr>
                <w:spacing w:val="-2"/>
                <w:lang w:val="en-GB"/>
              </w:rPr>
              <w:t>4</w:t>
            </w:r>
            <w:r>
              <w:rPr>
                <w:spacing w:val="-2"/>
                <w:lang w:val="en-GB"/>
              </w:rPr>
              <w:t>.</w:t>
            </w:r>
            <w:r w:rsidRPr="004D57FF">
              <w:rPr>
                <w:spacing w:val="-2"/>
                <w:lang w:val="en-GB"/>
              </w:rPr>
              <w:t>6%</w:t>
            </w:r>
            <w:r>
              <w:rPr>
                <w:spacing w:val="-2"/>
                <w:lang w:val="en-GB"/>
              </w:rPr>
              <w:t xml:space="preserve"> in manufacturing and </w:t>
            </w:r>
            <w:proofErr w:type="gramStart"/>
            <w:r>
              <w:rPr>
                <w:spacing w:val="-2"/>
                <w:lang w:val="en-GB"/>
              </w:rPr>
              <w:t>it also</w:t>
            </w:r>
            <w:proofErr w:type="gramEnd"/>
            <w:r>
              <w:rPr>
                <w:spacing w:val="-2"/>
                <w:lang w:val="en-GB"/>
              </w:rPr>
              <w:t xml:space="preserve"> moderated under the influence of high comparative basis in branches with the dominance of the government sector to </w:t>
            </w:r>
            <w:r w:rsidRPr="004D57FF">
              <w:rPr>
                <w:spacing w:val="-2"/>
                <w:lang w:val="en-GB"/>
              </w:rPr>
              <w:t>2</w:t>
            </w:r>
            <w:r>
              <w:rPr>
                <w:spacing w:val="-2"/>
                <w:lang w:val="en-GB"/>
              </w:rPr>
              <w:t>.</w:t>
            </w:r>
            <w:r w:rsidRPr="004D57FF">
              <w:rPr>
                <w:spacing w:val="-2"/>
                <w:lang w:val="en-GB"/>
              </w:rPr>
              <w:t>1%</w:t>
            </w:r>
            <w:r w:rsidRPr="004D57FF">
              <w:rPr>
                <w:rStyle w:val="Znakapoznpodarou"/>
                <w:spacing w:val="-2"/>
                <w:lang w:val="en-GB"/>
              </w:rPr>
              <w:footnoteReference w:id="12"/>
            </w:r>
            <w:r w:rsidRPr="004D57FF">
              <w:rPr>
                <w:spacing w:val="-2"/>
                <w:lang w:val="en-GB"/>
              </w:rPr>
              <w:t>.</w:t>
            </w:r>
          </w:p>
        </w:tc>
      </w:tr>
      <w:tr w:rsidR="00364B62" w:rsidRPr="009110F7" w14:paraId="25F143C5" w14:textId="77777777" w:rsidTr="00D2240D">
        <w:trPr>
          <w:trHeight w:val="145"/>
        </w:trPr>
        <w:tc>
          <w:tcPr>
            <w:tcW w:w="1806" w:type="dxa"/>
            <w:shd w:val="clear" w:color="auto" w:fill="auto"/>
            <w:tcMar>
              <w:left w:w="0" w:type="dxa"/>
            </w:tcMar>
          </w:tcPr>
          <w:p w14:paraId="594E9321" w14:textId="224C26E6" w:rsidR="00364B62" w:rsidRPr="006D6CE9" w:rsidRDefault="00364B62" w:rsidP="00364B62">
            <w:pPr>
              <w:pStyle w:val="Marginlie"/>
              <w:rPr>
                <w:lang w:val="en-GB"/>
              </w:rPr>
            </w:pPr>
            <w:r w:rsidRPr="006D6CE9">
              <w:rPr>
                <w:lang w:val="en-GB"/>
              </w:rPr>
              <w:t xml:space="preserve">Consumption significantly contributed to the GDP growth last year. </w:t>
            </w:r>
          </w:p>
        </w:tc>
        <w:tc>
          <w:tcPr>
            <w:tcW w:w="223" w:type="dxa"/>
            <w:shd w:val="clear" w:color="auto" w:fill="auto"/>
            <w:tcMar>
              <w:left w:w="0" w:type="dxa"/>
            </w:tcMar>
          </w:tcPr>
          <w:p w14:paraId="366F3C1F" w14:textId="77777777" w:rsidR="00364B62" w:rsidRDefault="00364B62" w:rsidP="00364B62">
            <w:pPr>
              <w:pStyle w:val="Textpoznpodarou"/>
              <w:jc w:val="both"/>
              <w:rPr>
                <w:spacing w:val="-4"/>
              </w:rPr>
            </w:pPr>
          </w:p>
        </w:tc>
        <w:tc>
          <w:tcPr>
            <w:tcW w:w="7610" w:type="dxa"/>
            <w:shd w:val="clear" w:color="auto" w:fill="auto"/>
            <w:tcMar>
              <w:left w:w="0" w:type="dxa"/>
            </w:tcMar>
          </w:tcPr>
          <w:p w14:paraId="646230A6" w14:textId="418AD6F9" w:rsidR="00364B62" w:rsidRPr="00507216" w:rsidRDefault="00364B62" w:rsidP="00364B62">
            <w:pPr>
              <w:rPr>
                <w:spacing w:val="-2"/>
                <w:lang w:val="en-GB"/>
              </w:rPr>
            </w:pPr>
            <w:r w:rsidRPr="00507216">
              <w:rPr>
                <w:spacing w:val="-2"/>
                <w:lang w:val="en-GB"/>
              </w:rPr>
              <w:t xml:space="preserve">The domestic consumption increased by 3.5% in 2021. </w:t>
            </w:r>
            <w:r>
              <w:rPr>
                <w:spacing w:val="-2"/>
                <w:lang w:val="en-GB"/>
              </w:rPr>
              <w:t xml:space="preserve">It contributed </w:t>
            </w:r>
            <w:r w:rsidRPr="00507216">
              <w:rPr>
                <w:spacing w:val="-2"/>
                <w:lang w:val="en-GB"/>
              </w:rPr>
              <w:t>1</w:t>
            </w:r>
            <w:r>
              <w:rPr>
                <w:spacing w:val="-2"/>
                <w:lang w:val="en-GB"/>
              </w:rPr>
              <w:t>.</w:t>
            </w:r>
            <w:r w:rsidRPr="00507216">
              <w:rPr>
                <w:spacing w:val="-2"/>
                <w:lang w:val="en-GB"/>
              </w:rPr>
              <w:t>4 p.</w:t>
            </w:r>
            <w:r>
              <w:rPr>
                <w:spacing w:val="-2"/>
                <w:lang w:val="en-GB"/>
              </w:rPr>
              <w:t>p.</w:t>
            </w:r>
            <w:r w:rsidRPr="00507216">
              <w:rPr>
                <w:rStyle w:val="Znakapoznpodarou"/>
                <w:spacing w:val="-2"/>
                <w:lang w:val="en-GB"/>
              </w:rPr>
              <w:footnoteReference w:id="13"/>
            </w:r>
            <w:r>
              <w:rPr>
                <w:spacing w:val="-2"/>
                <w:lang w:val="en-GB"/>
              </w:rPr>
              <w:t xml:space="preserve"> to the GDP growth. Especially the household consumption was growing </w:t>
            </w:r>
            <w:r w:rsidRPr="00507216">
              <w:rPr>
                <w:spacing w:val="-2"/>
                <w:lang w:val="en-GB"/>
              </w:rPr>
              <w:t>(4</w:t>
            </w:r>
            <w:r>
              <w:rPr>
                <w:spacing w:val="-2"/>
                <w:lang w:val="en-GB"/>
              </w:rPr>
              <w:t>.</w:t>
            </w:r>
            <w:r w:rsidRPr="00507216">
              <w:rPr>
                <w:spacing w:val="-2"/>
                <w:lang w:val="en-GB"/>
              </w:rPr>
              <w:t>3%)</w:t>
            </w:r>
            <w:proofErr w:type="gramStart"/>
            <w:r w:rsidRPr="00507216">
              <w:rPr>
                <w:spacing w:val="-2"/>
                <w:lang w:val="en-GB"/>
              </w:rPr>
              <w:t>,</w:t>
            </w:r>
            <w:proofErr w:type="gramEnd"/>
            <w:r w:rsidRPr="00507216">
              <w:rPr>
                <w:spacing w:val="-2"/>
                <w:lang w:val="en-GB"/>
              </w:rPr>
              <w:t xml:space="preserve"> </w:t>
            </w:r>
            <w:r>
              <w:rPr>
                <w:spacing w:val="-2"/>
                <w:lang w:val="en-GB"/>
              </w:rPr>
              <w:t xml:space="preserve">the increase was smaller in case of government institutions </w:t>
            </w:r>
            <w:r w:rsidRPr="00507216">
              <w:rPr>
                <w:spacing w:val="-2"/>
                <w:lang w:val="en-GB"/>
              </w:rPr>
              <w:t>(1</w:t>
            </w:r>
            <w:r>
              <w:rPr>
                <w:spacing w:val="-2"/>
                <w:lang w:val="en-GB"/>
              </w:rPr>
              <w:t>.</w:t>
            </w:r>
            <w:r w:rsidRPr="00507216">
              <w:rPr>
                <w:spacing w:val="-2"/>
                <w:lang w:val="en-GB"/>
              </w:rPr>
              <w:t>6%).</w:t>
            </w:r>
            <w:r>
              <w:rPr>
                <w:spacing w:val="-2"/>
                <w:lang w:val="en-GB"/>
              </w:rPr>
              <w:t xml:space="preserve"> The structure of consumption </w:t>
            </w:r>
            <w:r>
              <w:rPr>
                <w:spacing w:val="-2"/>
                <w:lang w:val="en-GB"/>
              </w:rPr>
              <w:lastRenderedPageBreak/>
              <w:t>according to the durability</w:t>
            </w:r>
            <w:r w:rsidRPr="00507216">
              <w:rPr>
                <w:rStyle w:val="Znakapoznpodarou"/>
                <w:lang w:val="en-GB"/>
              </w:rPr>
              <w:footnoteReference w:id="14"/>
            </w:r>
            <w:r w:rsidRPr="00507216">
              <w:rPr>
                <w:spacing w:val="-2"/>
                <w:lang w:val="en-GB"/>
              </w:rPr>
              <w:t xml:space="preserve"> </w:t>
            </w:r>
            <w:r>
              <w:rPr>
                <w:spacing w:val="-2"/>
                <w:lang w:val="en-GB"/>
              </w:rPr>
              <w:t xml:space="preserve">partially reflected the comparison with year </w:t>
            </w:r>
            <w:r w:rsidRPr="00507216">
              <w:rPr>
                <w:spacing w:val="-2"/>
                <w:lang w:val="en-GB"/>
              </w:rPr>
              <w:t xml:space="preserve">2020, </w:t>
            </w:r>
            <w:r>
              <w:rPr>
                <w:spacing w:val="-2"/>
                <w:lang w:val="en-GB"/>
              </w:rPr>
              <w:t>when the sale of part of retail products</w:t>
            </w:r>
            <w:r w:rsidRPr="00507216">
              <w:rPr>
                <w:rStyle w:val="Znakapoznpodarou"/>
                <w:spacing w:val="-2"/>
                <w:lang w:val="en-GB"/>
              </w:rPr>
              <w:footnoteReference w:id="15"/>
            </w:r>
            <w:r>
              <w:rPr>
                <w:spacing w:val="-2"/>
                <w:lang w:val="en-GB"/>
              </w:rPr>
              <w:t xml:space="preserve"> and the operations of services was restricted for a given </w:t>
            </w:r>
            <w:proofErr w:type="gramStart"/>
            <w:r>
              <w:rPr>
                <w:spacing w:val="-2"/>
                <w:lang w:val="en-GB"/>
              </w:rPr>
              <w:t>period of time</w:t>
            </w:r>
            <w:proofErr w:type="gramEnd"/>
            <w:r>
              <w:rPr>
                <w:spacing w:val="-2"/>
                <w:lang w:val="en-GB"/>
              </w:rPr>
              <w:t xml:space="preserve">. The consumption of durable goods thus increased by </w:t>
            </w:r>
            <w:r w:rsidRPr="00507216">
              <w:rPr>
                <w:spacing w:val="-2"/>
                <w:lang w:val="en-GB"/>
              </w:rPr>
              <w:t>5</w:t>
            </w:r>
            <w:r>
              <w:rPr>
                <w:spacing w:val="-2"/>
                <w:lang w:val="en-GB"/>
              </w:rPr>
              <w:t>.</w:t>
            </w:r>
            <w:r w:rsidRPr="00507216">
              <w:rPr>
                <w:spacing w:val="-2"/>
                <w:lang w:val="en-GB"/>
              </w:rPr>
              <w:t>0%,</w:t>
            </w:r>
            <w:r>
              <w:rPr>
                <w:spacing w:val="-2"/>
                <w:lang w:val="en-GB"/>
              </w:rPr>
              <w:t xml:space="preserve"> medium-term goods by </w:t>
            </w:r>
            <w:r w:rsidRPr="00507216">
              <w:rPr>
                <w:spacing w:val="-2"/>
                <w:lang w:val="en-GB"/>
              </w:rPr>
              <w:t>4</w:t>
            </w:r>
            <w:r>
              <w:rPr>
                <w:spacing w:val="-2"/>
                <w:lang w:val="en-GB"/>
              </w:rPr>
              <w:t>.</w:t>
            </w:r>
            <w:r w:rsidRPr="00507216">
              <w:rPr>
                <w:spacing w:val="-2"/>
                <w:lang w:val="en-GB"/>
              </w:rPr>
              <w:t>8% a</w:t>
            </w:r>
            <w:r>
              <w:rPr>
                <w:spacing w:val="-2"/>
                <w:lang w:val="en-GB"/>
              </w:rPr>
              <w:t xml:space="preserve">nd services by </w:t>
            </w:r>
            <w:r w:rsidRPr="00507216">
              <w:rPr>
                <w:spacing w:val="-2"/>
                <w:lang w:val="en-GB"/>
              </w:rPr>
              <w:t>4</w:t>
            </w:r>
            <w:r>
              <w:rPr>
                <w:spacing w:val="-2"/>
                <w:lang w:val="en-GB"/>
              </w:rPr>
              <w:t>.</w:t>
            </w:r>
            <w:r w:rsidRPr="00507216">
              <w:rPr>
                <w:spacing w:val="-2"/>
                <w:lang w:val="en-GB"/>
              </w:rPr>
              <w:t>0%</w:t>
            </w:r>
            <w:r>
              <w:rPr>
                <w:spacing w:val="-2"/>
                <w:lang w:val="en-GB"/>
              </w:rPr>
              <w:t xml:space="preserve"> last year</w:t>
            </w:r>
            <w:r w:rsidRPr="00507216">
              <w:rPr>
                <w:spacing w:val="-2"/>
                <w:lang w:val="en-GB"/>
              </w:rPr>
              <w:t>.</w:t>
            </w:r>
            <w:r>
              <w:rPr>
                <w:spacing w:val="-2"/>
                <w:lang w:val="en-GB"/>
              </w:rPr>
              <w:t xml:space="preserve"> Consumption of non-durable goods was higher by </w:t>
            </w:r>
            <w:r w:rsidRPr="00507216">
              <w:rPr>
                <w:spacing w:val="-2"/>
                <w:lang w:val="en-GB"/>
              </w:rPr>
              <w:t>3</w:t>
            </w:r>
            <w:r>
              <w:rPr>
                <w:spacing w:val="-2"/>
                <w:lang w:val="en-GB"/>
              </w:rPr>
              <w:t>.</w:t>
            </w:r>
            <w:r w:rsidRPr="00507216">
              <w:rPr>
                <w:spacing w:val="-2"/>
                <w:lang w:val="en-GB"/>
              </w:rPr>
              <w:t>0%.</w:t>
            </w:r>
          </w:p>
        </w:tc>
      </w:tr>
      <w:tr w:rsidR="00364B62" w:rsidRPr="009110F7" w14:paraId="4C2C521A" w14:textId="77777777" w:rsidTr="00D2240D">
        <w:trPr>
          <w:trHeight w:val="145"/>
        </w:trPr>
        <w:tc>
          <w:tcPr>
            <w:tcW w:w="1806" w:type="dxa"/>
            <w:shd w:val="clear" w:color="auto" w:fill="auto"/>
            <w:tcMar>
              <w:left w:w="0" w:type="dxa"/>
            </w:tcMar>
          </w:tcPr>
          <w:p w14:paraId="33C1B2E3" w14:textId="2536E890" w:rsidR="00364B62" w:rsidRPr="00A340F5" w:rsidRDefault="00364B62" w:rsidP="00364B62">
            <w:pPr>
              <w:pStyle w:val="Marginlie"/>
              <w:rPr>
                <w:lang w:val="en-GB"/>
              </w:rPr>
            </w:pPr>
            <w:r w:rsidRPr="00A340F5">
              <w:rPr>
                <w:lang w:val="en-GB"/>
              </w:rPr>
              <w:lastRenderedPageBreak/>
              <w:t>Household consumption lowered compared to Q3.</w:t>
            </w:r>
          </w:p>
        </w:tc>
        <w:tc>
          <w:tcPr>
            <w:tcW w:w="223" w:type="dxa"/>
            <w:shd w:val="clear" w:color="auto" w:fill="auto"/>
            <w:tcMar>
              <w:left w:w="0" w:type="dxa"/>
            </w:tcMar>
          </w:tcPr>
          <w:p w14:paraId="28F86B88" w14:textId="77777777" w:rsidR="00364B62" w:rsidRPr="00A340F5" w:rsidRDefault="00364B62" w:rsidP="00364B62">
            <w:pPr>
              <w:pStyle w:val="Textpoznpodarou"/>
              <w:jc w:val="both"/>
              <w:rPr>
                <w:spacing w:val="-4"/>
                <w:lang w:val="en-GB"/>
              </w:rPr>
            </w:pPr>
          </w:p>
        </w:tc>
        <w:tc>
          <w:tcPr>
            <w:tcW w:w="7610" w:type="dxa"/>
            <w:shd w:val="clear" w:color="auto" w:fill="auto"/>
            <w:tcMar>
              <w:left w:w="0" w:type="dxa"/>
            </w:tcMar>
          </w:tcPr>
          <w:p w14:paraId="5D421BAB" w14:textId="17F46F0B" w:rsidR="00364B62" w:rsidRDefault="00364B62" w:rsidP="00364B62">
            <w:pPr>
              <w:rPr>
                <w:spacing w:val="-2"/>
              </w:rPr>
            </w:pPr>
            <w:r>
              <w:rPr>
                <w:spacing w:val="-2"/>
                <w:lang w:val="en-GB"/>
              </w:rPr>
              <w:t>In Q</w:t>
            </w:r>
            <w:r w:rsidRPr="000A337A">
              <w:rPr>
                <w:spacing w:val="-2"/>
                <w:lang w:val="en-GB"/>
              </w:rPr>
              <w:t>4</w:t>
            </w:r>
            <w:r>
              <w:rPr>
                <w:spacing w:val="-2"/>
                <w:lang w:val="en-GB"/>
              </w:rPr>
              <w:t xml:space="preserve"> </w:t>
            </w:r>
            <w:r w:rsidRPr="000A337A">
              <w:rPr>
                <w:spacing w:val="-2"/>
                <w:lang w:val="en-GB"/>
              </w:rPr>
              <w:t>2021</w:t>
            </w:r>
            <w:r>
              <w:rPr>
                <w:spacing w:val="-2"/>
                <w:lang w:val="en-GB"/>
              </w:rPr>
              <w:t xml:space="preserve">, the total consumption increased by </w:t>
            </w:r>
            <w:r w:rsidRPr="000A337A">
              <w:rPr>
                <w:spacing w:val="-2"/>
                <w:lang w:val="en-GB"/>
              </w:rPr>
              <w:t>6</w:t>
            </w:r>
            <w:r>
              <w:rPr>
                <w:spacing w:val="-2"/>
                <w:lang w:val="en-GB"/>
              </w:rPr>
              <w:t>.</w:t>
            </w:r>
            <w:r w:rsidRPr="000A337A">
              <w:rPr>
                <w:spacing w:val="-2"/>
                <w:lang w:val="en-GB"/>
              </w:rPr>
              <w:t>2%</w:t>
            </w:r>
            <w:r>
              <w:rPr>
                <w:spacing w:val="-2"/>
                <w:lang w:val="en-GB"/>
              </w:rPr>
              <w:t xml:space="preserve"> year-on-year and contributed </w:t>
            </w:r>
            <w:r w:rsidRPr="000A337A">
              <w:rPr>
                <w:spacing w:val="-2"/>
                <w:lang w:val="en-GB"/>
              </w:rPr>
              <w:t>3</w:t>
            </w:r>
            <w:r>
              <w:rPr>
                <w:spacing w:val="-2"/>
                <w:lang w:val="en-GB"/>
              </w:rPr>
              <w:t>.</w:t>
            </w:r>
            <w:r w:rsidRPr="000A337A">
              <w:rPr>
                <w:spacing w:val="-2"/>
                <w:lang w:val="en-GB"/>
              </w:rPr>
              <w:t>8 p.</w:t>
            </w:r>
            <w:r>
              <w:rPr>
                <w:spacing w:val="-2"/>
                <w:lang w:val="en-GB"/>
              </w:rPr>
              <w:t xml:space="preserve">p. to the GDP growth. While the government consumption stagnated </w:t>
            </w:r>
            <w:r w:rsidRPr="000A337A">
              <w:rPr>
                <w:spacing w:val="-2"/>
                <w:lang w:val="en-GB"/>
              </w:rPr>
              <w:t>(0</w:t>
            </w:r>
            <w:r>
              <w:rPr>
                <w:spacing w:val="-2"/>
                <w:lang w:val="en-GB"/>
              </w:rPr>
              <w:t>.</w:t>
            </w:r>
            <w:r w:rsidRPr="000A337A">
              <w:rPr>
                <w:spacing w:val="-2"/>
                <w:lang w:val="en-GB"/>
              </w:rPr>
              <w:t>1%)</w:t>
            </w:r>
            <w:r>
              <w:rPr>
                <w:spacing w:val="-2"/>
                <w:lang w:val="en-GB"/>
              </w:rPr>
              <w:t xml:space="preserve">, the household consumption was by </w:t>
            </w:r>
            <w:r w:rsidRPr="000A337A">
              <w:rPr>
                <w:spacing w:val="-2"/>
                <w:lang w:val="en-GB"/>
              </w:rPr>
              <w:t>9</w:t>
            </w:r>
            <w:r>
              <w:rPr>
                <w:spacing w:val="-2"/>
                <w:lang w:val="en-GB"/>
              </w:rPr>
              <w:t>.</w:t>
            </w:r>
            <w:r w:rsidRPr="000A337A">
              <w:rPr>
                <w:spacing w:val="-2"/>
                <w:lang w:val="en-GB"/>
              </w:rPr>
              <w:t>3%</w:t>
            </w:r>
            <w:r>
              <w:rPr>
                <w:spacing w:val="-2"/>
                <w:lang w:val="en-GB"/>
              </w:rPr>
              <w:t xml:space="preserve"> </w:t>
            </w:r>
            <w:r w:rsidR="00150333">
              <w:rPr>
                <w:spacing w:val="-2"/>
                <w:lang w:val="en-GB"/>
              </w:rPr>
              <w:t xml:space="preserve">higher </w:t>
            </w:r>
            <w:r>
              <w:rPr>
                <w:spacing w:val="-2"/>
                <w:lang w:val="en-GB"/>
              </w:rPr>
              <w:t>year-on-year</w:t>
            </w:r>
            <w:r w:rsidRPr="000A337A">
              <w:rPr>
                <w:spacing w:val="-2"/>
                <w:lang w:val="en-GB"/>
              </w:rPr>
              <w:t>,</w:t>
            </w:r>
            <w:r>
              <w:rPr>
                <w:spacing w:val="-2"/>
                <w:lang w:val="en-GB"/>
              </w:rPr>
              <w:t xml:space="preserve"> which is a record increase, however affected by the comparison with the end of year </w:t>
            </w:r>
            <w:r w:rsidRPr="000A337A">
              <w:rPr>
                <w:spacing w:val="-2"/>
                <w:lang w:val="en-GB"/>
              </w:rPr>
              <w:t>2020,</w:t>
            </w:r>
            <w:r>
              <w:rPr>
                <w:spacing w:val="-2"/>
                <w:lang w:val="en-GB"/>
              </w:rPr>
              <w:t xml:space="preserve"> when both the retail and services were restricted. The consumption of medium-term </w:t>
            </w:r>
            <w:r w:rsidR="00CA669C">
              <w:rPr>
                <w:spacing w:val="-2"/>
                <w:lang w:val="en-GB"/>
              </w:rPr>
              <w:t xml:space="preserve">durability </w:t>
            </w:r>
            <w:r>
              <w:rPr>
                <w:spacing w:val="-2"/>
                <w:lang w:val="en-GB"/>
              </w:rPr>
              <w:t>goods thus deepened very strongly year-on-year in the last year</w:t>
            </w:r>
            <w:r>
              <w:rPr>
                <w:spacing w:val="-2"/>
                <w:lang w:val="en-US"/>
              </w:rPr>
              <w:t>’</w:t>
            </w:r>
            <w:r>
              <w:rPr>
                <w:spacing w:val="-2"/>
              </w:rPr>
              <w:t>s Q</w:t>
            </w:r>
            <w:r w:rsidRPr="000A337A">
              <w:rPr>
                <w:spacing w:val="-2"/>
                <w:lang w:val="en-GB"/>
              </w:rPr>
              <w:t>4</w:t>
            </w:r>
            <w:r>
              <w:rPr>
                <w:spacing w:val="-2"/>
                <w:lang w:val="en-GB"/>
              </w:rPr>
              <w:t xml:space="preserve"> </w:t>
            </w:r>
            <w:r w:rsidRPr="000A337A">
              <w:rPr>
                <w:spacing w:val="-2"/>
                <w:lang w:val="en-GB"/>
              </w:rPr>
              <w:t>(30</w:t>
            </w:r>
            <w:r>
              <w:rPr>
                <w:spacing w:val="-2"/>
                <w:lang w:val="en-GB"/>
              </w:rPr>
              <w:t>.</w:t>
            </w:r>
            <w:r w:rsidRPr="000A337A">
              <w:rPr>
                <w:spacing w:val="-2"/>
                <w:lang w:val="en-GB"/>
              </w:rPr>
              <w:t>0%).</w:t>
            </w:r>
            <w:r>
              <w:rPr>
                <w:spacing w:val="-2"/>
                <w:lang w:val="en-GB"/>
              </w:rPr>
              <w:t xml:space="preserve"> Nevertheless, the consumption of durable goods </w:t>
            </w:r>
            <w:r w:rsidRPr="000A337A">
              <w:rPr>
                <w:spacing w:val="-2"/>
                <w:lang w:val="en-GB"/>
              </w:rPr>
              <w:t>(9</w:t>
            </w:r>
            <w:r>
              <w:rPr>
                <w:spacing w:val="-2"/>
                <w:lang w:val="en-GB"/>
              </w:rPr>
              <w:t>.</w:t>
            </w:r>
            <w:r w:rsidRPr="000A337A">
              <w:rPr>
                <w:spacing w:val="-2"/>
                <w:lang w:val="en-GB"/>
              </w:rPr>
              <w:t>4%) a</w:t>
            </w:r>
            <w:r>
              <w:rPr>
                <w:spacing w:val="-2"/>
                <w:lang w:val="en-GB"/>
              </w:rPr>
              <w:t xml:space="preserve">nd services </w:t>
            </w:r>
            <w:r w:rsidRPr="000A337A">
              <w:rPr>
                <w:spacing w:val="-2"/>
                <w:lang w:val="en-GB"/>
              </w:rPr>
              <w:t>(13</w:t>
            </w:r>
            <w:r>
              <w:rPr>
                <w:spacing w:val="-2"/>
                <w:lang w:val="en-GB"/>
              </w:rPr>
              <w:t>.</w:t>
            </w:r>
            <w:r w:rsidRPr="000A337A">
              <w:rPr>
                <w:spacing w:val="-2"/>
                <w:lang w:val="en-GB"/>
              </w:rPr>
              <w:t>5%)</w:t>
            </w:r>
            <w:r>
              <w:rPr>
                <w:spacing w:val="-2"/>
                <w:lang w:val="en-GB"/>
              </w:rPr>
              <w:t xml:space="preserve"> also recorded strong increases</w:t>
            </w:r>
            <w:r w:rsidRPr="000A337A">
              <w:rPr>
                <w:spacing w:val="-2"/>
                <w:lang w:val="en-GB"/>
              </w:rPr>
              <w:t xml:space="preserve">. </w:t>
            </w:r>
            <w:r>
              <w:rPr>
                <w:spacing w:val="-2"/>
                <w:lang w:val="en-GB"/>
              </w:rPr>
              <w:t xml:space="preserve">Consumption of non-durable goods was higher by </w:t>
            </w:r>
            <w:r w:rsidRPr="000A337A">
              <w:rPr>
                <w:spacing w:val="-2"/>
                <w:lang w:val="en-GB"/>
              </w:rPr>
              <w:t>2</w:t>
            </w:r>
            <w:r>
              <w:rPr>
                <w:spacing w:val="-2"/>
                <w:lang w:val="en-GB"/>
              </w:rPr>
              <w:t>.</w:t>
            </w:r>
            <w:r w:rsidRPr="000A337A">
              <w:rPr>
                <w:spacing w:val="-2"/>
                <w:lang w:val="en-GB"/>
              </w:rPr>
              <w:t>8%.</w:t>
            </w:r>
            <w:r>
              <w:rPr>
                <w:spacing w:val="-2"/>
                <w:lang w:val="en-GB"/>
              </w:rPr>
              <w:t xml:space="preserve"> In total, the consumption plunged by </w:t>
            </w:r>
            <w:r w:rsidRPr="000A337A">
              <w:rPr>
                <w:spacing w:val="-2"/>
                <w:lang w:val="en-GB"/>
              </w:rPr>
              <w:t>1</w:t>
            </w:r>
            <w:r>
              <w:rPr>
                <w:spacing w:val="-2"/>
                <w:lang w:val="en-GB"/>
              </w:rPr>
              <w:t>.</w:t>
            </w:r>
            <w:r w:rsidRPr="000A337A">
              <w:rPr>
                <w:spacing w:val="-2"/>
                <w:lang w:val="en-GB"/>
              </w:rPr>
              <w:t>1%</w:t>
            </w:r>
            <w:r>
              <w:rPr>
                <w:spacing w:val="-2"/>
                <w:lang w:val="en-GB"/>
              </w:rPr>
              <w:t xml:space="preserve"> compared to Q3</w:t>
            </w:r>
            <w:r w:rsidRPr="000A337A">
              <w:rPr>
                <w:spacing w:val="-2"/>
                <w:lang w:val="en-GB"/>
              </w:rPr>
              <w:t xml:space="preserve">. </w:t>
            </w:r>
            <w:r>
              <w:rPr>
                <w:spacing w:val="-2"/>
                <w:lang w:val="en-GB"/>
              </w:rPr>
              <w:t xml:space="preserve">Household consumption lowered </w:t>
            </w:r>
            <w:r w:rsidRPr="000A337A">
              <w:rPr>
                <w:spacing w:val="-2"/>
                <w:lang w:val="en-GB"/>
              </w:rPr>
              <w:t>(–1</w:t>
            </w:r>
            <w:r>
              <w:rPr>
                <w:spacing w:val="-2"/>
                <w:lang w:val="en-GB"/>
              </w:rPr>
              <w:t>.</w:t>
            </w:r>
            <w:r w:rsidRPr="000A337A">
              <w:rPr>
                <w:spacing w:val="-2"/>
                <w:lang w:val="en-GB"/>
              </w:rPr>
              <w:t>8%),</w:t>
            </w:r>
            <w:r>
              <w:rPr>
                <w:spacing w:val="-2"/>
                <w:lang w:val="en-GB"/>
              </w:rPr>
              <w:t xml:space="preserve"> the government consumption was slightly higher </w:t>
            </w:r>
            <w:r w:rsidRPr="000A337A">
              <w:rPr>
                <w:spacing w:val="-2"/>
                <w:lang w:val="en-GB"/>
              </w:rPr>
              <w:t>(0</w:t>
            </w:r>
            <w:r>
              <w:rPr>
                <w:spacing w:val="-2"/>
                <w:lang w:val="en-GB"/>
              </w:rPr>
              <w:t>.</w:t>
            </w:r>
            <w:r w:rsidRPr="000A337A">
              <w:rPr>
                <w:spacing w:val="-2"/>
                <w:lang w:val="en-GB"/>
              </w:rPr>
              <w:t xml:space="preserve">2%). </w:t>
            </w:r>
            <w:r>
              <w:rPr>
                <w:spacing w:val="-2"/>
                <w:lang w:val="en-GB"/>
              </w:rPr>
              <w:t>It mirrored the uncertainty and growing pessimism as well</w:t>
            </w:r>
            <w:r w:rsidRPr="000A337A">
              <w:rPr>
                <w:spacing w:val="-2"/>
                <w:lang w:val="en-GB"/>
              </w:rPr>
              <w:t>, expressed by households in the business cycle surveys towards the end of the year, mainly in connection to the growth of prices</w:t>
            </w:r>
            <w:r>
              <w:rPr>
                <w:spacing w:val="-2"/>
              </w:rPr>
              <w:t xml:space="preserve">. </w:t>
            </w:r>
          </w:p>
        </w:tc>
      </w:tr>
      <w:tr w:rsidR="00364B62" w:rsidRPr="009110F7" w14:paraId="743D7C8C" w14:textId="77777777" w:rsidTr="00D2240D">
        <w:trPr>
          <w:trHeight w:val="170"/>
        </w:trPr>
        <w:tc>
          <w:tcPr>
            <w:tcW w:w="1806" w:type="dxa"/>
            <w:vMerge w:val="restart"/>
            <w:shd w:val="clear" w:color="auto" w:fill="auto"/>
            <w:tcMar>
              <w:left w:w="0" w:type="dxa"/>
            </w:tcMar>
          </w:tcPr>
          <w:p w14:paraId="5B568743" w14:textId="77777777" w:rsidR="00364B62" w:rsidRDefault="00364B62" w:rsidP="00364B62">
            <w:pPr>
              <w:pStyle w:val="Marginlie"/>
            </w:pPr>
          </w:p>
        </w:tc>
        <w:tc>
          <w:tcPr>
            <w:tcW w:w="223" w:type="dxa"/>
            <w:vMerge w:val="restart"/>
            <w:shd w:val="clear" w:color="auto" w:fill="auto"/>
            <w:tcMar>
              <w:left w:w="0" w:type="dxa"/>
            </w:tcMar>
          </w:tcPr>
          <w:p w14:paraId="218FEAAF" w14:textId="77777777" w:rsidR="00364B62" w:rsidRDefault="00364B62" w:rsidP="00364B62">
            <w:pPr>
              <w:pStyle w:val="Textpoznpodarou"/>
              <w:jc w:val="both"/>
              <w:rPr>
                <w:spacing w:val="-4"/>
              </w:rPr>
            </w:pPr>
          </w:p>
        </w:tc>
        <w:tc>
          <w:tcPr>
            <w:tcW w:w="7610" w:type="dxa"/>
            <w:shd w:val="clear" w:color="auto" w:fill="auto"/>
            <w:tcMar>
              <w:left w:w="0" w:type="dxa"/>
            </w:tcMar>
          </w:tcPr>
          <w:p w14:paraId="292B1125" w14:textId="491052A0" w:rsidR="00364B62" w:rsidRPr="00D721B4" w:rsidRDefault="00364B62" w:rsidP="00364B62">
            <w:pPr>
              <w:spacing w:after="0"/>
              <w:rPr>
                <w:szCs w:val="20"/>
              </w:rPr>
            </w:pPr>
            <w:r>
              <w:rPr>
                <w:b/>
                <w:szCs w:val="20"/>
              </w:rPr>
              <w:t xml:space="preserve">Chart </w:t>
            </w:r>
            <w:r w:rsidRPr="00D721B4">
              <w:rPr>
                <w:b/>
                <w:szCs w:val="20"/>
              </w:rPr>
              <w:t>2</w:t>
            </w:r>
            <w:r>
              <w:rPr>
                <w:b/>
                <w:szCs w:val="20"/>
              </w:rPr>
              <w:t xml:space="preserve"> </w:t>
            </w:r>
            <w:r w:rsidRPr="00D721B4">
              <w:rPr>
                <w:b/>
                <w:szCs w:val="20"/>
              </w:rPr>
              <w:t xml:space="preserve"> </w:t>
            </w:r>
            <w:r w:rsidR="00CA669C" w:rsidRPr="00D970F7">
              <w:rPr>
                <w:b/>
                <w:szCs w:val="20"/>
                <w:lang w:val="en-GB"/>
              </w:rPr>
              <w:t>Contribution of expenditure items to real GDP change</w:t>
            </w:r>
            <w:r w:rsidR="00CA669C" w:rsidRPr="00D970F7">
              <w:rPr>
                <w:rFonts w:cs="Arial"/>
                <w:b/>
                <w:szCs w:val="20"/>
                <w:lang w:val="en-GB" w:eastAsia="en-US"/>
              </w:rPr>
              <w:t>*</w:t>
            </w:r>
            <w:r w:rsidR="00CA669C" w:rsidRPr="00D970F7">
              <w:rPr>
                <w:rFonts w:cs="Arial"/>
                <w:b/>
                <w:sz w:val="18"/>
                <w:szCs w:val="18"/>
                <w:lang w:val="en-GB" w:eastAsia="en-US"/>
              </w:rPr>
              <w:t xml:space="preserve"> </w:t>
            </w:r>
            <w:r w:rsidR="00CA669C" w:rsidRPr="00D970F7">
              <w:rPr>
                <w:rFonts w:cs="Arial"/>
                <w:bCs/>
                <w:sz w:val="18"/>
                <w:szCs w:val="18"/>
                <w:lang w:val="en-GB" w:eastAsia="en-US"/>
              </w:rPr>
              <w:t xml:space="preserve">(volume indices, year-on-year growth, contributions in </w:t>
            </w:r>
            <w:proofErr w:type="gramStart"/>
            <w:r w:rsidR="00CA669C" w:rsidRPr="00D970F7">
              <w:rPr>
                <w:rFonts w:cs="Arial"/>
                <w:bCs/>
                <w:sz w:val="18"/>
                <w:szCs w:val="18"/>
                <w:lang w:val="en-GB" w:eastAsia="en-US"/>
              </w:rPr>
              <w:t>p.p.</w:t>
            </w:r>
            <w:proofErr w:type="gramEnd"/>
            <w:r w:rsidR="00CA669C" w:rsidRPr="00D970F7">
              <w:rPr>
                <w:rFonts w:cs="Arial"/>
                <w:bCs/>
                <w:sz w:val="18"/>
                <w:szCs w:val="18"/>
                <w:lang w:val="en-GB" w:eastAsia="en-US"/>
              </w:rPr>
              <w:t>, GDP in %)</w:t>
            </w:r>
          </w:p>
        </w:tc>
      </w:tr>
      <w:tr w:rsidR="00364B62" w:rsidRPr="009110F7" w14:paraId="77429A57" w14:textId="77777777" w:rsidTr="00D2240D">
        <w:tblPrEx>
          <w:tblCellMar>
            <w:left w:w="70" w:type="dxa"/>
            <w:right w:w="70" w:type="dxa"/>
          </w:tblCellMar>
        </w:tblPrEx>
        <w:trPr>
          <w:trHeight w:val="170"/>
        </w:trPr>
        <w:tc>
          <w:tcPr>
            <w:tcW w:w="1806" w:type="dxa"/>
            <w:vMerge/>
            <w:shd w:val="clear" w:color="auto" w:fill="auto"/>
          </w:tcPr>
          <w:p w14:paraId="75E00B54" w14:textId="77777777" w:rsidR="00364B62" w:rsidRDefault="00364B62" w:rsidP="00364B62">
            <w:pPr>
              <w:pStyle w:val="Marginlie"/>
            </w:pPr>
          </w:p>
        </w:tc>
        <w:tc>
          <w:tcPr>
            <w:tcW w:w="223" w:type="dxa"/>
            <w:vMerge/>
            <w:shd w:val="clear" w:color="auto" w:fill="auto"/>
          </w:tcPr>
          <w:p w14:paraId="2F1F9B1D" w14:textId="77777777" w:rsidR="00364B62" w:rsidRDefault="00364B62" w:rsidP="00364B62">
            <w:pPr>
              <w:pStyle w:val="Textpoznpodarou"/>
              <w:jc w:val="both"/>
              <w:rPr>
                <w:spacing w:val="-4"/>
              </w:rPr>
            </w:pPr>
          </w:p>
        </w:tc>
        <w:tc>
          <w:tcPr>
            <w:tcW w:w="7610" w:type="dxa"/>
            <w:shd w:val="clear" w:color="auto" w:fill="auto"/>
          </w:tcPr>
          <w:p w14:paraId="6A8E7C47" w14:textId="09E6FDC6" w:rsidR="00364B62" w:rsidRDefault="00AA570E" w:rsidP="00364B62">
            <w:pPr>
              <w:spacing w:after="0"/>
            </w:pPr>
            <w:r>
              <w:rPr>
                <w:noProof/>
              </w:rPr>
              <w:drawing>
                <wp:inline distT="0" distB="0" distL="0" distR="0" wp14:anchorId="7DA25032" wp14:editId="03EE72AD">
                  <wp:extent cx="4737600" cy="3553200"/>
                  <wp:effectExtent l="0" t="0" r="6350" b="0"/>
                  <wp:docPr id="10" name="Graf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64B62" w:rsidRPr="009110F7" w14:paraId="65850752" w14:textId="77777777" w:rsidTr="00D2240D">
        <w:trPr>
          <w:trHeight w:val="170"/>
        </w:trPr>
        <w:tc>
          <w:tcPr>
            <w:tcW w:w="1806" w:type="dxa"/>
            <w:vMerge/>
            <w:shd w:val="clear" w:color="auto" w:fill="auto"/>
            <w:tcMar>
              <w:left w:w="0" w:type="dxa"/>
            </w:tcMar>
          </w:tcPr>
          <w:p w14:paraId="5127E0AF" w14:textId="77777777" w:rsidR="00364B62" w:rsidRDefault="00364B62" w:rsidP="00364B62">
            <w:pPr>
              <w:pStyle w:val="Marginlie"/>
            </w:pPr>
          </w:p>
        </w:tc>
        <w:tc>
          <w:tcPr>
            <w:tcW w:w="223" w:type="dxa"/>
            <w:vMerge/>
            <w:shd w:val="clear" w:color="auto" w:fill="auto"/>
            <w:tcMar>
              <w:left w:w="0" w:type="dxa"/>
            </w:tcMar>
          </w:tcPr>
          <w:p w14:paraId="01E374C4" w14:textId="77777777" w:rsidR="00364B62" w:rsidRDefault="00364B62" w:rsidP="00364B62">
            <w:pPr>
              <w:pStyle w:val="Textpoznpodarou"/>
              <w:jc w:val="both"/>
              <w:rPr>
                <w:spacing w:val="-4"/>
              </w:rPr>
            </w:pPr>
          </w:p>
        </w:tc>
        <w:tc>
          <w:tcPr>
            <w:tcW w:w="7610" w:type="dxa"/>
            <w:shd w:val="clear" w:color="auto" w:fill="auto"/>
            <w:tcMar>
              <w:left w:w="0" w:type="dxa"/>
            </w:tcMar>
          </w:tcPr>
          <w:p w14:paraId="0E0338DB" w14:textId="1E2C4DBC" w:rsidR="00364B62" w:rsidRDefault="00364B62" w:rsidP="00364B62">
            <w:pPr>
              <w:spacing w:after="0"/>
              <w:rPr>
                <w:sz w:val="14"/>
                <w:szCs w:val="14"/>
              </w:rPr>
            </w:pPr>
            <w:r>
              <w:rPr>
                <w:sz w:val="14"/>
                <w:szCs w:val="14"/>
              </w:rPr>
              <w:t>Source: CZSO</w:t>
            </w:r>
          </w:p>
          <w:p w14:paraId="2CA8DF23" w14:textId="0AAD7DC4" w:rsidR="00764231" w:rsidRPr="00CA669C" w:rsidRDefault="00364B62" w:rsidP="00AA570E">
            <w:pPr>
              <w:rPr>
                <w:b/>
                <w:bCs/>
                <w:sz w:val="16"/>
                <w:szCs w:val="16"/>
                <w:lang w:val="en-GB"/>
              </w:rPr>
            </w:pPr>
            <w:r>
              <w:rPr>
                <w:sz w:val="14"/>
                <w:szCs w:val="14"/>
              </w:rPr>
              <w:t xml:space="preserve">* </w:t>
            </w:r>
            <w:r w:rsidR="00CA669C" w:rsidRPr="00CA669C">
              <w:rPr>
                <w:sz w:val="14"/>
                <w:szCs w:val="14"/>
                <w:lang w:val="en-GB"/>
              </w:rPr>
              <w:t>after exclusion of import for final use</w:t>
            </w:r>
          </w:p>
        </w:tc>
      </w:tr>
      <w:tr w:rsidR="00364B62" w:rsidRPr="009110F7" w14:paraId="1B32CA00" w14:textId="77777777" w:rsidTr="00D2240D">
        <w:trPr>
          <w:trHeight w:val="145"/>
        </w:trPr>
        <w:tc>
          <w:tcPr>
            <w:tcW w:w="1806" w:type="dxa"/>
            <w:shd w:val="clear" w:color="auto" w:fill="auto"/>
            <w:tcMar>
              <w:left w:w="0" w:type="dxa"/>
            </w:tcMar>
          </w:tcPr>
          <w:p w14:paraId="3B76CB2D" w14:textId="4F4CF3D3" w:rsidR="00364B62" w:rsidRPr="00B34255" w:rsidRDefault="00364B62" w:rsidP="00364B62">
            <w:pPr>
              <w:pStyle w:val="Marginlie"/>
              <w:rPr>
                <w:lang w:val="en-GB"/>
              </w:rPr>
            </w:pPr>
            <w:r w:rsidRPr="00B34255">
              <w:rPr>
                <w:lang w:val="en-GB"/>
              </w:rPr>
              <w:t xml:space="preserve">The inventory stock strongly grew last year. </w:t>
            </w:r>
          </w:p>
        </w:tc>
        <w:tc>
          <w:tcPr>
            <w:tcW w:w="223" w:type="dxa"/>
            <w:shd w:val="clear" w:color="auto" w:fill="auto"/>
            <w:tcMar>
              <w:left w:w="0" w:type="dxa"/>
            </w:tcMar>
          </w:tcPr>
          <w:p w14:paraId="575D56E3" w14:textId="77777777" w:rsidR="00364B62" w:rsidRPr="00B34255" w:rsidRDefault="00364B62" w:rsidP="00364B62">
            <w:pPr>
              <w:pStyle w:val="Textpoznpodarou"/>
              <w:jc w:val="both"/>
              <w:rPr>
                <w:spacing w:val="-4"/>
                <w:lang w:val="en-GB"/>
              </w:rPr>
            </w:pPr>
          </w:p>
        </w:tc>
        <w:tc>
          <w:tcPr>
            <w:tcW w:w="7610" w:type="dxa"/>
            <w:shd w:val="clear" w:color="auto" w:fill="auto"/>
            <w:tcMar>
              <w:left w:w="0" w:type="dxa"/>
            </w:tcMar>
          </w:tcPr>
          <w:p w14:paraId="32DB1EA1" w14:textId="0ED645AC" w:rsidR="00364B62" w:rsidRPr="00911619" w:rsidRDefault="00364B62" w:rsidP="00364B62">
            <w:pPr>
              <w:rPr>
                <w:lang w:val="en-GB"/>
              </w:rPr>
            </w:pPr>
            <w:r w:rsidRPr="00911619">
              <w:rPr>
                <w:lang w:val="en-GB"/>
              </w:rPr>
              <w:t xml:space="preserve">Expenditures on gross capital formation increased by 18.2% in 2021. In </w:t>
            </w:r>
            <w:proofErr w:type="gramStart"/>
            <w:r w:rsidRPr="00911619">
              <w:rPr>
                <w:lang w:val="en-GB"/>
              </w:rPr>
              <w:t>that</w:t>
            </w:r>
            <w:proofErr w:type="gramEnd"/>
            <w:r w:rsidRPr="00911619">
              <w:rPr>
                <w:lang w:val="en-GB"/>
              </w:rPr>
              <w:t xml:space="preserve"> the expenditures on fixed capital were by 0.9% higher. Following the deep slump in 2020,    especially the businesses in unsteady situation kept avoiding the strengthening of investment activity. The inventory stock expanded on the contrary</w:t>
            </w:r>
            <w:r w:rsidRPr="00911619">
              <w:rPr>
                <w:rStyle w:val="Znakapoznpodarou"/>
                <w:lang w:val="en-GB"/>
              </w:rPr>
              <w:footnoteReference w:id="16"/>
            </w:r>
            <w:r w:rsidRPr="00911619">
              <w:rPr>
                <w:lang w:val="en-GB"/>
              </w:rPr>
              <w:t xml:space="preserve">, mainly of the unfinished production. In real </w:t>
            </w:r>
            <w:proofErr w:type="gramStart"/>
            <w:r w:rsidRPr="00911619">
              <w:rPr>
                <w:lang w:val="en-GB"/>
              </w:rPr>
              <w:t>terms</w:t>
            </w:r>
            <w:proofErr w:type="gramEnd"/>
            <w:r w:rsidRPr="00911619">
              <w:rPr>
                <w:lang w:val="en-GB"/>
              </w:rPr>
              <w:t xml:space="preserve"> investment lagged behind the levels of both year </w:t>
            </w:r>
            <w:r w:rsidRPr="00911619">
              <w:rPr>
                <w:lang w:val="en-GB"/>
              </w:rPr>
              <w:lastRenderedPageBreak/>
              <w:t>2018 and</w:t>
            </w:r>
            <w:r w:rsidR="0095639D">
              <w:rPr>
                <w:lang w:val="en-GB"/>
              </w:rPr>
              <w:t xml:space="preserve"> </w:t>
            </w:r>
            <w:r w:rsidRPr="00911619">
              <w:rPr>
                <w:lang w:val="en-GB"/>
              </w:rPr>
              <w:t>2019 last year. The development of expenditures on gross fixed capital formation according to the type classification indirectly signals the continuing downturn of the investment activity of the non-financial businesses. After the deep slump in year 2020, investment into ICT and other machinery and equipment (–0.5%) kept further falling last year. Expenditures on other buildings and structures (–2.0%) were also lower. Investment into transport equipment did increase by 5.7%, however they dived by nearly one quarter in the pr</w:t>
            </w:r>
            <w:r w:rsidR="00E852EE">
              <w:rPr>
                <w:lang w:val="en-GB"/>
              </w:rPr>
              <w:t>evious year, thus the last year</w:t>
            </w:r>
            <w:r w:rsidRPr="00911619">
              <w:rPr>
                <w:lang w:val="en-GB"/>
              </w:rPr>
              <w:t xml:space="preserve">‘s expenditures in real terms fell deeply behind the level from years 2016–2019. </w:t>
            </w:r>
            <w:r>
              <w:rPr>
                <w:lang w:val="en-GB"/>
              </w:rPr>
              <w:t xml:space="preserve">Investment into the products of intellectual property went up by </w:t>
            </w:r>
            <w:r w:rsidRPr="00911619">
              <w:rPr>
                <w:lang w:val="en-GB"/>
              </w:rPr>
              <w:t>1</w:t>
            </w:r>
            <w:r>
              <w:rPr>
                <w:lang w:val="en-GB"/>
              </w:rPr>
              <w:t>.</w:t>
            </w:r>
            <w:r w:rsidRPr="00911619">
              <w:rPr>
                <w:lang w:val="en-GB"/>
              </w:rPr>
              <w:t xml:space="preserve">5% </w:t>
            </w:r>
            <w:proofErr w:type="gramStart"/>
            <w:r w:rsidRPr="00911619">
              <w:rPr>
                <w:lang w:val="en-GB"/>
              </w:rPr>
              <w:t>a</w:t>
            </w:r>
            <w:r>
              <w:rPr>
                <w:lang w:val="en-GB"/>
              </w:rPr>
              <w:t>nd also</w:t>
            </w:r>
            <w:proofErr w:type="gramEnd"/>
            <w:r>
              <w:rPr>
                <w:lang w:val="en-GB"/>
              </w:rPr>
              <w:t xml:space="preserve"> lagged behind the level from year 2019 in real terms. The only area, where the investment activity has been growing already eighth year in row, were the expenditures on housing, which increased </w:t>
            </w:r>
            <w:proofErr w:type="gramStart"/>
            <w:r>
              <w:rPr>
                <w:lang w:val="en-GB"/>
              </w:rPr>
              <w:t xml:space="preserve">by </w:t>
            </w:r>
            <w:r w:rsidRPr="00911619">
              <w:rPr>
                <w:lang w:val="en-GB"/>
              </w:rPr>
              <w:t xml:space="preserve"> 4</w:t>
            </w:r>
            <w:r>
              <w:rPr>
                <w:lang w:val="en-GB"/>
              </w:rPr>
              <w:t>.</w:t>
            </w:r>
            <w:r w:rsidRPr="00911619">
              <w:rPr>
                <w:lang w:val="en-GB"/>
              </w:rPr>
              <w:t>1</w:t>
            </w:r>
            <w:proofErr w:type="gramEnd"/>
            <w:r w:rsidRPr="00911619">
              <w:rPr>
                <w:lang w:val="en-GB"/>
              </w:rPr>
              <w:t>%</w:t>
            </w:r>
            <w:r>
              <w:rPr>
                <w:lang w:val="en-GB"/>
              </w:rPr>
              <w:t xml:space="preserve"> last year</w:t>
            </w:r>
            <w:r w:rsidRPr="00911619">
              <w:rPr>
                <w:lang w:val="en-GB"/>
              </w:rPr>
              <w:t xml:space="preserve">. Expenditures on housing are the domain of the household sector. </w:t>
            </w:r>
          </w:p>
        </w:tc>
      </w:tr>
      <w:tr w:rsidR="00364B62" w:rsidRPr="009110F7" w14:paraId="2A648B51" w14:textId="77777777" w:rsidTr="00D2240D">
        <w:trPr>
          <w:trHeight w:val="145"/>
        </w:trPr>
        <w:tc>
          <w:tcPr>
            <w:tcW w:w="1806" w:type="dxa"/>
            <w:shd w:val="clear" w:color="auto" w:fill="auto"/>
            <w:tcMar>
              <w:left w:w="0" w:type="dxa"/>
            </w:tcMar>
          </w:tcPr>
          <w:p w14:paraId="067C2EBB" w14:textId="4880957F" w:rsidR="00364B62" w:rsidRPr="00E94DD2" w:rsidRDefault="00364B62" w:rsidP="00364B62">
            <w:pPr>
              <w:pStyle w:val="Marginlie"/>
              <w:rPr>
                <w:lang w:val="en-GB"/>
              </w:rPr>
            </w:pPr>
            <w:r w:rsidRPr="00E94DD2">
              <w:rPr>
                <w:lang w:val="en-GB"/>
              </w:rPr>
              <w:lastRenderedPageBreak/>
              <w:t>Investment grew in Q4.</w:t>
            </w:r>
          </w:p>
        </w:tc>
        <w:tc>
          <w:tcPr>
            <w:tcW w:w="223" w:type="dxa"/>
            <w:shd w:val="clear" w:color="auto" w:fill="auto"/>
            <w:tcMar>
              <w:left w:w="0" w:type="dxa"/>
            </w:tcMar>
          </w:tcPr>
          <w:p w14:paraId="65196F68" w14:textId="77777777" w:rsidR="00364B62" w:rsidRDefault="00364B62" w:rsidP="00364B62">
            <w:pPr>
              <w:pStyle w:val="Textpoznpodarou"/>
              <w:jc w:val="both"/>
              <w:rPr>
                <w:spacing w:val="-4"/>
              </w:rPr>
            </w:pPr>
          </w:p>
        </w:tc>
        <w:tc>
          <w:tcPr>
            <w:tcW w:w="7610" w:type="dxa"/>
            <w:shd w:val="clear" w:color="auto" w:fill="auto"/>
            <w:tcMar>
              <w:left w:w="0" w:type="dxa"/>
            </w:tcMar>
          </w:tcPr>
          <w:p w14:paraId="1BD3E0D2" w14:textId="0840CFCD" w:rsidR="00364B62" w:rsidRPr="00911619" w:rsidRDefault="00364B62" w:rsidP="00364B62">
            <w:pPr>
              <w:rPr>
                <w:lang w:val="en-GB"/>
              </w:rPr>
            </w:pPr>
            <w:r>
              <w:rPr>
                <w:lang w:val="en-GB"/>
              </w:rPr>
              <w:t xml:space="preserve">Expenditures on gross capital increased by </w:t>
            </w:r>
            <w:r w:rsidRPr="00911619">
              <w:rPr>
                <w:lang w:val="en-GB"/>
              </w:rPr>
              <w:t>26</w:t>
            </w:r>
            <w:r>
              <w:rPr>
                <w:lang w:val="en-GB"/>
              </w:rPr>
              <w:t>.</w:t>
            </w:r>
            <w:r w:rsidRPr="00911619">
              <w:rPr>
                <w:lang w:val="en-GB"/>
              </w:rPr>
              <w:t>9%</w:t>
            </w:r>
            <w:r>
              <w:rPr>
                <w:lang w:val="en-GB"/>
              </w:rPr>
              <w:t xml:space="preserve"> year-on-year in Q4</w:t>
            </w:r>
            <w:r w:rsidRPr="00911619">
              <w:rPr>
                <w:lang w:val="en-GB"/>
              </w:rPr>
              <w:t xml:space="preserve">. </w:t>
            </w:r>
            <w:r>
              <w:rPr>
                <w:lang w:val="en-GB"/>
              </w:rPr>
              <w:t xml:space="preserve">In that, the investment only increased by </w:t>
            </w:r>
            <w:r w:rsidRPr="00911619">
              <w:rPr>
                <w:lang w:val="en-GB"/>
              </w:rPr>
              <w:t>3</w:t>
            </w:r>
            <w:r>
              <w:rPr>
                <w:lang w:val="en-GB"/>
              </w:rPr>
              <w:t>.</w:t>
            </w:r>
            <w:r w:rsidRPr="00911619">
              <w:rPr>
                <w:lang w:val="en-GB"/>
              </w:rPr>
              <w:t>5% a</w:t>
            </w:r>
            <w:r>
              <w:rPr>
                <w:lang w:val="en-GB"/>
              </w:rPr>
              <w:t xml:space="preserve">nd the rest </w:t>
            </w:r>
            <w:proofErr w:type="gramStart"/>
            <w:r>
              <w:rPr>
                <w:lang w:val="en-GB"/>
              </w:rPr>
              <w:t>can be attributed</w:t>
            </w:r>
            <w:proofErr w:type="gramEnd"/>
            <w:r>
              <w:rPr>
                <w:lang w:val="en-GB"/>
              </w:rPr>
              <w:t xml:space="preserve"> to the increase of the inventory stock. Compared to Q</w:t>
            </w:r>
            <w:r w:rsidRPr="00911619">
              <w:rPr>
                <w:lang w:val="en-GB"/>
              </w:rPr>
              <w:t>3</w:t>
            </w:r>
            <w:r>
              <w:rPr>
                <w:lang w:val="en-GB"/>
              </w:rPr>
              <w:t xml:space="preserve">, the capital expenditures went down by </w:t>
            </w:r>
            <w:r w:rsidRPr="00911619">
              <w:rPr>
                <w:lang w:val="en-GB"/>
              </w:rPr>
              <w:t>0</w:t>
            </w:r>
            <w:r>
              <w:rPr>
                <w:lang w:val="en-GB"/>
              </w:rPr>
              <w:t>.</w:t>
            </w:r>
            <w:r w:rsidRPr="00911619">
              <w:rPr>
                <w:lang w:val="en-GB"/>
              </w:rPr>
              <w:t xml:space="preserve">2%. </w:t>
            </w:r>
            <w:r>
              <w:rPr>
                <w:lang w:val="en-GB"/>
              </w:rPr>
              <w:t xml:space="preserve">However, the investment alone grew by </w:t>
            </w:r>
            <w:r w:rsidRPr="00911619">
              <w:rPr>
                <w:lang w:val="en-GB"/>
              </w:rPr>
              <w:t>0</w:t>
            </w:r>
            <w:r>
              <w:rPr>
                <w:lang w:val="en-GB"/>
              </w:rPr>
              <w:t>.</w:t>
            </w:r>
            <w:r w:rsidRPr="00911619">
              <w:rPr>
                <w:lang w:val="en-GB"/>
              </w:rPr>
              <w:t xml:space="preserve">5%. </w:t>
            </w:r>
            <w:r>
              <w:rPr>
                <w:lang w:val="en-GB"/>
              </w:rPr>
              <w:t xml:space="preserve">Based on the data of type classification of gross fixed capital formation, the expenditures on transport equipment </w:t>
            </w:r>
            <w:r w:rsidRPr="00911619">
              <w:rPr>
                <w:lang w:val="en-GB"/>
              </w:rPr>
              <w:t>(20</w:t>
            </w:r>
            <w:r>
              <w:rPr>
                <w:lang w:val="en-GB"/>
              </w:rPr>
              <w:t>.</w:t>
            </w:r>
            <w:r w:rsidRPr="00911619">
              <w:rPr>
                <w:lang w:val="en-GB"/>
              </w:rPr>
              <w:t>1%)</w:t>
            </w:r>
            <w:r>
              <w:rPr>
                <w:lang w:val="en-GB"/>
              </w:rPr>
              <w:t xml:space="preserve"> and housing </w:t>
            </w:r>
            <w:r w:rsidRPr="00911619">
              <w:rPr>
                <w:lang w:val="en-GB"/>
              </w:rPr>
              <w:t>(7</w:t>
            </w:r>
            <w:r>
              <w:rPr>
                <w:lang w:val="en-GB"/>
              </w:rPr>
              <w:t>.</w:t>
            </w:r>
            <w:r w:rsidRPr="00911619">
              <w:rPr>
                <w:lang w:val="en-GB"/>
              </w:rPr>
              <w:t>5%)</w:t>
            </w:r>
            <w:r>
              <w:rPr>
                <w:lang w:val="en-GB"/>
              </w:rPr>
              <w:t xml:space="preserve"> grew the most year-on-year in Q4</w:t>
            </w:r>
            <w:r w:rsidRPr="00911619">
              <w:rPr>
                <w:lang w:val="en-GB"/>
              </w:rPr>
              <w:t xml:space="preserve">. </w:t>
            </w:r>
            <w:r>
              <w:rPr>
                <w:lang w:val="en-GB"/>
              </w:rPr>
              <w:t xml:space="preserve">Investment into other buildings and structures </w:t>
            </w:r>
            <w:r w:rsidRPr="00911619">
              <w:rPr>
                <w:lang w:val="en-GB"/>
              </w:rPr>
              <w:t>(1</w:t>
            </w:r>
            <w:r>
              <w:rPr>
                <w:lang w:val="en-GB"/>
              </w:rPr>
              <w:t>.</w:t>
            </w:r>
            <w:r w:rsidRPr="00911619">
              <w:rPr>
                <w:lang w:val="en-GB"/>
              </w:rPr>
              <w:t>3%), ICT a</w:t>
            </w:r>
            <w:r>
              <w:rPr>
                <w:lang w:val="en-GB"/>
              </w:rPr>
              <w:t xml:space="preserve">nd other machinery and equipment </w:t>
            </w:r>
            <w:r w:rsidRPr="00911619">
              <w:rPr>
                <w:lang w:val="en-GB"/>
              </w:rPr>
              <w:t>(0</w:t>
            </w:r>
            <w:r>
              <w:rPr>
                <w:lang w:val="en-GB"/>
              </w:rPr>
              <w:t>.</w:t>
            </w:r>
            <w:r w:rsidRPr="00911619">
              <w:rPr>
                <w:lang w:val="en-GB"/>
              </w:rPr>
              <w:t>9%)</w:t>
            </w:r>
            <w:r>
              <w:rPr>
                <w:lang w:val="en-GB"/>
              </w:rPr>
              <w:t xml:space="preserve"> and products of intellectual property </w:t>
            </w:r>
            <w:r w:rsidRPr="00911619">
              <w:rPr>
                <w:lang w:val="en-GB"/>
              </w:rPr>
              <w:t>(0</w:t>
            </w:r>
            <w:r>
              <w:rPr>
                <w:lang w:val="en-GB"/>
              </w:rPr>
              <w:t>.</w:t>
            </w:r>
            <w:r w:rsidRPr="00911619">
              <w:rPr>
                <w:lang w:val="en-GB"/>
              </w:rPr>
              <w:t>2%)</w:t>
            </w:r>
            <w:r>
              <w:rPr>
                <w:lang w:val="en-GB"/>
              </w:rPr>
              <w:t xml:space="preserve"> were only slightly higher</w:t>
            </w:r>
            <w:r w:rsidRPr="00911619">
              <w:rPr>
                <w:lang w:val="en-GB"/>
              </w:rPr>
              <w:t>.</w:t>
            </w:r>
            <w:r>
              <w:rPr>
                <w:lang w:val="en-GB"/>
              </w:rPr>
              <w:t xml:space="preserve"> Investment into the products of intellectual property </w:t>
            </w:r>
            <w:r w:rsidRPr="00911619">
              <w:rPr>
                <w:lang w:val="en-GB"/>
              </w:rPr>
              <w:t>(5</w:t>
            </w:r>
            <w:r>
              <w:rPr>
                <w:lang w:val="en-GB"/>
              </w:rPr>
              <w:t>.</w:t>
            </w:r>
            <w:r w:rsidRPr="00911619">
              <w:rPr>
                <w:lang w:val="en-GB"/>
              </w:rPr>
              <w:t>6%) a</w:t>
            </w:r>
            <w:r>
              <w:rPr>
                <w:lang w:val="en-GB"/>
              </w:rPr>
              <w:t xml:space="preserve">nd other buildings and structures </w:t>
            </w:r>
            <w:r w:rsidRPr="00911619">
              <w:rPr>
                <w:lang w:val="en-GB"/>
              </w:rPr>
              <w:t>(3</w:t>
            </w:r>
            <w:r>
              <w:rPr>
                <w:lang w:val="en-GB"/>
              </w:rPr>
              <w:t>.</w:t>
            </w:r>
            <w:r w:rsidRPr="00911619">
              <w:rPr>
                <w:lang w:val="en-GB"/>
              </w:rPr>
              <w:t>4%)</w:t>
            </w:r>
            <w:r>
              <w:rPr>
                <w:lang w:val="en-GB"/>
              </w:rPr>
              <w:t xml:space="preserve"> considerably increased in comparison to Q3 2021</w:t>
            </w:r>
            <w:r w:rsidRPr="00911619">
              <w:rPr>
                <w:lang w:val="en-GB"/>
              </w:rPr>
              <w:t xml:space="preserve">. </w:t>
            </w:r>
            <w:r>
              <w:rPr>
                <w:lang w:val="en-GB"/>
              </w:rPr>
              <w:t xml:space="preserve">Expenditures on housing grew moderately </w:t>
            </w:r>
            <w:r w:rsidRPr="00911619">
              <w:rPr>
                <w:lang w:val="en-GB"/>
              </w:rPr>
              <w:t>(0</w:t>
            </w:r>
            <w:r>
              <w:rPr>
                <w:lang w:val="en-GB"/>
              </w:rPr>
              <w:t>.</w:t>
            </w:r>
            <w:r w:rsidRPr="00911619">
              <w:rPr>
                <w:lang w:val="en-GB"/>
              </w:rPr>
              <w:t>2%) a</w:t>
            </w:r>
            <w:r>
              <w:rPr>
                <w:lang w:val="en-GB"/>
              </w:rPr>
              <w:t xml:space="preserve">nd investment into transport equipment stagnated. Expenditures on ICT and other machinery and equipment were markedly lower quarter-on-quarter </w:t>
            </w:r>
            <w:r w:rsidRPr="00911619">
              <w:rPr>
                <w:lang w:val="en-GB"/>
              </w:rPr>
              <w:t>(–4</w:t>
            </w:r>
            <w:r>
              <w:rPr>
                <w:lang w:val="en-GB"/>
              </w:rPr>
              <w:t>.</w:t>
            </w:r>
            <w:r w:rsidRPr="00911619">
              <w:rPr>
                <w:lang w:val="en-GB"/>
              </w:rPr>
              <w:t>9%).</w:t>
            </w:r>
          </w:p>
        </w:tc>
      </w:tr>
      <w:tr w:rsidR="00364B62" w:rsidRPr="009110F7" w14:paraId="4364195F" w14:textId="77777777" w:rsidTr="00D2240D">
        <w:trPr>
          <w:trHeight w:val="145"/>
        </w:trPr>
        <w:tc>
          <w:tcPr>
            <w:tcW w:w="1806" w:type="dxa"/>
            <w:shd w:val="clear" w:color="auto" w:fill="auto"/>
            <w:tcMar>
              <w:left w:w="0" w:type="dxa"/>
            </w:tcMar>
          </w:tcPr>
          <w:p w14:paraId="6E4170A6" w14:textId="461CDAE8" w:rsidR="00364B62" w:rsidRPr="002E25FF" w:rsidRDefault="00364B62" w:rsidP="00364B62">
            <w:pPr>
              <w:pStyle w:val="Marginlie"/>
              <w:rPr>
                <w:lang w:val="en-GB"/>
              </w:rPr>
            </w:pPr>
            <w:r w:rsidRPr="002E25FF">
              <w:rPr>
                <w:lang w:val="en-GB"/>
              </w:rPr>
              <w:t xml:space="preserve">The foreign trade balance experienced record worsening last year. </w:t>
            </w:r>
          </w:p>
        </w:tc>
        <w:tc>
          <w:tcPr>
            <w:tcW w:w="223" w:type="dxa"/>
            <w:shd w:val="clear" w:color="auto" w:fill="auto"/>
            <w:tcMar>
              <w:left w:w="0" w:type="dxa"/>
            </w:tcMar>
          </w:tcPr>
          <w:p w14:paraId="5F8B826B" w14:textId="77777777" w:rsidR="00364B62" w:rsidRPr="002E25FF" w:rsidRDefault="00364B62" w:rsidP="00364B62">
            <w:pPr>
              <w:pStyle w:val="Textpoznpodarou"/>
              <w:jc w:val="both"/>
              <w:rPr>
                <w:spacing w:val="-4"/>
                <w:lang w:val="en-GB"/>
              </w:rPr>
            </w:pPr>
          </w:p>
        </w:tc>
        <w:tc>
          <w:tcPr>
            <w:tcW w:w="7610" w:type="dxa"/>
            <w:shd w:val="clear" w:color="auto" w:fill="auto"/>
            <w:tcMar>
              <w:left w:w="0" w:type="dxa"/>
            </w:tcMar>
          </w:tcPr>
          <w:p w14:paraId="0617354A" w14:textId="1069CD8E" w:rsidR="00364B62" w:rsidRPr="002E25FF" w:rsidRDefault="00364B62" w:rsidP="00364B62">
            <w:pPr>
              <w:rPr>
                <w:lang w:val="en-GB"/>
              </w:rPr>
            </w:pPr>
            <w:r>
              <w:rPr>
                <w:lang w:val="en-GB"/>
              </w:rPr>
              <w:t xml:space="preserve">The export of goods and services in real terms expanded by </w:t>
            </w:r>
            <w:r w:rsidRPr="002E25FF">
              <w:rPr>
                <w:lang w:val="en-GB"/>
              </w:rPr>
              <w:t>5</w:t>
            </w:r>
            <w:r>
              <w:rPr>
                <w:lang w:val="en-GB"/>
              </w:rPr>
              <w:t>.</w:t>
            </w:r>
            <w:r w:rsidRPr="002E25FF">
              <w:rPr>
                <w:lang w:val="en-GB"/>
              </w:rPr>
              <w:t>0%</w:t>
            </w:r>
            <w:r w:rsidRPr="002E25FF">
              <w:rPr>
                <w:rStyle w:val="Znakapoznpodarou"/>
                <w:lang w:val="en-GB"/>
              </w:rPr>
              <w:footnoteReference w:id="17"/>
            </w:r>
            <w:r>
              <w:rPr>
                <w:lang w:val="en-GB"/>
              </w:rPr>
              <w:t xml:space="preserve"> in year 2021</w:t>
            </w:r>
            <w:r w:rsidRPr="002E25FF">
              <w:rPr>
                <w:lang w:val="en-GB"/>
              </w:rPr>
              <w:t>.</w:t>
            </w:r>
            <w:r>
              <w:rPr>
                <w:lang w:val="en-GB"/>
              </w:rPr>
              <w:t xml:space="preserve"> In that, the export of goods was by </w:t>
            </w:r>
            <w:r w:rsidRPr="002E25FF">
              <w:rPr>
                <w:lang w:val="en-GB"/>
              </w:rPr>
              <w:t>5</w:t>
            </w:r>
            <w:r>
              <w:rPr>
                <w:lang w:val="en-GB"/>
              </w:rPr>
              <w:t>.</w:t>
            </w:r>
            <w:r w:rsidRPr="002E25FF">
              <w:rPr>
                <w:lang w:val="en-GB"/>
              </w:rPr>
              <w:t>1% a</w:t>
            </w:r>
            <w:r>
              <w:rPr>
                <w:lang w:val="en-GB"/>
              </w:rPr>
              <w:t xml:space="preserve">nd services </w:t>
            </w:r>
            <w:r w:rsidRPr="002E25FF">
              <w:rPr>
                <w:lang w:val="en-GB"/>
              </w:rPr>
              <w:t>4</w:t>
            </w:r>
            <w:r>
              <w:rPr>
                <w:lang w:val="en-GB"/>
              </w:rPr>
              <w:t>.</w:t>
            </w:r>
            <w:r w:rsidRPr="002E25FF">
              <w:rPr>
                <w:lang w:val="en-GB"/>
              </w:rPr>
              <w:t>6%</w:t>
            </w:r>
            <w:r>
              <w:rPr>
                <w:lang w:val="en-GB"/>
              </w:rPr>
              <w:t xml:space="preserve"> higher</w:t>
            </w:r>
            <w:r w:rsidRPr="002E25FF">
              <w:rPr>
                <w:lang w:val="en-GB"/>
              </w:rPr>
              <w:t xml:space="preserve">. </w:t>
            </w:r>
            <w:r>
              <w:rPr>
                <w:lang w:val="en-GB"/>
              </w:rPr>
              <w:t xml:space="preserve">The export of goods in real terms lagged behind the level of year </w:t>
            </w:r>
            <w:r w:rsidRPr="002E25FF">
              <w:rPr>
                <w:lang w:val="en-GB"/>
              </w:rPr>
              <w:t>2019</w:t>
            </w:r>
            <w:r>
              <w:rPr>
                <w:lang w:val="en-GB"/>
              </w:rPr>
              <w:t xml:space="preserve"> by </w:t>
            </w:r>
            <w:r w:rsidRPr="002E25FF">
              <w:rPr>
                <w:lang w:val="en-GB"/>
              </w:rPr>
              <w:t>0</w:t>
            </w:r>
            <w:r>
              <w:rPr>
                <w:lang w:val="en-GB"/>
              </w:rPr>
              <w:t>.</w:t>
            </w:r>
            <w:r w:rsidRPr="002E25FF">
              <w:rPr>
                <w:lang w:val="en-GB"/>
              </w:rPr>
              <w:t>2% a</w:t>
            </w:r>
            <w:r>
              <w:rPr>
                <w:lang w:val="en-GB"/>
              </w:rPr>
              <w:t xml:space="preserve">nd services by </w:t>
            </w:r>
            <w:r w:rsidRPr="002E25FF">
              <w:rPr>
                <w:lang w:val="en-GB"/>
              </w:rPr>
              <w:t>13</w:t>
            </w:r>
            <w:r>
              <w:rPr>
                <w:lang w:val="en-GB"/>
              </w:rPr>
              <w:t>.</w:t>
            </w:r>
            <w:r w:rsidRPr="002E25FF">
              <w:rPr>
                <w:lang w:val="en-GB"/>
              </w:rPr>
              <w:t xml:space="preserve">2%. </w:t>
            </w:r>
            <w:r>
              <w:rPr>
                <w:lang w:val="en-GB"/>
              </w:rPr>
              <w:t xml:space="preserve">Part of the domestic exporters however faced difficulties with supplies of some components. The import of goods and services thus grew at a faster pace compared to export last year and increased by </w:t>
            </w:r>
            <w:r w:rsidRPr="002E25FF">
              <w:rPr>
                <w:lang w:val="en-GB"/>
              </w:rPr>
              <w:t>11</w:t>
            </w:r>
            <w:r>
              <w:rPr>
                <w:lang w:val="en-GB"/>
              </w:rPr>
              <w:t>.</w:t>
            </w:r>
            <w:r w:rsidRPr="002E25FF">
              <w:rPr>
                <w:lang w:val="en-GB"/>
              </w:rPr>
              <w:t>4%</w:t>
            </w:r>
            <w:r>
              <w:rPr>
                <w:lang w:val="en-GB"/>
              </w:rPr>
              <w:t xml:space="preserve"> in total</w:t>
            </w:r>
            <w:r w:rsidRPr="002E25FF">
              <w:rPr>
                <w:lang w:val="en-GB"/>
              </w:rPr>
              <w:t xml:space="preserve">. Import </w:t>
            </w:r>
            <w:r>
              <w:rPr>
                <w:lang w:val="en-GB"/>
              </w:rPr>
              <w:t xml:space="preserve">of goods increased more </w:t>
            </w:r>
            <w:r w:rsidRPr="002E25FF">
              <w:rPr>
                <w:lang w:val="en-GB"/>
              </w:rPr>
              <w:t>(12</w:t>
            </w:r>
            <w:r>
              <w:rPr>
                <w:lang w:val="en-GB"/>
              </w:rPr>
              <w:t>.</w:t>
            </w:r>
            <w:r w:rsidRPr="002E25FF">
              <w:rPr>
                <w:lang w:val="en-GB"/>
              </w:rPr>
              <w:t>5%)</w:t>
            </w:r>
            <w:r>
              <w:rPr>
                <w:lang w:val="en-GB"/>
              </w:rPr>
              <w:t xml:space="preserve"> than the import of services </w:t>
            </w:r>
            <w:r w:rsidRPr="002E25FF">
              <w:rPr>
                <w:lang w:val="en-GB"/>
              </w:rPr>
              <w:t>(4</w:t>
            </w:r>
            <w:r>
              <w:rPr>
                <w:lang w:val="en-GB"/>
              </w:rPr>
              <w:t>.</w:t>
            </w:r>
            <w:r w:rsidRPr="002E25FF">
              <w:rPr>
                <w:lang w:val="en-GB"/>
              </w:rPr>
              <w:t>6%).</w:t>
            </w:r>
            <w:r>
              <w:rPr>
                <w:lang w:val="en-GB"/>
              </w:rPr>
              <w:t xml:space="preserve"> The balance of foreign trade in total reached surplus of </w:t>
            </w:r>
            <w:r w:rsidRPr="002E25FF">
              <w:rPr>
                <w:lang w:val="en-GB"/>
              </w:rPr>
              <w:t>185</w:t>
            </w:r>
            <w:r>
              <w:rPr>
                <w:lang w:val="en-GB"/>
              </w:rPr>
              <w:t>.</w:t>
            </w:r>
            <w:r w:rsidRPr="002E25FF">
              <w:rPr>
                <w:lang w:val="en-GB"/>
              </w:rPr>
              <w:t>2</w:t>
            </w:r>
            <w:r>
              <w:rPr>
                <w:lang w:val="en-GB"/>
              </w:rPr>
              <w:t xml:space="preserve"> CZK bn</w:t>
            </w:r>
            <w:r w:rsidRPr="002E25FF">
              <w:rPr>
                <w:lang w:val="en-GB"/>
              </w:rPr>
              <w:t>.</w:t>
            </w:r>
            <w:r>
              <w:rPr>
                <w:lang w:val="en-GB"/>
              </w:rPr>
              <w:t xml:space="preserve"> It is by </w:t>
            </w:r>
            <w:r w:rsidRPr="002E25FF">
              <w:rPr>
                <w:lang w:val="en-GB"/>
              </w:rPr>
              <w:t>204</w:t>
            </w:r>
            <w:r>
              <w:rPr>
                <w:lang w:val="en-GB"/>
              </w:rPr>
              <w:t>.</w:t>
            </w:r>
            <w:r w:rsidRPr="002E25FF">
              <w:rPr>
                <w:lang w:val="en-GB"/>
              </w:rPr>
              <w:t>1</w:t>
            </w:r>
            <w:r>
              <w:rPr>
                <w:lang w:val="en-GB"/>
              </w:rPr>
              <w:t xml:space="preserve"> bn</w:t>
            </w:r>
            <w:r w:rsidRPr="002E25FF">
              <w:rPr>
                <w:rStyle w:val="Znakapoznpodarou"/>
                <w:lang w:val="en-GB"/>
              </w:rPr>
              <w:footnoteReference w:id="18"/>
            </w:r>
            <w:r>
              <w:rPr>
                <w:lang w:val="en-GB"/>
              </w:rPr>
              <w:t xml:space="preserve"> worse result than in year </w:t>
            </w:r>
            <w:r w:rsidRPr="002E25FF">
              <w:rPr>
                <w:lang w:val="en-GB"/>
              </w:rPr>
              <w:t>2020.</w:t>
            </w:r>
            <w:r>
              <w:rPr>
                <w:lang w:val="en-GB"/>
              </w:rPr>
              <w:t xml:space="preserve"> For this reason also, the foreign trade balance worked strongly in the direction of GDP decrease </w:t>
            </w:r>
            <w:r w:rsidRPr="002E25FF">
              <w:rPr>
                <w:lang w:val="en-GB"/>
              </w:rPr>
              <w:t>(–2</w:t>
            </w:r>
            <w:r>
              <w:rPr>
                <w:lang w:val="en-GB"/>
              </w:rPr>
              <w:t>.</w:t>
            </w:r>
            <w:r w:rsidRPr="002E25FF">
              <w:rPr>
                <w:lang w:val="en-GB"/>
              </w:rPr>
              <w:t>0 p.</w:t>
            </w:r>
            <w:r>
              <w:rPr>
                <w:lang w:val="en-GB"/>
              </w:rPr>
              <w:t>p.</w:t>
            </w:r>
            <w:r w:rsidRPr="002E25FF">
              <w:rPr>
                <w:lang w:val="en-GB"/>
              </w:rPr>
              <w:t>).</w:t>
            </w:r>
            <w:r>
              <w:rPr>
                <w:lang w:val="en-GB"/>
              </w:rPr>
              <w:t xml:space="preserve"> Solely the positive balance of trade with goods was worsening </w:t>
            </w:r>
            <w:r w:rsidRPr="002E25FF">
              <w:rPr>
                <w:lang w:val="en-GB"/>
              </w:rPr>
              <w:t>(–211</w:t>
            </w:r>
            <w:r>
              <w:rPr>
                <w:lang w:val="en-GB"/>
              </w:rPr>
              <w:t>.</w:t>
            </w:r>
            <w:r w:rsidRPr="002E25FF">
              <w:rPr>
                <w:lang w:val="en-GB"/>
              </w:rPr>
              <w:t>6</w:t>
            </w:r>
            <w:r>
              <w:rPr>
                <w:lang w:val="en-GB"/>
              </w:rPr>
              <w:t xml:space="preserve"> CZK bn</w:t>
            </w:r>
            <w:r w:rsidRPr="002E25FF">
              <w:rPr>
                <w:lang w:val="en-GB"/>
              </w:rPr>
              <w:t xml:space="preserve">). </w:t>
            </w:r>
            <w:r>
              <w:rPr>
                <w:lang w:val="en-GB"/>
              </w:rPr>
              <w:t xml:space="preserve">On the contrary, the surplus of trade with services improved by </w:t>
            </w:r>
            <w:r w:rsidRPr="002E25FF">
              <w:rPr>
                <w:lang w:val="en-GB"/>
              </w:rPr>
              <w:t>7</w:t>
            </w:r>
            <w:r>
              <w:rPr>
                <w:lang w:val="en-GB"/>
              </w:rPr>
              <w:t>.</w:t>
            </w:r>
            <w:r w:rsidRPr="002E25FF">
              <w:rPr>
                <w:lang w:val="en-GB"/>
              </w:rPr>
              <w:t>5</w:t>
            </w:r>
            <w:r>
              <w:rPr>
                <w:lang w:val="en-GB"/>
              </w:rPr>
              <w:t xml:space="preserve"> CZK bn last year</w:t>
            </w:r>
            <w:r w:rsidRPr="002E25FF">
              <w:rPr>
                <w:lang w:val="en-GB"/>
              </w:rPr>
              <w:t>.</w:t>
            </w:r>
          </w:p>
        </w:tc>
      </w:tr>
      <w:tr w:rsidR="00364B62" w:rsidRPr="009110F7" w14:paraId="7690EAE2" w14:textId="77777777" w:rsidTr="00D2240D">
        <w:trPr>
          <w:trHeight w:val="145"/>
        </w:trPr>
        <w:tc>
          <w:tcPr>
            <w:tcW w:w="1806" w:type="dxa"/>
            <w:shd w:val="clear" w:color="auto" w:fill="auto"/>
            <w:tcMar>
              <w:left w:w="0" w:type="dxa"/>
            </w:tcMar>
          </w:tcPr>
          <w:p w14:paraId="722E21E8" w14:textId="5441BDAB" w:rsidR="00364B62" w:rsidRPr="00836096" w:rsidRDefault="00364B62" w:rsidP="00364B62">
            <w:pPr>
              <w:pStyle w:val="Marginlie"/>
              <w:rPr>
                <w:lang w:val="en-GB"/>
              </w:rPr>
            </w:pPr>
            <w:r w:rsidRPr="00836096">
              <w:rPr>
                <w:lang w:val="en-GB"/>
              </w:rPr>
              <w:t xml:space="preserve">In Q4, the foreign trade balance was in deficit. </w:t>
            </w:r>
          </w:p>
        </w:tc>
        <w:tc>
          <w:tcPr>
            <w:tcW w:w="223" w:type="dxa"/>
            <w:shd w:val="clear" w:color="auto" w:fill="auto"/>
            <w:tcMar>
              <w:left w:w="0" w:type="dxa"/>
            </w:tcMar>
          </w:tcPr>
          <w:p w14:paraId="6ED7BDA9" w14:textId="77777777" w:rsidR="00364B62" w:rsidRDefault="00364B62" w:rsidP="00364B62">
            <w:pPr>
              <w:pStyle w:val="Textpoznpodarou"/>
              <w:jc w:val="both"/>
              <w:rPr>
                <w:spacing w:val="-4"/>
              </w:rPr>
            </w:pPr>
          </w:p>
        </w:tc>
        <w:tc>
          <w:tcPr>
            <w:tcW w:w="7610" w:type="dxa"/>
            <w:shd w:val="clear" w:color="auto" w:fill="auto"/>
            <w:tcMar>
              <w:left w:w="0" w:type="dxa"/>
            </w:tcMar>
          </w:tcPr>
          <w:p w14:paraId="6593EA50" w14:textId="4F64A1AE" w:rsidR="00364B62" w:rsidRPr="00634DCA" w:rsidRDefault="00364B62" w:rsidP="00364B62">
            <w:pPr>
              <w:rPr>
                <w:lang w:val="en-GB"/>
              </w:rPr>
            </w:pPr>
            <w:r w:rsidRPr="00634DCA">
              <w:rPr>
                <w:lang w:val="en-GB"/>
              </w:rPr>
              <w:t>In Q4, the export of goods and services dropped by 5.7% in real terms year-on-year, while the export of goods went down (–8.9%), while it grew strongly for services (15.3%). The import was on the contrary</w:t>
            </w:r>
            <w:r>
              <w:rPr>
                <w:lang w:val="en-GB"/>
              </w:rPr>
              <w:t xml:space="preserve"> expanding </w:t>
            </w:r>
            <w:r w:rsidRPr="00634DCA">
              <w:rPr>
                <w:lang w:val="en-GB"/>
              </w:rPr>
              <w:t>(4</w:t>
            </w:r>
            <w:r>
              <w:rPr>
                <w:lang w:val="en-GB"/>
              </w:rPr>
              <w:t>.</w:t>
            </w:r>
            <w:r w:rsidRPr="00634DCA">
              <w:rPr>
                <w:lang w:val="en-GB"/>
              </w:rPr>
              <w:t>0%). Import</w:t>
            </w:r>
            <w:r>
              <w:rPr>
                <w:lang w:val="en-GB"/>
              </w:rPr>
              <w:t xml:space="preserve"> of goods was by </w:t>
            </w:r>
            <w:r w:rsidRPr="00634DCA">
              <w:rPr>
                <w:lang w:val="en-GB"/>
              </w:rPr>
              <w:t>3</w:t>
            </w:r>
            <w:r>
              <w:rPr>
                <w:lang w:val="en-GB"/>
              </w:rPr>
              <w:t>.</w:t>
            </w:r>
            <w:r w:rsidRPr="00634DCA">
              <w:rPr>
                <w:lang w:val="en-GB"/>
              </w:rPr>
              <w:t>5%</w:t>
            </w:r>
            <w:r>
              <w:rPr>
                <w:lang w:val="en-GB"/>
              </w:rPr>
              <w:t xml:space="preserve"> and services by </w:t>
            </w:r>
            <w:r w:rsidRPr="00634DCA">
              <w:rPr>
                <w:lang w:val="en-GB"/>
              </w:rPr>
              <w:t>7</w:t>
            </w:r>
            <w:r>
              <w:rPr>
                <w:lang w:val="en-GB"/>
              </w:rPr>
              <w:t>.</w:t>
            </w:r>
            <w:r w:rsidRPr="00634DCA">
              <w:rPr>
                <w:lang w:val="en-GB"/>
              </w:rPr>
              <w:t>6%</w:t>
            </w:r>
            <w:r>
              <w:rPr>
                <w:lang w:val="en-GB"/>
              </w:rPr>
              <w:t xml:space="preserve"> higher year-on-year</w:t>
            </w:r>
            <w:r w:rsidRPr="00634DCA">
              <w:rPr>
                <w:lang w:val="en-GB"/>
              </w:rPr>
              <w:t xml:space="preserve">. </w:t>
            </w:r>
            <w:r>
              <w:rPr>
                <w:lang w:val="en-GB"/>
              </w:rPr>
              <w:t>Compared to Q</w:t>
            </w:r>
            <w:r w:rsidRPr="00634DCA">
              <w:rPr>
                <w:lang w:val="en-GB"/>
              </w:rPr>
              <w:t>3</w:t>
            </w:r>
            <w:r>
              <w:rPr>
                <w:lang w:val="en-GB"/>
              </w:rPr>
              <w:t xml:space="preserve">, the export increased by </w:t>
            </w:r>
            <w:r w:rsidRPr="00634DCA">
              <w:rPr>
                <w:lang w:val="en-GB"/>
              </w:rPr>
              <w:t>2</w:t>
            </w:r>
            <w:r>
              <w:rPr>
                <w:lang w:val="en-GB"/>
              </w:rPr>
              <w:t>.</w:t>
            </w:r>
            <w:r w:rsidRPr="00634DCA">
              <w:rPr>
                <w:lang w:val="en-GB"/>
              </w:rPr>
              <w:t>2%</w:t>
            </w:r>
            <w:r>
              <w:rPr>
                <w:lang w:val="en-GB"/>
              </w:rPr>
              <w:t xml:space="preserve"> in real terms</w:t>
            </w:r>
            <w:r w:rsidRPr="00634DCA">
              <w:rPr>
                <w:lang w:val="en-GB"/>
              </w:rPr>
              <w:t>,</w:t>
            </w:r>
            <w:r>
              <w:rPr>
                <w:lang w:val="en-GB"/>
              </w:rPr>
              <w:t xml:space="preserve"> both export of goods </w:t>
            </w:r>
            <w:r w:rsidRPr="00634DCA">
              <w:rPr>
                <w:lang w:val="en-GB"/>
              </w:rPr>
              <w:t>(1</w:t>
            </w:r>
            <w:r>
              <w:rPr>
                <w:lang w:val="en-GB"/>
              </w:rPr>
              <w:t>.</w:t>
            </w:r>
            <w:r w:rsidRPr="00634DCA">
              <w:rPr>
                <w:lang w:val="en-GB"/>
              </w:rPr>
              <w:t>2%)</w:t>
            </w:r>
            <w:r>
              <w:rPr>
                <w:lang w:val="en-GB"/>
              </w:rPr>
              <w:t xml:space="preserve"> as well as services </w:t>
            </w:r>
            <w:r w:rsidRPr="00634DCA">
              <w:rPr>
                <w:lang w:val="en-GB"/>
              </w:rPr>
              <w:t>(7</w:t>
            </w:r>
            <w:r>
              <w:rPr>
                <w:lang w:val="en-GB"/>
              </w:rPr>
              <w:t>.</w:t>
            </w:r>
            <w:r w:rsidRPr="00634DCA">
              <w:rPr>
                <w:lang w:val="en-GB"/>
              </w:rPr>
              <w:t>7%)</w:t>
            </w:r>
            <w:r>
              <w:rPr>
                <w:lang w:val="en-GB"/>
              </w:rPr>
              <w:t xml:space="preserve"> was growing</w:t>
            </w:r>
            <w:r w:rsidRPr="00634DCA">
              <w:rPr>
                <w:lang w:val="en-GB"/>
              </w:rPr>
              <w:t xml:space="preserve">. </w:t>
            </w:r>
            <w:r>
              <w:rPr>
                <w:lang w:val="en-GB"/>
              </w:rPr>
              <w:t xml:space="preserve">On the other hand, the import decreased by </w:t>
            </w:r>
            <w:r w:rsidRPr="00634DCA">
              <w:rPr>
                <w:lang w:val="en-GB"/>
              </w:rPr>
              <w:t>0</w:t>
            </w:r>
            <w:r>
              <w:rPr>
                <w:lang w:val="en-GB"/>
              </w:rPr>
              <w:t>.</w:t>
            </w:r>
            <w:r w:rsidRPr="00634DCA">
              <w:rPr>
                <w:lang w:val="en-GB"/>
              </w:rPr>
              <w:t>4%</w:t>
            </w:r>
            <w:r>
              <w:rPr>
                <w:lang w:val="en-GB"/>
              </w:rPr>
              <w:t xml:space="preserve"> quarter-on-quarter</w:t>
            </w:r>
            <w:r w:rsidRPr="00634DCA">
              <w:rPr>
                <w:lang w:val="en-GB"/>
              </w:rPr>
              <w:t xml:space="preserve">. </w:t>
            </w:r>
            <w:r>
              <w:rPr>
                <w:lang w:val="en-GB"/>
              </w:rPr>
              <w:t xml:space="preserve">The foreign trade balance reached total surplus of </w:t>
            </w:r>
            <w:r w:rsidRPr="00634DCA">
              <w:rPr>
                <w:lang w:val="en-GB"/>
              </w:rPr>
              <w:t>22</w:t>
            </w:r>
            <w:r>
              <w:rPr>
                <w:lang w:val="en-GB"/>
              </w:rPr>
              <w:t>.</w:t>
            </w:r>
            <w:r w:rsidRPr="00634DCA">
              <w:rPr>
                <w:lang w:val="en-GB"/>
              </w:rPr>
              <w:t>5</w:t>
            </w:r>
            <w:r>
              <w:rPr>
                <w:lang w:val="en-GB"/>
              </w:rPr>
              <w:t xml:space="preserve"> CZK bn last year</w:t>
            </w:r>
            <w:r w:rsidRPr="00634DCA">
              <w:rPr>
                <w:lang w:val="en-GB"/>
              </w:rPr>
              <w:t>,</w:t>
            </w:r>
            <w:r>
              <w:rPr>
                <w:lang w:val="en-GB"/>
              </w:rPr>
              <w:t xml:space="preserve"> which is by </w:t>
            </w:r>
            <w:r w:rsidRPr="00634DCA">
              <w:rPr>
                <w:lang w:val="en-GB"/>
              </w:rPr>
              <w:t>122</w:t>
            </w:r>
            <w:r>
              <w:rPr>
                <w:lang w:val="en-GB"/>
              </w:rPr>
              <w:t>.</w:t>
            </w:r>
            <w:r w:rsidRPr="00634DCA">
              <w:rPr>
                <w:lang w:val="en-GB"/>
              </w:rPr>
              <w:t>6</w:t>
            </w:r>
            <w:r>
              <w:rPr>
                <w:lang w:val="en-GB"/>
              </w:rPr>
              <w:t xml:space="preserve"> bn worse result year-on-year. The year-on-year comparison was apart from the situation in industry also affected by the high comparative basis of Q</w:t>
            </w:r>
            <w:r w:rsidRPr="00634DCA">
              <w:rPr>
                <w:lang w:val="en-GB"/>
              </w:rPr>
              <w:t>4</w:t>
            </w:r>
            <w:r>
              <w:rPr>
                <w:lang w:val="en-GB"/>
              </w:rPr>
              <w:t xml:space="preserve"> </w:t>
            </w:r>
            <w:r w:rsidRPr="00634DCA">
              <w:rPr>
                <w:lang w:val="en-GB"/>
              </w:rPr>
              <w:t>2020.</w:t>
            </w:r>
            <w:r>
              <w:rPr>
                <w:lang w:val="en-GB"/>
              </w:rPr>
              <w:t xml:space="preserve"> The balance of trade with goods fell by </w:t>
            </w:r>
            <w:r w:rsidRPr="00634DCA">
              <w:rPr>
                <w:lang w:val="en-GB"/>
              </w:rPr>
              <w:t>137</w:t>
            </w:r>
            <w:r>
              <w:rPr>
                <w:lang w:val="en-GB"/>
              </w:rPr>
              <w:t>.</w:t>
            </w:r>
            <w:r w:rsidRPr="00634DCA">
              <w:rPr>
                <w:lang w:val="en-GB"/>
              </w:rPr>
              <w:t>1</w:t>
            </w:r>
            <w:r>
              <w:rPr>
                <w:lang w:val="en-GB"/>
              </w:rPr>
              <w:t xml:space="preserve"> CZK bn year-on-year into the deficit of </w:t>
            </w:r>
            <w:r w:rsidRPr="00634DCA">
              <w:rPr>
                <w:lang w:val="en-GB"/>
              </w:rPr>
              <w:t>–12</w:t>
            </w:r>
            <w:r>
              <w:rPr>
                <w:lang w:val="en-GB"/>
              </w:rPr>
              <w:t>.</w:t>
            </w:r>
            <w:r w:rsidRPr="00634DCA">
              <w:rPr>
                <w:lang w:val="en-GB"/>
              </w:rPr>
              <w:t>2</w:t>
            </w:r>
            <w:r>
              <w:rPr>
                <w:lang w:val="en-GB"/>
              </w:rPr>
              <w:t xml:space="preserve"> bn, while the surplus of trade with services improved by </w:t>
            </w:r>
            <w:r w:rsidRPr="00634DCA">
              <w:rPr>
                <w:lang w:val="en-GB"/>
              </w:rPr>
              <w:t>14</w:t>
            </w:r>
            <w:r>
              <w:rPr>
                <w:lang w:val="en-GB"/>
              </w:rPr>
              <w:t>.</w:t>
            </w:r>
            <w:r w:rsidRPr="00634DCA">
              <w:rPr>
                <w:lang w:val="en-GB"/>
              </w:rPr>
              <w:t>5</w:t>
            </w:r>
            <w:r>
              <w:rPr>
                <w:lang w:val="en-GB"/>
              </w:rPr>
              <w:t xml:space="preserve"> bn</w:t>
            </w:r>
            <w:r w:rsidRPr="00634DCA">
              <w:rPr>
                <w:lang w:val="en-GB"/>
              </w:rPr>
              <w:t>.</w:t>
            </w:r>
            <w:r>
              <w:rPr>
                <w:lang w:val="en-GB"/>
              </w:rPr>
              <w:t xml:space="preserve"> Quarter-on-quarter, the total surplus improved. </w:t>
            </w:r>
          </w:p>
        </w:tc>
      </w:tr>
      <w:tr w:rsidR="00364B62" w:rsidRPr="009110F7" w14:paraId="7F9110A0" w14:textId="77777777" w:rsidTr="00D2240D">
        <w:trPr>
          <w:trHeight w:val="145"/>
        </w:trPr>
        <w:tc>
          <w:tcPr>
            <w:tcW w:w="1806" w:type="dxa"/>
            <w:shd w:val="clear" w:color="auto" w:fill="auto"/>
            <w:tcMar>
              <w:left w:w="0" w:type="dxa"/>
            </w:tcMar>
          </w:tcPr>
          <w:p w14:paraId="308FC88E" w14:textId="02A70FF4" w:rsidR="00364B62" w:rsidRPr="00836096" w:rsidRDefault="00364B62" w:rsidP="00364B62">
            <w:pPr>
              <w:pStyle w:val="Marginlie"/>
              <w:rPr>
                <w:lang w:val="en-GB"/>
              </w:rPr>
            </w:pPr>
            <w:r>
              <w:rPr>
                <w:lang w:val="en-GB"/>
              </w:rPr>
              <w:lastRenderedPageBreak/>
              <w:t xml:space="preserve">The gross value added grew last year but did not exceed the level from year 2019 in real terms. </w:t>
            </w:r>
          </w:p>
        </w:tc>
        <w:tc>
          <w:tcPr>
            <w:tcW w:w="223" w:type="dxa"/>
            <w:shd w:val="clear" w:color="auto" w:fill="auto"/>
            <w:tcMar>
              <w:left w:w="0" w:type="dxa"/>
            </w:tcMar>
          </w:tcPr>
          <w:p w14:paraId="170DAB28" w14:textId="77777777" w:rsidR="00364B62" w:rsidRDefault="00364B62" w:rsidP="00364B62">
            <w:pPr>
              <w:pStyle w:val="Textpoznpodarou"/>
              <w:jc w:val="both"/>
              <w:rPr>
                <w:spacing w:val="-4"/>
              </w:rPr>
            </w:pPr>
          </w:p>
        </w:tc>
        <w:tc>
          <w:tcPr>
            <w:tcW w:w="7610" w:type="dxa"/>
            <w:shd w:val="clear" w:color="auto" w:fill="auto"/>
            <w:tcMar>
              <w:left w:w="0" w:type="dxa"/>
            </w:tcMar>
          </w:tcPr>
          <w:p w14:paraId="026BE085" w14:textId="1C48DB2A" w:rsidR="00364B62" w:rsidRPr="00634DCA" w:rsidRDefault="00364B62" w:rsidP="00364B62">
            <w:pPr>
              <w:rPr>
                <w:lang w:val="en-GB"/>
              </w:rPr>
            </w:pPr>
            <w:r w:rsidRPr="00634DCA">
              <w:rPr>
                <w:lang w:val="en-GB"/>
              </w:rPr>
              <w:t xml:space="preserve">The Gross </w:t>
            </w:r>
            <w:proofErr w:type="gramStart"/>
            <w:r w:rsidRPr="00634DCA">
              <w:rPr>
                <w:lang w:val="en-GB"/>
              </w:rPr>
              <w:t>value added</w:t>
            </w:r>
            <w:proofErr w:type="gramEnd"/>
            <w:r w:rsidRPr="00634DCA">
              <w:rPr>
                <w:lang w:val="en-GB"/>
              </w:rPr>
              <w:t xml:space="preserve"> (GVA) increased by 3.0% in 2021.</w:t>
            </w:r>
            <w:r>
              <w:rPr>
                <w:lang w:val="en-GB"/>
              </w:rPr>
              <w:t xml:space="preserve"> Still in Q</w:t>
            </w:r>
            <w:r w:rsidRPr="00634DCA">
              <w:rPr>
                <w:lang w:val="en-GB"/>
              </w:rPr>
              <w:t>1</w:t>
            </w:r>
            <w:r>
              <w:rPr>
                <w:lang w:val="en-GB"/>
              </w:rPr>
              <w:t xml:space="preserve">, some economic activities were significantly hit by the counter pandemic restrictions, the Autumn worsening of the epidemic situation however did not lead to such strict measures as in </w:t>
            </w:r>
            <w:r w:rsidRPr="00634DCA">
              <w:rPr>
                <w:lang w:val="en-GB"/>
              </w:rPr>
              <w:t xml:space="preserve">2020. </w:t>
            </w:r>
            <w:r>
              <w:rPr>
                <w:lang w:val="en-GB"/>
              </w:rPr>
              <w:t xml:space="preserve">The increase was however not sufficient to offset the slump from year </w:t>
            </w:r>
            <w:r w:rsidRPr="00634DCA">
              <w:rPr>
                <w:lang w:val="en-GB"/>
              </w:rPr>
              <w:t>2020</w:t>
            </w:r>
            <w:r>
              <w:rPr>
                <w:lang w:val="en-GB"/>
              </w:rPr>
              <w:t xml:space="preserve"> and the total GVA in real terms lagged behind the level from year </w:t>
            </w:r>
            <w:r w:rsidRPr="00634DCA">
              <w:rPr>
                <w:lang w:val="en-GB"/>
              </w:rPr>
              <w:t xml:space="preserve">2019. </w:t>
            </w:r>
            <w:r>
              <w:rPr>
                <w:lang w:val="en-GB"/>
              </w:rPr>
              <w:t xml:space="preserve">Among the individual branches, only agriculture, forestry and fishing, information and communication, financial and insurance activities and branches with the dominant government sector managed to climb above the level from year 2019. Compared to year </w:t>
            </w:r>
            <w:r w:rsidRPr="00634DCA">
              <w:rPr>
                <w:lang w:val="en-GB"/>
              </w:rPr>
              <w:t>2020</w:t>
            </w:r>
            <w:r>
              <w:rPr>
                <w:lang w:val="en-GB"/>
              </w:rPr>
              <w:t xml:space="preserve">, the GVA was lower only in other activities </w:t>
            </w:r>
            <w:r w:rsidRPr="00634DCA">
              <w:rPr>
                <w:lang w:val="en-GB"/>
              </w:rPr>
              <w:t>(–1</w:t>
            </w:r>
            <w:r>
              <w:rPr>
                <w:lang w:val="en-GB"/>
              </w:rPr>
              <w:t>.</w:t>
            </w:r>
            <w:r w:rsidRPr="00634DCA">
              <w:rPr>
                <w:lang w:val="en-GB"/>
              </w:rPr>
              <w:t>4%).</w:t>
            </w:r>
            <w:r>
              <w:rPr>
                <w:lang w:val="en-GB"/>
              </w:rPr>
              <w:t xml:space="preserve"> These </w:t>
            </w:r>
            <w:proofErr w:type="gramStart"/>
            <w:r>
              <w:rPr>
                <w:lang w:val="en-GB"/>
              </w:rPr>
              <w:t>were strongly hit</w:t>
            </w:r>
            <w:proofErr w:type="gramEnd"/>
            <w:r>
              <w:rPr>
                <w:lang w:val="en-GB"/>
              </w:rPr>
              <w:t xml:space="preserve"> by the government restrictions since they include for instance personal care services. In other branches, the GVA </w:t>
            </w:r>
            <w:proofErr w:type="gramStart"/>
            <w:r>
              <w:rPr>
                <w:lang w:val="en-GB"/>
              </w:rPr>
              <w:t>increased,</w:t>
            </w:r>
            <w:proofErr w:type="gramEnd"/>
            <w:r>
              <w:rPr>
                <w:lang w:val="en-GB"/>
              </w:rPr>
              <w:t xml:space="preserve"> the most in financial and insurance activities </w:t>
            </w:r>
            <w:r w:rsidRPr="00634DCA">
              <w:rPr>
                <w:lang w:val="en-GB"/>
              </w:rPr>
              <w:t>(9</w:t>
            </w:r>
            <w:r>
              <w:rPr>
                <w:lang w:val="en-GB"/>
              </w:rPr>
              <w:t>.</w:t>
            </w:r>
            <w:r w:rsidRPr="00634DCA">
              <w:rPr>
                <w:lang w:val="en-GB"/>
              </w:rPr>
              <w:t>4%),</w:t>
            </w:r>
            <w:r>
              <w:rPr>
                <w:lang w:val="en-GB"/>
              </w:rPr>
              <w:t xml:space="preserve"> in manufacturing </w:t>
            </w:r>
            <w:r w:rsidRPr="00634DCA">
              <w:rPr>
                <w:lang w:val="en-GB"/>
              </w:rPr>
              <w:t>(4</w:t>
            </w:r>
            <w:r>
              <w:rPr>
                <w:lang w:val="en-GB"/>
              </w:rPr>
              <w:t>.</w:t>
            </w:r>
            <w:r w:rsidRPr="00634DCA">
              <w:rPr>
                <w:lang w:val="en-GB"/>
              </w:rPr>
              <w:t>5%),</w:t>
            </w:r>
            <w:r>
              <w:rPr>
                <w:lang w:val="en-GB"/>
              </w:rPr>
              <w:t xml:space="preserve"> in information and communication </w:t>
            </w:r>
            <w:r w:rsidRPr="00634DCA">
              <w:rPr>
                <w:lang w:val="en-GB"/>
              </w:rPr>
              <w:t>(4</w:t>
            </w:r>
            <w:r>
              <w:rPr>
                <w:lang w:val="en-GB"/>
              </w:rPr>
              <w:t>.</w:t>
            </w:r>
            <w:r w:rsidRPr="00634DCA">
              <w:rPr>
                <w:lang w:val="en-GB"/>
              </w:rPr>
              <w:t xml:space="preserve">3%). </w:t>
            </w:r>
            <w:r>
              <w:rPr>
                <w:lang w:val="en-GB"/>
              </w:rPr>
              <w:t xml:space="preserve">The GVA in branches with the dominant government sector </w:t>
            </w:r>
            <w:r w:rsidRPr="00634DCA">
              <w:rPr>
                <w:lang w:val="en-GB"/>
              </w:rPr>
              <w:t>(2</w:t>
            </w:r>
            <w:r>
              <w:rPr>
                <w:lang w:val="en-GB"/>
              </w:rPr>
              <w:t>.</w:t>
            </w:r>
            <w:r w:rsidRPr="00634DCA">
              <w:rPr>
                <w:lang w:val="en-GB"/>
              </w:rPr>
              <w:t>9%),</w:t>
            </w:r>
            <w:r>
              <w:rPr>
                <w:lang w:val="en-GB"/>
              </w:rPr>
              <w:t xml:space="preserve"> agriculture, forestry and fishing </w:t>
            </w:r>
            <w:r w:rsidRPr="00634DCA">
              <w:rPr>
                <w:lang w:val="en-GB"/>
              </w:rPr>
              <w:t>(2</w:t>
            </w:r>
            <w:r>
              <w:rPr>
                <w:lang w:val="en-GB"/>
              </w:rPr>
              <w:t>.</w:t>
            </w:r>
            <w:r w:rsidRPr="00634DCA">
              <w:rPr>
                <w:lang w:val="en-GB"/>
              </w:rPr>
              <w:t>8%)</w:t>
            </w:r>
            <w:r>
              <w:rPr>
                <w:lang w:val="en-GB"/>
              </w:rPr>
              <w:t xml:space="preserve"> in </w:t>
            </w:r>
            <w:r w:rsidR="00C02704">
              <w:rPr>
                <w:lang w:val="en-GB"/>
              </w:rPr>
              <w:t xml:space="preserve">division </w:t>
            </w:r>
            <w:r>
              <w:rPr>
                <w:lang w:val="en-GB"/>
              </w:rPr>
              <w:t xml:space="preserve">trade, transportation, accommodation and food service </w:t>
            </w:r>
            <w:r w:rsidRPr="00634DCA">
              <w:rPr>
                <w:lang w:val="en-GB"/>
              </w:rPr>
              <w:t>(2</w:t>
            </w:r>
            <w:r>
              <w:rPr>
                <w:lang w:val="en-GB"/>
              </w:rPr>
              <w:t>.</w:t>
            </w:r>
            <w:r w:rsidRPr="00634DCA">
              <w:rPr>
                <w:lang w:val="en-GB"/>
              </w:rPr>
              <w:t>5%),</w:t>
            </w:r>
            <w:r>
              <w:rPr>
                <w:lang w:val="en-GB"/>
              </w:rPr>
              <w:t xml:space="preserve"> in professional, scientific, technical and administrative activities </w:t>
            </w:r>
            <w:r w:rsidRPr="00634DCA">
              <w:rPr>
                <w:lang w:val="en-GB"/>
              </w:rPr>
              <w:t>(2</w:t>
            </w:r>
            <w:r>
              <w:rPr>
                <w:lang w:val="en-GB"/>
              </w:rPr>
              <w:t>.</w:t>
            </w:r>
            <w:r w:rsidRPr="00634DCA">
              <w:rPr>
                <w:lang w:val="en-GB"/>
              </w:rPr>
              <w:t>3%),</w:t>
            </w:r>
            <w:r>
              <w:rPr>
                <w:lang w:val="en-GB"/>
              </w:rPr>
              <w:t xml:space="preserve"> in construction </w:t>
            </w:r>
            <w:r w:rsidRPr="00634DCA">
              <w:rPr>
                <w:lang w:val="en-GB"/>
              </w:rPr>
              <w:t>(0</w:t>
            </w:r>
            <w:r>
              <w:rPr>
                <w:lang w:val="en-GB"/>
              </w:rPr>
              <w:t>.</w:t>
            </w:r>
            <w:r w:rsidRPr="00634DCA">
              <w:rPr>
                <w:lang w:val="en-GB"/>
              </w:rPr>
              <w:t>9%) a</w:t>
            </w:r>
            <w:r>
              <w:rPr>
                <w:lang w:val="en-GB"/>
              </w:rPr>
              <w:t xml:space="preserve">nd in real estate activities </w:t>
            </w:r>
            <w:r w:rsidRPr="00634DCA">
              <w:rPr>
                <w:lang w:val="en-GB"/>
              </w:rPr>
              <w:t>(0</w:t>
            </w:r>
            <w:r>
              <w:rPr>
                <w:lang w:val="en-GB"/>
              </w:rPr>
              <w:t>.</w:t>
            </w:r>
            <w:r w:rsidRPr="00634DCA">
              <w:rPr>
                <w:lang w:val="en-GB"/>
              </w:rPr>
              <w:t>5%)</w:t>
            </w:r>
            <w:r>
              <w:rPr>
                <w:lang w:val="en-GB"/>
              </w:rPr>
              <w:t xml:space="preserve"> featured below average growth pace</w:t>
            </w:r>
            <w:r w:rsidRPr="00634DCA">
              <w:rPr>
                <w:lang w:val="en-GB"/>
              </w:rPr>
              <w:t>.</w:t>
            </w:r>
          </w:p>
        </w:tc>
      </w:tr>
      <w:tr w:rsidR="00364B62" w:rsidRPr="009110F7" w14:paraId="6B8A5B8A" w14:textId="77777777" w:rsidTr="00D2240D">
        <w:trPr>
          <w:trHeight w:val="170"/>
        </w:trPr>
        <w:tc>
          <w:tcPr>
            <w:tcW w:w="1806" w:type="dxa"/>
            <w:vMerge w:val="restart"/>
            <w:shd w:val="clear" w:color="auto" w:fill="auto"/>
            <w:tcMar>
              <w:left w:w="0" w:type="dxa"/>
            </w:tcMar>
          </w:tcPr>
          <w:p w14:paraId="1C1459C2" w14:textId="77777777" w:rsidR="00364B62" w:rsidRDefault="00364B62" w:rsidP="00364B62">
            <w:pPr>
              <w:pStyle w:val="Marginlie"/>
            </w:pPr>
          </w:p>
        </w:tc>
        <w:tc>
          <w:tcPr>
            <w:tcW w:w="223" w:type="dxa"/>
            <w:vMerge w:val="restart"/>
            <w:shd w:val="clear" w:color="auto" w:fill="auto"/>
            <w:tcMar>
              <w:left w:w="0" w:type="dxa"/>
            </w:tcMar>
          </w:tcPr>
          <w:p w14:paraId="53C43181" w14:textId="77777777" w:rsidR="00364B62" w:rsidRDefault="00364B62" w:rsidP="00364B62">
            <w:pPr>
              <w:pStyle w:val="Textpoznpodarou"/>
              <w:jc w:val="both"/>
              <w:rPr>
                <w:spacing w:val="-4"/>
              </w:rPr>
            </w:pPr>
          </w:p>
        </w:tc>
        <w:tc>
          <w:tcPr>
            <w:tcW w:w="7610" w:type="dxa"/>
            <w:shd w:val="clear" w:color="auto" w:fill="auto"/>
            <w:tcMar>
              <w:left w:w="0" w:type="dxa"/>
            </w:tcMar>
          </w:tcPr>
          <w:p w14:paraId="28AC0D63" w14:textId="1F49CDB5" w:rsidR="00364B62" w:rsidRPr="00D721B4" w:rsidRDefault="00364B62" w:rsidP="00364B62">
            <w:pPr>
              <w:spacing w:after="0"/>
              <w:rPr>
                <w:szCs w:val="20"/>
              </w:rPr>
            </w:pPr>
            <w:r>
              <w:rPr>
                <w:b/>
                <w:szCs w:val="20"/>
              </w:rPr>
              <w:t xml:space="preserve">Chart </w:t>
            </w:r>
            <w:r w:rsidRPr="00D721B4">
              <w:rPr>
                <w:b/>
                <w:szCs w:val="20"/>
              </w:rPr>
              <w:t>3</w:t>
            </w:r>
            <w:r>
              <w:rPr>
                <w:b/>
                <w:szCs w:val="20"/>
              </w:rPr>
              <w:t xml:space="preserve"> </w:t>
            </w:r>
            <w:r w:rsidRPr="00D721B4">
              <w:rPr>
                <w:b/>
                <w:szCs w:val="20"/>
              </w:rPr>
              <w:t xml:space="preserve"> </w:t>
            </w:r>
            <w:r w:rsidR="002515B3" w:rsidRPr="00D970F7">
              <w:rPr>
                <w:b/>
                <w:sz w:val="18"/>
                <w:szCs w:val="18"/>
                <w:lang w:val="en-GB"/>
              </w:rPr>
              <w:t xml:space="preserve">Contributions of branches to real change in GVA </w:t>
            </w:r>
            <w:r w:rsidR="002515B3" w:rsidRPr="00D970F7">
              <w:rPr>
                <w:bCs/>
                <w:sz w:val="18"/>
                <w:szCs w:val="18"/>
                <w:lang w:val="en-GB"/>
              </w:rPr>
              <w:t xml:space="preserve">(volume indices, year-on-year contributions in </w:t>
            </w:r>
            <w:proofErr w:type="gramStart"/>
            <w:r w:rsidR="002515B3" w:rsidRPr="00D970F7">
              <w:rPr>
                <w:bCs/>
                <w:sz w:val="18"/>
                <w:szCs w:val="18"/>
                <w:lang w:val="en-GB"/>
              </w:rPr>
              <w:t>p.p.</w:t>
            </w:r>
            <w:proofErr w:type="gramEnd"/>
            <w:r w:rsidR="002515B3" w:rsidRPr="00D970F7">
              <w:rPr>
                <w:bCs/>
                <w:sz w:val="18"/>
                <w:szCs w:val="18"/>
                <w:lang w:val="en-GB"/>
              </w:rPr>
              <w:t>, GVA in %)</w:t>
            </w:r>
          </w:p>
        </w:tc>
      </w:tr>
      <w:tr w:rsidR="00364B62" w:rsidRPr="009110F7" w14:paraId="46504275" w14:textId="77777777" w:rsidTr="00D2240D">
        <w:tblPrEx>
          <w:tblCellMar>
            <w:left w:w="70" w:type="dxa"/>
            <w:right w:w="70" w:type="dxa"/>
          </w:tblCellMar>
        </w:tblPrEx>
        <w:trPr>
          <w:trHeight w:val="170"/>
        </w:trPr>
        <w:tc>
          <w:tcPr>
            <w:tcW w:w="1806" w:type="dxa"/>
            <w:vMerge/>
            <w:shd w:val="clear" w:color="auto" w:fill="auto"/>
          </w:tcPr>
          <w:p w14:paraId="35E6AF66" w14:textId="77777777" w:rsidR="00364B62" w:rsidRPr="009110F7" w:rsidRDefault="00364B62" w:rsidP="00364B62">
            <w:pPr>
              <w:pStyle w:val="Marginlie"/>
            </w:pPr>
          </w:p>
        </w:tc>
        <w:tc>
          <w:tcPr>
            <w:tcW w:w="223" w:type="dxa"/>
            <w:vMerge/>
            <w:shd w:val="clear" w:color="auto" w:fill="auto"/>
          </w:tcPr>
          <w:p w14:paraId="6DE3B60B" w14:textId="77777777" w:rsidR="00364B62" w:rsidRPr="009110F7" w:rsidRDefault="00364B62" w:rsidP="00364B62">
            <w:pPr>
              <w:pStyle w:val="Textpoznpodarou"/>
              <w:jc w:val="both"/>
              <w:rPr>
                <w:spacing w:val="-4"/>
              </w:rPr>
            </w:pPr>
          </w:p>
        </w:tc>
        <w:tc>
          <w:tcPr>
            <w:tcW w:w="7610" w:type="dxa"/>
            <w:shd w:val="clear" w:color="auto" w:fill="auto"/>
          </w:tcPr>
          <w:p w14:paraId="53CBA39B" w14:textId="568B04C5" w:rsidR="00364B62" w:rsidRPr="009110F7" w:rsidRDefault="00AA570E" w:rsidP="00364B62">
            <w:pPr>
              <w:spacing w:after="0"/>
            </w:pPr>
            <w:r>
              <w:rPr>
                <w:noProof/>
              </w:rPr>
              <w:drawing>
                <wp:inline distT="0" distB="0" distL="0" distR="0" wp14:anchorId="2E42CA91" wp14:editId="6A60558C">
                  <wp:extent cx="4737600" cy="3553200"/>
                  <wp:effectExtent l="0" t="0" r="6350" b="0"/>
                  <wp:docPr id="23" name="Graf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64B62" w:rsidRPr="009110F7" w14:paraId="5CFC5BEB" w14:textId="77777777" w:rsidTr="00D2240D">
        <w:trPr>
          <w:trHeight w:val="170"/>
        </w:trPr>
        <w:tc>
          <w:tcPr>
            <w:tcW w:w="1806" w:type="dxa"/>
            <w:vMerge/>
            <w:shd w:val="clear" w:color="auto" w:fill="auto"/>
            <w:tcMar>
              <w:left w:w="0" w:type="dxa"/>
            </w:tcMar>
          </w:tcPr>
          <w:p w14:paraId="1012517B" w14:textId="77777777" w:rsidR="00364B62" w:rsidRPr="009110F7" w:rsidRDefault="00364B62" w:rsidP="00364B62">
            <w:pPr>
              <w:pStyle w:val="Marginlie"/>
            </w:pPr>
          </w:p>
        </w:tc>
        <w:tc>
          <w:tcPr>
            <w:tcW w:w="223" w:type="dxa"/>
            <w:vMerge/>
            <w:shd w:val="clear" w:color="auto" w:fill="auto"/>
            <w:tcMar>
              <w:left w:w="0" w:type="dxa"/>
            </w:tcMar>
          </w:tcPr>
          <w:p w14:paraId="29CCA065" w14:textId="77777777" w:rsidR="00364B62" w:rsidRPr="009110F7" w:rsidRDefault="00364B62" w:rsidP="00364B62">
            <w:pPr>
              <w:pStyle w:val="Textpoznpodarou"/>
              <w:jc w:val="both"/>
              <w:rPr>
                <w:spacing w:val="-4"/>
              </w:rPr>
            </w:pPr>
          </w:p>
        </w:tc>
        <w:tc>
          <w:tcPr>
            <w:tcW w:w="7610" w:type="dxa"/>
            <w:shd w:val="clear" w:color="auto" w:fill="auto"/>
            <w:tcMar>
              <w:left w:w="0" w:type="dxa"/>
            </w:tcMar>
          </w:tcPr>
          <w:p w14:paraId="2A320BD3" w14:textId="342FA9C1" w:rsidR="00764231" w:rsidRPr="002515B3" w:rsidRDefault="00364B62" w:rsidP="00AA570E">
            <w:pPr>
              <w:rPr>
                <w:b/>
                <w:bCs/>
                <w:sz w:val="16"/>
                <w:szCs w:val="16"/>
              </w:rPr>
            </w:pPr>
            <w:r>
              <w:rPr>
                <w:sz w:val="14"/>
                <w:szCs w:val="14"/>
              </w:rPr>
              <w:t>Source</w:t>
            </w:r>
            <w:r w:rsidRPr="00A85DE1">
              <w:rPr>
                <w:sz w:val="14"/>
                <w:szCs w:val="14"/>
              </w:rPr>
              <w:t xml:space="preserve">: </w:t>
            </w:r>
            <w:r>
              <w:rPr>
                <w:sz w:val="14"/>
                <w:szCs w:val="14"/>
              </w:rPr>
              <w:t>CZSO</w:t>
            </w:r>
          </w:p>
        </w:tc>
      </w:tr>
      <w:tr w:rsidR="00D2240D" w:rsidRPr="009110F7" w14:paraId="4B13E960" w14:textId="77777777" w:rsidTr="00D2240D">
        <w:trPr>
          <w:trHeight w:val="170"/>
        </w:trPr>
        <w:tc>
          <w:tcPr>
            <w:tcW w:w="1806" w:type="dxa"/>
            <w:shd w:val="clear" w:color="auto" w:fill="auto"/>
            <w:tcMar>
              <w:left w:w="0" w:type="dxa"/>
            </w:tcMar>
          </w:tcPr>
          <w:p w14:paraId="20848390" w14:textId="206E4D73" w:rsidR="00D2240D" w:rsidRPr="009110F7" w:rsidRDefault="00D2240D" w:rsidP="00D2240D">
            <w:pPr>
              <w:pStyle w:val="Marginlie"/>
            </w:pPr>
            <w:r w:rsidRPr="006762B5">
              <w:rPr>
                <w:lang w:val="en-GB"/>
              </w:rPr>
              <w:t>In Q4, the GVA fell</w:t>
            </w:r>
            <w:r>
              <w:rPr>
                <w:lang w:val="en-GB"/>
              </w:rPr>
              <w:t xml:space="preserve"> in manufacturing both year-on-year and quarter-on-quarter. </w:t>
            </w:r>
          </w:p>
        </w:tc>
        <w:tc>
          <w:tcPr>
            <w:tcW w:w="223" w:type="dxa"/>
            <w:shd w:val="clear" w:color="auto" w:fill="auto"/>
            <w:tcMar>
              <w:left w:w="0" w:type="dxa"/>
            </w:tcMar>
          </w:tcPr>
          <w:p w14:paraId="16B7F20C" w14:textId="77777777" w:rsidR="00D2240D" w:rsidRPr="009110F7" w:rsidRDefault="00D2240D" w:rsidP="00D2240D">
            <w:pPr>
              <w:pStyle w:val="Textpoznpodarou"/>
              <w:jc w:val="both"/>
              <w:rPr>
                <w:spacing w:val="-4"/>
              </w:rPr>
            </w:pPr>
          </w:p>
        </w:tc>
        <w:tc>
          <w:tcPr>
            <w:tcW w:w="7610" w:type="dxa"/>
            <w:shd w:val="clear" w:color="auto" w:fill="auto"/>
            <w:tcMar>
              <w:left w:w="0" w:type="dxa"/>
            </w:tcMar>
          </w:tcPr>
          <w:p w14:paraId="29CD7BD2" w14:textId="429E0A6C" w:rsidR="00D2240D" w:rsidRDefault="00D2240D" w:rsidP="00D2240D">
            <w:pPr>
              <w:rPr>
                <w:sz w:val="14"/>
                <w:szCs w:val="14"/>
              </w:rPr>
            </w:pPr>
            <w:r>
              <w:rPr>
                <w:lang w:val="en-GB"/>
              </w:rPr>
              <w:t>The gross value added increased by 2.9% year-on-year in Q</w:t>
            </w:r>
            <w:r w:rsidRPr="006762B5">
              <w:rPr>
                <w:lang w:val="en-GB"/>
              </w:rPr>
              <w:t>4.</w:t>
            </w:r>
            <w:r>
              <w:rPr>
                <w:lang w:val="en-GB"/>
              </w:rPr>
              <w:t xml:space="preserve"> It presents a relatively moderate increase, also due to the low comparative basis of Q</w:t>
            </w:r>
            <w:r w:rsidRPr="006762B5">
              <w:rPr>
                <w:lang w:val="en-GB"/>
              </w:rPr>
              <w:t>4</w:t>
            </w:r>
            <w:r>
              <w:rPr>
                <w:lang w:val="en-GB"/>
              </w:rPr>
              <w:t xml:space="preserve"> </w:t>
            </w:r>
            <w:r w:rsidRPr="006762B5">
              <w:rPr>
                <w:lang w:val="en-GB"/>
              </w:rPr>
              <w:t>2020 (</w:t>
            </w:r>
            <w:r>
              <w:rPr>
                <w:lang w:val="en-GB"/>
              </w:rPr>
              <w:t xml:space="preserve">GVA fell by </w:t>
            </w:r>
            <w:r w:rsidRPr="006762B5">
              <w:rPr>
                <w:lang w:val="en-GB"/>
              </w:rPr>
              <w:t>5</w:t>
            </w:r>
            <w:r>
              <w:rPr>
                <w:lang w:val="en-GB"/>
              </w:rPr>
              <w:t>.</w:t>
            </w:r>
            <w:r w:rsidRPr="006762B5">
              <w:rPr>
                <w:lang w:val="en-GB"/>
              </w:rPr>
              <w:t>0%</w:t>
            </w:r>
            <w:r>
              <w:rPr>
                <w:lang w:val="en-GB"/>
              </w:rPr>
              <w:t xml:space="preserve"> at that time</w:t>
            </w:r>
            <w:r w:rsidRPr="006762B5">
              <w:rPr>
                <w:lang w:val="en-GB"/>
              </w:rPr>
              <w:t xml:space="preserve">). </w:t>
            </w:r>
            <w:r>
              <w:rPr>
                <w:lang w:val="en-GB"/>
              </w:rPr>
              <w:t xml:space="preserve">The GVA thus lagged behind the same </w:t>
            </w:r>
            <w:proofErr w:type="gramStart"/>
            <w:r>
              <w:rPr>
                <w:lang w:val="en-GB"/>
              </w:rPr>
              <w:t>time period</w:t>
            </w:r>
            <w:proofErr w:type="gramEnd"/>
            <w:r>
              <w:rPr>
                <w:lang w:val="en-GB"/>
              </w:rPr>
              <w:t xml:space="preserve"> of the year 2019. Lasting difficulties with supplies led to the year-on-year GVA decrease in manufacturing </w:t>
            </w:r>
            <w:r w:rsidRPr="006762B5">
              <w:rPr>
                <w:lang w:val="en-GB"/>
              </w:rPr>
              <w:t>(–3</w:t>
            </w:r>
            <w:r>
              <w:rPr>
                <w:lang w:val="en-GB"/>
              </w:rPr>
              <w:t>.</w:t>
            </w:r>
            <w:r w:rsidRPr="006762B5">
              <w:rPr>
                <w:lang w:val="en-GB"/>
              </w:rPr>
              <w:t>3%).</w:t>
            </w:r>
            <w:r>
              <w:rPr>
                <w:lang w:val="en-GB"/>
              </w:rPr>
              <w:t xml:space="preserve"> The GVA stagnated in agriculture, forestry and fishing, but in the remaining part of the economy, it grew. The GVA in in trade, transportation, accommodation and food service </w:t>
            </w:r>
            <w:r w:rsidRPr="006762B5">
              <w:rPr>
                <w:lang w:val="en-GB"/>
              </w:rPr>
              <w:t>(10</w:t>
            </w:r>
            <w:r>
              <w:rPr>
                <w:lang w:val="en-GB"/>
              </w:rPr>
              <w:t>.</w:t>
            </w:r>
            <w:r w:rsidRPr="006762B5">
              <w:rPr>
                <w:lang w:val="en-GB"/>
              </w:rPr>
              <w:t>7%),</w:t>
            </w:r>
            <w:r>
              <w:rPr>
                <w:lang w:val="en-GB"/>
              </w:rPr>
              <w:t xml:space="preserve"> in financial and insurance activities </w:t>
            </w:r>
            <w:r w:rsidRPr="006762B5">
              <w:rPr>
                <w:lang w:val="en-GB"/>
              </w:rPr>
              <w:t>(8</w:t>
            </w:r>
            <w:r>
              <w:rPr>
                <w:lang w:val="en-GB"/>
              </w:rPr>
              <w:t>.</w:t>
            </w:r>
            <w:r w:rsidRPr="006762B5">
              <w:rPr>
                <w:lang w:val="en-GB"/>
              </w:rPr>
              <w:t>6%),</w:t>
            </w:r>
            <w:r>
              <w:rPr>
                <w:lang w:val="en-GB"/>
              </w:rPr>
              <w:t xml:space="preserve"> other activities </w:t>
            </w:r>
            <w:r w:rsidRPr="006762B5">
              <w:rPr>
                <w:lang w:val="en-GB"/>
              </w:rPr>
              <w:t>(6</w:t>
            </w:r>
            <w:r>
              <w:rPr>
                <w:lang w:val="en-GB"/>
              </w:rPr>
              <w:t>.</w:t>
            </w:r>
            <w:r w:rsidRPr="006762B5">
              <w:rPr>
                <w:lang w:val="en-GB"/>
              </w:rPr>
              <w:t>5%),</w:t>
            </w:r>
            <w:r>
              <w:rPr>
                <w:lang w:val="en-GB"/>
              </w:rPr>
              <w:t xml:space="preserve"> construction </w:t>
            </w:r>
            <w:r w:rsidRPr="006762B5">
              <w:rPr>
                <w:lang w:val="en-GB"/>
              </w:rPr>
              <w:t>(4</w:t>
            </w:r>
            <w:r>
              <w:rPr>
                <w:lang w:val="en-GB"/>
              </w:rPr>
              <w:t>.</w:t>
            </w:r>
            <w:r w:rsidRPr="006762B5">
              <w:rPr>
                <w:lang w:val="en-GB"/>
              </w:rPr>
              <w:t xml:space="preserve">7%), </w:t>
            </w:r>
            <w:r>
              <w:rPr>
                <w:lang w:val="en-GB"/>
              </w:rPr>
              <w:t xml:space="preserve">professional, scientific, technical and administrative activities </w:t>
            </w:r>
            <w:r w:rsidRPr="006762B5">
              <w:rPr>
                <w:lang w:val="en-GB"/>
              </w:rPr>
              <w:t>(</w:t>
            </w:r>
            <w:proofErr w:type="gramStart"/>
            <w:r w:rsidRPr="006762B5">
              <w:rPr>
                <w:lang w:val="en-GB"/>
              </w:rPr>
              <w:t>4</w:t>
            </w:r>
            <w:r>
              <w:rPr>
                <w:lang w:val="en-GB"/>
              </w:rPr>
              <w:t>.</w:t>
            </w:r>
            <w:r w:rsidRPr="006762B5">
              <w:rPr>
                <w:lang w:val="en-GB"/>
              </w:rPr>
              <w:t>6%)</w:t>
            </w:r>
            <w:r>
              <w:rPr>
                <w:lang w:val="en-GB"/>
              </w:rPr>
              <w:t xml:space="preserve"> and information</w:t>
            </w:r>
            <w:proofErr w:type="gramEnd"/>
            <w:r>
              <w:rPr>
                <w:lang w:val="en-GB"/>
              </w:rPr>
              <w:t xml:space="preserve"> and communication </w:t>
            </w:r>
            <w:r w:rsidRPr="006762B5">
              <w:rPr>
                <w:lang w:val="en-GB"/>
              </w:rPr>
              <w:t>(3</w:t>
            </w:r>
            <w:r>
              <w:rPr>
                <w:lang w:val="en-GB"/>
              </w:rPr>
              <w:t>.</w:t>
            </w:r>
            <w:r w:rsidRPr="006762B5">
              <w:rPr>
                <w:lang w:val="en-GB"/>
              </w:rPr>
              <w:t>2%)</w:t>
            </w:r>
            <w:r>
              <w:rPr>
                <w:lang w:val="en-GB"/>
              </w:rPr>
              <w:t xml:space="preserve"> had the largest year-on-year addition in Q4. GVA in branches with the predominance of government sector </w:t>
            </w:r>
            <w:r w:rsidRPr="006762B5">
              <w:rPr>
                <w:lang w:val="en-GB"/>
              </w:rPr>
              <w:t>(2</w:t>
            </w:r>
            <w:r>
              <w:rPr>
                <w:lang w:val="en-GB"/>
              </w:rPr>
              <w:t>.</w:t>
            </w:r>
            <w:r w:rsidRPr="006762B5">
              <w:rPr>
                <w:lang w:val="en-GB"/>
              </w:rPr>
              <w:t>6%) a</w:t>
            </w:r>
            <w:r>
              <w:rPr>
                <w:lang w:val="en-GB"/>
              </w:rPr>
              <w:t xml:space="preserve">nd in real estate activities </w:t>
            </w:r>
            <w:r w:rsidRPr="006762B5">
              <w:rPr>
                <w:lang w:val="en-GB"/>
              </w:rPr>
              <w:t>(1</w:t>
            </w:r>
            <w:r>
              <w:rPr>
                <w:lang w:val="en-GB"/>
              </w:rPr>
              <w:t>.</w:t>
            </w:r>
            <w:r w:rsidRPr="006762B5">
              <w:rPr>
                <w:lang w:val="en-GB"/>
              </w:rPr>
              <w:t xml:space="preserve">0%). </w:t>
            </w:r>
            <w:r>
              <w:rPr>
                <w:lang w:val="en-GB"/>
              </w:rPr>
              <w:t>Compared to Q</w:t>
            </w:r>
            <w:r w:rsidRPr="006762B5">
              <w:rPr>
                <w:lang w:val="en-GB"/>
              </w:rPr>
              <w:t>3</w:t>
            </w:r>
            <w:r>
              <w:rPr>
                <w:lang w:val="en-GB"/>
              </w:rPr>
              <w:t xml:space="preserve"> </w:t>
            </w:r>
            <w:r w:rsidRPr="006762B5">
              <w:rPr>
                <w:lang w:val="en-GB"/>
              </w:rPr>
              <w:t>2021</w:t>
            </w:r>
            <w:r>
              <w:rPr>
                <w:lang w:val="en-GB"/>
              </w:rPr>
              <w:t xml:space="preserve">, the GVA increased in total by </w:t>
            </w:r>
            <w:r w:rsidRPr="006762B5">
              <w:rPr>
                <w:lang w:val="en-GB"/>
              </w:rPr>
              <w:t>0</w:t>
            </w:r>
            <w:r>
              <w:rPr>
                <w:lang w:val="en-GB"/>
              </w:rPr>
              <w:t>.</w:t>
            </w:r>
            <w:r w:rsidRPr="006762B5">
              <w:rPr>
                <w:lang w:val="en-GB"/>
              </w:rPr>
              <w:t xml:space="preserve">7%. </w:t>
            </w:r>
            <w:r>
              <w:rPr>
                <w:lang w:val="en-GB"/>
              </w:rPr>
              <w:t>Even though “hard” restrictive measures were not introduced in Q</w:t>
            </w:r>
            <w:r w:rsidRPr="006762B5">
              <w:rPr>
                <w:lang w:val="en-GB"/>
              </w:rPr>
              <w:t>4</w:t>
            </w:r>
            <w:r>
              <w:rPr>
                <w:lang w:val="en-GB"/>
              </w:rPr>
              <w:t xml:space="preserve">, the GVA </w:t>
            </w:r>
            <w:r>
              <w:rPr>
                <w:lang w:val="en-GB"/>
              </w:rPr>
              <w:lastRenderedPageBreak/>
              <w:t xml:space="preserve">fell quarter-on-quarter in the previously affected other activities </w:t>
            </w:r>
            <w:r w:rsidRPr="006762B5">
              <w:rPr>
                <w:lang w:val="en-GB"/>
              </w:rPr>
              <w:t>(–8</w:t>
            </w:r>
            <w:r>
              <w:rPr>
                <w:lang w:val="en-GB"/>
              </w:rPr>
              <w:t>.</w:t>
            </w:r>
            <w:r w:rsidRPr="006762B5">
              <w:rPr>
                <w:lang w:val="en-GB"/>
              </w:rPr>
              <w:t>0%) a</w:t>
            </w:r>
            <w:r>
              <w:rPr>
                <w:lang w:val="en-GB"/>
              </w:rPr>
              <w:t xml:space="preserve">nd the growth markedly slowed down in case of trade, transportation, accommodation and food service </w:t>
            </w:r>
            <w:r w:rsidRPr="006762B5">
              <w:rPr>
                <w:lang w:val="en-GB"/>
              </w:rPr>
              <w:t>(0</w:t>
            </w:r>
            <w:r>
              <w:rPr>
                <w:lang w:val="en-GB"/>
              </w:rPr>
              <w:t>.</w:t>
            </w:r>
            <w:r w:rsidRPr="006762B5">
              <w:rPr>
                <w:lang w:val="en-GB"/>
              </w:rPr>
              <w:t xml:space="preserve">5%). </w:t>
            </w:r>
            <w:r>
              <w:rPr>
                <w:lang w:val="en-GB"/>
              </w:rPr>
              <w:t xml:space="preserve">Gross value added was also falling in manufacturing quarter-on-quarter </w:t>
            </w:r>
            <w:r w:rsidRPr="006762B5">
              <w:rPr>
                <w:lang w:val="en-GB"/>
              </w:rPr>
              <w:t>(–1</w:t>
            </w:r>
            <w:r>
              <w:rPr>
                <w:lang w:val="en-GB"/>
              </w:rPr>
              <w:t>.</w:t>
            </w:r>
            <w:r w:rsidRPr="006762B5">
              <w:rPr>
                <w:lang w:val="en-GB"/>
              </w:rPr>
              <w:t>6%) a</w:t>
            </w:r>
            <w:r>
              <w:rPr>
                <w:lang w:val="en-GB"/>
              </w:rPr>
              <w:t xml:space="preserve">nd construction </w:t>
            </w:r>
            <w:r w:rsidRPr="006762B5">
              <w:rPr>
                <w:lang w:val="en-GB"/>
              </w:rPr>
              <w:t>(–0</w:t>
            </w:r>
            <w:r>
              <w:rPr>
                <w:lang w:val="en-GB"/>
              </w:rPr>
              <w:t>.</w:t>
            </w:r>
            <w:r w:rsidRPr="006762B5">
              <w:rPr>
                <w:lang w:val="en-GB"/>
              </w:rPr>
              <w:t xml:space="preserve">3%). </w:t>
            </w:r>
            <w:r>
              <w:rPr>
                <w:lang w:val="en-GB"/>
              </w:rPr>
              <w:t xml:space="preserve">GVA recorded notable quarter-on-quarter increase in agriculture, forestry and fishing </w:t>
            </w:r>
            <w:r w:rsidRPr="006762B5">
              <w:rPr>
                <w:lang w:val="en-GB"/>
              </w:rPr>
              <w:t>(3</w:t>
            </w:r>
            <w:r>
              <w:rPr>
                <w:lang w:val="en-GB"/>
              </w:rPr>
              <w:t>.</w:t>
            </w:r>
            <w:r w:rsidRPr="006762B5">
              <w:rPr>
                <w:lang w:val="en-GB"/>
              </w:rPr>
              <w:t>4%),</w:t>
            </w:r>
            <w:r>
              <w:rPr>
                <w:lang w:val="en-GB"/>
              </w:rPr>
              <w:t xml:space="preserve"> real estate activities </w:t>
            </w:r>
            <w:r w:rsidRPr="006762B5">
              <w:rPr>
                <w:lang w:val="en-GB"/>
              </w:rPr>
              <w:t>(2</w:t>
            </w:r>
            <w:r>
              <w:rPr>
                <w:lang w:val="en-GB"/>
              </w:rPr>
              <w:t>.</w:t>
            </w:r>
            <w:r w:rsidRPr="006762B5">
              <w:rPr>
                <w:lang w:val="en-GB"/>
              </w:rPr>
              <w:t>7%),</w:t>
            </w:r>
            <w:r>
              <w:rPr>
                <w:lang w:val="en-GB"/>
              </w:rPr>
              <w:t xml:space="preserve"> financial and insurance activities </w:t>
            </w:r>
            <w:r w:rsidRPr="006762B5">
              <w:rPr>
                <w:lang w:val="en-GB"/>
              </w:rPr>
              <w:t>(2</w:t>
            </w:r>
            <w:r>
              <w:rPr>
                <w:lang w:val="en-GB"/>
              </w:rPr>
              <w:t>.</w:t>
            </w:r>
            <w:r w:rsidRPr="006762B5">
              <w:rPr>
                <w:lang w:val="en-GB"/>
              </w:rPr>
              <w:t>2%) a</w:t>
            </w:r>
            <w:r>
              <w:rPr>
                <w:lang w:val="en-GB"/>
              </w:rPr>
              <w:t xml:space="preserve">nd branches with the predominance of the government sector </w:t>
            </w:r>
            <w:r w:rsidRPr="006762B5">
              <w:rPr>
                <w:lang w:val="en-GB"/>
              </w:rPr>
              <w:t>(1</w:t>
            </w:r>
            <w:r>
              <w:rPr>
                <w:lang w:val="en-GB"/>
              </w:rPr>
              <w:t>.</w:t>
            </w:r>
            <w:r w:rsidRPr="006762B5">
              <w:rPr>
                <w:lang w:val="en-GB"/>
              </w:rPr>
              <w:t xml:space="preserve">9%). </w:t>
            </w:r>
            <w:r>
              <w:rPr>
                <w:lang w:val="en-GB"/>
              </w:rPr>
              <w:t xml:space="preserve">The GVA grew only moderately in information and communication </w:t>
            </w:r>
            <w:r w:rsidRPr="006762B5">
              <w:rPr>
                <w:lang w:val="en-GB"/>
              </w:rPr>
              <w:t>(0</w:t>
            </w:r>
            <w:r>
              <w:rPr>
                <w:lang w:val="en-GB"/>
              </w:rPr>
              <w:t>.</w:t>
            </w:r>
            <w:r w:rsidRPr="006762B5">
              <w:rPr>
                <w:lang w:val="en-GB"/>
              </w:rPr>
              <w:t>7%) a</w:t>
            </w:r>
            <w:r>
              <w:rPr>
                <w:lang w:val="en-GB"/>
              </w:rPr>
              <w:t xml:space="preserve">nd professional, scientific, technical and administrative activities </w:t>
            </w:r>
            <w:r w:rsidRPr="006762B5">
              <w:rPr>
                <w:lang w:val="en-GB"/>
              </w:rPr>
              <w:t>(0</w:t>
            </w:r>
            <w:r>
              <w:rPr>
                <w:lang w:val="en-GB"/>
              </w:rPr>
              <w:t>.</w:t>
            </w:r>
            <w:r w:rsidRPr="006762B5">
              <w:rPr>
                <w:lang w:val="en-GB"/>
              </w:rPr>
              <w:t>5%).</w:t>
            </w:r>
          </w:p>
        </w:tc>
      </w:tr>
    </w:tbl>
    <w:p w14:paraId="3CD0E278" w14:textId="77777777" w:rsidR="00D2240D" w:rsidRDefault="00D2240D" w:rsidP="0073261D">
      <w:pPr>
        <w:pStyle w:val="Nadpis11"/>
      </w:pPr>
      <w:bookmarkStart w:id="16" w:name="_Toc82508186"/>
    </w:p>
    <w:p w14:paraId="1D93A975" w14:textId="77777777" w:rsidR="00D2240D" w:rsidRDefault="00D2240D">
      <w:pPr>
        <w:spacing w:after="0" w:line="240" w:lineRule="auto"/>
        <w:jc w:val="left"/>
        <w:rPr>
          <w:rFonts w:eastAsia="MS Gothic"/>
          <w:b/>
          <w:bCs/>
          <w:color w:val="71818C"/>
          <w:sz w:val="32"/>
          <w:szCs w:val="28"/>
        </w:rPr>
      </w:pPr>
      <w:r>
        <w:br w:type="page"/>
      </w:r>
    </w:p>
    <w:p w14:paraId="45EF3830" w14:textId="348CEE03" w:rsidR="0073261D" w:rsidRPr="00B177DF" w:rsidRDefault="0073261D" w:rsidP="0073261D">
      <w:pPr>
        <w:pStyle w:val="Nadpis11"/>
        <w:rPr>
          <w:lang w:val="en-GB"/>
        </w:rPr>
      </w:pPr>
      <w:bookmarkStart w:id="17" w:name="_Toc101437433"/>
      <w:r>
        <w:lastRenderedPageBreak/>
        <w:t>3</w:t>
      </w:r>
      <w:r w:rsidRPr="00B43216">
        <w:t>. </w:t>
      </w:r>
      <w:r w:rsidR="0064200D" w:rsidRPr="00B177DF">
        <w:rPr>
          <w:lang w:val="en-GB"/>
        </w:rPr>
        <w:t>Branches Performance</w:t>
      </w:r>
      <w:bookmarkEnd w:id="16"/>
      <w:bookmarkEnd w:id="17"/>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F77A50" w:rsidRPr="00B177DF" w14:paraId="58F15F29" w14:textId="77777777" w:rsidTr="00B3385E">
        <w:trPr>
          <w:trHeight w:val="155"/>
        </w:trPr>
        <w:tc>
          <w:tcPr>
            <w:tcW w:w="1728" w:type="dxa"/>
            <w:shd w:val="clear" w:color="auto" w:fill="auto"/>
            <w:tcMar>
              <w:left w:w="0" w:type="dxa"/>
            </w:tcMar>
          </w:tcPr>
          <w:p w14:paraId="7C3DC5B1" w14:textId="45EA9F5A" w:rsidR="00F77A50" w:rsidRPr="00B177DF" w:rsidRDefault="00AF1866" w:rsidP="00B3385E">
            <w:pPr>
              <w:pStyle w:val="Marginlie"/>
              <w:rPr>
                <w:lang w:val="en-GB"/>
              </w:rPr>
            </w:pPr>
            <w:r>
              <w:rPr>
                <w:lang w:val="en-GB"/>
              </w:rPr>
              <w:t xml:space="preserve">The after crisis recovery continued in services for a major part of the last year. It </w:t>
            </w:r>
            <w:proofErr w:type="gramStart"/>
            <w:r>
              <w:rPr>
                <w:lang w:val="en-GB"/>
              </w:rPr>
              <w:t>was not significantly disrupted</w:t>
            </w:r>
            <w:proofErr w:type="gramEnd"/>
            <w:r>
              <w:rPr>
                <w:lang w:val="en-GB"/>
              </w:rPr>
              <w:t xml:space="preserve"> during the worsening of epidemic situation in Q4. </w:t>
            </w:r>
          </w:p>
        </w:tc>
        <w:tc>
          <w:tcPr>
            <w:tcW w:w="206" w:type="dxa"/>
            <w:shd w:val="clear" w:color="auto" w:fill="auto"/>
            <w:tcMar>
              <w:left w:w="0" w:type="dxa"/>
            </w:tcMar>
          </w:tcPr>
          <w:p w14:paraId="68D621B1" w14:textId="77777777" w:rsidR="00F77A50" w:rsidRPr="00B177DF" w:rsidRDefault="00F77A50" w:rsidP="00B3385E">
            <w:pPr>
              <w:pStyle w:val="Textpoznpodarou"/>
              <w:jc w:val="both"/>
              <w:rPr>
                <w:spacing w:val="-4"/>
                <w:lang w:val="en-GB"/>
              </w:rPr>
            </w:pPr>
          </w:p>
        </w:tc>
        <w:tc>
          <w:tcPr>
            <w:tcW w:w="7730" w:type="dxa"/>
            <w:shd w:val="clear" w:color="auto" w:fill="auto"/>
            <w:tcMar>
              <w:left w:w="0" w:type="dxa"/>
            </w:tcMar>
          </w:tcPr>
          <w:p w14:paraId="79D77005" w14:textId="7924D30D" w:rsidR="00F77A50" w:rsidRPr="00B177DF" w:rsidRDefault="00655BD0" w:rsidP="00B3385E">
            <w:pPr>
              <w:spacing w:after="200"/>
              <w:rPr>
                <w:spacing w:val="-4"/>
                <w:lang w:val="en-GB"/>
              </w:rPr>
            </w:pPr>
            <w:r>
              <w:rPr>
                <w:spacing w:val="-4"/>
                <w:lang w:val="en-GB"/>
              </w:rPr>
              <w:t xml:space="preserve">The domestic economy continued in recovery in the second half of the year, which </w:t>
            </w:r>
            <w:proofErr w:type="gramStart"/>
            <w:r>
              <w:rPr>
                <w:spacing w:val="-4"/>
                <w:lang w:val="en-GB"/>
              </w:rPr>
              <w:t>had been started</w:t>
            </w:r>
            <w:proofErr w:type="gramEnd"/>
            <w:r>
              <w:rPr>
                <w:spacing w:val="-4"/>
                <w:lang w:val="en-GB"/>
              </w:rPr>
              <w:t xml:space="preserve"> already during the Spring period, when the epidemic situation substantially improved, and the restrictive measures clutching part of the economy were thus gradually abolished. </w:t>
            </w:r>
            <w:r w:rsidR="00932782">
              <w:rPr>
                <w:spacing w:val="-4"/>
                <w:lang w:val="en-GB"/>
              </w:rPr>
              <w:t xml:space="preserve">Quarter-on-quarter growth of the gross value added </w:t>
            </w:r>
            <w:r w:rsidR="00F77A50" w:rsidRPr="00B177DF">
              <w:rPr>
                <w:spacing w:val="-4"/>
                <w:lang w:val="en-GB"/>
              </w:rPr>
              <w:t>(</w:t>
            </w:r>
            <w:r w:rsidR="00932782">
              <w:rPr>
                <w:spacing w:val="-4"/>
                <w:lang w:val="en-GB"/>
              </w:rPr>
              <w:t>GVA</w:t>
            </w:r>
            <w:r w:rsidR="00F77A50" w:rsidRPr="00B177DF">
              <w:rPr>
                <w:spacing w:val="-4"/>
                <w:lang w:val="en-GB"/>
              </w:rPr>
              <w:t>)</w:t>
            </w:r>
            <w:r w:rsidR="00F77A50" w:rsidRPr="00B177DF">
              <w:rPr>
                <w:rStyle w:val="Znakapoznpodarou"/>
                <w:spacing w:val="-4"/>
                <w:lang w:val="en-GB"/>
              </w:rPr>
              <w:footnoteReference w:id="19"/>
            </w:r>
            <w:r w:rsidR="00F77A50" w:rsidRPr="00B177DF">
              <w:rPr>
                <w:spacing w:val="-4"/>
                <w:lang w:val="en-GB"/>
              </w:rPr>
              <w:t xml:space="preserve"> </w:t>
            </w:r>
            <w:r w:rsidR="00932782">
              <w:rPr>
                <w:spacing w:val="-4"/>
                <w:lang w:val="en-GB"/>
              </w:rPr>
              <w:t xml:space="preserve">recorded </w:t>
            </w:r>
            <w:r w:rsidR="00F77A50" w:rsidRPr="00B177DF">
              <w:rPr>
                <w:spacing w:val="-4"/>
                <w:lang w:val="en-GB"/>
              </w:rPr>
              <w:t>1</w:t>
            </w:r>
            <w:r w:rsidR="00932782">
              <w:rPr>
                <w:spacing w:val="-4"/>
                <w:lang w:val="en-GB"/>
              </w:rPr>
              <w:t>.</w:t>
            </w:r>
            <w:r w:rsidR="00F77A50" w:rsidRPr="00B177DF">
              <w:rPr>
                <w:spacing w:val="-4"/>
                <w:lang w:val="en-GB"/>
              </w:rPr>
              <w:t>0%</w:t>
            </w:r>
            <w:r w:rsidR="00932782">
              <w:rPr>
                <w:spacing w:val="-4"/>
                <w:lang w:val="en-GB"/>
              </w:rPr>
              <w:t xml:space="preserve"> in Q2 and it accelerated to </w:t>
            </w:r>
            <w:r w:rsidR="00F77A50" w:rsidRPr="00B177DF">
              <w:rPr>
                <w:spacing w:val="-4"/>
                <w:lang w:val="en-GB"/>
              </w:rPr>
              <w:t>1</w:t>
            </w:r>
            <w:r w:rsidR="00932782">
              <w:rPr>
                <w:spacing w:val="-4"/>
                <w:lang w:val="en-GB"/>
              </w:rPr>
              <w:t>.</w:t>
            </w:r>
            <w:r w:rsidR="00F77A50" w:rsidRPr="00B177DF">
              <w:rPr>
                <w:spacing w:val="-4"/>
                <w:lang w:val="en-GB"/>
              </w:rPr>
              <w:t>5%</w:t>
            </w:r>
            <w:r w:rsidR="00932782">
              <w:rPr>
                <w:spacing w:val="-4"/>
                <w:lang w:val="en-GB"/>
              </w:rPr>
              <w:t xml:space="preserve"> in the subsequent period</w:t>
            </w:r>
            <w:r w:rsidR="00F77A50" w:rsidRPr="00B177DF">
              <w:rPr>
                <w:spacing w:val="-4"/>
                <w:lang w:val="en-GB"/>
              </w:rPr>
              <w:t xml:space="preserve">. </w:t>
            </w:r>
            <w:r w:rsidR="00752330">
              <w:rPr>
                <w:spacing w:val="-4"/>
                <w:lang w:val="en-GB"/>
              </w:rPr>
              <w:t xml:space="preserve">Mainly trade, transportation and further activities linked to tourism assisted this </w:t>
            </w:r>
            <w:proofErr w:type="gramStart"/>
            <w:r w:rsidR="00752330">
              <w:rPr>
                <w:spacing w:val="-4"/>
                <w:lang w:val="en-GB"/>
              </w:rPr>
              <w:t>result</w:t>
            </w:r>
            <w:r w:rsidR="00E852EE">
              <w:rPr>
                <w:spacing w:val="-4"/>
                <w:lang w:val="en-GB"/>
              </w:rPr>
              <w:t>,</w:t>
            </w:r>
            <w:proofErr w:type="gramEnd"/>
            <w:r w:rsidR="00E852EE">
              <w:rPr>
                <w:spacing w:val="-4"/>
                <w:lang w:val="en-GB"/>
              </w:rPr>
              <w:t xml:space="preserve"> </w:t>
            </w:r>
            <w:r w:rsidR="00752330">
              <w:rPr>
                <w:spacing w:val="-4"/>
                <w:lang w:val="en-GB"/>
              </w:rPr>
              <w:t>public services also had a stimulating effect</w:t>
            </w:r>
            <w:r w:rsidR="00F77A50" w:rsidRPr="00B177DF">
              <w:rPr>
                <w:rStyle w:val="Znakapoznpodarou"/>
                <w:spacing w:val="-4"/>
                <w:lang w:val="en-GB"/>
              </w:rPr>
              <w:footnoteReference w:id="20"/>
            </w:r>
            <w:r w:rsidR="00F77A50" w:rsidRPr="00B177DF">
              <w:rPr>
                <w:spacing w:val="-4"/>
                <w:lang w:val="en-GB"/>
              </w:rPr>
              <w:t xml:space="preserve">. </w:t>
            </w:r>
            <w:r w:rsidR="00CB1857">
              <w:rPr>
                <w:spacing w:val="-4"/>
                <w:lang w:val="en-GB"/>
              </w:rPr>
              <w:t xml:space="preserve">The total growth of performance of all branches slowed down to </w:t>
            </w:r>
            <w:r w:rsidR="00F77A50" w:rsidRPr="00B177DF">
              <w:rPr>
                <w:spacing w:val="-4"/>
                <w:lang w:val="en-GB"/>
              </w:rPr>
              <w:t>0</w:t>
            </w:r>
            <w:r w:rsidR="00CB1857">
              <w:rPr>
                <w:spacing w:val="-4"/>
                <w:lang w:val="en-GB"/>
              </w:rPr>
              <w:t>.</w:t>
            </w:r>
            <w:r w:rsidR="00F77A50" w:rsidRPr="00B177DF">
              <w:rPr>
                <w:spacing w:val="-4"/>
                <w:lang w:val="en-GB"/>
              </w:rPr>
              <w:t>7%</w:t>
            </w:r>
            <w:r w:rsidR="00CB1857">
              <w:rPr>
                <w:spacing w:val="-4"/>
                <w:lang w:val="en-GB"/>
              </w:rPr>
              <w:t xml:space="preserve"> in Q4</w:t>
            </w:r>
            <w:r w:rsidR="00F77A50" w:rsidRPr="00B177DF">
              <w:rPr>
                <w:spacing w:val="-4"/>
                <w:lang w:val="en-GB"/>
              </w:rPr>
              <w:t xml:space="preserve">. </w:t>
            </w:r>
            <w:r w:rsidR="00A36F76">
              <w:rPr>
                <w:spacing w:val="-4"/>
                <w:lang w:val="en-GB"/>
              </w:rPr>
              <w:t xml:space="preserve">Deepening supplier difficulties subdued the output of manufacturing </w:t>
            </w:r>
            <w:r w:rsidR="00F77A50" w:rsidRPr="00B177DF">
              <w:rPr>
                <w:spacing w:val="-4"/>
                <w:lang w:val="en-GB"/>
              </w:rPr>
              <w:t>(–1</w:t>
            </w:r>
            <w:r w:rsidR="00A36F76">
              <w:rPr>
                <w:spacing w:val="-4"/>
                <w:lang w:val="en-GB"/>
              </w:rPr>
              <w:t>.</w:t>
            </w:r>
            <w:r w:rsidR="00F77A50" w:rsidRPr="00B177DF">
              <w:rPr>
                <w:spacing w:val="-4"/>
                <w:lang w:val="en-GB"/>
              </w:rPr>
              <w:t>6%),</w:t>
            </w:r>
            <w:r w:rsidR="00A36F76">
              <w:rPr>
                <w:spacing w:val="-4"/>
                <w:lang w:val="en-GB"/>
              </w:rPr>
              <w:t xml:space="preserve"> the growth also ceased in construction. </w:t>
            </w:r>
            <w:r w:rsidR="007E239D">
              <w:rPr>
                <w:spacing w:val="-4"/>
                <w:lang w:val="en-GB"/>
              </w:rPr>
              <w:t xml:space="preserve">The unexpected substantial deterioration of the epidemic situation however did not lead to the </w:t>
            </w:r>
            <w:r w:rsidR="00215602">
              <w:rPr>
                <w:spacing w:val="-4"/>
                <w:lang w:val="en-GB"/>
              </w:rPr>
              <w:t>shutdown</w:t>
            </w:r>
            <w:r w:rsidR="007E239D">
              <w:rPr>
                <w:spacing w:val="-4"/>
                <w:lang w:val="en-GB"/>
              </w:rPr>
              <w:t xml:space="preserve"> of shops </w:t>
            </w:r>
            <w:r w:rsidR="00215602">
              <w:rPr>
                <w:spacing w:val="-4"/>
                <w:lang w:val="en-GB"/>
              </w:rPr>
              <w:t>anymore</w:t>
            </w:r>
            <w:r w:rsidR="007E239D">
              <w:rPr>
                <w:spacing w:val="-4"/>
                <w:lang w:val="en-GB"/>
              </w:rPr>
              <w:t xml:space="preserve"> and all key </w:t>
            </w:r>
            <w:r w:rsidR="00215602">
              <w:rPr>
                <w:spacing w:val="-4"/>
                <w:lang w:val="en-GB"/>
              </w:rPr>
              <w:t>branches of services continued to grow – especially the financial sector and real estate activities</w:t>
            </w:r>
            <w:r w:rsidR="00904FA3">
              <w:rPr>
                <w:spacing w:val="-4"/>
                <w:lang w:val="en-GB"/>
              </w:rPr>
              <w:t xml:space="preserve"> </w:t>
            </w:r>
            <w:r w:rsidR="00215602">
              <w:rPr>
                <w:spacing w:val="-4"/>
                <w:lang w:val="en-GB"/>
              </w:rPr>
              <w:t xml:space="preserve">fared well. </w:t>
            </w:r>
            <w:r w:rsidR="00E03E1E">
              <w:rPr>
                <w:spacing w:val="-4"/>
                <w:lang w:val="en-GB"/>
              </w:rPr>
              <w:t xml:space="preserve">The GVA in the whole economy still lagged behind its pre-crisis maximum </w:t>
            </w:r>
            <w:r w:rsidR="00F77A50" w:rsidRPr="00B177DF">
              <w:rPr>
                <w:spacing w:val="-4"/>
                <w:lang w:val="en-GB"/>
              </w:rPr>
              <w:t>(</w:t>
            </w:r>
            <w:r w:rsidR="00E03E1E">
              <w:rPr>
                <w:spacing w:val="-4"/>
                <w:lang w:val="en-GB"/>
              </w:rPr>
              <w:t xml:space="preserve">by </w:t>
            </w:r>
            <w:r w:rsidR="00F77A50" w:rsidRPr="00B177DF">
              <w:rPr>
                <w:spacing w:val="-4"/>
                <w:lang w:val="en-GB"/>
              </w:rPr>
              <w:t>2</w:t>
            </w:r>
            <w:r w:rsidR="00E03E1E">
              <w:rPr>
                <w:spacing w:val="-4"/>
                <w:lang w:val="en-GB"/>
              </w:rPr>
              <w:t>.</w:t>
            </w:r>
            <w:r w:rsidR="00F77A50" w:rsidRPr="00B177DF">
              <w:rPr>
                <w:spacing w:val="-4"/>
                <w:lang w:val="en-GB"/>
              </w:rPr>
              <w:t>2%)</w:t>
            </w:r>
            <w:r w:rsidR="00F77A50" w:rsidRPr="00B177DF">
              <w:rPr>
                <w:rStyle w:val="Znakapoznpodarou"/>
                <w:spacing w:val="-4"/>
                <w:lang w:val="en-GB"/>
              </w:rPr>
              <w:footnoteReference w:id="21"/>
            </w:r>
            <w:proofErr w:type="gramStart"/>
            <w:r w:rsidR="00F77A50" w:rsidRPr="00B177DF">
              <w:rPr>
                <w:spacing w:val="-4"/>
                <w:lang w:val="en-GB"/>
              </w:rPr>
              <w:t>,</w:t>
            </w:r>
            <w:proofErr w:type="gramEnd"/>
            <w:r w:rsidR="00F77A50" w:rsidRPr="00B177DF">
              <w:rPr>
                <w:spacing w:val="-4"/>
                <w:lang w:val="en-GB"/>
              </w:rPr>
              <w:t xml:space="preserve"> </w:t>
            </w:r>
            <w:r w:rsidR="00904FA3">
              <w:rPr>
                <w:spacing w:val="-4"/>
                <w:lang w:val="en-GB"/>
              </w:rPr>
              <w:t xml:space="preserve">number of branches of services nevertheless already overtook their record performance from year </w:t>
            </w:r>
            <w:r w:rsidR="00F77A50" w:rsidRPr="00B177DF">
              <w:rPr>
                <w:spacing w:val="-4"/>
                <w:lang w:val="en-GB"/>
              </w:rPr>
              <w:t>2019</w:t>
            </w:r>
            <w:r w:rsidR="00F77A50" w:rsidRPr="00B177DF">
              <w:rPr>
                <w:rStyle w:val="Znakapoznpodarou"/>
                <w:spacing w:val="-4"/>
                <w:lang w:val="en-GB"/>
              </w:rPr>
              <w:footnoteReference w:id="22"/>
            </w:r>
            <w:r w:rsidR="00F77A50" w:rsidRPr="00B177DF">
              <w:rPr>
                <w:spacing w:val="-4"/>
                <w:lang w:val="en-GB"/>
              </w:rPr>
              <w:t>.</w:t>
            </w:r>
          </w:p>
        </w:tc>
      </w:tr>
      <w:tr w:rsidR="00F77A50" w:rsidRPr="006237E6" w14:paraId="0FDE1C2A" w14:textId="77777777" w:rsidTr="00B3385E">
        <w:trPr>
          <w:trHeight w:val="155"/>
        </w:trPr>
        <w:tc>
          <w:tcPr>
            <w:tcW w:w="1728" w:type="dxa"/>
            <w:shd w:val="clear" w:color="auto" w:fill="auto"/>
            <w:tcMar>
              <w:left w:w="0" w:type="dxa"/>
            </w:tcMar>
          </w:tcPr>
          <w:p w14:paraId="3EDC7EBD" w14:textId="07BC5B48" w:rsidR="00F77A50" w:rsidRPr="00E03E1E" w:rsidRDefault="00B7188C" w:rsidP="00B3385E">
            <w:pPr>
              <w:pStyle w:val="Marginlie"/>
              <w:rPr>
                <w:lang w:val="en-GB"/>
              </w:rPr>
            </w:pPr>
            <w:r>
              <w:rPr>
                <w:lang w:val="en-GB"/>
              </w:rPr>
              <w:t xml:space="preserve">From the </w:t>
            </w:r>
            <w:r w:rsidR="00B4776F">
              <w:rPr>
                <w:lang w:val="en-GB"/>
              </w:rPr>
              <w:t>view of the whole year, manufacturing still contributed the most to the GVA growth. Agriculture kept</w:t>
            </w:r>
            <w:r w:rsidR="009328EE">
              <w:rPr>
                <w:lang w:val="en-GB"/>
              </w:rPr>
              <w:t xml:space="preserve"> reaching good results, majority of services, especially the public services also prospered. </w:t>
            </w:r>
          </w:p>
        </w:tc>
        <w:tc>
          <w:tcPr>
            <w:tcW w:w="206" w:type="dxa"/>
            <w:shd w:val="clear" w:color="auto" w:fill="auto"/>
            <w:tcMar>
              <w:left w:w="0" w:type="dxa"/>
            </w:tcMar>
          </w:tcPr>
          <w:p w14:paraId="2BF6E025" w14:textId="77777777" w:rsidR="00F77A50" w:rsidRPr="00E03E1E" w:rsidRDefault="00F77A50" w:rsidP="00B3385E">
            <w:pPr>
              <w:pStyle w:val="Textpoznpodarou"/>
              <w:jc w:val="both"/>
              <w:rPr>
                <w:spacing w:val="-4"/>
                <w:lang w:val="en-GB"/>
              </w:rPr>
            </w:pPr>
          </w:p>
        </w:tc>
        <w:tc>
          <w:tcPr>
            <w:tcW w:w="7730" w:type="dxa"/>
            <w:shd w:val="clear" w:color="auto" w:fill="auto"/>
            <w:tcMar>
              <w:left w:w="0" w:type="dxa"/>
            </w:tcMar>
          </w:tcPr>
          <w:p w14:paraId="3901A9DC" w14:textId="35C6AFCD" w:rsidR="00F77A50" w:rsidRPr="00E03E1E" w:rsidRDefault="00B816E5" w:rsidP="00B3385E">
            <w:pPr>
              <w:spacing w:after="200"/>
              <w:rPr>
                <w:spacing w:val="-5"/>
                <w:lang w:val="en-GB"/>
              </w:rPr>
            </w:pPr>
            <w:r>
              <w:rPr>
                <w:spacing w:val="-7"/>
                <w:lang w:val="en-GB"/>
              </w:rPr>
              <w:t xml:space="preserve">In year </w:t>
            </w:r>
            <w:r w:rsidR="00F77A50" w:rsidRPr="00E03E1E">
              <w:rPr>
                <w:spacing w:val="-7"/>
                <w:lang w:val="en-GB"/>
              </w:rPr>
              <w:t>2021</w:t>
            </w:r>
            <w:r>
              <w:rPr>
                <w:spacing w:val="-7"/>
                <w:lang w:val="en-GB"/>
              </w:rPr>
              <w:t xml:space="preserve">, the GVA </w:t>
            </w:r>
            <w:r w:rsidR="0015462F">
              <w:rPr>
                <w:spacing w:val="-7"/>
                <w:lang w:val="en-GB"/>
              </w:rPr>
              <w:t>increased b</w:t>
            </w:r>
            <w:r w:rsidR="0015462F">
              <w:rPr>
                <w:spacing w:val="-7"/>
              </w:rPr>
              <w:t xml:space="preserve">y </w:t>
            </w:r>
            <w:r w:rsidR="00F77A50" w:rsidRPr="00E03E1E">
              <w:rPr>
                <w:spacing w:val="-7"/>
                <w:lang w:val="en-GB"/>
              </w:rPr>
              <w:t>3</w:t>
            </w:r>
            <w:r w:rsidR="0015462F">
              <w:rPr>
                <w:spacing w:val="-7"/>
                <w:lang w:val="en-GB"/>
              </w:rPr>
              <w:t>.</w:t>
            </w:r>
            <w:r w:rsidR="00F77A50" w:rsidRPr="00E03E1E">
              <w:rPr>
                <w:spacing w:val="-7"/>
                <w:lang w:val="en-GB"/>
              </w:rPr>
              <w:t>0%</w:t>
            </w:r>
            <w:r w:rsidR="0015462F">
              <w:rPr>
                <w:spacing w:val="-7"/>
                <w:lang w:val="en-GB"/>
              </w:rPr>
              <w:t xml:space="preserve"> in the whole economy year-on-year</w:t>
            </w:r>
            <w:r w:rsidR="00F77A50" w:rsidRPr="00E03E1E">
              <w:rPr>
                <w:spacing w:val="-7"/>
                <w:lang w:val="en-GB"/>
              </w:rPr>
              <w:t>.</w:t>
            </w:r>
            <w:r w:rsidR="009C667A">
              <w:rPr>
                <w:spacing w:val="-7"/>
                <w:lang w:val="en-GB"/>
              </w:rPr>
              <w:t xml:space="preserve"> Manufacturing contributed to the growth the most </w:t>
            </w:r>
            <w:r w:rsidR="00F77A50" w:rsidRPr="00E03E1E">
              <w:rPr>
                <w:spacing w:val="-7"/>
                <w:lang w:val="en-GB"/>
              </w:rPr>
              <w:t>(+1</w:t>
            </w:r>
            <w:r w:rsidR="009C667A">
              <w:rPr>
                <w:spacing w:val="-7"/>
                <w:lang w:val="en-GB"/>
              </w:rPr>
              <w:t>.</w:t>
            </w:r>
            <w:r w:rsidR="00F77A50" w:rsidRPr="00E03E1E">
              <w:rPr>
                <w:spacing w:val="-7"/>
                <w:lang w:val="en-GB"/>
              </w:rPr>
              <w:t>1 p.</w:t>
            </w:r>
            <w:r w:rsidR="009C667A">
              <w:rPr>
                <w:spacing w:val="-7"/>
                <w:lang w:val="en-GB"/>
              </w:rPr>
              <w:t>p</w:t>
            </w:r>
            <w:r w:rsidR="00F77A50" w:rsidRPr="00E03E1E">
              <w:rPr>
                <w:spacing w:val="-7"/>
                <w:lang w:val="en-GB"/>
              </w:rPr>
              <w:t>.)</w:t>
            </w:r>
            <w:r w:rsidR="009C667A">
              <w:rPr>
                <w:spacing w:val="-7"/>
                <w:lang w:val="en-GB"/>
              </w:rPr>
              <w:t xml:space="preserve"> even despite growing logistic difficulties</w:t>
            </w:r>
            <w:r w:rsidR="00F77A50" w:rsidRPr="00E03E1E">
              <w:rPr>
                <w:spacing w:val="-7"/>
                <w:lang w:val="en-GB"/>
              </w:rPr>
              <w:t xml:space="preserve">. </w:t>
            </w:r>
            <w:r w:rsidR="00C06F2F">
              <w:rPr>
                <w:spacing w:val="-7"/>
                <w:lang w:val="en-GB"/>
              </w:rPr>
              <w:t>Branch agriculture, forestry and fishing, experiencing increasing labour productivity and rising value added for the fourth year in a row, fared well. Last year</w:t>
            </w:r>
            <w:r w:rsidR="00C06F2F">
              <w:rPr>
                <w:spacing w:val="-7"/>
                <w:lang w:val="en-US"/>
              </w:rPr>
              <w:t xml:space="preserve">’s harvest of agricultural crops was comparable to the good harvest of year </w:t>
            </w:r>
            <w:r w:rsidR="00F77A50" w:rsidRPr="00E03E1E">
              <w:rPr>
                <w:spacing w:val="-6"/>
                <w:lang w:val="en-GB"/>
              </w:rPr>
              <w:t>2020</w:t>
            </w:r>
            <w:r w:rsidR="00F77A50" w:rsidRPr="00E03E1E">
              <w:rPr>
                <w:rStyle w:val="Znakapoznpodarou"/>
                <w:spacing w:val="-6"/>
                <w:lang w:val="en-GB"/>
              </w:rPr>
              <w:footnoteReference w:id="23"/>
            </w:r>
            <w:r w:rsidR="00F77A50" w:rsidRPr="00E03E1E">
              <w:rPr>
                <w:spacing w:val="-6"/>
                <w:lang w:val="en-GB"/>
              </w:rPr>
              <w:t xml:space="preserve">, </w:t>
            </w:r>
            <w:r w:rsidR="00C06F2F">
              <w:rPr>
                <w:spacing w:val="-6"/>
                <w:lang w:val="en-GB"/>
              </w:rPr>
              <w:t>definitely above average then in the context of the last decade</w:t>
            </w:r>
            <w:r w:rsidR="00F77A50" w:rsidRPr="00E03E1E">
              <w:rPr>
                <w:rStyle w:val="Znakapoznpodarou"/>
                <w:spacing w:val="-6"/>
                <w:lang w:val="en-GB"/>
              </w:rPr>
              <w:footnoteReference w:id="24"/>
            </w:r>
            <w:r w:rsidR="00F77A50" w:rsidRPr="00E03E1E">
              <w:rPr>
                <w:spacing w:val="-6"/>
                <w:lang w:val="en-GB"/>
              </w:rPr>
              <w:t xml:space="preserve">. </w:t>
            </w:r>
            <w:r w:rsidR="007C3418">
              <w:rPr>
                <w:spacing w:val="-6"/>
                <w:lang w:val="en-GB"/>
              </w:rPr>
              <w:t xml:space="preserve">Mild </w:t>
            </w:r>
            <w:r w:rsidR="007C3418" w:rsidRPr="007C3418">
              <w:rPr>
                <w:spacing w:val="-6"/>
                <w:lang w:val="en-GB"/>
              </w:rPr>
              <w:t>growth of meat production (+2.6%) continued in the animal production for the fourth year in a row</w:t>
            </w:r>
            <w:r w:rsidR="00F77A50" w:rsidRPr="007C3418">
              <w:rPr>
                <w:spacing w:val="-6"/>
                <w:lang w:val="en-GB"/>
              </w:rPr>
              <w:t xml:space="preserve">, </w:t>
            </w:r>
            <w:r w:rsidR="007C3418" w:rsidRPr="007C3418">
              <w:rPr>
                <w:spacing w:val="-6"/>
                <w:lang w:val="en-GB"/>
              </w:rPr>
              <w:t xml:space="preserve">the direct purchase of milk from domestic producers however lowered by 2.0% in comparison to the record level from year </w:t>
            </w:r>
            <w:r w:rsidR="00F77A50" w:rsidRPr="007C3418">
              <w:rPr>
                <w:spacing w:val="-6"/>
                <w:lang w:val="en-GB"/>
              </w:rPr>
              <w:t xml:space="preserve">2020. </w:t>
            </w:r>
            <w:r w:rsidR="00C37491">
              <w:rPr>
                <w:spacing w:val="-6"/>
                <w:lang w:val="en-GB"/>
              </w:rPr>
              <w:t xml:space="preserve">In addition, the weakening bark beetle outbreak had also likely had an effect on the output of the </w:t>
            </w:r>
            <w:proofErr w:type="gramStart"/>
            <w:r w:rsidR="00C37491">
              <w:rPr>
                <w:spacing w:val="-6"/>
                <w:lang w:val="en-GB"/>
              </w:rPr>
              <w:t>whole</w:t>
            </w:r>
            <w:proofErr w:type="gramEnd"/>
            <w:r w:rsidR="00C37491">
              <w:rPr>
                <w:spacing w:val="-6"/>
                <w:lang w:val="en-GB"/>
              </w:rPr>
              <w:t xml:space="preserve"> primary sector </w:t>
            </w:r>
            <w:r w:rsidR="00F77A50" w:rsidRPr="007C3418">
              <w:rPr>
                <w:spacing w:val="-6"/>
                <w:lang w:val="en-GB"/>
              </w:rPr>
              <w:t>(re</w:t>
            </w:r>
            <w:r w:rsidR="00C37491">
              <w:rPr>
                <w:spacing w:val="-6"/>
                <w:lang w:val="en-GB"/>
              </w:rPr>
              <w:t xml:space="preserve">cord </w:t>
            </w:r>
            <w:r w:rsidR="00E25391">
              <w:rPr>
                <w:spacing w:val="-6"/>
                <w:lang w:val="en-GB"/>
              </w:rPr>
              <w:t>natural</w:t>
            </w:r>
            <w:r w:rsidR="00CF60B8">
              <w:rPr>
                <w:spacing w:val="-6"/>
                <w:lang w:val="en-GB"/>
              </w:rPr>
              <w:t xml:space="preserve"> wood </w:t>
            </w:r>
            <w:r w:rsidR="0043271A">
              <w:rPr>
                <w:spacing w:val="-6"/>
                <w:lang w:val="en-GB"/>
              </w:rPr>
              <w:t>harvesting</w:t>
            </w:r>
            <w:r w:rsidR="00E51229">
              <w:rPr>
                <w:spacing w:val="-6"/>
                <w:lang w:val="en-GB"/>
              </w:rPr>
              <w:t xml:space="preserve"> from year </w:t>
            </w:r>
            <w:r w:rsidR="00F77A50" w:rsidRPr="007C3418">
              <w:rPr>
                <w:spacing w:val="-6"/>
                <w:lang w:val="en-GB"/>
              </w:rPr>
              <w:t>2020</w:t>
            </w:r>
            <w:r w:rsidR="00E51229">
              <w:rPr>
                <w:spacing w:val="-6"/>
                <w:lang w:val="en-GB"/>
              </w:rPr>
              <w:t xml:space="preserve"> did not repeat last year any more</w:t>
            </w:r>
            <w:r w:rsidR="00F77A50" w:rsidRPr="007C3418">
              <w:rPr>
                <w:spacing w:val="-6"/>
                <w:lang w:val="en-GB"/>
              </w:rPr>
              <w:t xml:space="preserve">). </w:t>
            </w:r>
            <w:r w:rsidR="00C06F2F" w:rsidRPr="007C3418">
              <w:rPr>
                <w:spacing w:val="-6"/>
                <w:lang w:val="en-GB"/>
              </w:rPr>
              <w:t xml:space="preserve">Among services, the GVA grew the most in financial activities last year and it contributed to the growth of the whole economy by </w:t>
            </w:r>
            <w:r w:rsidR="00F77A50" w:rsidRPr="007C3418">
              <w:rPr>
                <w:spacing w:val="-6"/>
                <w:lang w:val="en-GB"/>
              </w:rPr>
              <w:t>0</w:t>
            </w:r>
            <w:r w:rsidR="00C06F2F" w:rsidRPr="007C3418">
              <w:rPr>
                <w:spacing w:val="-6"/>
                <w:lang w:val="en-GB"/>
              </w:rPr>
              <w:t>.</w:t>
            </w:r>
            <w:r w:rsidR="00F77A50" w:rsidRPr="007C3418">
              <w:rPr>
                <w:spacing w:val="-6"/>
                <w:lang w:val="en-GB"/>
              </w:rPr>
              <w:t>4 p.</w:t>
            </w:r>
            <w:r w:rsidR="00C06F2F" w:rsidRPr="007C3418">
              <w:rPr>
                <w:spacing w:val="-6"/>
                <w:lang w:val="en-GB"/>
              </w:rPr>
              <w:t xml:space="preserve">p. The recovering branch trade, transportation, accommodation and food service also had a similar effect and </w:t>
            </w:r>
            <w:r w:rsidR="0043271A">
              <w:rPr>
                <w:spacing w:val="-6"/>
                <w:lang w:val="en-GB"/>
              </w:rPr>
              <w:t xml:space="preserve">also </w:t>
            </w:r>
            <w:r w:rsidR="00C06F2F" w:rsidRPr="007C3418">
              <w:rPr>
                <w:spacing w:val="-6"/>
                <w:lang w:val="en-GB"/>
              </w:rPr>
              <w:t xml:space="preserve">public services, </w:t>
            </w:r>
            <w:r w:rsidR="0043271A">
              <w:rPr>
                <w:spacing w:val="-6"/>
                <w:lang w:val="en-GB"/>
              </w:rPr>
              <w:t xml:space="preserve">where the higher number of hours worked significantly contributed to the GVA growth </w:t>
            </w:r>
            <w:r w:rsidR="00F77A50" w:rsidRPr="007C3418">
              <w:rPr>
                <w:spacing w:val="-6"/>
                <w:lang w:val="en-GB"/>
              </w:rPr>
              <w:t>(</w:t>
            </w:r>
            <w:r w:rsidR="0043271A">
              <w:rPr>
                <w:spacing w:val="-6"/>
                <w:lang w:val="en-GB"/>
              </w:rPr>
              <w:t xml:space="preserve">by </w:t>
            </w:r>
            <w:r w:rsidR="00F77A50" w:rsidRPr="007C3418">
              <w:rPr>
                <w:spacing w:val="-6"/>
                <w:lang w:val="en-GB"/>
              </w:rPr>
              <w:t>2</w:t>
            </w:r>
            <w:r w:rsidR="0043271A">
              <w:rPr>
                <w:spacing w:val="-6"/>
                <w:lang w:val="en-GB"/>
              </w:rPr>
              <w:t>.</w:t>
            </w:r>
            <w:r w:rsidR="00F77A50" w:rsidRPr="007C3418">
              <w:rPr>
                <w:spacing w:val="-6"/>
                <w:lang w:val="en-GB"/>
              </w:rPr>
              <w:t>9%)</w:t>
            </w:r>
            <w:r w:rsidR="0043271A">
              <w:rPr>
                <w:spacing w:val="-6"/>
                <w:lang w:val="en-GB"/>
              </w:rPr>
              <w:t xml:space="preserve">. </w:t>
            </w:r>
          </w:p>
        </w:tc>
      </w:tr>
      <w:tr w:rsidR="00F77A50" w:rsidRPr="006237E6" w14:paraId="4D9CD0E7" w14:textId="77777777" w:rsidTr="00B3385E">
        <w:trPr>
          <w:trHeight w:val="155"/>
        </w:trPr>
        <w:tc>
          <w:tcPr>
            <w:tcW w:w="1728" w:type="dxa"/>
            <w:shd w:val="clear" w:color="auto" w:fill="auto"/>
            <w:tcMar>
              <w:left w:w="0" w:type="dxa"/>
            </w:tcMar>
          </w:tcPr>
          <w:p w14:paraId="56EB366C" w14:textId="7BF9FC6D" w:rsidR="00F77A50" w:rsidRDefault="009328EE" w:rsidP="00B3385E">
            <w:pPr>
              <w:pStyle w:val="Marginlie"/>
              <w:rPr>
                <w:spacing w:val="-4"/>
              </w:rPr>
            </w:pPr>
            <w:r w:rsidRPr="009328EE">
              <w:rPr>
                <w:spacing w:val="-4"/>
                <w:lang w:val="en-GB"/>
              </w:rPr>
              <w:t>After-crisis recovery of industry displayed uneven development last year.</w:t>
            </w:r>
            <w:r>
              <w:rPr>
                <w:spacing w:val="-4"/>
              </w:rPr>
              <w:t xml:space="preserve"> </w:t>
            </w:r>
          </w:p>
        </w:tc>
        <w:tc>
          <w:tcPr>
            <w:tcW w:w="206" w:type="dxa"/>
            <w:shd w:val="clear" w:color="auto" w:fill="auto"/>
            <w:tcMar>
              <w:left w:w="0" w:type="dxa"/>
            </w:tcMar>
          </w:tcPr>
          <w:p w14:paraId="1893ABCC" w14:textId="77777777" w:rsidR="00F77A50" w:rsidRPr="003B1401" w:rsidRDefault="00F77A50" w:rsidP="00B3385E">
            <w:pPr>
              <w:pStyle w:val="Textpoznpodarou"/>
              <w:jc w:val="both"/>
              <w:rPr>
                <w:spacing w:val="-4"/>
              </w:rPr>
            </w:pPr>
          </w:p>
        </w:tc>
        <w:tc>
          <w:tcPr>
            <w:tcW w:w="7730" w:type="dxa"/>
            <w:shd w:val="clear" w:color="auto" w:fill="auto"/>
            <w:tcMar>
              <w:left w:w="0" w:type="dxa"/>
            </w:tcMar>
          </w:tcPr>
          <w:p w14:paraId="74326D6C" w14:textId="6622502A" w:rsidR="00F77A50" w:rsidRPr="0067657E" w:rsidRDefault="006A01C3" w:rsidP="00B3385E">
            <w:pPr>
              <w:spacing w:after="200"/>
              <w:rPr>
                <w:color w:val="0D0D0D" w:themeColor="text1" w:themeTint="F2"/>
                <w:spacing w:val="-4"/>
                <w:lang w:val="en-GB"/>
              </w:rPr>
            </w:pPr>
            <w:r>
              <w:rPr>
                <w:color w:val="0D0D0D" w:themeColor="text1" w:themeTint="F2"/>
                <w:spacing w:val="-4"/>
                <w:lang w:val="en-GB"/>
              </w:rPr>
              <w:t xml:space="preserve">Next to the data regarding the value added, the more detailed data from the business statistics also evidence the ongoing recovery of industry in year </w:t>
            </w:r>
            <w:r w:rsidR="00F77A50" w:rsidRPr="0067657E">
              <w:rPr>
                <w:color w:val="0D0D0D" w:themeColor="text1" w:themeTint="F2"/>
                <w:spacing w:val="-4"/>
                <w:lang w:val="en-GB"/>
              </w:rPr>
              <w:t>2021</w:t>
            </w:r>
            <w:r>
              <w:rPr>
                <w:color w:val="0D0D0D" w:themeColor="text1" w:themeTint="F2"/>
                <w:spacing w:val="-4"/>
                <w:lang w:val="en-GB"/>
              </w:rPr>
              <w:t xml:space="preserve">. This recovery however followed an uneven path, both from the view of individual parts of the year and </w:t>
            </w:r>
            <w:r w:rsidR="0018690D">
              <w:rPr>
                <w:color w:val="0D0D0D" w:themeColor="text1" w:themeTint="F2"/>
                <w:spacing w:val="-4"/>
                <w:lang w:val="en-GB"/>
              </w:rPr>
              <w:t>the branches. The motor vehicle industry faced supplier difficulties throughout the whole year, stemming from the fast revival of the most developed world economies accompanie</w:t>
            </w:r>
            <w:r w:rsidR="00990257">
              <w:rPr>
                <w:color w:val="0D0D0D" w:themeColor="text1" w:themeTint="F2"/>
                <w:spacing w:val="-4"/>
                <w:lang w:val="en-GB"/>
              </w:rPr>
              <w:t>d</w:t>
            </w:r>
            <w:r w:rsidR="0018690D">
              <w:rPr>
                <w:color w:val="0D0D0D" w:themeColor="text1" w:themeTint="F2"/>
                <w:spacing w:val="-4"/>
                <w:lang w:val="en-GB"/>
              </w:rPr>
              <w:t xml:space="preserve"> by production as well as logistic struggles in Asian regions</w:t>
            </w:r>
            <w:r w:rsidR="00F77A50" w:rsidRPr="0067657E">
              <w:rPr>
                <w:color w:val="0D0D0D" w:themeColor="text1" w:themeTint="F2"/>
                <w:spacing w:val="-4"/>
                <w:lang w:val="en-GB"/>
              </w:rPr>
              <w:t xml:space="preserve">. </w:t>
            </w:r>
            <w:r w:rsidR="0018690D">
              <w:rPr>
                <w:color w:val="0D0D0D" w:themeColor="text1" w:themeTint="F2"/>
                <w:spacing w:val="-4"/>
                <w:lang w:val="en-GB"/>
              </w:rPr>
              <w:t>In addition, some types of economic activities strongly hit during the pandemics (e.g.</w:t>
            </w:r>
            <w:r w:rsidR="00A8331C">
              <w:rPr>
                <w:color w:val="0D0D0D" w:themeColor="text1" w:themeTint="F2"/>
                <w:spacing w:val="-4"/>
                <w:lang w:val="en-GB"/>
              </w:rPr>
              <w:t xml:space="preserve"> manufacture of clothing, beverages</w:t>
            </w:r>
            <w:r w:rsidR="0018690D">
              <w:rPr>
                <w:color w:val="0D0D0D" w:themeColor="text1" w:themeTint="F2"/>
                <w:spacing w:val="-4"/>
                <w:lang w:val="en-GB"/>
              </w:rPr>
              <w:t xml:space="preserve">) still experienced inadequate demand. </w:t>
            </w:r>
          </w:p>
        </w:tc>
      </w:tr>
      <w:tr w:rsidR="00F77A50" w:rsidRPr="006237E6" w14:paraId="44F812E8" w14:textId="77777777" w:rsidTr="00B3385E">
        <w:trPr>
          <w:trHeight w:val="155"/>
        </w:trPr>
        <w:tc>
          <w:tcPr>
            <w:tcW w:w="1728" w:type="dxa"/>
            <w:shd w:val="clear" w:color="auto" w:fill="auto"/>
            <w:tcMar>
              <w:left w:w="0" w:type="dxa"/>
            </w:tcMar>
          </w:tcPr>
          <w:p w14:paraId="140713C0" w14:textId="1EE799F1" w:rsidR="00F77A50" w:rsidRPr="00185CB1" w:rsidRDefault="0018690D" w:rsidP="00B3385E">
            <w:pPr>
              <w:pStyle w:val="Marginlie"/>
              <w:rPr>
                <w:spacing w:val="-4"/>
                <w:lang w:val="en-GB"/>
              </w:rPr>
            </w:pPr>
            <w:r w:rsidRPr="00185CB1">
              <w:rPr>
                <w:spacing w:val="-4"/>
                <w:lang w:val="en-GB"/>
              </w:rPr>
              <w:lastRenderedPageBreak/>
              <w:t>In Q</w:t>
            </w:r>
            <w:r w:rsidR="00F77A50" w:rsidRPr="00185CB1">
              <w:rPr>
                <w:spacing w:val="-4"/>
                <w:lang w:val="en-GB"/>
              </w:rPr>
              <w:t>2</w:t>
            </w:r>
            <w:r w:rsidRPr="00185CB1">
              <w:rPr>
                <w:spacing w:val="-4"/>
                <w:lang w:val="en-GB"/>
              </w:rPr>
              <w:t xml:space="preserve">, the industry performance was </w:t>
            </w:r>
            <w:r w:rsidR="00185CB1" w:rsidRPr="00185CB1">
              <w:rPr>
                <w:spacing w:val="-4"/>
                <w:lang w:val="en-GB"/>
              </w:rPr>
              <w:t xml:space="preserve">on its last year’s peak, when it benefited from the overall revival of the economy in the euro area. </w:t>
            </w:r>
          </w:p>
        </w:tc>
        <w:tc>
          <w:tcPr>
            <w:tcW w:w="206" w:type="dxa"/>
            <w:shd w:val="clear" w:color="auto" w:fill="auto"/>
            <w:tcMar>
              <w:left w:w="0" w:type="dxa"/>
            </w:tcMar>
          </w:tcPr>
          <w:p w14:paraId="6E8D5A74" w14:textId="77777777" w:rsidR="00F77A50" w:rsidRPr="00185CB1" w:rsidRDefault="00F77A50" w:rsidP="00B3385E">
            <w:pPr>
              <w:pStyle w:val="Textpoznpodarou"/>
              <w:jc w:val="both"/>
              <w:rPr>
                <w:spacing w:val="-4"/>
                <w:lang w:val="en-GB"/>
              </w:rPr>
            </w:pPr>
          </w:p>
        </w:tc>
        <w:tc>
          <w:tcPr>
            <w:tcW w:w="7730" w:type="dxa"/>
            <w:shd w:val="clear" w:color="auto" w:fill="auto"/>
            <w:tcMar>
              <w:left w:w="0" w:type="dxa"/>
            </w:tcMar>
          </w:tcPr>
          <w:p w14:paraId="3FD40CB3" w14:textId="2EB613C4" w:rsidR="00F77A50" w:rsidRPr="00185CB1" w:rsidRDefault="00F529FB" w:rsidP="00B3385E">
            <w:pPr>
              <w:spacing w:after="200"/>
              <w:rPr>
                <w:color w:val="0D0D0D" w:themeColor="text1" w:themeTint="F2"/>
                <w:spacing w:val="-4"/>
                <w:lang w:val="en-GB"/>
              </w:rPr>
            </w:pPr>
            <w:r>
              <w:rPr>
                <w:color w:val="0D0D0D" w:themeColor="text1" w:themeTint="F2"/>
                <w:spacing w:val="-4"/>
                <w:lang w:val="en-GB"/>
              </w:rPr>
              <w:t xml:space="preserve">After the fast restart of industry in the second half of year </w:t>
            </w:r>
            <w:r w:rsidR="00F77A50" w:rsidRPr="00185CB1">
              <w:rPr>
                <w:color w:val="0D0D0D" w:themeColor="text1" w:themeTint="F2"/>
                <w:spacing w:val="-4"/>
                <w:lang w:val="en-GB"/>
              </w:rPr>
              <w:t xml:space="preserve">2020, </w:t>
            </w:r>
            <w:r>
              <w:rPr>
                <w:color w:val="0D0D0D" w:themeColor="text1" w:themeTint="F2"/>
                <w:spacing w:val="-4"/>
                <w:lang w:val="en-GB"/>
              </w:rPr>
              <w:t>with participation apart f</w:t>
            </w:r>
            <w:r w:rsidR="00990257">
              <w:rPr>
                <w:color w:val="0D0D0D" w:themeColor="text1" w:themeTint="F2"/>
                <w:spacing w:val="-4"/>
                <w:lang w:val="en-GB"/>
              </w:rPr>
              <w:t>ro</w:t>
            </w:r>
            <w:r>
              <w:rPr>
                <w:color w:val="0D0D0D" w:themeColor="text1" w:themeTint="F2"/>
                <w:spacing w:val="-4"/>
                <w:lang w:val="en-GB"/>
              </w:rPr>
              <w:t>m the key export branches from wide spectrum of sub-branches</w:t>
            </w:r>
            <w:r w:rsidR="00F77A50" w:rsidRPr="00185CB1">
              <w:rPr>
                <w:color w:val="0D0D0D" w:themeColor="text1" w:themeTint="F2"/>
                <w:spacing w:val="-4"/>
                <w:lang w:val="en-GB"/>
              </w:rPr>
              <w:t xml:space="preserve">, </w:t>
            </w:r>
            <w:r w:rsidR="00D6014A">
              <w:rPr>
                <w:color w:val="0D0D0D" w:themeColor="text1" w:themeTint="F2"/>
                <w:spacing w:val="-4"/>
                <w:lang w:val="en-GB"/>
              </w:rPr>
              <w:t xml:space="preserve">the output of the whole industry temporarily dropped at the beginning of year </w:t>
            </w:r>
            <w:r w:rsidR="00F77A50" w:rsidRPr="00185CB1">
              <w:rPr>
                <w:color w:val="0D0D0D" w:themeColor="text1" w:themeTint="F2"/>
                <w:spacing w:val="-4"/>
                <w:lang w:val="en-GB"/>
              </w:rPr>
              <w:t xml:space="preserve">2021. </w:t>
            </w:r>
            <w:r w:rsidR="00BB657B">
              <w:rPr>
                <w:color w:val="0D0D0D" w:themeColor="text1" w:themeTint="F2"/>
                <w:spacing w:val="-4"/>
                <w:lang w:val="en-GB"/>
              </w:rPr>
              <w:t>The industrial production</w:t>
            </w:r>
            <w:r w:rsidR="00F77A50" w:rsidRPr="00185CB1">
              <w:rPr>
                <w:color w:val="0D0D0D" w:themeColor="text1" w:themeTint="F2"/>
                <w:spacing w:val="-4"/>
                <w:vertAlign w:val="superscript"/>
                <w:lang w:val="en-GB"/>
              </w:rPr>
              <w:footnoteReference w:id="25"/>
            </w:r>
            <w:r w:rsidR="00F77A50" w:rsidRPr="00185CB1">
              <w:rPr>
                <w:color w:val="0D0D0D" w:themeColor="text1" w:themeTint="F2"/>
                <w:spacing w:val="-4"/>
                <w:lang w:val="en-GB"/>
              </w:rPr>
              <w:t xml:space="preserve"> </w:t>
            </w:r>
            <w:r w:rsidR="00BB657B">
              <w:rPr>
                <w:color w:val="0D0D0D" w:themeColor="text1" w:themeTint="F2"/>
                <w:spacing w:val="-4"/>
                <w:lang w:val="en-GB"/>
              </w:rPr>
              <w:t>decreased b</w:t>
            </w:r>
            <w:r w:rsidR="00BB657B">
              <w:rPr>
                <w:color w:val="0D0D0D" w:themeColor="text1" w:themeTint="F2"/>
                <w:spacing w:val="-4"/>
              </w:rPr>
              <w:t xml:space="preserve">y </w:t>
            </w:r>
            <w:r w:rsidR="00F77A50" w:rsidRPr="00185CB1">
              <w:rPr>
                <w:color w:val="0D0D0D" w:themeColor="text1" w:themeTint="F2"/>
                <w:spacing w:val="-4"/>
                <w:lang w:val="en-GB"/>
              </w:rPr>
              <w:t>1</w:t>
            </w:r>
            <w:r w:rsidR="00BB657B">
              <w:rPr>
                <w:color w:val="0D0D0D" w:themeColor="text1" w:themeTint="F2"/>
                <w:spacing w:val="-4"/>
                <w:lang w:val="en-GB"/>
              </w:rPr>
              <w:t>.</w:t>
            </w:r>
            <w:r w:rsidR="00F77A50" w:rsidRPr="00185CB1">
              <w:rPr>
                <w:color w:val="0D0D0D" w:themeColor="text1" w:themeTint="F2"/>
                <w:spacing w:val="-4"/>
                <w:lang w:val="en-GB"/>
              </w:rPr>
              <w:t>1%</w:t>
            </w:r>
            <w:r w:rsidR="00BB657B">
              <w:rPr>
                <w:color w:val="0D0D0D" w:themeColor="text1" w:themeTint="F2"/>
                <w:spacing w:val="-4"/>
                <w:lang w:val="en-GB"/>
              </w:rPr>
              <w:t xml:space="preserve"> quarter-on-quarter in Q</w:t>
            </w:r>
            <w:r w:rsidR="00BB657B">
              <w:rPr>
                <w:color w:val="0D0D0D" w:themeColor="text1" w:themeTint="F2"/>
                <w:spacing w:val="-4"/>
              </w:rPr>
              <w:t>1</w:t>
            </w:r>
            <w:r w:rsidR="00F77A50" w:rsidRPr="00185CB1">
              <w:rPr>
                <w:color w:val="0D0D0D" w:themeColor="text1" w:themeTint="F2"/>
                <w:spacing w:val="-4"/>
                <w:lang w:val="en-GB"/>
              </w:rPr>
              <w:t xml:space="preserve">, </w:t>
            </w:r>
            <w:r w:rsidR="00BB657B">
              <w:rPr>
                <w:color w:val="0D0D0D" w:themeColor="text1" w:themeTint="F2"/>
                <w:spacing w:val="-4"/>
                <w:lang w:val="en-GB"/>
              </w:rPr>
              <w:t xml:space="preserve">since the swift after crisis recovery of motor vehicle producers (including their closest domestic sub-suppliers) and of the chemical industry halted. In the subsequent quarter, the mild growth of the industrial production renewed </w:t>
            </w:r>
            <w:r w:rsidR="00F77A50" w:rsidRPr="00185CB1">
              <w:rPr>
                <w:color w:val="0D0D0D" w:themeColor="text1" w:themeTint="F2"/>
                <w:spacing w:val="-4"/>
                <w:lang w:val="en-GB"/>
              </w:rPr>
              <w:t>(0</w:t>
            </w:r>
            <w:r w:rsidR="00BB657B">
              <w:rPr>
                <w:color w:val="0D0D0D" w:themeColor="text1" w:themeTint="F2"/>
                <w:spacing w:val="-4"/>
                <w:lang w:val="en-GB"/>
              </w:rPr>
              <w:t>.</w:t>
            </w:r>
            <w:r w:rsidR="00F77A50" w:rsidRPr="00185CB1">
              <w:rPr>
                <w:color w:val="0D0D0D" w:themeColor="text1" w:themeTint="F2"/>
                <w:spacing w:val="-4"/>
                <w:lang w:val="en-GB"/>
              </w:rPr>
              <w:t>9%). „</w:t>
            </w:r>
            <w:r w:rsidR="00D6014A">
              <w:rPr>
                <w:color w:val="0D0D0D" w:themeColor="text1" w:themeTint="F2"/>
                <w:spacing w:val="-4"/>
                <w:lang w:val="en-GB"/>
              </w:rPr>
              <w:t>Reopening</w:t>
            </w:r>
            <w:r w:rsidR="00F77A50" w:rsidRPr="00185CB1">
              <w:rPr>
                <w:color w:val="0D0D0D" w:themeColor="text1" w:themeTint="F2"/>
                <w:spacing w:val="-4"/>
                <w:lang w:val="en-GB"/>
              </w:rPr>
              <w:t>“</w:t>
            </w:r>
            <w:r w:rsidR="00D6014A">
              <w:rPr>
                <w:color w:val="0D0D0D" w:themeColor="text1" w:themeTint="F2"/>
                <w:spacing w:val="-4"/>
                <w:lang w:val="en-GB"/>
              </w:rPr>
              <w:t xml:space="preserve"> of the economy after the retreat of the pandemic wage returns part of the lost consumer and entrepreneur confidence both in the CR and in the EU, which led to the revival of consumption and investment activity. </w:t>
            </w:r>
            <w:r>
              <w:rPr>
                <w:color w:val="0D0D0D" w:themeColor="text1" w:themeTint="F2"/>
                <w:spacing w:val="-4"/>
                <w:lang w:val="en-GB"/>
              </w:rPr>
              <w:t xml:space="preserve">Strongly export oriented domestic industry benefited mainly from the favourable economic development of the key export territories – Germany, </w:t>
            </w:r>
            <w:r w:rsidR="00F77A50" w:rsidRPr="00185CB1">
              <w:rPr>
                <w:color w:val="0D0D0D" w:themeColor="text1" w:themeTint="F2"/>
                <w:spacing w:val="-4"/>
                <w:lang w:val="en-GB"/>
              </w:rPr>
              <w:t xml:space="preserve">resp. </w:t>
            </w:r>
            <w:r>
              <w:rPr>
                <w:color w:val="0D0D0D" w:themeColor="text1" w:themeTint="F2"/>
                <w:spacing w:val="-4"/>
                <w:lang w:val="en-GB"/>
              </w:rPr>
              <w:t xml:space="preserve">the whole </w:t>
            </w:r>
            <w:r w:rsidR="00F77A50" w:rsidRPr="00185CB1">
              <w:rPr>
                <w:color w:val="0D0D0D" w:themeColor="text1" w:themeTint="F2"/>
                <w:spacing w:val="-4"/>
                <w:lang w:val="en-GB"/>
              </w:rPr>
              <w:t>EU</w:t>
            </w:r>
            <w:r w:rsidR="00F77A50" w:rsidRPr="00185CB1">
              <w:rPr>
                <w:rStyle w:val="Znakapoznpodarou"/>
                <w:color w:val="0D0D0D" w:themeColor="text1" w:themeTint="F2"/>
                <w:spacing w:val="-4"/>
                <w:lang w:val="en-GB"/>
              </w:rPr>
              <w:footnoteReference w:id="26"/>
            </w:r>
            <w:r>
              <w:rPr>
                <w:color w:val="0D0D0D" w:themeColor="text1" w:themeTint="F2"/>
                <w:spacing w:val="-4"/>
                <w:lang w:val="en-GB"/>
              </w:rPr>
              <w:t xml:space="preserve"> in Spring</w:t>
            </w:r>
            <w:r w:rsidR="00F77A50" w:rsidRPr="00185CB1">
              <w:rPr>
                <w:color w:val="0D0D0D" w:themeColor="text1" w:themeTint="F2"/>
                <w:spacing w:val="-4"/>
                <w:lang w:val="en-GB"/>
              </w:rPr>
              <w:t>.</w:t>
            </w:r>
          </w:p>
        </w:tc>
      </w:tr>
      <w:tr w:rsidR="00F77A50" w:rsidRPr="006237E6" w14:paraId="0D587942" w14:textId="77777777" w:rsidTr="00B3385E">
        <w:trPr>
          <w:trHeight w:val="155"/>
        </w:trPr>
        <w:tc>
          <w:tcPr>
            <w:tcW w:w="1728" w:type="dxa"/>
            <w:shd w:val="clear" w:color="auto" w:fill="auto"/>
            <w:tcMar>
              <w:left w:w="0" w:type="dxa"/>
            </w:tcMar>
          </w:tcPr>
          <w:p w14:paraId="7BFA2CFD" w14:textId="27029A87" w:rsidR="00F77A50" w:rsidRPr="00F529FB" w:rsidRDefault="000D7082" w:rsidP="00B3385E">
            <w:pPr>
              <w:pStyle w:val="Marginlie"/>
              <w:rPr>
                <w:spacing w:val="-4"/>
                <w:lang w:val="en-GB"/>
              </w:rPr>
            </w:pPr>
            <w:r>
              <w:rPr>
                <w:spacing w:val="-4"/>
                <w:lang w:val="en-GB"/>
              </w:rPr>
              <w:t>In H</w:t>
            </w:r>
            <w:r w:rsidR="00F77A50" w:rsidRPr="00F529FB">
              <w:rPr>
                <w:spacing w:val="-4"/>
                <w:lang w:val="en-GB"/>
              </w:rPr>
              <w:t>2</w:t>
            </w:r>
            <w:r>
              <w:rPr>
                <w:spacing w:val="-4"/>
                <w:lang w:val="en-GB"/>
              </w:rPr>
              <w:t xml:space="preserve">, the industry was hindered by growing difficulties with availability of components </w:t>
            </w:r>
            <w:r w:rsidR="007A011D">
              <w:rPr>
                <w:spacing w:val="-4"/>
                <w:lang w:val="en-GB"/>
              </w:rPr>
              <w:t>for</w:t>
            </w:r>
            <w:r>
              <w:rPr>
                <w:spacing w:val="-4"/>
                <w:lang w:val="en-GB"/>
              </w:rPr>
              <w:t xml:space="preserve"> the manufacturing of motor vehicles </w:t>
            </w:r>
            <w:proofErr w:type="gramStart"/>
            <w:r>
              <w:rPr>
                <w:spacing w:val="-4"/>
                <w:lang w:val="en-GB"/>
              </w:rPr>
              <w:t>and also</w:t>
            </w:r>
            <w:proofErr w:type="gramEnd"/>
            <w:r>
              <w:rPr>
                <w:spacing w:val="-4"/>
                <w:lang w:val="en-GB"/>
              </w:rPr>
              <w:t xml:space="preserve"> the strong growth of prices of energies and material inputs in the whole industry just at the end of the year. </w:t>
            </w:r>
          </w:p>
        </w:tc>
        <w:tc>
          <w:tcPr>
            <w:tcW w:w="206" w:type="dxa"/>
            <w:shd w:val="clear" w:color="auto" w:fill="auto"/>
            <w:tcMar>
              <w:left w:w="0" w:type="dxa"/>
            </w:tcMar>
          </w:tcPr>
          <w:p w14:paraId="479CD687" w14:textId="77777777" w:rsidR="00F77A50" w:rsidRPr="00F529FB" w:rsidRDefault="00F77A50" w:rsidP="00B3385E">
            <w:pPr>
              <w:pStyle w:val="Textpoznpodarou"/>
              <w:jc w:val="both"/>
              <w:rPr>
                <w:spacing w:val="-4"/>
                <w:lang w:val="en-GB"/>
              </w:rPr>
            </w:pPr>
          </w:p>
        </w:tc>
        <w:tc>
          <w:tcPr>
            <w:tcW w:w="7730" w:type="dxa"/>
            <w:shd w:val="clear" w:color="auto" w:fill="auto"/>
            <w:tcMar>
              <w:left w:w="0" w:type="dxa"/>
            </w:tcMar>
          </w:tcPr>
          <w:p w14:paraId="66DED32E" w14:textId="27EF91FB" w:rsidR="00F77A50" w:rsidRPr="00F529FB" w:rsidRDefault="00F77A50" w:rsidP="00B3385E">
            <w:pPr>
              <w:spacing w:after="200"/>
              <w:rPr>
                <w:color w:val="0D0D0D" w:themeColor="text1" w:themeTint="F2"/>
                <w:spacing w:val="-4"/>
                <w:lang w:val="en-GB"/>
              </w:rPr>
            </w:pPr>
            <w:r w:rsidRPr="00F529FB">
              <w:rPr>
                <w:color w:val="0D0D0D" w:themeColor="text1" w:themeTint="F2"/>
                <w:spacing w:val="-4"/>
                <w:lang w:val="en-GB"/>
              </w:rPr>
              <w:t>T</w:t>
            </w:r>
            <w:r w:rsidR="000D7082">
              <w:rPr>
                <w:color w:val="0D0D0D" w:themeColor="text1" w:themeTint="F2"/>
                <w:spacing w:val="-4"/>
                <w:lang w:val="en-GB"/>
              </w:rPr>
              <w:t xml:space="preserve">his promising development was nevertheless in the second half of the year overshadowed by the deepening difficulties in the global supplier chains, which considerably disrupted the continuity of production, mainly in the dominant motor vehicle manufacturing branch. </w:t>
            </w:r>
            <w:r w:rsidR="007A011D">
              <w:rPr>
                <w:color w:val="0D0D0D" w:themeColor="text1" w:themeTint="F2"/>
                <w:spacing w:val="-4"/>
                <w:lang w:val="en-GB"/>
              </w:rPr>
              <w:t>Output in the whole industry thus dropped by 2.2% quarter-on-quarter in Q</w:t>
            </w:r>
            <w:r w:rsidRPr="00F529FB">
              <w:rPr>
                <w:color w:val="0D0D0D" w:themeColor="text1" w:themeTint="F2"/>
                <w:spacing w:val="-4"/>
                <w:lang w:val="en-GB"/>
              </w:rPr>
              <w:t>3.</w:t>
            </w:r>
            <w:r w:rsidR="00605A97">
              <w:rPr>
                <w:color w:val="0D0D0D" w:themeColor="text1" w:themeTint="F2"/>
                <w:spacing w:val="-4"/>
                <w:lang w:val="en-GB"/>
              </w:rPr>
              <w:t xml:space="preserve"> Difficulties with the shortage production components slightly eased up at the end of the last year</w:t>
            </w:r>
            <w:r w:rsidRPr="00F529FB">
              <w:rPr>
                <w:color w:val="0D0D0D" w:themeColor="text1" w:themeTint="F2"/>
                <w:spacing w:val="-4"/>
                <w:lang w:val="en-GB"/>
              </w:rPr>
              <w:t xml:space="preserve">, </w:t>
            </w:r>
            <w:r w:rsidR="00E77B7A">
              <w:rPr>
                <w:color w:val="0D0D0D" w:themeColor="text1" w:themeTint="F2"/>
                <w:spacing w:val="-4"/>
                <w:lang w:val="en-GB"/>
              </w:rPr>
              <w:t>the majority of industrial businesses however had to face a strong price growth of mat</w:t>
            </w:r>
            <w:r w:rsidR="00605A97">
              <w:rPr>
                <w:color w:val="0D0D0D" w:themeColor="text1" w:themeTint="F2"/>
                <w:spacing w:val="-4"/>
                <w:lang w:val="en-GB"/>
              </w:rPr>
              <w:t>e</w:t>
            </w:r>
            <w:r w:rsidR="00E77B7A">
              <w:rPr>
                <w:color w:val="0D0D0D" w:themeColor="text1" w:themeTint="F2"/>
                <w:spacing w:val="-4"/>
                <w:lang w:val="en-GB"/>
              </w:rPr>
              <w:t>rial inputs augmented by the unexpected escalation of the energy prices. Compared to Q</w:t>
            </w:r>
            <w:r w:rsidRPr="00F529FB">
              <w:rPr>
                <w:color w:val="0D0D0D" w:themeColor="text1" w:themeTint="F2"/>
                <w:spacing w:val="-4"/>
                <w:lang w:val="en-GB"/>
              </w:rPr>
              <w:t>3</w:t>
            </w:r>
            <w:r w:rsidR="00E77B7A">
              <w:rPr>
                <w:color w:val="0D0D0D" w:themeColor="text1" w:themeTint="F2"/>
                <w:spacing w:val="-4"/>
                <w:lang w:val="en-GB"/>
              </w:rPr>
              <w:t xml:space="preserve">, the volume of the industrial production thus stagnated at the end of the year, and it even slightly decreased in the majority of significant branches (except for energy and chemical industries). </w:t>
            </w:r>
            <w:r w:rsidR="00605A97">
              <w:rPr>
                <w:color w:val="0D0D0D" w:themeColor="text1" w:themeTint="F2"/>
                <w:spacing w:val="-4"/>
                <w:lang w:val="en-GB"/>
              </w:rPr>
              <w:t xml:space="preserve">In comparison to the pre-pandemic maximum from May </w:t>
            </w:r>
            <w:r w:rsidRPr="00F529FB">
              <w:rPr>
                <w:color w:val="0D0D0D" w:themeColor="text1" w:themeTint="F2"/>
                <w:spacing w:val="-4"/>
                <w:lang w:val="en-GB"/>
              </w:rPr>
              <w:t>2019</w:t>
            </w:r>
            <w:r w:rsidR="00605A97">
              <w:rPr>
                <w:color w:val="0D0D0D" w:themeColor="text1" w:themeTint="F2"/>
                <w:spacing w:val="-4"/>
                <w:lang w:val="en-GB"/>
              </w:rPr>
              <w:t>, the industrial production was still significantly falling behind in the last month of the last year</w:t>
            </w:r>
            <w:r w:rsidRPr="00F529FB">
              <w:rPr>
                <w:color w:val="0D0D0D" w:themeColor="text1" w:themeTint="F2"/>
                <w:spacing w:val="-4"/>
                <w:lang w:val="en-GB"/>
              </w:rPr>
              <w:t xml:space="preserve"> (</w:t>
            </w:r>
            <w:r w:rsidR="00605A97">
              <w:rPr>
                <w:color w:val="0D0D0D" w:themeColor="text1" w:themeTint="F2"/>
                <w:spacing w:val="-4"/>
                <w:lang w:val="en-GB"/>
              </w:rPr>
              <w:t xml:space="preserve">by </w:t>
            </w:r>
            <w:r w:rsidRPr="00F529FB">
              <w:rPr>
                <w:color w:val="0D0D0D" w:themeColor="text1" w:themeTint="F2"/>
                <w:spacing w:val="-4"/>
                <w:lang w:val="en-GB"/>
              </w:rPr>
              <w:t>6</w:t>
            </w:r>
            <w:r w:rsidR="00605A97">
              <w:rPr>
                <w:color w:val="0D0D0D" w:themeColor="text1" w:themeTint="F2"/>
                <w:spacing w:val="-4"/>
                <w:lang w:val="en-GB"/>
              </w:rPr>
              <w:t>.</w:t>
            </w:r>
            <w:r w:rsidRPr="00F529FB">
              <w:rPr>
                <w:color w:val="0D0D0D" w:themeColor="text1" w:themeTint="F2"/>
                <w:spacing w:val="-4"/>
                <w:lang w:val="en-GB"/>
              </w:rPr>
              <w:t>1%).</w:t>
            </w:r>
          </w:p>
        </w:tc>
      </w:tr>
      <w:tr w:rsidR="00F77A50" w:rsidRPr="006237E6" w14:paraId="15B833DC" w14:textId="77777777" w:rsidTr="00B3385E">
        <w:trPr>
          <w:trHeight w:val="155"/>
        </w:trPr>
        <w:tc>
          <w:tcPr>
            <w:tcW w:w="1728" w:type="dxa"/>
            <w:shd w:val="clear" w:color="auto" w:fill="auto"/>
            <w:tcMar>
              <w:left w:w="0" w:type="dxa"/>
            </w:tcMar>
          </w:tcPr>
          <w:p w14:paraId="1630A1E2" w14:textId="02116793" w:rsidR="00F77A50" w:rsidRPr="000D7082" w:rsidRDefault="008D62D6" w:rsidP="00B3385E">
            <w:pPr>
              <w:pStyle w:val="Marginlie"/>
              <w:rPr>
                <w:spacing w:val="-4"/>
                <w:lang w:val="en-GB"/>
              </w:rPr>
            </w:pPr>
            <w:r>
              <w:rPr>
                <w:spacing w:val="-4"/>
                <w:lang w:val="en-GB"/>
              </w:rPr>
              <w:t>Without including the manufacture of motor vehicles, the year-on-year growth of the industrial production would also continue in H</w:t>
            </w:r>
            <w:r w:rsidR="00F77A50" w:rsidRPr="000D7082">
              <w:rPr>
                <w:spacing w:val="-4"/>
                <w:lang w:val="en-GB"/>
              </w:rPr>
              <w:t>2</w:t>
            </w:r>
            <w:r>
              <w:rPr>
                <w:spacing w:val="-4"/>
                <w:lang w:val="en-GB"/>
              </w:rPr>
              <w:t xml:space="preserve"> </w:t>
            </w:r>
            <w:r w:rsidR="00F77A50" w:rsidRPr="000D7082">
              <w:rPr>
                <w:spacing w:val="-4"/>
                <w:lang w:val="en-GB"/>
              </w:rPr>
              <w:t>2021.</w:t>
            </w:r>
          </w:p>
        </w:tc>
        <w:tc>
          <w:tcPr>
            <w:tcW w:w="206" w:type="dxa"/>
            <w:shd w:val="clear" w:color="auto" w:fill="auto"/>
            <w:tcMar>
              <w:left w:w="0" w:type="dxa"/>
            </w:tcMar>
          </w:tcPr>
          <w:p w14:paraId="62BF2AD3" w14:textId="77777777" w:rsidR="00F77A50" w:rsidRPr="000D7082" w:rsidRDefault="00F77A50" w:rsidP="00B3385E">
            <w:pPr>
              <w:pStyle w:val="Textpoznpodarou"/>
              <w:jc w:val="both"/>
              <w:rPr>
                <w:spacing w:val="-4"/>
                <w:lang w:val="en-GB"/>
              </w:rPr>
            </w:pPr>
          </w:p>
        </w:tc>
        <w:tc>
          <w:tcPr>
            <w:tcW w:w="7730" w:type="dxa"/>
            <w:shd w:val="clear" w:color="auto" w:fill="auto"/>
            <w:tcMar>
              <w:left w:w="0" w:type="dxa"/>
            </w:tcMar>
          </w:tcPr>
          <w:p w14:paraId="5ADAC4AE" w14:textId="1C4A3B8C" w:rsidR="00F77A50" w:rsidRPr="000D7082" w:rsidRDefault="00680443" w:rsidP="00B3385E">
            <w:pPr>
              <w:spacing w:after="200"/>
              <w:rPr>
                <w:spacing w:val="-4"/>
                <w:lang w:val="en-GB"/>
              </w:rPr>
            </w:pPr>
            <w:r>
              <w:rPr>
                <w:color w:val="0D0D0D" w:themeColor="text1" w:themeTint="F2"/>
                <w:spacing w:val="-4"/>
                <w:lang w:val="en-GB"/>
              </w:rPr>
              <w:t xml:space="preserve">The industrial production went up by </w:t>
            </w:r>
            <w:r w:rsidR="00F77A50" w:rsidRPr="000D7082">
              <w:rPr>
                <w:spacing w:val="-4"/>
                <w:lang w:val="en-GB"/>
              </w:rPr>
              <w:t>6</w:t>
            </w:r>
            <w:r>
              <w:rPr>
                <w:spacing w:val="-4"/>
                <w:lang w:val="en-GB"/>
              </w:rPr>
              <w:t>.</w:t>
            </w:r>
            <w:r w:rsidR="00F77A50" w:rsidRPr="000D7082">
              <w:rPr>
                <w:spacing w:val="-4"/>
                <w:lang w:val="en-GB"/>
              </w:rPr>
              <w:t>6%</w:t>
            </w:r>
            <w:r>
              <w:rPr>
                <w:spacing w:val="-4"/>
                <w:lang w:val="en-GB"/>
              </w:rPr>
              <w:t xml:space="preserve"> year-on-year for the </w:t>
            </w:r>
            <w:proofErr w:type="gramStart"/>
            <w:r>
              <w:rPr>
                <w:spacing w:val="-4"/>
                <w:lang w:val="en-GB"/>
              </w:rPr>
              <w:t>whole</w:t>
            </w:r>
            <w:proofErr w:type="gramEnd"/>
            <w:r>
              <w:rPr>
                <w:spacing w:val="-4"/>
                <w:lang w:val="en-GB"/>
              </w:rPr>
              <w:t xml:space="preserve"> last year</w:t>
            </w:r>
            <w:r w:rsidR="00F77A50" w:rsidRPr="000D7082">
              <w:rPr>
                <w:spacing w:val="-4"/>
                <w:lang w:val="en-GB"/>
              </w:rPr>
              <w:t xml:space="preserve"> (</w:t>
            </w:r>
            <w:r>
              <w:rPr>
                <w:spacing w:val="-4"/>
                <w:lang w:val="en-GB"/>
              </w:rPr>
              <w:t xml:space="preserve">it slumped by 7.2% mainly due to the Spring temporary shutdowns for year </w:t>
            </w:r>
            <w:r w:rsidR="00F77A50" w:rsidRPr="000D7082">
              <w:rPr>
                <w:spacing w:val="-4"/>
                <w:lang w:val="en-GB"/>
              </w:rPr>
              <w:t>2020).</w:t>
            </w:r>
            <w:r>
              <w:rPr>
                <w:spacing w:val="-4"/>
                <w:lang w:val="en-GB"/>
              </w:rPr>
              <w:t xml:space="preserve"> The industry performance however slightly shrank </w:t>
            </w:r>
            <w:r w:rsidR="00F77A50" w:rsidRPr="000D7082">
              <w:rPr>
                <w:spacing w:val="-4"/>
                <w:lang w:val="en-GB"/>
              </w:rPr>
              <w:t>(</w:t>
            </w:r>
            <w:r>
              <w:rPr>
                <w:spacing w:val="-4"/>
                <w:lang w:val="en-GB"/>
              </w:rPr>
              <w:t xml:space="preserve">by </w:t>
            </w:r>
            <w:r w:rsidR="00F77A50" w:rsidRPr="00680443">
              <w:rPr>
                <w:spacing w:val="-4"/>
                <w:lang w:val="en-GB"/>
              </w:rPr>
              <w:t>0</w:t>
            </w:r>
            <w:r w:rsidRPr="00680443">
              <w:rPr>
                <w:spacing w:val="-4"/>
                <w:lang w:val="en-GB"/>
              </w:rPr>
              <w:t>.</w:t>
            </w:r>
            <w:r w:rsidR="00F77A50" w:rsidRPr="00680443">
              <w:rPr>
                <w:spacing w:val="-4"/>
                <w:lang w:val="en-GB"/>
              </w:rPr>
              <w:t>1%, resp. 1</w:t>
            </w:r>
            <w:r w:rsidRPr="00680443">
              <w:rPr>
                <w:spacing w:val="-4"/>
                <w:lang w:val="en-GB"/>
              </w:rPr>
              <w:t>.</w:t>
            </w:r>
            <w:r w:rsidR="00F77A50" w:rsidRPr="00680443">
              <w:rPr>
                <w:spacing w:val="-4"/>
                <w:lang w:val="en-GB"/>
              </w:rPr>
              <w:t>9%)</w:t>
            </w:r>
            <w:r w:rsidRPr="00680443">
              <w:rPr>
                <w:spacing w:val="-4"/>
                <w:lang w:val="en-GB"/>
              </w:rPr>
              <w:t xml:space="preserve"> in both Q3 and 4</w:t>
            </w:r>
            <w:r w:rsidR="00F77A50" w:rsidRPr="00680443">
              <w:rPr>
                <w:spacing w:val="-4"/>
                <w:lang w:val="en-GB"/>
              </w:rPr>
              <w:t xml:space="preserve">. </w:t>
            </w:r>
            <w:r>
              <w:rPr>
                <w:spacing w:val="-4"/>
                <w:lang w:val="en-GB"/>
              </w:rPr>
              <w:t>It was to a large extent due to the effect of motor vehicle industry,</w:t>
            </w:r>
            <w:r w:rsidR="00F77A50" w:rsidRPr="00680443">
              <w:rPr>
                <w:spacing w:val="-4"/>
                <w:lang w:val="en-GB"/>
              </w:rPr>
              <w:t xml:space="preserve"> </w:t>
            </w:r>
            <w:r w:rsidRPr="00680443">
              <w:rPr>
                <w:spacing w:val="-4"/>
                <w:lang w:val="en-GB"/>
              </w:rPr>
              <w:t xml:space="preserve">whose dynamics was except for the above stated factors also affected by the high last year‘s comparative basis. </w:t>
            </w:r>
            <w:r>
              <w:rPr>
                <w:spacing w:val="-4"/>
                <w:lang w:val="en-GB"/>
              </w:rPr>
              <w:t xml:space="preserve">Excluding this branch, the industry would thus continue to grow in the second half of the last year </w:t>
            </w:r>
            <w:r w:rsidR="00F77A50" w:rsidRPr="00680443">
              <w:rPr>
                <w:spacing w:val="-4"/>
                <w:lang w:val="en-GB"/>
              </w:rPr>
              <w:t>(+4</w:t>
            </w:r>
            <w:r>
              <w:rPr>
                <w:spacing w:val="-4"/>
                <w:lang w:val="en-GB"/>
              </w:rPr>
              <w:t>.</w:t>
            </w:r>
            <w:r w:rsidR="00F77A50" w:rsidRPr="00680443">
              <w:rPr>
                <w:spacing w:val="-4"/>
                <w:lang w:val="en-GB"/>
              </w:rPr>
              <w:t>1%, resp. +1</w:t>
            </w:r>
            <w:r>
              <w:rPr>
                <w:spacing w:val="-4"/>
                <w:lang w:val="en-GB"/>
              </w:rPr>
              <w:t>.</w:t>
            </w:r>
            <w:r w:rsidR="00F77A50" w:rsidRPr="00680443">
              <w:rPr>
                <w:spacing w:val="-4"/>
                <w:lang w:val="en-GB"/>
              </w:rPr>
              <w:t>8%)</w:t>
            </w:r>
            <w:r w:rsidR="00F77A50" w:rsidRPr="00680443">
              <w:rPr>
                <w:rStyle w:val="Znakapoznpodarou"/>
                <w:spacing w:val="-4"/>
                <w:lang w:val="en-GB"/>
              </w:rPr>
              <w:footnoteReference w:id="27"/>
            </w:r>
            <w:r w:rsidR="00F77A50" w:rsidRPr="00680443">
              <w:rPr>
                <w:spacing w:val="-4"/>
                <w:lang w:val="en-GB"/>
              </w:rPr>
              <w:t>.</w:t>
            </w:r>
          </w:p>
        </w:tc>
      </w:tr>
      <w:tr w:rsidR="00F77A50" w:rsidRPr="006237E6" w14:paraId="5F76AB5A" w14:textId="77777777" w:rsidTr="00B3385E">
        <w:trPr>
          <w:trHeight w:val="155"/>
        </w:trPr>
        <w:tc>
          <w:tcPr>
            <w:tcW w:w="1728" w:type="dxa"/>
            <w:shd w:val="clear" w:color="auto" w:fill="auto"/>
            <w:tcMar>
              <w:left w:w="0" w:type="dxa"/>
            </w:tcMar>
          </w:tcPr>
          <w:p w14:paraId="3221ABC0" w14:textId="4479EA1C" w:rsidR="00F77A50" w:rsidRPr="002511CC" w:rsidRDefault="002511CC" w:rsidP="002511CC">
            <w:pPr>
              <w:pStyle w:val="Marginlie"/>
              <w:rPr>
                <w:spacing w:val="-4"/>
                <w:lang w:val="en-GB"/>
              </w:rPr>
            </w:pPr>
            <w:r>
              <w:rPr>
                <w:spacing w:val="-4"/>
                <w:lang w:val="en-GB"/>
              </w:rPr>
              <w:t xml:space="preserve">Manufacture of metal products contributed the </w:t>
            </w:r>
            <w:r w:rsidRPr="002511CC">
              <w:rPr>
                <w:spacing w:val="-4"/>
                <w:lang w:val="en-GB"/>
              </w:rPr>
              <w:t>most to the last year’s growth of the industrial output. Metallurg</w:t>
            </w:r>
            <w:r>
              <w:rPr>
                <w:spacing w:val="-4"/>
                <w:lang w:val="en-GB"/>
              </w:rPr>
              <w:t>y</w:t>
            </w:r>
            <w:r w:rsidRPr="002511CC">
              <w:rPr>
                <w:spacing w:val="-4"/>
                <w:lang w:val="en-GB"/>
              </w:rPr>
              <w:t xml:space="preserve">, chemical industry, machinery or electrotechnical engineering also prospered. </w:t>
            </w:r>
          </w:p>
          <w:p w14:paraId="50C6AEEE" w14:textId="77777777" w:rsidR="00F77A50" w:rsidRPr="00680443" w:rsidRDefault="00F77A50" w:rsidP="00B3385E">
            <w:pPr>
              <w:pStyle w:val="Marginlie"/>
              <w:rPr>
                <w:spacing w:val="-4"/>
                <w:lang w:val="en-GB"/>
              </w:rPr>
            </w:pPr>
          </w:p>
          <w:p w14:paraId="7131B38E" w14:textId="77777777" w:rsidR="00F77A50" w:rsidRPr="00680443" w:rsidRDefault="00F77A50" w:rsidP="00B3385E">
            <w:pPr>
              <w:pStyle w:val="Marginlie"/>
              <w:rPr>
                <w:spacing w:val="-4"/>
                <w:lang w:val="en-GB"/>
              </w:rPr>
            </w:pPr>
          </w:p>
          <w:p w14:paraId="1AC23949" w14:textId="30185593" w:rsidR="00F77A50" w:rsidRPr="00680443" w:rsidRDefault="000F3669" w:rsidP="00B3385E">
            <w:pPr>
              <w:pStyle w:val="Marginlie"/>
              <w:rPr>
                <w:spacing w:val="-4"/>
                <w:lang w:val="en-GB"/>
              </w:rPr>
            </w:pPr>
            <w:r>
              <w:rPr>
                <w:spacing w:val="-4"/>
                <w:lang w:val="en-GB"/>
              </w:rPr>
              <w:t xml:space="preserve">Recovery of the motor vehicle industry </w:t>
            </w:r>
            <w:proofErr w:type="gramStart"/>
            <w:r>
              <w:rPr>
                <w:spacing w:val="-4"/>
                <w:lang w:val="en-GB"/>
              </w:rPr>
              <w:t>was subdued</w:t>
            </w:r>
            <w:proofErr w:type="gramEnd"/>
            <w:r>
              <w:rPr>
                <w:spacing w:val="-4"/>
                <w:lang w:val="en-GB"/>
              </w:rPr>
              <w:t xml:space="preserve"> by the difficulties with the availability of production components during the whole year. </w:t>
            </w:r>
          </w:p>
        </w:tc>
        <w:tc>
          <w:tcPr>
            <w:tcW w:w="206" w:type="dxa"/>
            <w:shd w:val="clear" w:color="auto" w:fill="auto"/>
            <w:tcMar>
              <w:left w:w="0" w:type="dxa"/>
            </w:tcMar>
          </w:tcPr>
          <w:p w14:paraId="281C722C" w14:textId="77777777" w:rsidR="00F77A50" w:rsidRPr="00680443" w:rsidRDefault="00F77A50" w:rsidP="00B3385E">
            <w:pPr>
              <w:pStyle w:val="Textpoznpodarou"/>
              <w:jc w:val="both"/>
              <w:rPr>
                <w:spacing w:val="-4"/>
                <w:lang w:val="en-GB"/>
              </w:rPr>
            </w:pPr>
          </w:p>
        </w:tc>
        <w:tc>
          <w:tcPr>
            <w:tcW w:w="7730" w:type="dxa"/>
            <w:shd w:val="clear" w:color="auto" w:fill="auto"/>
            <w:tcMar>
              <w:left w:w="0" w:type="dxa"/>
            </w:tcMar>
          </w:tcPr>
          <w:p w14:paraId="6654D4DA" w14:textId="5DFC623F" w:rsidR="00F77A50" w:rsidRPr="00680443" w:rsidRDefault="00424877" w:rsidP="00B3385E">
            <w:pPr>
              <w:spacing w:after="200"/>
              <w:rPr>
                <w:color w:val="0D0D0D" w:themeColor="text1" w:themeTint="F2"/>
                <w:spacing w:val="-5"/>
                <w:lang w:val="en-GB"/>
              </w:rPr>
            </w:pPr>
            <w:r>
              <w:rPr>
                <w:spacing w:val="-5"/>
                <w:lang w:val="en-GB"/>
              </w:rPr>
              <w:t xml:space="preserve">The industry growth </w:t>
            </w:r>
            <w:proofErr w:type="gramStart"/>
            <w:r>
              <w:rPr>
                <w:spacing w:val="-5"/>
                <w:lang w:val="en-GB"/>
              </w:rPr>
              <w:t>was driven</w:t>
            </w:r>
            <w:proofErr w:type="gramEnd"/>
            <w:r>
              <w:rPr>
                <w:spacing w:val="-5"/>
                <w:lang w:val="en-GB"/>
              </w:rPr>
              <w:t xml:space="preserve"> the most by the manufacture of metal constructions and metal products for the whole year </w:t>
            </w:r>
            <w:r w:rsidR="00F77A50" w:rsidRPr="00680443">
              <w:rPr>
                <w:spacing w:val="-5"/>
                <w:lang w:val="en-GB"/>
              </w:rPr>
              <w:t>2021</w:t>
            </w:r>
            <w:r>
              <w:rPr>
                <w:spacing w:val="-5"/>
                <w:lang w:val="en-GB"/>
              </w:rPr>
              <w:t xml:space="preserve"> </w:t>
            </w:r>
            <w:r w:rsidR="00F77A50" w:rsidRPr="00680443">
              <w:rPr>
                <w:spacing w:val="-5"/>
                <w:lang w:val="en-GB"/>
              </w:rPr>
              <w:t>(</w:t>
            </w:r>
            <w:r w:rsidR="002511CC">
              <w:rPr>
                <w:spacing w:val="-5"/>
                <w:lang w:val="en-GB"/>
              </w:rPr>
              <w:t xml:space="preserve">contribution </w:t>
            </w:r>
            <w:r w:rsidR="00F77A50" w:rsidRPr="00680443">
              <w:rPr>
                <w:spacing w:val="-5"/>
                <w:lang w:val="en-GB"/>
              </w:rPr>
              <w:t>+0</w:t>
            </w:r>
            <w:r w:rsidR="002511CC">
              <w:rPr>
                <w:spacing w:val="-5"/>
                <w:lang w:val="en-GB"/>
              </w:rPr>
              <w:t>.</w:t>
            </w:r>
            <w:r w:rsidR="00F77A50" w:rsidRPr="00680443">
              <w:rPr>
                <w:spacing w:val="-5"/>
                <w:lang w:val="en-GB"/>
              </w:rPr>
              <w:t>9 p.</w:t>
            </w:r>
            <w:r w:rsidR="002511CC">
              <w:rPr>
                <w:spacing w:val="-5"/>
                <w:lang w:val="en-GB"/>
              </w:rPr>
              <w:t xml:space="preserve">p., branch growth </w:t>
            </w:r>
            <w:r w:rsidR="00F77A50" w:rsidRPr="00680443">
              <w:rPr>
                <w:spacing w:val="-5"/>
                <w:lang w:val="en-GB"/>
              </w:rPr>
              <w:t>+9</w:t>
            </w:r>
            <w:r w:rsidR="002511CC">
              <w:rPr>
                <w:spacing w:val="-5"/>
                <w:lang w:val="en-GB"/>
              </w:rPr>
              <w:t>.</w:t>
            </w:r>
            <w:r w:rsidR="00F77A50" w:rsidRPr="00680443">
              <w:rPr>
                <w:spacing w:val="-5"/>
                <w:lang w:val="en-GB"/>
              </w:rPr>
              <w:t xml:space="preserve">1%). </w:t>
            </w:r>
            <w:r>
              <w:rPr>
                <w:spacing w:val="-5"/>
                <w:lang w:val="en-GB"/>
              </w:rPr>
              <w:t xml:space="preserve">It was also associated with the revival of both domestic and foreign demand in the long-term subdued branch of metallurgy, whose performance expanded last year the most after year </w:t>
            </w:r>
            <w:r w:rsidR="00F77A50" w:rsidRPr="00680443">
              <w:rPr>
                <w:spacing w:val="-5"/>
                <w:lang w:val="en-GB"/>
              </w:rPr>
              <w:t>2010 (+11</w:t>
            </w:r>
            <w:r>
              <w:rPr>
                <w:spacing w:val="-5"/>
                <w:lang w:val="en-GB"/>
              </w:rPr>
              <w:t>.</w:t>
            </w:r>
            <w:r w:rsidR="00F77A50" w:rsidRPr="00680443">
              <w:rPr>
                <w:spacing w:val="-5"/>
                <w:lang w:val="en-GB"/>
              </w:rPr>
              <w:t xml:space="preserve">4%). </w:t>
            </w:r>
            <w:r w:rsidR="007D1AA7">
              <w:rPr>
                <w:spacing w:val="-5"/>
                <w:lang w:val="en-GB"/>
              </w:rPr>
              <w:t xml:space="preserve">Machinery strengthened by roughly </w:t>
            </w:r>
            <w:proofErr w:type="gramStart"/>
            <w:r w:rsidR="007D1AA7">
              <w:rPr>
                <w:spacing w:val="-5"/>
                <w:lang w:val="en-GB"/>
              </w:rPr>
              <w:t>one tenth</w:t>
            </w:r>
            <w:proofErr w:type="gramEnd"/>
            <w:r w:rsidR="007D1AA7">
              <w:rPr>
                <w:spacing w:val="-5"/>
                <w:lang w:val="en-GB"/>
              </w:rPr>
              <w:t xml:space="preserve"> last year, but also branches partially linked to the manufacture of transport equipment </w:t>
            </w:r>
            <w:r w:rsidR="00F77A50" w:rsidRPr="00680443">
              <w:rPr>
                <w:spacing w:val="-5"/>
                <w:lang w:val="en-GB"/>
              </w:rPr>
              <w:t xml:space="preserve">– </w:t>
            </w:r>
            <w:r w:rsidR="007D1AA7">
              <w:rPr>
                <w:spacing w:val="-5"/>
                <w:lang w:val="en-GB"/>
              </w:rPr>
              <w:t>manufacture of rubber and plastic product or electrotechnical engineering industry</w:t>
            </w:r>
            <w:r w:rsidR="00F77A50" w:rsidRPr="00680443">
              <w:rPr>
                <w:rStyle w:val="Znakapoznpodarou"/>
                <w:spacing w:val="-5"/>
                <w:lang w:val="en-GB"/>
              </w:rPr>
              <w:footnoteReference w:id="28"/>
            </w:r>
            <w:r w:rsidR="00F77A50" w:rsidRPr="00680443">
              <w:rPr>
                <w:spacing w:val="-5"/>
                <w:lang w:val="en-GB"/>
              </w:rPr>
              <w:t xml:space="preserve">. </w:t>
            </w:r>
            <w:r w:rsidR="007D1AA7">
              <w:rPr>
                <w:spacing w:val="-5"/>
                <w:lang w:val="en-GB"/>
              </w:rPr>
              <w:t xml:space="preserve">Among other more significant activities, the chemical industry prospered </w:t>
            </w:r>
            <w:r w:rsidR="00F77A50" w:rsidRPr="00680443">
              <w:rPr>
                <w:spacing w:val="-5"/>
                <w:lang w:val="en-GB"/>
              </w:rPr>
              <w:t>(+8</w:t>
            </w:r>
            <w:r w:rsidR="007D1AA7">
              <w:rPr>
                <w:spacing w:val="-5"/>
                <w:lang w:val="en-GB"/>
              </w:rPr>
              <w:t>.</w:t>
            </w:r>
            <w:r w:rsidR="00F77A50" w:rsidRPr="00680443">
              <w:rPr>
                <w:spacing w:val="-5"/>
                <w:lang w:val="en-GB"/>
              </w:rPr>
              <w:t>3%),</w:t>
            </w:r>
            <w:r w:rsidR="007D1AA7">
              <w:rPr>
                <w:spacing w:val="-5"/>
                <w:lang w:val="en-GB"/>
              </w:rPr>
              <w:t xml:space="preserve"> benefiting from the expansion of its production capacities. More than </w:t>
            </w:r>
            <w:r w:rsidR="00F77A50" w:rsidRPr="00680443">
              <w:rPr>
                <w:spacing w:val="-5"/>
                <w:lang w:val="en-GB"/>
              </w:rPr>
              <w:t xml:space="preserve">10% </w:t>
            </w:r>
            <w:r w:rsidR="007D1AA7">
              <w:rPr>
                <w:spacing w:val="-5"/>
                <w:lang w:val="en-GB"/>
              </w:rPr>
              <w:t xml:space="preserve">growth </w:t>
            </w:r>
            <w:proofErr w:type="gramStart"/>
            <w:r w:rsidR="007D1AA7">
              <w:rPr>
                <w:spacing w:val="-5"/>
                <w:lang w:val="en-GB"/>
              </w:rPr>
              <w:t>was achieved</w:t>
            </w:r>
            <w:proofErr w:type="gramEnd"/>
            <w:r w:rsidR="007D1AA7">
              <w:rPr>
                <w:spacing w:val="-5"/>
                <w:lang w:val="en-GB"/>
              </w:rPr>
              <w:t xml:space="preserve"> by the manufacture of construction materials, which tried to respond to the surging demand especially on the domestic market. </w:t>
            </w:r>
            <w:r w:rsidR="00E96F8D">
              <w:rPr>
                <w:spacing w:val="-5"/>
                <w:lang w:val="en-GB"/>
              </w:rPr>
              <w:t xml:space="preserve">Output of food industry </w:t>
            </w:r>
            <w:r w:rsidR="00F77A50" w:rsidRPr="00680443">
              <w:rPr>
                <w:spacing w:val="-5"/>
                <w:lang w:val="en-GB"/>
              </w:rPr>
              <w:t>(+4</w:t>
            </w:r>
            <w:r w:rsidR="00714D3E">
              <w:rPr>
                <w:spacing w:val="-5"/>
                <w:lang w:val="en-GB"/>
              </w:rPr>
              <w:t>.</w:t>
            </w:r>
            <w:r w:rsidR="00F77A50" w:rsidRPr="00680443">
              <w:rPr>
                <w:spacing w:val="-5"/>
                <w:lang w:val="en-GB"/>
              </w:rPr>
              <w:t xml:space="preserve">7%) </w:t>
            </w:r>
            <w:r w:rsidR="00714D3E">
              <w:rPr>
                <w:spacing w:val="-5"/>
                <w:lang w:val="en-GB"/>
              </w:rPr>
              <w:t xml:space="preserve">as well as manufacturing of computers, electronic and optical appliances </w:t>
            </w:r>
            <w:r w:rsidR="00F77A50" w:rsidRPr="00680443">
              <w:rPr>
                <w:spacing w:val="-5"/>
                <w:lang w:val="en-GB"/>
              </w:rPr>
              <w:t>(+1</w:t>
            </w:r>
            <w:r w:rsidR="00714D3E">
              <w:rPr>
                <w:spacing w:val="-5"/>
                <w:lang w:val="en-GB"/>
              </w:rPr>
              <w:t>.</w:t>
            </w:r>
            <w:r w:rsidR="00F77A50" w:rsidRPr="00680443">
              <w:rPr>
                <w:spacing w:val="-5"/>
                <w:lang w:val="en-GB"/>
              </w:rPr>
              <w:t>8 %)</w:t>
            </w:r>
            <w:r w:rsidR="00907F11">
              <w:rPr>
                <w:spacing w:val="-5"/>
                <w:lang w:val="en-GB"/>
              </w:rPr>
              <w:t xml:space="preserve"> grew slower</w:t>
            </w:r>
            <w:r w:rsidR="00F77A50" w:rsidRPr="00680443">
              <w:rPr>
                <w:spacing w:val="-5"/>
                <w:lang w:val="en-GB"/>
              </w:rPr>
              <w:t>.</w:t>
            </w:r>
            <w:r w:rsidR="00907F11">
              <w:rPr>
                <w:spacing w:val="-5"/>
                <w:lang w:val="en-GB"/>
              </w:rPr>
              <w:t xml:space="preserve"> While the food industry could rely on the relatively stable domestic demand, which </w:t>
            </w:r>
            <w:proofErr w:type="gramStart"/>
            <w:r w:rsidR="00907F11">
              <w:rPr>
                <w:spacing w:val="-5"/>
                <w:lang w:val="en-GB"/>
              </w:rPr>
              <w:t>was not more significantly affected</w:t>
            </w:r>
            <w:proofErr w:type="gramEnd"/>
            <w:r w:rsidR="00907F11">
              <w:rPr>
                <w:spacing w:val="-5"/>
                <w:lang w:val="en-GB"/>
              </w:rPr>
              <w:t xml:space="preserve"> even by the pandemics, the second mentioned branch had to overcome more long-term fluctuations of the foreign demand, which </w:t>
            </w:r>
            <w:r w:rsidR="00E96F8D">
              <w:rPr>
                <w:spacing w:val="-5"/>
                <w:lang w:val="en-GB"/>
              </w:rPr>
              <w:t>did not revive more even in the second “pandemic” year. The tradition</w:t>
            </w:r>
            <w:r w:rsidR="008C1D39">
              <w:rPr>
                <w:spacing w:val="-5"/>
                <w:lang w:val="en-GB"/>
              </w:rPr>
              <w:t>al</w:t>
            </w:r>
            <w:r w:rsidR="00E96F8D">
              <w:rPr>
                <w:spacing w:val="-5"/>
                <w:lang w:val="en-GB"/>
              </w:rPr>
              <w:t xml:space="preserve"> </w:t>
            </w:r>
            <w:r w:rsidR="00E96F8D">
              <w:rPr>
                <w:spacing w:val="-5"/>
                <w:lang w:val="en-GB"/>
              </w:rPr>
              <w:lastRenderedPageBreak/>
              <w:t>industry driver – manufacture of motor vehicles</w:t>
            </w:r>
            <w:r w:rsidR="00F77A50" w:rsidRPr="00680443">
              <w:rPr>
                <w:rStyle w:val="Znakapoznpodarou"/>
                <w:spacing w:val="-5"/>
                <w:lang w:val="en-GB"/>
              </w:rPr>
              <w:footnoteReference w:id="29"/>
            </w:r>
            <w:r w:rsidR="00F77A50" w:rsidRPr="00680443">
              <w:rPr>
                <w:spacing w:val="-5"/>
                <w:lang w:val="en-GB"/>
              </w:rPr>
              <w:t xml:space="preserve"> – </w:t>
            </w:r>
            <w:r w:rsidR="00714D3E">
              <w:rPr>
                <w:spacing w:val="-5"/>
                <w:lang w:val="en-GB"/>
              </w:rPr>
              <w:t>recorded</w:t>
            </w:r>
            <w:r w:rsidR="00E96F8D">
              <w:rPr>
                <w:spacing w:val="-5"/>
                <w:lang w:val="en-GB"/>
              </w:rPr>
              <w:t xml:space="preserve"> due to the variable production</w:t>
            </w:r>
            <w:r w:rsidR="00F77A50" w:rsidRPr="00680443">
              <w:rPr>
                <w:rStyle w:val="Znakapoznpodarou"/>
                <w:spacing w:val="-5"/>
                <w:lang w:val="en-GB"/>
              </w:rPr>
              <w:footnoteReference w:id="30"/>
            </w:r>
            <w:r w:rsidR="00F77A50" w:rsidRPr="00680443">
              <w:rPr>
                <w:spacing w:val="-5"/>
                <w:lang w:val="en-GB"/>
              </w:rPr>
              <w:t xml:space="preserve"> </w:t>
            </w:r>
            <w:r w:rsidR="00E96F8D">
              <w:rPr>
                <w:spacing w:val="-5"/>
                <w:lang w:val="en-GB"/>
              </w:rPr>
              <w:t xml:space="preserve">only </w:t>
            </w:r>
            <w:r w:rsidR="00F77A50" w:rsidRPr="00680443">
              <w:rPr>
                <w:spacing w:val="-5"/>
                <w:lang w:val="en-GB"/>
              </w:rPr>
              <w:t>3</w:t>
            </w:r>
            <w:r w:rsidR="00E96F8D">
              <w:rPr>
                <w:spacing w:val="-5"/>
                <w:lang w:val="en-GB"/>
              </w:rPr>
              <w:t>.</w:t>
            </w:r>
            <w:r w:rsidR="00F77A50" w:rsidRPr="00680443">
              <w:rPr>
                <w:spacing w:val="-5"/>
                <w:lang w:val="en-GB"/>
              </w:rPr>
              <w:t>9%</w:t>
            </w:r>
            <w:r w:rsidR="00E96F8D">
              <w:rPr>
                <w:spacing w:val="-5"/>
                <w:lang w:val="en-GB"/>
              </w:rPr>
              <w:t xml:space="preserve"> production growth last year </w:t>
            </w:r>
            <w:r w:rsidR="00F77A50" w:rsidRPr="00680443">
              <w:rPr>
                <w:spacing w:val="-5"/>
                <w:lang w:val="en-GB"/>
              </w:rPr>
              <w:t>(</w:t>
            </w:r>
            <w:r w:rsidR="00E96F8D">
              <w:rPr>
                <w:spacing w:val="-5"/>
                <w:lang w:val="en-GB"/>
              </w:rPr>
              <w:t xml:space="preserve">after </w:t>
            </w:r>
            <w:r w:rsidR="00F77A50" w:rsidRPr="00680443">
              <w:rPr>
                <w:spacing w:val="-5"/>
                <w:lang w:val="en-GB"/>
              </w:rPr>
              <w:t xml:space="preserve">12% </w:t>
            </w:r>
            <w:r w:rsidR="00E96F8D">
              <w:rPr>
                <w:spacing w:val="-5"/>
                <w:lang w:val="en-GB"/>
              </w:rPr>
              <w:t xml:space="preserve">slump in year </w:t>
            </w:r>
            <w:r w:rsidR="00F77A50" w:rsidRPr="00680443">
              <w:rPr>
                <w:spacing w:val="-5"/>
                <w:lang w:val="en-GB"/>
              </w:rPr>
              <w:t>2020) a</w:t>
            </w:r>
            <w:r w:rsidR="00E96F8D">
              <w:rPr>
                <w:spacing w:val="-5"/>
                <w:lang w:val="en-GB"/>
              </w:rPr>
              <w:t xml:space="preserve">nd it lagged behind the pre-pandemic peak </w:t>
            </w:r>
            <w:r w:rsidR="004F3ECA">
              <w:rPr>
                <w:spacing w:val="-5"/>
                <w:lang w:val="en-GB"/>
              </w:rPr>
              <w:t>(</w:t>
            </w:r>
            <w:r w:rsidR="00E96F8D">
              <w:rPr>
                <w:spacing w:val="-5"/>
                <w:lang w:val="en-GB"/>
              </w:rPr>
              <w:t>from May</w:t>
            </w:r>
            <w:r w:rsidR="00714D3E">
              <w:rPr>
                <w:spacing w:val="-5"/>
                <w:lang w:val="en-GB"/>
              </w:rPr>
              <w:t xml:space="preserve"> </w:t>
            </w:r>
            <w:r w:rsidR="00F77A50" w:rsidRPr="00680443">
              <w:rPr>
                <w:spacing w:val="-5"/>
                <w:lang w:val="en-GB"/>
              </w:rPr>
              <w:t>2019</w:t>
            </w:r>
            <w:r w:rsidR="004F3ECA">
              <w:rPr>
                <w:spacing w:val="-5"/>
                <w:lang w:val="en-GB"/>
              </w:rPr>
              <w:t>)</w:t>
            </w:r>
            <w:r w:rsidR="00714D3E">
              <w:rPr>
                <w:spacing w:val="-5"/>
                <w:lang w:val="en-GB"/>
              </w:rPr>
              <w:t xml:space="preserve"> by nearly one fifth at the end of the last year. </w:t>
            </w:r>
          </w:p>
        </w:tc>
      </w:tr>
      <w:tr w:rsidR="00F77A50" w:rsidRPr="006237E6" w14:paraId="1A9E1D0D" w14:textId="77777777" w:rsidTr="00B3385E">
        <w:trPr>
          <w:trHeight w:val="155"/>
        </w:trPr>
        <w:tc>
          <w:tcPr>
            <w:tcW w:w="1728" w:type="dxa"/>
            <w:shd w:val="clear" w:color="auto" w:fill="auto"/>
            <w:tcMar>
              <w:left w:w="0" w:type="dxa"/>
            </w:tcMar>
          </w:tcPr>
          <w:p w14:paraId="669874B5" w14:textId="504A65DF" w:rsidR="00F77A50" w:rsidRPr="00714D3E" w:rsidRDefault="00714D3E" w:rsidP="00B3385E">
            <w:pPr>
              <w:pStyle w:val="Marginlie"/>
              <w:rPr>
                <w:spacing w:val="-4"/>
                <w:lang w:val="en-GB"/>
              </w:rPr>
            </w:pPr>
            <w:r>
              <w:rPr>
                <w:spacing w:val="-4"/>
                <w:lang w:val="en-GB"/>
              </w:rPr>
              <w:lastRenderedPageBreak/>
              <w:t xml:space="preserve">Manufacturing of paper, pharmaceutical, furniture products or rail transport equipment thrived further and their output exceeded the level from year </w:t>
            </w:r>
            <w:r w:rsidR="00F77A50" w:rsidRPr="00714D3E">
              <w:rPr>
                <w:spacing w:val="-4"/>
                <w:lang w:val="en-GB"/>
              </w:rPr>
              <w:t>2019.</w:t>
            </w:r>
          </w:p>
        </w:tc>
        <w:tc>
          <w:tcPr>
            <w:tcW w:w="206" w:type="dxa"/>
            <w:shd w:val="clear" w:color="auto" w:fill="auto"/>
            <w:tcMar>
              <w:left w:w="0" w:type="dxa"/>
            </w:tcMar>
          </w:tcPr>
          <w:p w14:paraId="01C23BDE" w14:textId="77777777" w:rsidR="00F77A50" w:rsidRPr="00714D3E" w:rsidRDefault="00F77A50" w:rsidP="00B3385E">
            <w:pPr>
              <w:pStyle w:val="Textpoznpodarou"/>
              <w:jc w:val="both"/>
              <w:rPr>
                <w:spacing w:val="-4"/>
                <w:lang w:val="en-GB"/>
              </w:rPr>
            </w:pPr>
          </w:p>
        </w:tc>
        <w:tc>
          <w:tcPr>
            <w:tcW w:w="7730" w:type="dxa"/>
            <w:shd w:val="clear" w:color="auto" w:fill="auto"/>
            <w:tcMar>
              <w:left w:w="0" w:type="dxa"/>
            </w:tcMar>
          </w:tcPr>
          <w:p w14:paraId="137F6DA5" w14:textId="04391FC7" w:rsidR="00F77A50" w:rsidRPr="00714D3E" w:rsidRDefault="00714D3E" w:rsidP="00B3385E">
            <w:pPr>
              <w:spacing w:after="200"/>
              <w:rPr>
                <w:color w:val="0D0D0D" w:themeColor="text1" w:themeTint="F2"/>
                <w:spacing w:val="-4"/>
                <w:lang w:val="en-GB"/>
              </w:rPr>
            </w:pPr>
            <w:r>
              <w:rPr>
                <w:color w:val="0D0D0D" w:themeColor="text1" w:themeTint="F2"/>
                <w:spacing w:val="-4"/>
                <w:lang w:val="en-GB"/>
              </w:rPr>
              <w:t xml:space="preserve">Some smaller manufacturing subbranches flourished last year and their production already exceeded the level from year </w:t>
            </w:r>
            <w:r w:rsidR="00F77A50" w:rsidRPr="00714D3E">
              <w:rPr>
                <w:color w:val="0D0D0D" w:themeColor="text1" w:themeTint="F2"/>
                <w:spacing w:val="-4"/>
                <w:lang w:val="en-GB"/>
              </w:rPr>
              <w:t xml:space="preserve">2019. </w:t>
            </w:r>
            <w:r w:rsidR="00C139A8">
              <w:rPr>
                <w:color w:val="0D0D0D" w:themeColor="text1" w:themeTint="F2"/>
                <w:spacing w:val="-4"/>
                <w:lang w:val="en-GB"/>
              </w:rPr>
              <w:t xml:space="preserve">The example is manufacturing of other (especially rail) transport equipment </w:t>
            </w:r>
            <w:r w:rsidR="00F77A50" w:rsidRPr="00714D3E">
              <w:rPr>
                <w:color w:val="0D0D0D" w:themeColor="text1" w:themeTint="F2"/>
                <w:spacing w:val="-4"/>
                <w:lang w:val="en-GB"/>
              </w:rPr>
              <w:t>(+21</w:t>
            </w:r>
            <w:r>
              <w:rPr>
                <w:color w:val="0D0D0D" w:themeColor="text1" w:themeTint="F2"/>
                <w:spacing w:val="-4"/>
                <w:lang w:val="en-GB"/>
              </w:rPr>
              <w:t>.</w:t>
            </w:r>
            <w:r w:rsidR="00F77A50" w:rsidRPr="00714D3E">
              <w:rPr>
                <w:color w:val="0D0D0D" w:themeColor="text1" w:themeTint="F2"/>
                <w:spacing w:val="-4"/>
                <w:lang w:val="en-GB"/>
              </w:rPr>
              <w:t>4%</w:t>
            </w:r>
            <w:r>
              <w:rPr>
                <w:color w:val="0D0D0D" w:themeColor="text1" w:themeTint="F2"/>
                <w:spacing w:val="-4"/>
                <w:lang w:val="en-GB"/>
              </w:rPr>
              <w:t xml:space="preserve"> year-on-year, the most after year </w:t>
            </w:r>
            <w:r w:rsidR="00F77A50" w:rsidRPr="00714D3E">
              <w:rPr>
                <w:color w:val="0D0D0D" w:themeColor="text1" w:themeTint="F2"/>
                <w:spacing w:val="-4"/>
                <w:lang w:val="en-GB"/>
              </w:rPr>
              <w:t xml:space="preserve">2011), </w:t>
            </w:r>
            <w:r w:rsidR="00D04E27">
              <w:rPr>
                <w:color w:val="0D0D0D" w:themeColor="text1" w:themeTint="F2"/>
                <w:spacing w:val="-4"/>
                <w:lang w:val="en-GB"/>
              </w:rPr>
              <w:t>wh</w:t>
            </w:r>
            <w:r w:rsidR="00C139A8">
              <w:rPr>
                <w:color w:val="0D0D0D" w:themeColor="text1" w:themeTint="F2"/>
                <w:spacing w:val="-4"/>
                <w:lang w:val="en-GB"/>
              </w:rPr>
              <w:t>ere the high volume of domestic orders negotiated in year 2020 was apparent. Both domestic and foreign demand assisted the manufacturers of furniture, whose output increased by more than one tenth last year and continued thus in the swift growth during the period of pre-pandemic business cycle peak</w:t>
            </w:r>
            <w:r w:rsidR="007A50A1">
              <w:rPr>
                <w:color w:val="0D0D0D" w:themeColor="text1" w:themeTint="F2"/>
                <w:spacing w:val="-4"/>
                <w:lang w:val="en-GB"/>
              </w:rPr>
              <w:t>.</w:t>
            </w:r>
            <w:r w:rsidR="00F77A50" w:rsidRPr="00714D3E">
              <w:rPr>
                <w:color w:val="0D0D0D" w:themeColor="text1" w:themeTint="F2"/>
                <w:spacing w:val="-4"/>
                <w:lang w:val="en-GB"/>
              </w:rPr>
              <w:t xml:space="preserve"> </w:t>
            </w:r>
            <w:r w:rsidR="00FD66A4">
              <w:rPr>
                <w:color w:val="0D0D0D" w:themeColor="text1" w:themeTint="F2"/>
                <w:spacing w:val="-4"/>
                <w:lang w:val="en-GB"/>
              </w:rPr>
              <w:t xml:space="preserve">Pharmaceutical, paper and other manufacturing industry (including for instance manufacturing of medical instruments, sports equipment, games and toys) </w:t>
            </w:r>
            <w:r w:rsidR="00FD66A4">
              <w:rPr>
                <w:color w:val="000000" w:themeColor="text1"/>
                <w:spacing w:val="-4"/>
                <w:lang w:val="en-GB"/>
              </w:rPr>
              <w:t xml:space="preserve">belong to the long-time growth branches, where the demand was expanding also during the pandemics. </w:t>
            </w:r>
            <w:r w:rsidR="009E3A31">
              <w:rPr>
                <w:color w:val="000000" w:themeColor="text1"/>
                <w:spacing w:val="-4"/>
                <w:lang w:val="en-GB"/>
              </w:rPr>
              <w:t xml:space="preserve">Manufacture of clothing, which </w:t>
            </w:r>
            <w:proofErr w:type="gramStart"/>
            <w:r w:rsidR="009E3A31">
              <w:rPr>
                <w:color w:val="000000" w:themeColor="text1"/>
                <w:spacing w:val="-4"/>
                <w:lang w:val="en-GB"/>
              </w:rPr>
              <w:t>was limited</w:t>
            </w:r>
            <w:proofErr w:type="gramEnd"/>
            <w:r w:rsidR="009E3A31">
              <w:rPr>
                <w:color w:val="000000" w:themeColor="text1"/>
                <w:spacing w:val="-4"/>
                <w:lang w:val="en-GB"/>
              </w:rPr>
              <w:t xml:space="preserve"> by the persisting weaker foreign demand, on the contrary still faced difficulties. Output of wood industry also decreased last year </w:t>
            </w:r>
            <w:r w:rsidR="00F77A50" w:rsidRPr="00714D3E">
              <w:rPr>
                <w:color w:val="000000" w:themeColor="text1"/>
                <w:spacing w:val="-4"/>
                <w:lang w:val="en-GB"/>
              </w:rPr>
              <w:t>(</w:t>
            </w:r>
            <w:r w:rsidR="009E3A31">
              <w:rPr>
                <w:color w:val="000000" w:themeColor="text1"/>
                <w:spacing w:val="-4"/>
                <w:lang w:val="en-GB"/>
              </w:rPr>
              <w:t xml:space="preserve">by </w:t>
            </w:r>
            <w:r w:rsidR="00F77A50" w:rsidRPr="00714D3E">
              <w:rPr>
                <w:color w:val="000000" w:themeColor="text1"/>
                <w:spacing w:val="-4"/>
                <w:lang w:val="en-GB"/>
              </w:rPr>
              <w:t>5</w:t>
            </w:r>
            <w:r w:rsidR="009E3A31">
              <w:rPr>
                <w:color w:val="000000" w:themeColor="text1"/>
                <w:spacing w:val="-4"/>
                <w:lang w:val="en-GB"/>
              </w:rPr>
              <w:t>.</w:t>
            </w:r>
            <w:r w:rsidR="00F77A50" w:rsidRPr="00714D3E">
              <w:rPr>
                <w:color w:val="000000" w:themeColor="text1"/>
                <w:spacing w:val="-4"/>
                <w:lang w:val="en-GB"/>
              </w:rPr>
              <w:t xml:space="preserve">5%), </w:t>
            </w:r>
            <w:r w:rsidR="009E3A31">
              <w:rPr>
                <w:color w:val="000000" w:themeColor="text1"/>
                <w:spacing w:val="-4"/>
                <w:lang w:val="en-GB"/>
              </w:rPr>
              <w:t xml:space="preserve">which was connected to the retreat of the bark beetle outbreak. </w:t>
            </w:r>
          </w:p>
        </w:tc>
      </w:tr>
      <w:tr w:rsidR="00F77A50" w:rsidRPr="006237E6" w14:paraId="72734BCB" w14:textId="77777777" w:rsidTr="00B3385E">
        <w:trPr>
          <w:trHeight w:val="155"/>
        </w:trPr>
        <w:tc>
          <w:tcPr>
            <w:tcW w:w="1728" w:type="dxa"/>
            <w:shd w:val="clear" w:color="auto" w:fill="auto"/>
            <w:tcMar>
              <w:left w:w="0" w:type="dxa"/>
            </w:tcMar>
          </w:tcPr>
          <w:p w14:paraId="719DAE16" w14:textId="77777777" w:rsidR="00F77A50" w:rsidRPr="00BE54BF" w:rsidRDefault="00F77A50" w:rsidP="00B3385E">
            <w:pPr>
              <w:pStyle w:val="Marginlie"/>
            </w:pPr>
          </w:p>
        </w:tc>
        <w:tc>
          <w:tcPr>
            <w:tcW w:w="206" w:type="dxa"/>
            <w:shd w:val="clear" w:color="auto" w:fill="auto"/>
            <w:tcMar>
              <w:left w:w="0" w:type="dxa"/>
            </w:tcMar>
          </w:tcPr>
          <w:p w14:paraId="492C839E" w14:textId="77777777" w:rsidR="00F77A50" w:rsidRPr="003B1401" w:rsidRDefault="00F77A50" w:rsidP="00B3385E">
            <w:pPr>
              <w:pStyle w:val="Textpoznpodarou"/>
              <w:jc w:val="both"/>
              <w:rPr>
                <w:spacing w:val="-4"/>
              </w:rPr>
            </w:pPr>
          </w:p>
        </w:tc>
        <w:tc>
          <w:tcPr>
            <w:tcW w:w="7730" w:type="dxa"/>
            <w:shd w:val="clear" w:color="auto" w:fill="auto"/>
            <w:tcMar>
              <w:left w:w="0" w:type="dxa"/>
            </w:tcMar>
          </w:tcPr>
          <w:p w14:paraId="4BC22787" w14:textId="5488C887" w:rsidR="00F77A50" w:rsidRPr="00965AD0" w:rsidRDefault="00FD66A4" w:rsidP="00B3385E">
            <w:pPr>
              <w:spacing w:after="0"/>
              <w:rPr>
                <w:spacing w:val="-4"/>
              </w:rPr>
            </w:pPr>
            <w:r>
              <w:rPr>
                <w:rFonts w:cs="Arial"/>
                <w:b/>
                <w:bCs/>
                <w:color w:val="000000"/>
                <w:szCs w:val="20"/>
              </w:rPr>
              <w:t xml:space="preserve">Chart </w:t>
            </w:r>
            <w:r w:rsidR="00F77A50" w:rsidRPr="00883202">
              <w:rPr>
                <w:rFonts w:cs="Arial"/>
                <w:b/>
                <w:bCs/>
                <w:color w:val="000000"/>
                <w:szCs w:val="20"/>
              </w:rPr>
              <w:t>4</w:t>
            </w:r>
            <w:r w:rsidR="00F77A50">
              <w:rPr>
                <w:rFonts w:cs="Arial"/>
                <w:b/>
                <w:bCs/>
                <w:color w:val="000000"/>
                <w:szCs w:val="20"/>
              </w:rPr>
              <w:t xml:space="preserve"> </w:t>
            </w:r>
            <w:r w:rsidR="00F77A50" w:rsidRPr="00883202">
              <w:rPr>
                <w:rFonts w:cs="Arial"/>
                <w:b/>
                <w:bCs/>
                <w:color w:val="000000"/>
                <w:szCs w:val="20"/>
              </w:rPr>
              <w:t xml:space="preserve"> </w:t>
            </w:r>
            <w:r w:rsidR="00C02B16" w:rsidRPr="00D970F7">
              <w:rPr>
                <w:b/>
                <w:spacing w:val="-2"/>
                <w:lang w:val="en-GB"/>
              </w:rPr>
              <w:t xml:space="preserve">Contributions of sub-branches to the year-on-year change of the industrial </w:t>
            </w:r>
            <w:r w:rsidR="00C02B16" w:rsidRPr="00C02B16">
              <w:rPr>
                <w:b/>
                <w:spacing w:val="-2"/>
                <w:lang w:val="en-GB"/>
              </w:rPr>
              <w:t xml:space="preserve">production </w:t>
            </w:r>
            <w:r w:rsidR="00C02B16" w:rsidRPr="00C02B16">
              <w:rPr>
                <w:spacing w:val="-2"/>
                <w:lang w:val="en-GB"/>
              </w:rPr>
              <w:t xml:space="preserve">(in percentage points, in real terms) </w:t>
            </w:r>
            <w:r w:rsidR="00C02B16" w:rsidRPr="00C02B16">
              <w:rPr>
                <w:b/>
                <w:bCs/>
                <w:spacing w:val="-2"/>
                <w:lang w:val="en-GB"/>
              </w:rPr>
              <w:t>and sales in the whole industry</w:t>
            </w:r>
            <w:r w:rsidR="00F77A50" w:rsidRPr="00C02B16">
              <w:rPr>
                <w:b/>
                <w:lang w:val="en-GB"/>
              </w:rPr>
              <w:t xml:space="preserve"> </w:t>
            </w:r>
            <w:r w:rsidR="00F77A50" w:rsidRPr="00C02B16">
              <w:rPr>
                <w:lang w:val="en-GB"/>
              </w:rPr>
              <w:t>(</w:t>
            </w:r>
            <w:r w:rsidR="00C02B16" w:rsidRPr="00C02B16">
              <w:rPr>
                <w:lang w:val="en-GB"/>
              </w:rPr>
              <w:t xml:space="preserve">in </w:t>
            </w:r>
            <w:r w:rsidR="00F77A50" w:rsidRPr="00C02B16">
              <w:rPr>
                <w:lang w:val="en-GB"/>
              </w:rPr>
              <w:t>nomin</w:t>
            </w:r>
            <w:r w:rsidR="00C02B16" w:rsidRPr="00C02B16">
              <w:rPr>
                <w:lang w:val="en-GB"/>
              </w:rPr>
              <w:t xml:space="preserve">al terms, year-on-year, in </w:t>
            </w:r>
            <w:r w:rsidR="00F77A50" w:rsidRPr="00C02B16">
              <w:rPr>
                <w:lang w:val="en-GB"/>
              </w:rPr>
              <w:t>%)</w:t>
            </w:r>
          </w:p>
        </w:tc>
      </w:tr>
      <w:tr w:rsidR="00F77A50" w:rsidRPr="00B43216" w14:paraId="188B91C5" w14:textId="77777777" w:rsidTr="00C12FCC">
        <w:tblPrEx>
          <w:tblCellMar>
            <w:left w:w="70" w:type="dxa"/>
            <w:right w:w="70" w:type="dxa"/>
          </w:tblCellMar>
        </w:tblPrEx>
        <w:trPr>
          <w:trHeight w:val="145"/>
        </w:trPr>
        <w:tc>
          <w:tcPr>
            <w:tcW w:w="1728" w:type="dxa"/>
            <w:shd w:val="clear" w:color="auto" w:fill="auto"/>
          </w:tcPr>
          <w:p w14:paraId="4C2F9E36" w14:textId="77777777" w:rsidR="00F77A50" w:rsidRDefault="00F77A50" w:rsidP="00B3385E">
            <w:pPr>
              <w:pStyle w:val="Marginlie"/>
              <w:rPr>
                <w:spacing w:val="-4"/>
              </w:rPr>
            </w:pPr>
          </w:p>
        </w:tc>
        <w:tc>
          <w:tcPr>
            <w:tcW w:w="206" w:type="dxa"/>
            <w:shd w:val="clear" w:color="auto" w:fill="auto"/>
          </w:tcPr>
          <w:p w14:paraId="59D55402" w14:textId="77777777" w:rsidR="00F77A50" w:rsidRPr="00B43216" w:rsidRDefault="00F77A50" w:rsidP="00B3385E">
            <w:pPr>
              <w:pStyle w:val="Textpoznpodarou"/>
              <w:jc w:val="both"/>
              <w:rPr>
                <w:spacing w:val="-4"/>
              </w:rPr>
            </w:pPr>
          </w:p>
        </w:tc>
        <w:tc>
          <w:tcPr>
            <w:tcW w:w="7730" w:type="dxa"/>
            <w:shd w:val="clear" w:color="auto" w:fill="auto"/>
          </w:tcPr>
          <w:p w14:paraId="6804BB1F" w14:textId="5854C3D2" w:rsidR="00F77A50" w:rsidRPr="00241E62" w:rsidRDefault="00C12FCC" w:rsidP="00B3385E">
            <w:pPr>
              <w:spacing w:after="0"/>
              <w:rPr>
                <w:rFonts w:cs="Arial"/>
                <w:bCs/>
                <w:color w:val="000000"/>
                <w:szCs w:val="20"/>
              </w:rPr>
            </w:pPr>
            <w:r>
              <w:rPr>
                <w:noProof/>
              </w:rPr>
              <w:drawing>
                <wp:inline distT="0" distB="0" distL="0" distR="0" wp14:anchorId="46E93198" wp14:editId="1AE2BFE8">
                  <wp:extent cx="4817745" cy="3600450"/>
                  <wp:effectExtent l="0" t="0" r="1905"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77A50" w:rsidRPr="00B43216" w14:paraId="56C61B91" w14:textId="77777777" w:rsidTr="00B3385E">
        <w:trPr>
          <w:trHeight w:val="145"/>
        </w:trPr>
        <w:tc>
          <w:tcPr>
            <w:tcW w:w="1728" w:type="dxa"/>
            <w:shd w:val="clear" w:color="auto" w:fill="auto"/>
            <w:tcMar>
              <w:left w:w="0" w:type="dxa"/>
            </w:tcMar>
          </w:tcPr>
          <w:p w14:paraId="3D63EF8F" w14:textId="77777777" w:rsidR="00F77A50" w:rsidRDefault="00F77A50" w:rsidP="00B3385E">
            <w:pPr>
              <w:pStyle w:val="Marginlie"/>
              <w:rPr>
                <w:spacing w:val="-4"/>
              </w:rPr>
            </w:pPr>
          </w:p>
        </w:tc>
        <w:tc>
          <w:tcPr>
            <w:tcW w:w="206" w:type="dxa"/>
            <w:shd w:val="clear" w:color="auto" w:fill="auto"/>
            <w:tcMar>
              <w:left w:w="0" w:type="dxa"/>
            </w:tcMar>
          </w:tcPr>
          <w:p w14:paraId="3DEA153E" w14:textId="77777777" w:rsidR="00F77A50" w:rsidRPr="00B43216" w:rsidRDefault="00F77A50" w:rsidP="00B3385E">
            <w:pPr>
              <w:pStyle w:val="Textpoznpodarou"/>
              <w:jc w:val="both"/>
              <w:rPr>
                <w:spacing w:val="-4"/>
              </w:rPr>
            </w:pPr>
          </w:p>
        </w:tc>
        <w:tc>
          <w:tcPr>
            <w:tcW w:w="7730" w:type="dxa"/>
            <w:shd w:val="clear" w:color="auto" w:fill="auto"/>
            <w:tcMar>
              <w:left w:w="0" w:type="dxa"/>
            </w:tcMar>
          </w:tcPr>
          <w:p w14:paraId="583DD2A0" w14:textId="017AE59F" w:rsidR="00764231" w:rsidRPr="00C12FCC" w:rsidRDefault="00C02B16" w:rsidP="00C12FCC">
            <w:pPr>
              <w:tabs>
                <w:tab w:val="right" w:pos="7711"/>
              </w:tabs>
              <w:spacing w:after="160"/>
              <w:jc w:val="left"/>
              <w:rPr>
                <w:rFonts w:cs="Arial"/>
                <w:sz w:val="14"/>
                <w:szCs w:val="14"/>
              </w:rPr>
            </w:pPr>
            <w:r w:rsidRPr="00C02B16">
              <w:rPr>
                <w:rFonts w:cs="Arial"/>
                <w:sz w:val="14"/>
                <w:szCs w:val="14"/>
                <w:lang w:val="en-GB"/>
              </w:rPr>
              <w:t>Note</w:t>
            </w:r>
            <w:r w:rsidR="00F77A50" w:rsidRPr="00C02B16">
              <w:rPr>
                <w:rFonts w:cs="Arial"/>
                <w:sz w:val="14"/>
                <w:szCs w:val="14"/>
                <w:lang w:val="en-GB"/>
              </w:rPr>
              <w:t xml:space="preserve">: </w:t>
            </w:r>
            <w:r w:rsidRPr="00C02B16">
              <w:rPr>
                <w:rFonts w:cs="Arial"/>
                <w:sz w:val="14"/>
                <w:szCs w:val="14"/>
                <w:lang w:val="en-GB"/>
              </w:rPr>
              <w:t xml:space="preserve">Both industrial output and sales are adjusted for calendar effects. </w:t>
            </w:r>
            <w:r w:rsidR="00F77A50">
              <w:rPr>
                <w:rFonts w:cs="Arial"/>
                <w:sz w:val="14"/>
                <w:szCs w:val="14"/>
              </w:rPr>
              <w:tab/>
            </w:r>
            <w:r w:rsidR="000A1F6A">
              <w:rPr>
                <w:rFonts w:cs="Arial"/>
                <w:sz w:val="14"/>
                <w:szCs w:val="14"/>
              </w:rPr>
              <w:t>Source</w:t>
            </w:r>
            <w:r w:rsidR="00F77A50" w:rsidRPr="00883202">
              <w:rPr>
                <w:rFonts w:cs="Arial"/>
                <w:sz w:val="14"/>
                <w:szCs w:val="14"/>
              </w:rPr>
              <w:t xml:space="preserve">: </w:t>
            </w:r>
            <w:r w:rsidR="000A1F6A">
              <w:rPr>
                <w:rFonts w:cs="Arial"/>
                <w:sz w:val="14"/>
                <w:szCs w:val="14"/>
              </w:rPr>
              <w:t>CZSO</w:t>
            </w:r>
          </w:p>
        </w:tc>
      </w:tr>
      <w:tr w:rsidR="00C12FCC" w:rsidRPr="00B43216" w14:paraId="35FA6377" w14:textId="77777777" w:rsidTr="00B3385E">
        <w:trPr>
          <w:trHeight w:val="145"/>
        </w:trPr>
        <w:tc>
          <w:tcPr>
            <w:tcW w:w="1728" w:type="dxa"/>
            <w:shd w:val="clear" w:color="auto" w:fill="auto"/>
            <w:tcMar>
              <w:left w:w="0" w:type="dxa"/>
            </w:tcMar>
          </w:tcPr>
          <w:p w14:paraId="549716CD" w14:textId="6E69CA2C" w:rsidR="00C12FCC" w:rsidRPr="0037076B" w:rsidRDefault="00C12FCC" w:rsidP="00C12FCC">
            <w:pPr>
              <w:pStyle w:val="Marginlie"/>
              <w:rPr>
                <w:lang w:val="en-GB"/>
              </w:rPr>
            </w:pPr>
            <w:r>
              <w:rPr>
                <w:spacing w:val="-4"/>
                <w:lang w:val="en-GB"/>
              </w:rPr>
              <w:t xml:space="preserve">In both mining and energy </w:t>
            </w:r>
            <w:proofErr w:type="gramStart"/>
            <w:r>
              <w:rPr>
                <w:spacing w:val="-4"/>
                <w:lang w:val="en-GB"/>
              </w:rPr>
              <w:t>industry</w:t>
            </w:r>
            <w:proofErr w:type="gramEnd"/>
            <w:r>
              <w:rPr>
                <w:spacing w:val="-4"/>
                <w:lang w:val="en-GB"/>
              </w:rPr>
              <w:t xml:space="preserve"> the output mildly increased last year, however it was far from offsetting the </w:t>
            </w:r>
            <w:r>
              <w:rPr>
                <w:spacing w:val="-4"/>
                <w:lang w:val="en-GB"/>
              </w:rPr>
              <w:lastRenderedPageBreak/>
              <w:t xml:space="preserve">slump from year </w:t>
            </w:r>
            <w:r w:rsidRPr="00FD66A4">
              <w:rPr>
                <w:spacing w:val="-4"/>
                <w:lang w:val="en-GB"/>
              </w:rPr>
              <w:t>2020</w:t>
            </w:r>
            <w:r>
              <w:rPr>
                <w:spacing w:val="-4"/>
                <w:lang w:val="en-GB"/>
              </w:rPr>
              <w:t xml:space="preserve"> yet. </w:t>
            </w:r>
          </w:p>
        </w:tc>
        <w:tc>
          <w:tcPr>
            <w:tcW w:w="206" w:type="dxa"/>
            <w:shd w:val="clear" w:color="auto" w:fill="auto"/>
            <w:tcMar>
              <w:left w:w="0" w:type="dxa"/>
            </w:tcMar>
          </w:tcPr>
          <w:p w14:paraId="4352A7C4" w14:textId="77777777" w:rsidR="00C12FCC" w:rsidRPr="0037076B" w:rsidRDefault="00C12FCC" w:rsidP="00C12FCC">
            <w:pPr>
              <w:pStyle w:val="Textpoznpodarou"/>
              <w:jc w:val="both"/>
              <w:rPr>
                <w:spacing w:val="-4"/>
                <w:lang w:val="en-GB"/>
              </w:rPr>
            </w:pPr>
          </w:p>
        </w:tc>
        <w:tc>
          <w:tcPr>
            <w:tcW w:w="7730" w:type="dxa"/>
            <w:shd w:val="clear" w:color="auto" w:fill="auto"/>
            <w:tcMar>
              <w:left w:w="0" w:type="dxa"/>
            </w:tcMar>
          </w:tcPr>
          <w:p w14:paraId="54FAD641" w14:textId="6B7DE714" w:rsidR="00C12FCC" w:rsidRPr="0037076B" w:rsidRDefault="00C12FCC" w:rsidP="00C12FCC">
            <w:pPr>
              <w:spacing w:after="200"/>
              <w:rPr>
                <w:rFonts w:cs="Arial"/>
                <w:bCs/>
                <w:color w:val="0D0D0D" w:themeColor="text1" w:themeTint="F2"/>
                <w:spacing w:val="-4"/>
                <w:szCs w:val="20"/>
                <w:lang w:val="en-GB"/>
              </w:rPr>
            </w:pPr>
            <w:r>
              <w:rPr>
                <w:spacing w:val="-5"/>
                <w:lang w:val="en-GB"/>
              </w:rPr>
              <w:t>In mining and quarrying, the production expanded by even 4% year-on-year in 2021 after the record slump of the year before last</w:t>
            </w:r>
            <w:r w:rsidRPr="00FD66A4">
              <w:rPr>
                <w:rStyle w:val="Znakapoznpodarou"/>
                <w:spacing w:val="-5"/>
                <w:szCs w:val="20"/>
                <w:lang w:val="en-GB"/>
              </w:rPr>
              <w:footnoteReference w:id="31"/>
            </w:r>
            <w:r>
              <w:rPr>
                <w:spacing w:val="-5"/>
                <w:lang w:val="en-GB"/>
              </w:rPr>
              <w:t xml:space="preserve">. While the still dominant activity of coal mining continued to decline for the tenth year in a row </w:t>
            </w:r>
            <w:r w:rsidRPr="00FD66A4">
              <w:rPr>
                <w:spacing w:val="-5"/>
                <w:lang w:val="en-GB"/>
              </w:rPr>
              <w:t>(</w:t>
            </w:r>
            <w:r>
              <w:rPr>
                <w:spacing w:val="-5"/>
                <w:lang w:val="en-GB"/>
              </w:rPr>
              <w:t xml:space="preserve">the production decreased by 53% in total for this </w:t>
            </w:r>
            <w:proofErr w:type="gramStart"/>
            <w:r>
              <w:rPr>
                <w:spacing w:val="-5"/>
                <w:lang w:val="en-GB"/>
              </w:rPr>
              <w:t>time period</w:t>
            </w:r>
            <w:proofErr w:type="gramEnd"/>
            <w:r w:rsidRPr="00FD66A4">
              <w:rPr>
                <w:spacing w:val="-5"/>
                <w:lang w:val="en-GB"/>
              </w:rPr>
              <w:t xml:space="preserve">), </w:t>
            </w:r>
            <w:r>
              <w:rPr>
                <w:spacing w:val="-5"/>
                <w:lang w:val="en-GB"/>
              </w:rPr>
              <w:t xml:space="preserve">output in mining of construction materials went up by </w:t>
            </w:r>
            <w:r w:rsidRPr="00FD66A4">
              <w:rPr>
                <w:spacing w:val="-5"/>
                <w:lang w:val="en-GB"/>
              </w:rPr>
              <w:t>11</w:t>
            </w:r>
            <w:r>
              <w:rPr>
                <w:spacing w:val="-5"/>
                <w:lang w:val="en-GB"/>
              </w:rPr>
              <w:t>.</w:t>
            </w:r>
            <w:r w:rsidRPr="00FD66A4">
              <w:rPr>
                <w:spacing w:val="-5"/>
                <w:lang w:val="en-GB"/>
              </w:rPr>
              <w:t>1%</w:t>
            </w:r>
            <w:r>
              <w:rPr>
                <w:spacing w:val="-5"/>
                <w:lang w:val="en-GB"/>
              </w:rPr>
              <w:t xml:space="preserve"> last year and it mildly </w:t>
            </w:r>
            <w:r>
              <w:rPr>
                <w:spacing w:val="-5"/>
                <w:lang w:val="en-GB"/>
              </w:rPr>
              <w:lastRenderedPageBreak/>
              <w:t xml:space="preserve">exceeded the dive from year </w:t>
            </w:r>
            <w:r w:rsidRPr="00FD66A4">
              <w:rPr>
                <w:spacing w:val="-5"/>
                <w:lang w:val="en-GB"/>
              </w:rPr>
              <w:t xml:space="preserve">2020. </w:t>
            </w:r>
            <w:r>
              <w:rPr>
                <w:spacing w:val="-5"/>
                <w:lang w:val="en-GB"/>
              </w:rPr>
              <w:t>The same on the contrary did not succeed in the energy industry, even though its production increased by even 4% last year</w:t>
            </w:r>
            <w:r w:rsidRPr="00FD66A4">
              <w:rPr>
                <w:rStyle w:val="Znakapoznpodarou"/>
                <w:spacing w:val="-5"/>
                <w:lang w:val="en-GB"/>
              </w:rPr>
              <w:footnoteReference w:id="32"/>
            </w:r>
            <w:r w:rsidRPr="00FD66A4">
              <w:rPr>
                <w:spacing w:val="-5"/>
                <w:lang w:val="en-GB"/>
              </w:rPr>
              <w:t xml:space="preserve">. </w:t>
            </w:r>
            <w:r>
              <w:rPr>
                <w:spacing w:val="-5"/>
                <w:lang w:val="en-GB"/>
              </w:rPr>
              <w:t>Restrictions of shops in trade and services at the beginning of year 2021 as well as the fluctuation of year-round development of manufacturing of motor vehicles prevented the return to pre-pandemic level</w:t>
            </w:r>
            <w:r w:rsidRPr="00FD66A4">
              <w:rPr>
                <w:spacing w:val="-5"/>
                <w:lang w:val="en-GB"/>
              </w:rPr>
              <w:t>.</w:t>
            </w:r>
          </w:p>
        </w:tc>
      </w:tr>
      <w:tr w:rsidR="00C12FCC" w:rsidRPr="00B43216" w14:paraId="3C663A8B" w14:textId="77777777" w:rsidTr="00B3385E">
        <w:trPr>
          <w:trHeight w:val="145"/>
        </w:trPr>
        <w:tc>
          <w:tcPr>
            <w:tcW w:w="1728" w:type="dxa"/>
            <w:shd w:val="clear" w:color="auto" w:fill="auto"/>
            <w:tcMar>
              <w:left w:w="0" w:type="dxa"/>
            </w:tcMar>
          </w:tcPr>
          <w:p w14:paraId="091C628B" w14:textId="5AB3A899" w:rsidR="00C12FCC" w:rsidRPr="0037076B" w:rsidRDefault="00C12FCC" w:rsidP="00C12FCC">
            <w:pPr>
              <w:pStyle w:val="Marginlie"/>
              <w:rPr>
                <w:spacing w:val="0"/>
                <w:lang w:val="en-GB"/>
              </w:rPr>
            </w:pPr>
            <w:r w:rsidRPr="0037076B">
              <w:rPr>
                <w:lang w:val="en-GB"/>
              </w:rPr>
              <w:lastRenderedPageBreak/>
              <w:t>S</w:t>
            </w:r>
            <w:r>
              <w:rPr>
                <w:lang w:val="en-GB"/>
              </w:rPr>
              <w:t>trong growth of sales in coal mining, metallurgy, wood industry or manufacture of metal products was result exclusively of price growth in Q</w:t>
            </w:r>
            <w:r w:rsidRPr="0037076B">
              <w:rPr>
                <w:lang w:val="en-GB"/>
              </w:rPr>
              <w:t>4.</w:t>
            </w:r>
          </w:p>
        </w:tc>
        <w:tc>
          <w:tcPr>
            <w:tcW w:w="206" w:type="dxa"/>
            <w:shd w:val="clear" w:color="auto" w:fill="auto"/>
            <w:tcMar>
              <w:left w:w="0" w:type="dxa"/>
            </w:tcMar>
          </w:tcPr>
          <w:p w14:paraId="20FD324F" w14:textId="77777777" w:rsidR="00C12FCC" w:rsidRPr="0037076B" w:rsidRDefault="00C12FCC" w:rsidP="00C12FCC">
            <w:pPr>
              <w:pStyle w:val="Textpoznpodarou"/>
              <w:jc w:val="both"/>
              <w:rPr>
                <w:spacing w:val="-4"/>
                <w:lang w:val="en-GB"/>
              </w:rPr>
            </w:pPr>
          </w:p>
        </w:tc>
        <w:tc>
          <w:tcPr>
            <w:tcW w:w="7730" w:type="dxa"/>
            <w:shd w:val="clear" w:color="auto" w:fill="auto"/>
            <w:tcMar>
              <w:left w:w="0" w:type="dxa"/>
            </w:tcMar>
          </w:tcPr>
          <w:p w14:paraId="2C7FC2F0" w14:textId="2D4DEA22" w:rsidR="00C12FCC" w:rsidRPr="00C12FCC" w:rsidRDefault="00C12FCC" w:rsidP="00C12FCC">
            <w:pPr>
              <w:spacing w:after="200"/>
              <w:rPr>
                <w:color w:val="0D0D0D" w:themeColor="text1" w:themeTint="F2"/>
                <w:spacing w:val="-4"/>
                <w:lang w:val="en-GB"/>
              </w:rPr>
            </w:pPr>
            <w:r w:rsidRPr="00C12FCC">
              <w:rPr>
                <w:rFonts w:cs="Arial"/>
                <w:bCs/>
                <w:color w:val="0D0D0D" w:themeColor="text1" w:themeTint="F2"/>
                <w:spacing w:val="-4"/>
                <w:szCs w:val="20"/>
                <w:lang w:val="en-GB"/>
              </w:rPr>
              <w:t>The nominal sales of industrial businesses</w:t>
            </w:r>
            <w:r w:rsidRPr="00C12FCC">
              <w:rPr>
                <w:rStyle w:val="Znakapoznpodarou"/>
                <w:bCs/>
                <w:color w:val="0D0D0D" w:themeColor="text1" w:themeTint="F2"/>
                <w:spacing w:val="-4"/>
                <w:szCs w:val="20"/>
                <w:lang w:val="en-GB"/>
              </w:rPr>
              <w:footnoteReference w:id="33"/>
            </w:r>
            <w:r w:rsidRPr="00C12FCC">
              <w:rPr>
                <w:rFonts w:cs="Arial"/>
                <w:bCs/>
                <w:color w:val="0D0D0D" w:themeColor="text1" w:themeTint="F2"/>
                <w:spacing w:val="-4"/>
                <w:szCs w:val="20"/>
                <w:lang w:val="en-GB"/>
              </w:rPr>
              <w:t xml:space="preserve"> rose by 10.8% year-on-year in 2021. In Q4 itself, they grew only by 3.1%, i.e. considerably less than the production costs expressed via prices of industrial producers. Sales from direct export even ended slightly below the level from the end of year 2020, partially also for the reason that the weakening of the manufacturers of motor vehicles was more apparent here. Total sales grew the most in metallurgy (by 41.0%) in Q4, but similarly to the mining of coal (+26.3%), wood industry (+21.8%) as well as manufacturing of metal products (+13.1%) it was strictly the result of sharp price growth. It also considerably influenced the high rates of growth of sales in the chemical and paper industries. In contrast, the nearly 20% growth of sales for rail transport equipment as well as manufacturing of beverages accurately copied the growth of volume of production at the end of the last year. It was also valid in case of slump of sales of motor vehicle manufacturers, which reached nearly one fifth.</w:t>
            </w:r>
          </w:p>
        </w:tc>
      </w:tr>
      <w:tr w:rsidR="00C12FCC" w:rsidRPr="00B43216" w14:paraId="14D71409" w14:textId="77777777" w:rsidTr="00B3385E">
        <w:trPr>
          <w:trHeight w:val="155"/>
        </w:trPr>
        <w:tc>
          <w:tcPr>
            <w:tcW w:w="1728" w:type="dxa"/>
            <w:vMerge w:val="restart"/>
            <w:shd w:val="clear" w:color="auto" w:fill="auto"/>
            <w:tcMar>
              <w:left w:w="0" w:type="dxa"/>
            </w:tcMar>
          </w:tcPr>
          <w:p w14:paraId="75090F11" w14:textId="77777777" w:rsidR="00C12FCC" w:rsidRPr="00B43216" w:rsidRDefault="00C12FCC" w:rsidP="00C12FCC">
            <w:pPr>
              <w:pStyle w:val="Marginlie"/>
              <w:rPr>
                <w:spacing w:val="-4"/>
              </w:rPr>
            </w:pPr>
          </w:p>
        </w:tc>
        <w:tc>
          <w:tcPr>
            <w:tcW w:w="206" w:type="dxa"/>
            <w:vMerge w:val="restart"/>
            <w:shd w:val="clear" w:color="auto" w:fill="auto"/>
            <w:tcMar>
              <w:left w:w="0" w:type="dxa"/>
            </w:tcMar>
          </w:tcPr>
          <w:p w14:paraId="7793EA18"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0088A2B8" w14:textId="0EC9270B" w:rsidR="00C12FCC" w:rsidRPr="00760356" w:rsidRDefault="00C12FCC" w:rsidP="00C12FCC">
            <w:pPr>
              <w:pStyle w:val="Textpoznpodarou"/>
              <w:spacing w:line="276" w:lineRule="auto"/>
              <w:jc w:val="both"/>
              <w:rPr>
                <w:b/>
                <w:spacing w:val="-2"/>
              </w:rPr>
            </w:pPr>
            <w:r>
              <w:rPr>
                <w:b/>
                <w:spacing w:val="-2"/>
              </w:rPr>
              <w:t xml:space="preserve">Chart </w:t>
            </w:r>
            <w:r w:rsidRPr="00760356">
              <w:rPr>
                <w:b/>
                <w:spacing w:val="-2"/>
              </w:rPr>
              <w:t>5</w:t>
            </w:r>
            <w:r>
              <w:rPr>
                <w:b/>
                <w:spacing w:val="-2"/>
              </w:rPr>
              <w:t xml:space="preserve">  </w:t>
            </w:r>
            <w:r w:rsidRPr="000A5DBC">
              <w:rPr>
                <w:b/>
                <w:lang w:val="en-GB"/>
              </w:rPr>
              <w:t xml:space="preserve">New orders in </w:t>
            </w:r>
            <w:r>
              <w:rPr>
                <w:b/>
                <w:lang w:val="en-GB"/>
              </w:rPr>
              <w:t xml:space="preserve">industry  </w:t>
            </w:r>
            <w:r w:rsidRPr="000A5DBC">
              <w:rPr>
                <w:bCs/>
                <w:lang w:val="en-GB"/>
              </w:rPr>
              <w:t xml:space="preserve">(in </w:t>
            </w:r>
            <w:r>
              <w:rPr>
                <w:bCs/>
                <w:lang w:val="en-GB"/>
              </w:rPr>
              <w:t>nominal terms, y</w:t>
            </w:r>
            <w:r w:rsidRPr="000A5DBC">
              <w:rPr>
                <w:bCs/>
                <w:lang w:val="en-GB"/>
              </w:rPr>
              <w:t>ear-on-year change in %)</w:t>
            </w:r>
            <w:r w:rsidRPr="000A5DBC">
              <w:rPr>
                <w:b/>
                <w:lang w:val="en-GB"/>
              </w:rPr>
              <w:t>, utilisation of production capacities in industry</w:t>
            </w:r>
            <w:r>
              <w:rPr>
                <w:b/>
                <w:lang w:val="en-GB"/>
              </w:rPr>
              <w:t>, selected growth barriers</w:t>
            </w:r>
            <w:r w:rsidRPr="000A5DBC">
              <w:rPr>
                <w:b/>
                <w:lang w:val="en-GB"/>
              </w:rPr>
              <w:t xml:space="preserve">* </w:t>
            </w:r>
            <w:r w:rsidRPr="004135F4">
              <w:rPr>
                <w:bCs/>
                <w:lang w:val="en-GB"/>
              </w:rPr>
              <w:t>(in %, right axis)</w:t>
            </w:r>
            <w:r>
              <w:rPr>
                <w:b/>
                <w:lang w:val="en-GB"/>
              </w:rPr>
              <w:t xml:space="preserve"> and </w:t>
            </w:r>
            <w:r w:rsidRPr="000A5DBC">
              <w:rPr>
                <w:b/>
                <w:lang w:val="en-GB"/>
              </w:rPr>
              <w:t xml:space="preserve">balance of confidence indicator in industry* </w:t>
            </w:r>
            <w:r w:rsidRPr="000A5DBC">
              <w:rPr>
                <w:lang w:val="en-GB"/>
              </w:rPr>
              <w:t>(in points</w:t>
            </w:r>
            <w:r>
              <w:rPr>
                <w:lang w:val="en-GB"/>
              </w:rPr>
              <w:t>, right axis</w:t>
            </w:r>
            <w:r w:rsidRPr="000A5DBC">
              <w:rPr>
                <w:lang w:val="en-GB"/>
              </w:rPr>
              <w:t xml:space="preserve">) </w:t>
            </w:r>
          </w:p>
        </w:tc>
      </w:tr>
      <w:tr w:rsidR="00C12FCC" w:rsidRPr="00B43216" w14:paraId="75653557" w14:textId="77777777" w:rsidTr="00861816">
        <w:tblPrEx>
          <w:tblCellMar>
            <w:left w:w="70" w:type="dxa"/>
            <w:right w:w="70" w:type="dxa"/>
          </w:tblCellMar>
        </w:tblPrEx>
        <w:trPr>
          <w:trHeight w:val="155"/>
        </w:trPr>
        <w:tc>
          <w:tcPr>
            <w:tcW w:w="1728" w:type="dxa"/>
            <w:vMerge/>
            <w:shd w:val="clear" w:color="auto" w:fill="auto"/>
          </w:tcPr>
          <w:p w14:paraId="1A2850AD" w14:textId="77777777" w:rsidR="00C12FCC" w:rsidRPr="00B43216" w:rsidRDefault="00C12FCC" w:rsidP="00C12FCC">
            <w:pPr>
              <w:pStyle w:val="Marginlie"/>
              <w:rPr>
                <w:spacing w:val="-4"/>
              </w:rPr>
            </w:pPr>
          </w:p>
        </w:tc>
        <w:tc>
          <w:tcPr>
            <w:tcW w:w="206" w:type="dxa"/>
            <w:vMerge/>
            <w:shd w:val="clear" w:color="auto" w:fill="auto"/>
          </w:tcPr>
          <w:p w14:paraId="17ABACB1" w14:textId="77777777" w:rsidR="00C12FCC" w:rsidRPr="00B43216" w:rsidRDefault="00C12FCC" w:rsidP="00C12FCC">
            <w:pPr>
              <w:pStyle w:val="Textpoznpodarou"/>
              <w:jc w:val="both"/>
              <w:rPr>
                <w:spacing w:val="-4"/>
              </w:rPr>
            </w:pPr>
          </w:p>
        </w:tc>
        <w:tc>
          <w:tcPr>
            <w:tcW w:w="7730" w:type="dxa"/>
            <w:shd w:val="clear" w:color="auto" w:fill="auto"/>
          </w:tcPr>
          <w:p w14:paraId="300CC819" w14:textId="3B011118" w:rsidR="00C12FCC" w:rsidRPr="00B43216" w:rsidRDefault="00C12FCC" w:rsidP="00C12FCC">
            <w:pPr>
              <w:spacing w:after="0"/>
              <w:rPr>
                <w:spacing w:val="-4"/>
              </w:rPr>
            </w:pPr>
            <w:r>
              <w:rPr>
                <w:noProof/>
              </w:rPr>
              <w:drawing>
                <wp:inline distT="0" distB="0" distL="0" distR="0" wp14:anchorId="32F99884" wp14:editId="1B4D1F1D">
                  <wp:extent cx="4817745" cy="3600450"/>
                  <wp:effectExtent l="0" t="0" r="190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12FCC" w:rsidRPr="00B43216" w14:paraId="041D268D" w14:textId="77777777" w:rsidTr="00B3385E">
        <w:trPr>
          <w:trHeight w:val="152"/>
        </w:trPr>
        <w:tc>
          <w:tcPr>
            <w:tcW w:w="1728" w:type="dxa"/>
            <w:vMerge/>
            <w:shd w:val="clear" w:color="auto" w:fill="auto"/>
            <w:tcMar>
              <w:left w:w="0" w:type="dxa"/>
            </w:tcMar>
          </w:tcPr>
          <w:p w14:paraId="46BC5363" w14:textId="77777777" w:rsidR="00C12FCC" w:rsidRPr="00B43216" w:rsidRDefault="00C12FCC" w:rsidP="00C12FCC">
            <w:pPr>
              <w:pStyle w:val="Marginlie"/>
              <w:rPr>
                <w:spacing w:val="-4"/>
              </w:rPr>
            </w:pPr>
          </w:p>
        </w:tc>
        <w:tc>
          <w:tcPr>
            <w:tcW w:w="206" w:type="dxa"/>
            <w:vMerge/>
            <w:shd w:val="clear" w:color="auto" w:fill="auto"/>
            <w:tcMar>
              <w:left w:w="0" w:type="dxa"/>
            </w:tcMar>
          </w:tcPr>
          <w:p w14:paraId="41D7DA1A"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1FAE7DCF" w14:textId="62E7F936" w:rsidR="00C12FCC" w:rsidRPr="008C5037" w:rsidRDefault="00C12FCC" w:rsidP="00C12FCC">
            <w:pPr>
              <w:tabs>
                <w:tab w:val="right" w:pos="7711"/>
              </w:tabs>
              <w:spacing w:after="0"/>
              <w:rPr>
                <w:rFonts w:cs="Arial"/>
                <w:sz w:val="14"/>
                <w:szCs w:val="14"/>
              </w:rPr>
            </w:pPr>
            <w:r w:rsidRPr="00883202">
              <w:rPr>
                <w:rFonts w:cs="Arial"/>
                <w:sz w:val="14"/>
                <w:szCs w:val="14"/>
              </w:rPr>
              <w:t>*</w:t>
            </w:r>
            <w:r w:rsidRPr="000E27AC">
              <w:rPr>
                <w:rFonts w:cs="Arial"/>
                <w:sz w:val="14"/>
                <w:szCs w:val="14"/>
                <w:lang w:val="en-GB"/>
              </w:rPr>
              <w:t xml:space="preserve"> Both utilisation of production capacities and growth barriers express the situation in the first</w:t>
            </w:r>
            <w:r>
              <w:rPr>
                <w:rFonts w:cs="Arial"/>
                <w:sz w:val="14"/>
                <w:szCs w:val="14"/>
                <w:lang w:val="en-GB"/>
              </w:rPr>
              <w:t xml:space="preserve"> </w:t>
            </w:r>
            <w:r w:rsidRPr="000E27AC">
              <w:rPr>
                <w:rFonts w:cs="Arial"/>
                <w:sz w:val="14"/>
                <w:szCs w:val="14"/>
                <w:lang w:val="en-GB"/>
              </w:rPr>
              <w:t>month of the given quarter</w:t>
            </w:r>
            <w:r>
              <w:rPr>
                <w:rFonts w:cs="Arial"/>
                <w:sz w:val="14"/>
                <w:szCs w:val="14"/>
                <w:lang w:val="en-GB"/>
              </w:rPr>
              <w:t xml:space="preserve">, confidence balance relates to the second month of the quarter. Orders </w:t>
            </w:r>
            <w:proofErr w:type="gramStart"/>
            <w:r>
              <w:rPr>
                <w:rFonts w:cs="Arial"/>
                <w:sz w:val="14"/>
                <w:szCs w:val="14"/>
                <w:lang w:val="en-GB"/>
              </w:rPr>
              <w:t>are adjusted</w:t>
            </w:r>
            <w:proofErr w:type="gramEnd"/>
            <w:r>
              <w:rPr>
                <w:rFonts w:cs="Arial"/>
                <w:sz w:val="14"/>
                <w:szCs w:val="14"/>
                <w:lang w:val="en-GB"/>
              </w:rPr>
              <w:t xml:space="preserve"> for calendar effects; other indicators are seasonally adjusted. </w:t>
            </w:r>
            <w:r w:rsidRPr="000E27AC">
              <w:rPr>
                <w:rFonts w:cs="Arial"/>
                <w:sz w:val="14"/>
                <w:szCs w:val="14"/>
                <w:lang w:val="en-GB"/>
              </w:rPr>
              <w:t xml:space="preserve">Businesses could have stated more main barriers simultaneously. </w:t>
            </w:r>
            <w:r>
              <w:rPr>
                <w:rFonts w:cs="Arial"/>
                <w:sz w:val="14"/>
                <w:szCs w:val="14"/>
              </w:rPr>
              <w:tab/>
              <w:t>Source</w:t>
            </w:r>
            <w:r w:rsidRPr="00883202">
              <w:rPr>
                <w:rFonts w:cs="Arial"/>
                <w:sz w:val="14"/>
                <w:szCs w:val="14"/>
              </w:rPr>
              <w:t xml:space="preserve">: </w:t>
            </w:r>
            <w:r>
              <w:rPr>
                <w:rFonts w:cs="Arial"/>
                <w:sz w:val="14"/>
                <w:szCs w:val="14"/>
              </w:rPr>
              <w:t>CZSO, Eurostat</w:t>
            </w:r>
          </w:p>
        </w:tc>
      </w:tr>
      <w:tr w:rsidR="00C12FCC" w:rsidRPr="00191C35" w14:paraId="3FCF99F3" w14:textId="77777777" w:rsidTr="00B3385E">
        <w:trPr>
          <w:trHeight w:val="145"/>
        </w:trPr>
        <w:tc>
          <w:tcPr>
            <w:tcW w:w="1728" w:type="dxa"/>
            <w:shd w:val="clear" w:color="auto" w:fill="auto"/>
            <w:tcMar>
              <w:left w:w="0" w:type="dxa"/>
            </w:tcMar>
          </w:tcPr>
          <w:p w14:paraId="07C9C61A" w14:textId="1BB74E72" w:rsidR="00C12FCC" w:rsidRDefault="00C12FCC" w:rsidP="00C12FCC">
            <w:pPr>
              <w:pStyle w:val="Marginlie"/>
              <w:rPr>
                <w:spacing w:val="0"/>
                <w:lang w:val="en-GB"/>
              </w:rPr>
            </w:pPr>
            <w:r>
              <w:rPr>
                <w:spacing w:val="0"/>
                <w:lang w:val="en-GB"/>
              </w:rPr>
              <w:lastRenderedPageBreak/>
              <w:t>Growth of new orders in construction presented a positive signal indicating a possible increase of production volume in Q</w:t>
            </w:r>
            <w:r w:rsidRPr="00CA6BE6">
              <w:rPr>
                <w:spacing w:val="0"/>
                <w:lang w:val="en-GB"/>
              </w:rPr>
              <w:t>4.</w:t>
            </w:r>
          </w:p>
        </w:tc>
        <w:tc>
          <w:tcPr>
            <w:tcW w:w="206" w:type="dxa"/>
            <w:shd w:val="clear" w:color="auto" w:fill="auto"/>
            <w:tcMar>
              <w:left w:w="0" w:type="dxa"/>
            </w:tcMar>
          </w:tcPr>
          <w:p w14:paraId="62C17D7A" w14:textId="77777777" w:rsidR="00C12FCC" w:rsidRPr="001977EB" w:rsidRDefault="00C12FCC" w:rsidP="00C12FCC">
            <w:pPr>
              <w:pStyle w:val="Textpoznpodarou"/>
              <w:jc w:val="both"/>
              <w:rPr>
                <w:spacing w:val="-4"/>
                <w:lang w:val="en-GB"/>
              </w:rPr>
            </w:pPr>
          </w:p>
        </w:tc>
        <w:tc>
          <w:tcPr>
            <w:tcW w:w="7730" w:type="dxa"/>
            <w:shd w:val="clear" w:color="auto" w:fill="auto"/>
            <w:tcMar>
              <w:left w:w="0" w:type="dxa"/>
            </w:tcMar>
          </w:tcPr>
          <w:p w14:paraId="33F7ADB4" w14:textId="62493943" w:rsidR="00C12FCC" w:rsidRDefault="00C12FCC" w:rsidP="00C12FCC">
            <w:pPr>
              <w:spacing w:after="160"/>
              <w:rPr>
                <w:color w:val="0D0D0D" w:themeColor="text1" w:themeTint="F2"/>
                <w:spacing w:val="-4"/>
                <w:lang w:val="en-GB"/>
              </w:rPr>
            </w:pPr>
            <w:r w:rsidRPr="00CA6BE6">
              <w:rPr>
                <w:color w:val="0D0D0D" w:themeColor="text1" w:themeTint="F2"/>
                <w:spacing w:val="-4"/>
                <w:lang w:val="en-GB"/>
              </w:rPr>
              <w:t>Value of new industrial orders</w:t>
            </w:r>
            <w:r w:rsidRPr="00CA6BE6">
              <w:rPr>
                <w:rStyle w:val="Znakapoznpodarou"/>
                <w:spacing w:val="-4"/>
                <w:lang w:val="en-GB"/>
              </w:rPr>
              <w:footnoteReference w:id="34"/>
            </w:r>
            <w:r w:rsidRPr="00CA6BE6">
              <w:rPr>
                <w:color w:val="0D0D0D" w:themeColor="text1" w:themeTint="F2"/>
                <w:spacing w:val="-4"/>
                <w:lang w:val="en-GB"/>
              </w:rPr>
              <w:t xml:space="preserve"> </w:t>
            </w:r>
            <w:r>
              <w:rPr>
                <w:color w:val="0D0D0D" w:themeColor="text1" w:themeTint="F2"/>
                <w:spacing w:val="-4"/>
                <w:lang w:val="en-GB"/>
              </w:rPr>
              <w:t>increased by 3.6% year-on-year in Q</w:t>
            </w:r>
            <w:r w:rsidRPr="00CA6BE6">
              <w:rPr>
                <w:color w:val="0D0D0D" w:themeColor="text1" w:themeTint="F2"/>
                <w:spacing w:val="-4"/>
                <w:lang w:val="en-GB"/>
              </w:rPr>
              <w:t>4</w:t>
            </w:r>
            <w:r>
              <w:rPr>
                <w:color w:val="0D0D0D" w:themeColor="text1" w:themeTint="F2"/>
                <w:spacing w:val="-4"/>
                <w:lang w:val="en-GB"/>
              </w:rPr>
              <w:t xml:space="preserve"> </w:t>
            </w:r>
            <w:r w:rsidRPr="00CA6BE6">
              <w:rPr>
                <w:color w:val="0D0D0D" w:themeColor="text1" w:themeTint="F2"/>
                <w:spacing w:val="-4"/>
                <w:lang w:val="en-GB"/>
              </w:rPr>
              <w:t>2021</w:t>
            </w:r>
            <w:r>
              <w:rPr>
                <w:color w:val="0D0D0D" w:themeColor="text1" w:themeTint="F2"/>
                <w:spacing w:val="-4"/>
                <w:lang w:val="en-GB"/>
              </w:rPr>
              <w:t xml:space="preserve">, the domestic demand was rising slightly faster compared to the foreign demand. The swift growth of orders in metallurgy </w:t>
            </w:r>
            <w:r w:rsidRPr="00CA6BE6">
              <w:rPr>
                <w:color w:val="0D0D0D" w:themeColor="text1" w:themeTint="F2"/>
                <w:spacing w:val="-4"/>
                <w:lang w:val="en-GB"/>
              </w:rPr>
              <w:t>(36</w:t>
            </w:r>
            <w:r>
              <w:rPr>
                <w:color w:val="0D0D0D" w:themeColor="text1" w:themeTint="F2"/>
                <w:spacing w:val="-4"/>
                <w:lang w:val="en-GB"/>
              </w:rPr>
              <w:t>.</w:t>
            </w:r>
            <w:r w:rsidRPr="00CA6BE6">
              <w:rPr>
                <w:color w:val="0D0D0D" w:themeColor="text1" w:themeTint="F2"/>
                <w:spacing w:val="-4"/>
                <w:lang w:val="en-GB"/>
              </w:rPr>
              <w:t>5%),</w:t>
            </w:r>
            <w:r>
              <w:rPr>
                <w:color w:val="0D0D0D" w:themeColor="text1" w:themeTint="F2"/>
                <w:spacing w:val="-4"/>
                <w:lang w:val="en-GB"/>
              </w:rPr>
              <w:t xml:space="preserve"> chemical </w:t>
            </w:r>
            <w:r w:rsidRPr="00CA6BE6">
              <w:rPr>
                <w:color w:val="0D0D0D" w:themeColor="text1" w:themeTint="F2"/>
                <w:spacing w:val="-4"/>
                <w:lang w:val="en-GB"/>
              </w:rPr>
              <w:t>(46</w:t>
            </w:r>
            <w:r>
              <w:rPr>
                <w:color w:val="0D0D0D" w:themeColor="text1" w:themeTint="F2"/>
                <w:spacing w:val="-4"/>
                <w:lang w:val="en-GB"/>
              </w:rPr>
              <w:t>.</w:t>
            </w:r>
            <w:r w:rsidRPr="00CA6BE6">
              <w:rPr>
                <w:color w:val="0D0D0D" w:themeColor="text1" w:themeTint="F2"/>
                <w:spacing w:val="-4"/>
                <w:lang w:val="en-GB"/>
              </w:rPr>
              <w:t>0%)</w:t>
            </w:r>
            <w:r>
              <w:rPr>
                <w:color w:val="0D0D0D" w:themeColor="text1" w:themeTint="F2"/>
                <w:spacing w:val="-4"/>
                <w:lang w:val="en-GB"/>
              </w:rPr>
              <w:t xml:space="preserve"> as well as manufacturing of paper products </w:t>
            </w:r>
            <w:r w:rsidRPr="00CA6BE6">
              <w:rPr>
                <w:color w:val="0D0D0D" w:themeColor="text1" w:themeTint="F2"/>
                <w:spacing w:val="-4"/>
                <w:lang w:val="en-GB"/>
              </w:rPr>
              <w:t>(18</w:t>
            </w:r>
            <w:r>
              <w:rPr>
                <w:color w:val="0D0D0D" w:themeColor="text1" w:themeTint="F2"/>
                <w:spacing w:val="-4"/>
                <w:lang w:val="en-GB"/>
              </w:rPr>
              <w:t>.</w:t>
            </w:r>
            <w:r w:rsidRPr="00CA6BE6">
              <w:rPr>
                <w:color w:val="0D0D0D" w:themeColor="text1" w:themeTint="F2"/>
                <w:spacing w:val="-4"/>
                <w:lang w:val="en-GB"/>
              </w:rPr>
              <w:t>0%)</w:t>
            </w:r>
            <w:r>
              <w:rPr>
                <w:color w:val="0D0D0D" w:themeColor="text1" w:themeTint="F2"/>
                <w:spacing w:val="-4"/>
                <w:lang w:val="en-GB"/>
              </w:rPr>
              <w:t xml:space="preserve"> </w:t>
            </w:r>
            <w:r w:rsidRPr="00CA6BE6">
              <w:rPr>
                <w:color w:val="0D0D0D" w:themeColor="text1" w:themeTint="F2"/>
                <w:spacing w:val="-4"/>
                <w:lang w:val="en-GB"/>
              </w:rPr>
              <w:t>will</w:t>
            </w:r>
            <w:r>
              <w:rPr>
                <w:color w:val="0D0D0D" w:themeColor="text1" w:themeTint="F2"/>
                <w:spacing w:val="-4"/>
                <w:lang w:val="en-GB"/>
              </w:rPr>
              <w:t xml:space="preserve"> be swallowed </w:t>
            </w:r>
            <w:proofErr w:type="gramStart"/>
            <w:r>
              <w:rPr>
                <w:color w:val="0D0D0D" w:themeColor="text1" w:themeTint="F2"/>
                <w:spacing w:val="-4"/>
                <w:lang w:val="en-GB"/>
              </w:rPr>
              <w:t>to a large extent</w:t>
            </w:r>
            <w:proofErr w:type="gramEnd"/>
            <w:r>
              <w:rPr>
                <w:color w:val="0D0D0D" w:themeColor="text1" w:themeTint="F2"/>
                <w:spacing w:val="-4"/>
                <w:lang w:val="en-GB"/>
              </w:rPr>
              <w:t xml:space="preserve"> by the growing production costs of businesses. The more modest 13.2% increase of orders in machinery, with in addition a large share of domestic businesses, is thus a bigger promise with respect to the future growth of the production volume. Deteriorated short-term outlooks </w:t>
            </w:r>
            <w:proofErr w:type="gramStart"/>
            <w:r>
              <w:rPr>
                <w:color w:val="0D0D0D" w:themeColor="text1" w:themeTint="F2"/>
                <w:spacing w:val="-4"/>
                <w:lang w:val="en-GB"/>
              </w:rPr>
              <w:t>are on the contrary connected</w:t>
            </w:r>
            <w:proofErr w:type="gramEnd"/>
            <w:r>
              <w:rPr>
                <w:color w:val="0D0D0D" w:themeColor="text1" w:themeTint="F2"/>
                <w:spacing w:val="-4"/>
                <w:lang w:val="en-GB"/>
              </w:rPr>
              <w:t xml:space="preserve"> to the manufacturing of motor vehicles, where the lower volume of contracted orders </w:t>
            </w:r>
            <w:r w:rsidRPr="00CA6BE6">
              <w:rPr>
                <w:color w:val="0D0D0D" w:themeColor="text1" w:themeTint="F2"/>
                <w:spacing w:val="-4"/>
                <w:lang w:val="en-GB"/>
              </w:rPr>
              <w:t>(</w:t>
            </w:r>
            <w:r>
              <w:rPr>
                <w:color w:val="0D0D0D" w:themeColor="text1" w:themeTint="F2"/>
                <w:spacing w:val="-4"/>
                <w:lang w:val="en-GB"/>
              </w:rPr>
              <w:t xml:space="preserve">by </w:t>
            </w:r>
            <w:r w:rsidRPr="00CA6BE6">
              <w:rPr>
                <w:color w:val="0D0D0D" w:themeColor="text1" w:themeTint="F2"/>
                <w:spacing w:val="-4"/>
                <w:lang w:val="en-GB"/>
              </w:rPr>
              <w:t>9</w:t>
            </w:r>
            <w:r>
              <w:rPr>
                <w:color w:val="0D0D0D" w:themeColor="text1" w:themeTint="F2"/>
                <w:spacing w:val="-4"/>
                <w:lang w:val="en-GB"/>
              </w:rPr>
              <w:t>.</w:t>
            </w:r>
            <w:r w:rsidRPr="00CA6BE6">
              <w:rPr>
                <w:color w:val="0D0D0D" w:themeColor="text1" w:themeTint="F2"/>
                <w:spacing w:val="-4"/>
                <w:lang w:val="en-GB"/>
              </w:rPr>
              <w:t xml:space="preserve">8%, resp. </w:t>
            </w:r>
            <w:r>
              <w:rPr>
                <w:color w:val="0D0D0D" w:themeColor="text1" w:themeTint="F2"/>
                <w:spacing w:val="-4"/>
                <w:lang w:val="en-GB"/>
              </w:rPr>
              <w:t xml:space="preserve">by </w:t>
            </w:r>
            <w:r w:rsidRPr="00CA6BE6">
              <w:rPr>
                <w:color w:val="0D0D0D" w:themeColor="text1" w:themeTint="F2"/>
                <w:spacing w:val="-4"/>
                <w:lang w:val="en-GB"/>
              </w:rPr>
              <w:t>2</w:t>
            </w:r>
            <w:r>
              <w:rPr>
                <w:color w:val="0D0D0D" w:themeColor="text1" w:themeTint="F2"/>
                <w:spacing w:val="-4"/>
                <w:lang w:val="en-GB"/>
              </w:rPr>
              <w:t>.</w:t>
            </w:r>
            <w:r w:rsidRPr="00CA6BE6">
              <w:rPr>
                <w:color w:val="0D0D0D" w:themeColor="text1" w:themeTint="F2"/>
                <w:spacing w:val="-4"/>
                <w:lang w:val="en-GB"/>
              </w:rPr>
              <w:t>1%</w:t>
            </w:r>
            <w:r>
              <w:rPr>
                <w:color w:val="0D0D0D" w:themeColor="text1" w:themeTint="F2"/>
                <w:spacing w:val="-4"/>
                <w:lang w:val="en-GB"/>
              </w:rPr>
              <w:t xml:space="preserve"> compared to Q</w:t>
            </w:r>
            <w:r w:rsidRPr="00CA6BE6">
              <w:rPr>
                <w:color w:val="0D0D0D" w:themeColor="text1" w:themeTint="F2"/>
                <w:spacing w:val="-4"/>
                <w:lang w:val="en-GB"/>
              </w:rPr>
              <w:t>4</w:t>
            </w:r>
            <w:r>
              <w:rPr>
                <w:color w:val="0D0D0D" w:themeColor="text1" w:themeTint="F2"/>
                <w:spacing w:val="-4"/>
                <w:lang w:val="en-GB"/>
              </w:rPr>
              <w:t xml:space="preserve"> </w:t>
            </w:r>
            <w:r w:rsidRPr="00CA6BE6">
              <w:rPr>
                <w:color w:val="0D0D0D" w:themeColor="text1" w:themeTint="F2"/>
                <w:spacing w:val="-4"/>
                <w:lang w:val="en-GB"/>
              </w:rPr>
              <w:t xml:space="preserve">2019) </w:t>
            </w:r>
            <w:r>
              <w:rPr>
                <w:color w:val="0D0D0D" w:themeColor="text1" w:themeTint="F2"/>
                <w:spacing w:val="-4"/>
                <w:lang w:val="en-GB"/>
              </w:rPr>
              <w:t>reflects the persisting doubts regarding the increase of production capacities to the standard level. Utilisation of production capacities thus stayed below 80% in this branch also in January 2022</w:t>
            </w:r>
            <w:r w:rsidRPr="00CA6BE6">
              <w:rPr>
                <w:color w:val="0D0D0D" w:themeColor="text1" w:themeTint="F2"/>
                <w:spacing w:val="-4"/>
                <w:lang w:val="en-GB"/>
              </w:rPr>
              <w:t xml:space="preserve"> (</w:t>
            </w:r>
            <w:r>
              <w:rPr>
                <w:color w:val="0D0D0D" w:themeColor="text1" w:themeTint="F2"/>
                <w:spacing w:val="-4"/>
                <w:lang w:val="en-GB"/>
              </w:rPr>
              <w:t xml:space="preserve">while it reached </w:t>
            </w:r>
            <w:r w:rsidRPr="00CA6BE6">
              <w:rPr>
                <w:color w:val="0D0D0D" w:themeColor="text1" w:themeTint="F2"/>
                <w:spacing w:val="-4"/>
                <w:lang w:val="en-GB"/>
              </w:rPr>
              <w:t>93%</w:t>
            </w:r>
            <w:r>
              <w:rPr>
                <w:color w:val="0D0D0D" w:themeColor="text1" w:themeTint="F2"/>
                <w:spacing w:val="-4"/>
                <w:lang w:val="en-GB"/>
              </w:rPr>
              <w:t xml:space="preserve"> for the whole year 2019</w:t>
            </w:r>
            <w:r w:rsidRPr="00CA6BE6">
              <w:rPr>
                <w:color w:val="0D0D0D" w:themeColor="text1" w:themeTint="F2"/>
                <w:spacing w:val="-4"/>
                <w:lang w:val="en-GB"/>
              </w:rPr>
              <w:t>)</w:t>
            </w:r>
            <w:r w:rsidRPr="00CA6BE6">
              <w:rPr>
                <w:rStyle w:val="Znakapoznpodarou"/>
                <w:color w:val="0D0D0D" w:themeColor="text1" w:themeTint="F2"/>
                <w:spacing w:val="-4"/>
                <w:lang w:val="en-GB"/>
              </w:rPr>
              <w:footnoteReference w:id="35"/>
            </w:r>
            <w:r w:rsidRPr="00CA6BE6">
              <w:rPr>
                <w:color w:val="0D0D0D" w:themeColor="text1" w:themeTint="F2"/>
                <w:spacing w:val="-4"/>
                <w:lang w:val="en-GB"/>
              </w:rPr>
              <w:t>.</w:t>
            </w:r>
          </w:p>
        </w:tc>
      </w:tr>
      <w:tr w:rsidR="00C12FCC" w:rsidRPr="00191C35" w14:paraId="5574EA56" w14:textId="77777777" w:rsidTr="00B3385E">
        <w:trPr>
          <w:trHeight w:val="145"/>
        </w:trPr>
        <w:tc>
          <w:tcPr>
            <w:tcW w:w="1728" w:type="dxa"/>
            <w:shd w:val="clear" w:color="auto" w:fill="auto"/>
            <w:tcMar>
              <w:left w:w="0" w:type="dxa"/>
            </w:tcMar>
          </w:tcPr>
          <w:p w14:paraId="6D5C931C" w14:textId="2D30DD6C" w:rsidR="00C12FCC" w:rsidRPr="001977EB" w:rsidRDefault="00C12FCC" w:rsidP="00C12FCC">
            <w:pPr>
              <w:pStyle w:val="Marginlie"/>
              <w:rPr>
                <w:spacing w:val="0"/>
                <w:lang w:val="en-GB"/>
              </w:rPr>
            </w:pPr>
            <w:r>
              <w:rPr>
                <w:spacing w:val="0"/>
                <w:lang w:val="en-GB"/>
              </w:rPr>
              <w:t>Entrepreneur confidence in industry weakened during Q</w:t>
            </w:r>
            <w:r w:rsidRPr="001977EB">
              <w:rPr>
                <w:spacing w:val="0"/>
                <w:lang w:val="en-GB"/>
              </w:rPr>
              <w:t>2</w:t>
            </w:r>
            <w:r>
              <w:rPr>
                <w:spacing w:val="0"/>
                <w:lang w:val="en-GB"/>
              </w:rPr>
              <w:t xml:space="preserve"> and </w:t>
            </w:r>
            <w:r w:rsidRPr="001977EB">
              <w:rPr>
                <w:spacing w:val="0"/>
                <w:lang w:val="en-GB"/>
              </w:rPr>
              <w:t>3</w:t>
            </w:r>
            <w:r>
              <w:rPr>
                <w:spacing w:val="0"/>
                <w:lang w:val="en-GB"/>
              </w:rPr>
              <w:t xml:space="preserve">, a positive turnaround however occurred at the end of the year. </w:t>
            </w:r>
          </w:p>
          <w:p w14:paraId="1384999A" w14:textId="77777777" w:rsidR="00C12FCC" w:rsidRPr="001977EB" w:rsidRDefault="00C12FCC" w:rsidP="00C12FCC">
            <w:pPr>
              <w:pStyle w:val="Marginlie"/>
              <w:rPr>
                <w:spacing w:val="0"/>
                <w:lang w:val="en-GB"/>
              </w:rPr>
            </w:pPr>
          </w:p>
          <w:p w14:paraId="6105694F" w14:textId="77777777" w:rsidR="00C12FCC" w:rsidRPr="001977EB" w:rsidRDefault="00C12FCC" w:rsidP="00C12FCC">
            <w:pPr>
              <w:pStyle w:val="Marginlie"/>
              <w:rPr>
                <w:spacing w:val="0"/>
                <w:lang w:val="en-GB"/>
              </w:rPr>
            </w:pPr>
          </w:p>
          <w:p w14:paraId="27A5D6AA" w14:textId="328196B8" w:rsidR="00C12FCC" w:rsidRPr="001977EB" w:rsidRDefault="00C12FCC" w:rsidP="00C12FCC">
            <w:pPr>
              <w:pStyle w:val="Marginlie"/>
              <w:rPr>
                <w:lang w:val="en-GB"/>
              </w:rPr>
            </w:pPr>
            <w:r w:rsidRPr="001977EB">
              <w:rPr>
                <w:spacing w:val="0"/>
                <w:lang w:val="en-GB"/>
              </w:rPr>
              <w:t>Shortage of material and equipment troubled already 40% of businesses in January 2022.</w:t>
            </w:r>
          </w:p>
        </w:tc>
        <w:tc>
          <w:tcPr>
            <w:tcW w:w="206" w:type="dxa"/>
            <w:shd w:val="clear" w:color="auto" w:fill="auto"/>
            <w:tcMar>
              <w:left w:w="0" w:type="dxa"/>
            </w:tcMar>
          </w:tcPr>
          <w:p w14:paraId="2028FEDE" w14:textId="77777777" w:rsidR="00C12FCC" w:rsidRPr="001977EB" w:rsidRDefault="00C12FCC" w:rsidP="00C12FCC">
            <w:pPr>
              <w:pStyle w:val="Textpoznpodarou"/>
              <w:jc w:val="both"/>
              <w:rPr>
                <w:spacing w:val="-4"/>
                <w:lang w:val="en-GB"/>
              </w:rPr>
            </w:pPr>
          </w:p>
        </w:tc>
        <w:tc>
          <w:tcPr>
            <w:tcW w:w="7730" w:type="dxa"/>
            <w:shd w:val="clear" w:color="auto" w:fill="auto"/>
            <w:tcMar>
              <w:left w:w="0" w:type="dxa"/>
            </w:tcMar>
          </w:tcPr>
          <w:p w14:paraId="5FC64C95" w14:textId="2318A73B" w:rsidR="00C12FCC" w:rsidRPr="001977EB" w:rsidRDefault="00C12FCC" w:rsidP="00C12FCC">
            <w:pPr>
              <w:spacing w:after="160"/>
              <w:rPr>
                <w:spacing w:val="-4"/>
                <w:lang w:val="en-GB"/>
              </w:rPr>
            </w:pPr>
            <w:r>
              <w:rPr>
                <w:color w:val="0D0D0D" w:themeColor="text1" w:themeTint="F2"/>
                <w:spacing w:val="-4"/>
                <w:lang w:val="en-GB"/>
              </w:rPr>
              <w:t xml:space="preserve">Entrepreneur confidence in industry was changing significantly during the year </w:t>
            </w:r>
            <w:r w:rsidRPr="001977EB">
              <w:rPr>
                <w:color w:val="0D0D0D" w:themeColor="text1" w:themeTint="F2"/>
                <w:spacing w:val="-4"/>
                <w:lang w:val="en-GB"/>
              </w:rPr>
              <w:t>2021</w:t>
            </w:r>
            <w:r>
              <w:rPr>
                <w:color w:val="0D0D0D" w:themeColor="text1" w:themeTint="F2"/>
                <w:spacing w:val="-4"/>
                <w:lang w:val="en-GB"/>
              </w:rPr>
              <w:t xml:space="preserve">. It continuously weakened after the June maximum </w:t>
            </w:r>
            <w:r w:rsidRPr="001977EB">
              <w:rPr>
                <w:color w:val="0D0D0D" w:themeColor="text1" w:themeTint="F2"/>
                <w:spacing w:val="-4"/>
                <w:lang w:val="en-GB"/>
              </w:rPr>
              <w:t>(</w:t>
            </w:r>
            <w:r>
              <w:rPr>
                <w:color w:val="0D0D0D" w:themeColor="text1" w:themeTint="F2"/>
                <w:spacing w:val="-4"/>
                <w:lang w:val="en-GB"/>
              </w:rPr>
              <w:t xml:space="preserve">with the highest value in the last ten years) until October, when the pessimism was the </w:t>
            </w:r>
            <w:r w:rsidRPr="002426C9">
              <w:rPr>
                <w:color w:val="0D0D0D" w:themeColor="text1" w:themeTint="F2"/>
                <w:spacing w:val="-4"/>
                <w:lang w:val="en-GB"/>
              </w:rPr>
              <w:t xml:space="preserve">deepest since last year’s Spring. Subsequently a revival occurred due to the partial renewal of production in the motor vehicle industry and the total confidence in industry returned to the average level for year 2021 (and slightly higher than before the onset of pandemics). The expectations of the production activity in the next months improved. </w:t>
            </w:r>
            <w:r w:rsidRPr="002426C9">
              <w:rPr>
                <w:spacing w:val="-5"/>
                <w:lang w:val="en-GB"/>
              </w:rPr>
              <w:t xml:space="preserve">27% of businesses in the whole industry anticipated its growth in January 15% then decrease. </w:t>
            </w:r>
            <w:r>
              <w:rPr>
                <w:spacing w:val="-5"/>
                <w:lang w:val="en-GB"/>
              </w:rPr>
              <w:t xml:space="preserve">The outlook of the overall economic situation of businesses in industry for the upcoming six months remained similarly to the expectations in the area of employment mildly positive. Number of employees registered in industry lowered by 1.2% for the whole last year, however its year-on-year reduction halted in Q4 itself. The shortage of material and </w:t>
            </w:r>
            <w:r w:rsidRPr="00F96E43">
              <w:rPr>
                <w:spacing w:val="-5"/>
                <w:lang w:val="en-GB"/>
              </w:rPr>
              <w:t>equipment remains the main barrier growth</w:t>
            </w:r>
            <w:r w:rsidRPr="00F96E43">
              <w:rPr>
                <w:rStyle w:val="Znakapoznpodarou"/>
                <w:color w:val="0D0D0D" w:themeColor="text1" w:themeTint="F2"/>
                <w:spacing w:val="-4"/>
                <w:lang w:val="en-GB"/>
              </w:rPr>
              <w:footnoteReference w:id="36"/>
            </w:r>
            <w:r w:rsidRPr="00F96E43">
              <w:rPr>
                <w:spacing w:val="-5"/>
                <w:lang w:val="en-GB"/>
              </w:rPr>
              <w:t xml:space="preserve"> since the half of the last </w:t>
            </w:r>
            <w:proofErr w:type="gramStart"/>
            <w:r w:rsidRPr="00F96E43">
              <w:rPr>
                <w:spacing w:val="-5"/>
                <w:lang w:val="en-GB"/>
              </w:rPr>
              <w:t>year,</w:t>
            </w:r>
            <w:proofErr w:type="gramEnd"/>
            <w:r w:rsidRPr="00F96E43">
              <w:rPr>
                <w:spacing w:val="-5"/>
                <w:lang w:val="en-GB"/>
              </w:rPr>
              <w:t xml:space="preserve"> it limited 40% of domestic industrial businesses </w:t>
            </w:r>
            <w:r w:rsidRPr="00F96E43">
              <w:rPr>
                <w:color w:val="0D0D0D" w:themeColor="text1" w:themeTint="F2"/>
                <w:spacing w:val="-4"/>
                <w:lang w:val="en-GB"/>
              </w:rPr>
              <w:t xml:space="preserve">(51% in the EU) in </w:t>
            </w:r>
            <w:r>
              <w:rPr>
                <w:color w:val="0D0D0D" w:themeColor="text1" w:themeTint="F2"/>
                <w:spacing w:val="-4"/>
                <w:lang w:val="en-GB"/>
              </w:rPr>
              <w:t>J</w:t>
            </w:r>
            <w:r w:rsidRPr="00F96E43">
              <w:rPr>
                <w:color w:val="0D0D0D" w:themeColor="text1" w:themeTint="F2"/>
                <w:spacing w:val="-4"/>
                <w:lang w:val="en-GB"/>
              </w:rPr>
              <w:t>anuary 2022. Approximately one quarter of businesses faced inadequate demand similarly to the shortage of labour.</w:t>
            </w:r>
          </w:p>
        </w:tc>
      </w:tr>
      <w:tr w:rsidR="00C12FCC" w:rsidRPr="00191C35" w14:paraId="0C5B750A" w14:textId="77777777" w:rsidTr="00B3385E">
        <w:trPr>
          <w:trHeight w:val="145"/>
        </w:trPr>
        <w:tc>
          <w:tcPr>
            <w:tcW w:w="1728" w:type="dxa"/>
            <w:shd w:val="clear" w:color="auto" w:fill="auto"/>
            <w:tcMar>
              <w:left w:w="0" w:type="dxa"/>
            </w:tcMar>
          </w:tcPr>
          <w:p w14:paraId="014EC8E7" w14:textId="24ABD4AF" w:rsidR="00C12FCC" w:rsidRPr="0044546A" w:rsidRDefault="00C12FCC" w:rsidP="00C12FCC">
            <w:pPr>
              <w:pStyle w:val="Marginlie"/>
              <w:rPr>
                <w:lang w:val="en-GB"/>
              </w:rPr>
            </w:pPr>
            <w:r>
              <w:rPr>
                <w:lang w:val="en-GB"/>
              </w:rPr>
              <w:t xml:space="preserve">Quarter-on-quarter growth of the construction output halted in </w:t>
            </w:r>
            <w:proofErr w:type="gramStart"/>
            <w:r>
              <w:rPr>
                <w:lang w:val="en-GB"/>
              </w:rPr>
              <w:t>Q3,</w:t>
            </w:r>
            <w:proofErr w:type="gramEnd"/>
            <w:r>
              <w:rPr>
                <w:lang w:val="en-GB"/>
              </w:rPr>
              <w:t xml:space="preserve"> however it experienced a turnaround also thanks to the building construction towards the end of the year. </w:t>
            </w:r>
          </w:p>
        </w:tc>
        <w:tc>
          <w:tcPr>
            <w:tcW w:w="206" w:type="dxa"/>
            <w:shd w:val="clear" w:color="auto" w:fill="auto"/>
            <w:tcMar>
              <w:left w:w="0" w:type="dxa"/>
            </w:tcMar>
          </w:tcPr>
          <w:p w14:paraId="467DE95C" w14:textId="77777777" w:rsidR="00C12FCC" w:rsidRPr="0044546A" w:rsidRDefault="00C12FCC" w:rsidP="00C12FCC">
            <w:pPr>
              <w:pStyle w:val="Textpoznpodarou"/>
              <w:jc w:val="both"/>
              <w:rPr>
                <w:spacing w:val="-4"/>
                <w:lang w:val="en-GB"/>
              </w:rPr>
            </w:pPr>
          </w:p>
        </w:tc>
        <w:tc>
          <w:tcPr>
            <w:tcW w:w="7730" w:type="dxa"/>
            <w:shd w:val="clear" w:color="auto" w:fill="auto"/>
            <w:tcMar>
              <w:left w:w="0" w:type="dxa"/>
            </w:tcMar>
          </w:tcPr>
          <w:p w14:paraId="676E450A" w14:textId="18E04610" w:rsidR="00C12FCC" w:rsidRPr="0044546A" w:rsidRDefault="00C12FCC" w:rsidP="00C12FCC">
            <w:pPr>
              <w:spacing w:after="160"/>
              <w:rPr>
                <w:rFonts w:cs="Arial"/>
                <w:color w:val="0D0D0D" w:themeColor="text1" w:themeTint="F2"/>
                <w:spacing w:val="-4"/>
                <w:lang w:val="en-GB"/>
              </w:rPr>
            </w:pPr>
            <w:r>
              <w:rPr>
                <w:spacing w:val="-4"/>
                <w:lang w:val="en-GB"/>
              </w:rPr>
              <w:t>Construction despite some growth supporting conditions (e.g. planned public investment into the transportation infrastructure</w:t>
            </w:r>
            <w:r w:rsidRPr="0044546A">
              <w:rPr>
                <w:rStyle w:val="Znakapoznpodarou"/>
                <w:spacing w:val="-4"/>
                <w:lang w:val="en-GB"/>
              </w:rPr>
              <w:footnoteReference w:id="37"/>
            </w:r>
            <w:r w:rsidRPr="0044546A">
              <w:rPr>
                <w:spacing w:val="-4"/>
                <w:lang w:val="en-GB"/>
              </w:rPr>
              <w:t xml:space="preserve">) </w:t>
            </w:r>
            <w:r>
              <w:rPr>
                <w:spacing w:val="-4"/>
                <w:lang w:val="en-GB"/>
              </w:rPr>
              <w:t>revived slowly. Quarter-on-quarter rate of growth of the construction output</w:t>
            </w:r>
            <w:r w:rsidRPr="0044546A">
              <w:rPr>
                <w:rStyle w:val="Znakapoznpodarou"/>
                <w:color w:val="0D0D0D" w:themeColor="text1" w:themeTint="F2"/>
                <w:spacing w:val="-2"/>
                <w:lang w:val="en-GB"/>
              </w:rPr>
              <w:footnoteReference w:id="38"/>
            </w:r>
            <w:r w:rsidRPr="0044546A">
              <w:rPr>
                <w:rFonts w:cs="Arial"/>
                <w:color w:val="0D0D0D" w:themeColor="text1" w:themeTint="F2"/>
                <w:spacing w:val="-4"/>
                <w:lang w:val="en-GB"/>
              </w:rPr>
              <w:t xml:space="preserve"> </w:t>
            </w:r>
            <w:r>
              <w:rPr>
                <w:rFonts w:cs="Arial"/>
                <w:color w:val="0D0D0D" w:themeColor="text1" w:themeTint="F2"/>
                <w:spacing w:val="-4"/>
                <w:lang w:val="en-GB"/>
              </w:rPr>
              <w:t>exceeded 2% in both Q</w:t>
            </w:r>
            <w:r w:rsidRPr="0044546A">
              <w:rPr>
                <w:rFonts w:cs="Arial"/>
                <w:color w:val="0D0D0D" w:themeColor="text1" w:themeTint="F2"/>
                <w:spacing w:val="-4"/>
                <w:lang w:val="en-GB"/>
              </w:rPr>
              <w:t>1</w:t>
            </w:r>
            <w:r>
              <w:rPr>
                <w:rFonts w:cs="Arial"/>
                <w:color w:val="0D0D0D" w:themeColor="text1" w:themeTint="F2"/>
                <w:spacing w:val="-4"/>
                <w:lang w:val="en-GB"/>
              </w:rPr>
              <w:t xml:space="preserve"> and </w:t>
            </w:r>
            <w:r w:rsidRPr="0044546A">
              <w:rPr>
                <w:rFonts w:cs="Arial"/>
                <w:color w:val="0D0D0D" w:themeColor="text1" w:themeTint="F2"/>
                <w:spacing w:val="-4"/>
                <w:lang w:val="en-GB"/>
              </w:rPr>
              <w:t>2</w:t>
            </w:r>
            <w:r>
              <w:rPr>
                <w:rFonts w:cs="Arial"/>
                <w:color w:val="0D0D0D" w:themeColor="text1" w:themeTint="F2"/>
                <w:spacing w:val="-4"/>
                <w:lang w:val="en-GB"/>
              </w:rPr>
              <w:t xml:space="preserve"> of year </w:t>
            </w:r>
            <w:r w:rsidRPr="0044546A">
              <w:rPr>
                <w:rFonts w:cs="Arial"/>
                <w:color w:val="0D0D0D" w:themeColor="text1" w:themeTint="F2"/>
                <w:spacing w:val="-4"/>
                <w:lang w:val="en-GB"/>
              </w:rPr>
              <w:t>2021</w:t>
            </w:r>
            <w:r>
              <w:rPr>
                <w:rFonts w:cs="Arial"/>
                <w:color w:val="0D0D0D" w:themeColor="text1" w:themeTint="F2"/>
                <w:spacing w:val="-4"/>
                <w:lang w:val="en-GB"/>
              </w:rPr>
              <w:t xml:space="preserve">, however the output of the whole branch dropped by </w:t>
            </w:r>
            <w:r w:rsidRPr="0044546A">
              <w:rPr>
                <w:rFonts w:cs="Arial"/>
                <w:color w:val="0D0D0D" w:themeColor="text1" w:themeTint="F2"/>
                <w:spacing w:val="-4"/>
                <w:lang w:val="en-GB"/>
              </w:rPr>
              <w:t>1</w:t>
            </w:r>
            <w:r>
              <w:rPr>
                <w:rFonts w:cs="Arial"/>
                <w:color w:val="0D0D0D" w:themeColor="text1" w:themeTint="F2"/>
                <w:spacing w:val="-4"/>
                <w:lang w:val="en-GB"/>
              </w:rPr>
              <w:t>.</w:t>
            </w:r>
            <w:r w:rsidRPr="0044546A">
              <w:rPr>
                <w:rFonts w:cs="Arial"/>
                <w:color w:val="0D0D0D" w:themeColor="text1" w:themeTint="F2"/>
                <w:spacing w:val="-4"/>
                <w:lang w:val="en-GB"/>
              </w:rPr>
              <w:t>0%</w:t>
            </w:r>
            <w:r>
              <w:rPr>
                <w:rFonts w:cs="Arial"/>
                <w:color w:val="0D0D0D" w:themeColor="text1" w:themeTint="F2"/>
                <w:spacing w:val="-4"/>
                <w:lang w:val="en-GB"/>
              </w:rPr>
              <w:t xml:space="preserve"> in Q3</w:t>
            </w:r>
            <w:r w:rsidRPr="0044546A">
              <w:rPr>
                <w:rFonts w:cs="Arial"/>
                <w:color w:val="0D0D0D" w:themeColor="text1" w:themeTint="F2"/>
                <w:spacing w:val="-4"/>
                <w:lang w:val="en-GB"/>
              </w:rPr>
              <w:t xml:space="preserve">. </w:t>
            </w:r>
            <w:r>
              <w:rPr>
                <w:rFonts w:cs="Arial"/>
                <w:color w:val="0D0D0D" w:themeColor="text1" w:themeTint="F2"/>
                <w:spacing w:val="-4"/>
                <w:lang w:val="en-GB"/>
              </w:rPr>
              <w:t>Civil engineering construction, impacted by slower drawing of public investment in the first two thirds of the year, primarily stood behind it</w:t>
            </w:r>
            <w:r w:rsidRPr="0044546A">
              <w:rPr>
                <w:rFonts w:cs="Arial"/>
                <w:color w:val="0D0D0D" w:themeColor="text1" w:themeTint="F2"/>
                <w:spacing w:val="-4"/>
                <w:lang w:val="en-GB"/>
              </w:rPr>
              <w:t xml:space="preserve">. </w:t>
            </w:r>
            <w:r>
              <w:rPr>
                <w:rFonts w:cs="Arial"/>
                <w:color w:val="0D0D0D" w:themeColor="text1" w:themeTint="F2"/>
                <w:spacing w:val="-4"/>
                <w:lang w:val="en-GB"/>
              </w:rPr>
              <w:t xml:space="preserve">In Q4, a positive turn occurred in construction </w:t>
            </w:r>
            <w:r w:rsidRPr="0044546A">
              <w:rPr>
                <w:rFonts w:cs="Arial"/>
                <w:color w:val="0D0D0D" w:themeColor="text1" w:themeTint="F2"/>
                <w:spacing w:val="-4"/>
                <w:lang w:val="en-GB"/>
              </w:rPr>
              <w:t>(+2</w:t>
            </w:r>
            <w:r>
              <w:rPr>
                <w:rFonts w:cs="Arial"/>
                <w:color w:val="0D0D0D" w:themeColor="text1" w:themeTint="F2"/>
                <w:spacing w:val="-4"/>
                <w:lang w:val="en-GB"/>
              </w:rPr>
              <w:t>.</w:t>
            </w:r>
            <w:r w:rsidRPr="0044546A">
              <w:rPr>
                <w:rFonts w:cs="Arial"/>
                <w:color w:val="0D0D0D" w:themeColor="text1" w:themeTint="F2"/>
                <w:spacing w:val="-4"/>
                <w:lang w:val="en-GB"/>
              </w:rPr>
              <w:t xml:space="preserve">2%), </w:t>
            </w:r>
            <w:r>
              <w:rPr>
                <w:rFonts w:cs="Arial"/>
                <w:color w:val="0D0D0D" w:themeColor="text1" w:themeTint="F2"/>
                <w:spacing w:val="-4"/>
                <w:lang w:val="en-GB"/>
              </w:rPr>
              <w:t xml:space="preserve">caused mainly by the building construction benefiting from the favourable development of residential construction. </w:t>
            </w:r>
          </w:p>
        </w:tc>
      </w:tr>
      <w:tr w:rsidR="00C12FCC" w:rsidRPr="00191C35" w14:paraId="09038984" w14:textId="77777777" w:rsidTr="00B3385E">
        <w:trPr>
          <w:trHeight w:val="145"/>
        </w:trPr>
        <w:tc>
          <w:tcPr>
            <w:tcW w:w="1728" w:type="dxa"/>
            <w:shd w:val="clear" w:color="auto" w:fill="auto"/>
            <w:tcMar>
              <w:left w:w="0" w:type="dxa"/>
            </w:tcMar>
          </w:tcPr>
          <w:p w14:paraId="2BA5C365" w14:textId="50E68BCC" w:rsidR="00C12FCC" w:rsidRPr="0044546A" w:rsidRDefault="00C12FCC" w:rsidP="00C12FCC">
            <w:pPr>
              <w:pStyle w:val="Marginlie"/>
              <w:rPr>
                <w:lang w:val="en-GB"/>
              </w:rPr>
            </w:pPr>
            <w:r w:rsidRPr="0044546A">
              <w:rPr>
                <w:lang w:val="en-GB"/>
              </w:rPr>
              <w:t>T</w:t>
            </w:r>
            <w:r>
              <w:rPr>
                <w:lang w:val="en-GB"/>
              </w:rPr>
              <w:t xml:space="preserve">hree years lasting growth of the civil engineering construction did not continue last year any more. Building construction was gradually regenerating. </w:t>
            </w:r>
          </w:p>
        </w:tc>
        <w:tc>
          <w:tcPr>
            <w:tcW w:w="206" w:type="dxa"/>
            <w:shd w:val="clear" w:color="auto" w:fill="auto"/>
            <w:tcMar>
              <w:left w:w="0" w:type="dxa"/>
            </w:tcMar>
          </w:tcPr>
          <w:p w14:paraId="1145CD77" w14:textId="77777777" w:rsidR="00C12FCC" w:rsidRPr="0044546A" w:rsidRDefault="00C12FCC" w:rsidP="00C12FCC">
            <w:pPr>
              <w:pStyle w:val="Textpoznpodarou"/>
              <w:jc w:val="both"/>
              <w:rPr>
                <w:spacing w:val="-4"/>
                <w:lang w:val="en-GB"/>
              </w:rPr>
            </w:pPr>
          </w:p>
        </w:tc>
        <w:tc>
          <w:tcPr>
            <w:tcW w:w="7730" w:type="dxa"/>
            <w:shd w:val="clear" w:color="auto" w:fill="auto"/>
            <w:tcMar>
              <w:left w:w="0" w:type="dxa"/>
            </w:tcMar>
          </w:tcPr>
          <w:p w14:paraId="3DE8048E" w14:textId="5DCA1312" w:rsidR="00C12FCC" w:rsidRPr="0044546A" w:rsidRDefault="00C12FCC" w:rsidP="00C12FCC">
            <w:pPr>
              <w:spacing w:after="160"/>
              <w:rPr>
                <w:rFonts w:cs="Arial"/>
                <w:color w:val="0D0D0D" w:themeColor="text1" w:themeTint="F2"/>
                <w:spacing w:val="-2"/>
                <w:lang w:val="en-GB"/>
              </w:rPr>
            </w:pPr>
            <w:r>
              <w:rPr>
                <w:rFonts w:cs="Arial"/>
                <w:color w:val="0D0D0D" w:themeColor="text1" w:themeTint="F2"/>
                <w:spacing w:val="-2"/>
                <w:lang w:val="en-GB"/>
              </w:rPr>
              <w:t>Also thanks to the development in the last months the construction output mildly grew for the whole last year</w:t>
            </w:r>
            <w:r w:rsidRPr="0044546A">
              <w:rPr>
                <w:rFonts w:cs="Arial"/>
                <w:color w:val="0D0D0D" w:themeColor="text1" w:themeTint="F2"/>
                <w:spacing w:val="-2"/>
                <w:lang w:val="en-GB"/>
              </w:rPr>
              <w:t>,</w:t>
            </w:r>
            <w:r>
              <w:rPr>
                <w:rFonts w:cs="Arial"/>
                <w:color w:val="0D0D0D" w:themeColor="text1" w:themeTint="F2"/>
                <w:spacing w:val="-2"/>
                <w:lang w:val="en-GB"/>
              </w:rPr>
              <w:t xml:space="preserve"> however exclusively due to the building construction, which strengthened by </w:t>
            </w:r>
            <w:r w:rsidRPr="0044546A">
              <w:rPr>
                <w:rFonts w:cs="Arial"/>
                <w:color w:val="0D0D0D" w:themeColor="text1" w:themeTint="F2"/>
                <w:spacing w:val="-2"/>
                <w:lang w:val="en-GB"/>
              </w:rPr>
              <w:t xml:space="preserve"> 3</w:t>
            </w:r>
            <w:r>
              <w:rPr>
                <w:rFonts w:cs="Arial"/>
                <w:color w:val="0D0D0D" w:themeColor="text1" w:themeTint="F2"/>
                <w:spacing w:val="-2"/>
                <w:lang w:val="en-GB"/>
              </w:rPr>
              <w:t>.</w:t>
            </w:r>
            <w:r w:rsidRPr="0044546A">
              <w:rPr>
                <w:rFonts w:cs="Arial"/>
                <w:color w:val="0D0D0D" w:themeColor="text1" w:themeTint="F2"/>
                <w:spacing w:val="-2"/>
                <w:lang w:val="en-GB"/>
              </w:rPr>
              <w:t>5%.</w:t>
            </w:r>
            <w:r>
              <w:rPr>
                <w:rFonts w:cs="Arial"/>
                <w:color w:val="0D0D0D" w:themeColor="text1" w:themeTint="F2"/>
                <w:spacing w:val="-2"/>
                <w:lang w:val="en-GB"/>
              </w:rPr>
              <w:t xml:space="preserve"> In contrast, the three years lasting growth of the civil engineering construction, supported by rising drawing on the European funds, halted last year </w:t>
            </w:r>
            <w:r w:rsidRPr="0044546A">
              <w:rPr>
                <w:rFonts w:cs="Arial"/>
                <w:color w:val="0D0D0D" w:themeColor="text1" w:themeTint="F2"/>
                <w:spacing w:val="-2"/>
                <w:lang w:val="en-GB"/>
              </w:rPr>
              <w:t>(–0</w:t>
            </w:r>
            <w:r>
              <w:rPr>
                <w:rFonts w:cs="Arial"/>
                <w:color w:val="0D0D0D" w:themeColor="text1" w:themeTint="F2"/>
                <w:spacing w:val="-2"/>
                <w:lang w:val="en-GB"/>
              </w:rPr>
              <w:t>.</w:t>
            </w:r>
            <w:r w:rsidRPr="0044546A">
              <w:rPr>
                <w:rFonts w:cs="Arial"/>
                <w:color w:val="0D0D0D" w:themeColor="text1" w:themeTint="F2"/>
                <w:spacing w:val="-2"/>
                <w:lang w:val="en-GB"/>
              </w:rPr>
              <w:t xml:space="preserve">2%). </w:t>
            </w:r>
            <w:r>
              <w:rPr>
                <w:rFonts w:cs="Arial"/>
                <w:color w:val="0D0D0D" w:themeColor="text1" w:themeTint="F2"/>
                <w:spacing w:val="-2"/>
                <w:lang w:val="en-GB"/>
              </w:rPr>
              <w:t>Building construction however continued in slump from year 2</w:t>
            </w:r>
            <w:r w:rsidRPr="0044546A">
              <w:rPr>
                <w:rFonts w:cs="Arial"/>
                <w:color w:val="0D0D0D" w:themeColor="text1" w:themeTint="F2"/>
                <w:spacing w:val="-2"/>
                <w:lang w:val="en-GB"/>
              </w:rPr>
              <w:t>020 (</w:t>
            </w:r>
            <w:r w:rsidRPr="0044546A">
              <w:rPr>
                <w:color w:val="0D0D0D" w:themeColor="text1" w:themeTint="F2"/>
                <w:spacing w:val="-2"/>
                <w:lang w:val="en-GB"/>
              </w:rPr>
              <w:t>–</w:t>
            </w:r>
            <w:r w:rsidRPr="0044546A">
              <w:rPr>
                <w:rFonts w:cs="Arial"/>
                <w:color w:val="0D0D0D" w:themeColor="text1" w:themeTint="F2"/>
                <w:spacing w:val="-2"/>
                <w:lang w:val="en-GB"/>
              </w:rPr>
              <w:t>9</w:t>
            </w:r>
            <w:r>
              <w:rPr>
                <w:rFonts w:cs="Arial"/>
                <w:color w:val="0D0D0D" w:themeColor="text1" w:themeTint="F2"/>
                <w:spacing w:val="-2"/>
                <w:lang w:val="en-GB"/>
              </w:rPr>
              <w:t>.</w:t>
            </w:r>
            <w:r w:rsidRPr="0044546A">
              <w:rPr>
                <w:rFonts w:cs="Arial"/>
                <w:color w:val="0D0D0D" w:themeColor="text1" w:themeTint="F2"/>
                <w:spacing w:val="-2"/>
                <w:lang w:val="en-GB"/>
              </w:rPr>
              <w:t xml:space="preserve">0%), </w:t>
            </w:r>
            <w:r>
              <w:rPr>
                <w:rFonts w:cs="Arial"/>
                <w:color w:val="0D0D0D" w:themeColor="text1" w:themeTint="F2"/>
                <w:spacing w:val="-2"/>
                <w:lang w:val="en-GB"/>
              </w:rPr>
              <w:t xml:space="preserve">which was the deepest in the comparable 20year time series. </w:t>
            </w:r>
          </w:p>
        </w:tc>
      </w:tr>
      <w:tr w:rsidR="00C12FCC" w:rsidRPr="00191C35" w14:paraId="3EFF082A" w14:textId="77777777" w:rsidTr="00B3385E">
        <w:trPr>
          <w:trHeight w:val="145"/>
        </w:trPr>
        <w:tc>
          <w:tcPr>
            <w:tcW w:w="1728" w:type="dxa"/>
            <w:shd w:val="clear" w:color="auto" w:fill="auto"/>
            <w:tcMar>
              <w:left w:w="0" w:type="dxa"/>
            </w:tcMar>
          </w:tcPr>
          <w:p w14:paraId="594D448C" w14:textId="77777777" w:rsidR="00C12FCC" w:rsidRPr="00DA21B0" w:rsidRDefault="00C12FCC" w:rsidP="00C12FCC">
            <w:pPr>
              <w:pStyle w:val="Marginlie"/>
              <w:rPr>
                <w:lang w:val="en-GB"/>
              </w:rPr>
            </w:pPr>
            <w:r>
              <w:rPr>
                <w:lang w:val="en-GB"/>
              </w:rPr>
              <w:t>Number of commenced flats slightly exceeded the so far record construction from year 2</w:t>
            </w:r>
            <w:r w:rsidRPr="00DA21B0">
              <w:rPr>
                <w:lang w:val="en-GB"/>
              </w:rPr>
              <w:t xml:space="preserve">007. </w:t>
            </w:r>
            <w:r>
              <w:rPr>
                <w:lang w:val="en-GB"/>
              </w:rPr>
              <w:t xml:space="preserve">Especially the </w:t>
            </w:r>
            <w:r>
              <w:rPr>
                <w:lang w:val="en-GB"/>
              </w:rPr>
              <w:lastRenderedPageBreak/>
              <w:t xml:space="preserve">construction of flats in the residential buildings grew in Prague and Central Bohemia. </w:t>
            </w:r>
          </w:p>
          <w:p w14:paraId="044B9404" w14:textId="77777777" w:rsidR="00C12FCC" w:rsidRPr="00DA21B0" w:rsidRDefault="00C12FCC" w:rsidP="00C12FCC">
            <w:pPr>
              <w:pStyle w:val="Marginlie"/>
              <w:rPr>
                <w:lang w:val="en-GB"/>
              </w:rPr>
            </w:pPr>
          </w:p>
          <w:p w14:paraId="627A192B" w14:textId="77777777" w:rsidR="00C12FCC" w:rsidRPr="00DA21B0" w:rsidRDefault="00C12FCC" w:rsidP="00C12FCC">
            <w:pPr>
              <w:pStyle w:val="Marginlie"/>
              <w:rPr>
                <w:lang w:val="en-GB"/>
              </w:rPr>
            </w:pPr>
          </w:p>
          <w:p w14:paraId="1043DEFB" w14:textId="01247DE9" w:rsidR="00C12FCC" w:rsidRPr="0044546A" w:rsidRDefault="00C12FCC" w:rsidP="00C12FCC">
            <w:pPr>
              <w:pStyle w:val="Marginlie"/>
              <w:rPr>
                <w:lang w:val="en-GB"/>
              </w:rPr>
            </w:pPr>
            <w:r w:rsidRPr="00DA21B0">
              <w:rPr>
                <w:lang w:val="en-GB"/>
              </w:rPr>
              <w:t xml:space="preserve">Number of completed flats stagnated year-on-year. </w:t>
            </w:r>
          </w:p>
        </w:tc>
        <w:tc>
          <w:tcPr>
            <w:tcW w:w="206" w:type="dxa"/>
            <w:shd w:val="clear" w:color="auto" w:fill="auto"/>
            <w:tcMar>
              <w:left w:w="0" w:type="dxa"/>
            </w:tcMar>
          </w:tcPr>
          <w:p w14:paraId="16CE01E7" w14:textId="77777777" w:rsidR="00C12FCC" w:rsidRPr="0044546A" w:rsidRDefault="00C12FCC" w:rsidP="00C12FCC">
            <w:pPr>
              <w:pStyle w:val="Textpoznpodarou"/>
              <w:jc w:val="both"/>
              <w:rPr>
                <w:spacing w:val="-4"/>
                <w:lang w:val="en-GB"/>
              </w:rPr>
            </w:pPr>
          </w:p>
        </w:tc>
        <w:tc>
          <w:tcPr>
            <w:tcW w:w="7730" w:type="dxa"/>
            <w:shd w:val="clear" w:color="auto" w:fill="auto"/>
            <w:tcMar>
              <w:left w:w="0" w:type="dxa"/>
            </w:tcMar>
          </w:tcPr>
          <w:p w14:paraId="782BAFAA" w14:textId="6FFF0DB6" w:rsidR="00C12FCC" w:rsidRDefault="00C12FCC" w:rsidP="00C12FCC">
            <w:pPr>
              <w:spacing w:after="160"/>
              <w:rPr>
                <w:rFonts w:cs="Arial"/>
                <w:color w:val="0D0D0D" w:themeColor="text1" w:themeTint="F2"/>
                <w:spacing w:val="-2"/>
                <w:lang w:val="en-GB"/>
              </w:rPr>
            </w:pPr>
            <w:r>
              <w:rPr>
                <w:rFonts w:cs="Arial"/>
                <w:color w:val="0D0D0D" w:themeColor="text1" w:themeTint="F2"/>
                <w:spacing w:val="-4"/>
                <w:lang w:val="en-GB"/>
              </w:rPr>
              <w:t xml:space="preserve">Even though whole construction </w:t>
            </w:r>
            <w:proofErr w:type="gramStart"/>
            <w:r>
              <w:rPr>
                <w:rFonts w:cs="Arial"/>
                <w:color w:val="0D0D0D" w:themeColor="text1" w:themeTint="F2"/>
                <w:spacing w:val="-4"/>
                <w:lang w:val="en-GB"/>
              </w:rPr>
              <w:t>was not immediately hit</w:t>
            </w:r>
            <w:proofErr w:type="gramEnd"/>
            <w:r>
              <w:rPr>
                <w:rFonts w:cs="Arial"/>
                <w:color w:val="0D0D0D" w:themeColor="text1" w:themeTint="F2"/>
                <w:spacing w:val="-4"/>
                <w:lang w:val="en-GB"/>
              </w:rPr>
              <w:t xml:space="preserve"> by the counter pandemic restrictions in year </w:t>
            </w:r>
            <w:r w:rsidRPr="00DA21B0">
              <w:rPr>
                <w:rFonts w:cs="Arial"/>
                <w:color w:val="0D0D0D" w:themeColor="text1" w:themeTint="F2"/>
                <w:spacing w:val="-4"/>
                <w:lang w:val="en-GB"/>
              </w:rPr>
              <w:t>2021</w:t>
            </w:r>
            <w:r>
              <w:rPr>
                <w:rFonts w:cs="Arial"/>
                <w:color w:val="0D0D0D" w:themeColor="text1" w:themeTint="F2"/>
                <w:spacing w:val="-4"/>
                <w:lang w:val="en-GB"/>
              </w:rPr>
              <w:t xml:space="preserve">, the impacts of the measures from two years ago still had an effect </w:t>
            </w:r>
            <w:r w:rsidRPr="00DA21B0">
              <w:rPr>
                <w:rFonts w:cs="Arial"/>
                <w:color w:val="0D0D0D" w:themeColor="text1" w:themeTint="F2"/>
                <w:spacing w:val="-4"/>
                <w:lang w:val="en-GB"/>
              </w:rPr>
              <w:t>(</w:t>
            </w:r>
            <w:r>
              <w:rPr>
                <w:rFonts w:cs="Arial"/>
                <w:color w:val="0D0D0D" w:themeColor="text1" w:themeTint="F2"/>
                <w:spacing w:val="-4"/>
                <w:lang w:val="en-GB"/>
              </w:rPr>
              <w:t>in administrative complexity of construction preparation or mobility of foreign workers</w:t>
            </w:r>
            <w:r w:rsidRPr="00DA21B0">
              <w:rPr>
                <w:rFonts w:cs="Arial"/>
                <w:color w:val="0D0D0D" w:themeColor="text1" w:themeTint="F2"/>
                <w:spacing w:val="-4"/>
                <w:lang w:val="en-GB"/>
              </w:rPr>
              <w:t>).</w:t>
            </w:r>
            <w:r w:rsidRPr="00DA21B0">
              <w:rPr>
                <w:spacing w:val="-4"/>
                <w:lang w:val="en-GB"/>
              </w:rPr>
              <w:t xml:space="preserve"> </w:t>
            </w:r>
            <w:r>
              <w:rPr>
                <w:spacing w:val="-4"/>
                <w:lang w:val="en-GB"/>
              </w:rPr>
              <w:t xml:space="preserve">However, after the retreat of Spring pandemic wave, the conditions for construction </w:t>
            </w:r>
            <w:r>
              <w:rPr>
                <w:spacing w:val="-4"/>
                <w:lang w:val="en-GB"/>
              </w:rPr>
              <w:lastRenderedPageBreak/>
              <w:t>improved, which was for instance evident in the commenced residential construction</w:t>
            </w:r>
            <w:r w:rsidRPr="00DA21B0">
              <w:rPr>
                <w:spacing w:val="-4"/>
                <w:lang w:val="en-GB"/>
              </w:rPr>
              <w:t>.</w:t>
            </w:r>
            <w:r>
              <w:rPr>
                <w:spacing w:val="-4"/>
                <w:lang w:val="en-GB"/>
              </w:rPr>
              <w:t xml:space="preserve"> Mostly thanks to the unusually strong Q</w:t>
            </w:r>
            <w:r w:rsidRPr="00DA21B0">
              <w:rPr>
                <w:spacing w:val="-4"/>
                <w:lang w:val="en-GB"/>
              </w:rPr>
              <w:t>2</w:t>
            </w:r>
            <w:r>
              <w:rPr>
                <w:spacing w:val="-4"/>
                <w:lang w:val="en-GB"/>
              </w:rPr>
              <w:t xml:space="preserve">, the number of commenced flats thus reached the record in the contemporary history of the CR of </w:t>
            </w:r>
            <w:r w:rsidRPr="00DA21B0">
              <w:rPr>
                <w:spacing w:val="-4"/>
                <w:lang w:val="en-GB"/>
              </w:rPr>
              <w:t>45</w:t>
            </w:r>
            <w:r>
              <w:rPr>
                <w:spacing w:val="-4"/>
                <w:lang w:val="en-GB"/>
              </w:rPr>
              <w:t>.</w:t>
            </w:r>
            <w:r w:rsidRPr="00DA21B0">
              <w:rPr>
                <w:spacing w:val="-4"/>
                <w:lang w:val="en-GB"/>
              </w:rPr>
              <w:t>0 t</w:t>
            </w:r>
            <w:r>
              <w:rPr>
                <w:spacing w:val="-4"/>
                <w:lang w:val="en-GB"/>
              </w:rPr>
              <w:t>housand for the whole last year</w:t>
            </w:r>
            <w:r w:rsidRPr="00DA21B0">
              <w:rPr>
                <w:spacing w:val="-4"/>
                <w:lang w:val="en-GB"/>
              </w:rPr>
              <w:t xml:space="preserve">. </w:t>
            </w:r>
            <w:r>
              <w:rPr>
                <w:spacing w:val="-4"/>
                <w:lang w:val="en-GB"/>
              </w:rPr>
              <w:t xml:space="preserve">The year-on-year strengthening of construction </w:t>
            </w:r>
            <w:r w:rsidRPr="00DA21B0">
              <w:rPr>
                <w:spacing w:val="-4"/>
                <w:lang w:val="en-GB"/>
              </w:rPr>
              <w:t>(</w:t>
            </w:r>
            <w:r>
              <w:rPr>
                <w:spacing w:val="-4"/>
                <w:lang w:val="en-GB"/>
              </w:rPr>
              <w:t>by</w:t>
            </w:r>
            <w:r w:rsidRPr="00DA21B0">
              <w:rPr>
                <w:spacing w:val="-4"/>
                <w:lang w:val="en-GB"/>
              </w:rPr>
              <w:t> 28%)</w:t>
            </w:r>
            <w:r>
              <w:rPr>
                <w:spacing w:val="-4"/>
                <w:lang w:val="en-GB"/>
              </w:rPr>
              <w:t xml:space="preserve"> was also unprecedented</w:t>
            </w:r>
            <w:r w:rsidRPr="00DA21B0">
              <w:rPr>
                <w:spacing w:val="-4"/>
                <w:lang w:val="en-GB"/>
              </w:rPr>
              <w:t>,</w:t>
            </w:r>
            <w:r>
              <w:rPr>
                <w:spacing w:val="-4"/>
                <w:lang w:val="en-GB"/>
              </w:rPr>
              <w:t xml:space="preserve"> mainly thanks to the flats in the residential buildings. Even though the total construction expanded in </w:t>
            </w:r>
            <w:r w:rsidRPr="00DA21B0">
              <w:rPr>
                <w:spacing w:val="-4"/>
                <w:lang w:val="en-GB"/>
              </w:rPr>
              <w:t>12</w:t>
            </w:r>
            <w:r>
              <w:rPr>
                <w:spacing w:val="-4"/>
                <w:lang w:val="en-GB"/>
              </w:rPr>
              <w:t xml:space="preserve"> from </w:t>
            </w:r>
            <w:r w:rsidRPr="00DA21B0">
              <w:rPr>
                <w:spacing w:val="-4"/>
                <w:lang w:val="en-GB"/>
              </w:rPr>
              <w:t>14</w:t>
            </w:r>
            <w:r>
              <w:rPr>
                <w:spacing w:val="-4"/>
                <w:lang w:val="en-GB"/>
              </w:rPr>
              <w:t xml:space="preserve"> regions</w:t>
            </w:r>
            <w:r w:rsidRPr="00DA21B0">
              <w:rPr>
                <w:spacing w:val="-4"/>
                <w:lang w:val="en-GB"/>
              </w:rPr>
              <w:t>, Pra</w:t>
            </w:r>
            <w:r>
              <w:rPr>
                <w:spacing w:val="-4"/>
                <w:lang w:val="en-GB"/>
              </w:rPr>
              <w:t>gue and Central Bohemia were behind the growth for the major part last year</w:t>
            </w:r>
            <w:r w:rsidRPr="00DA21B0">
              <w:rPr>
                <w:spacing w:val="-4"/>
                <w:lang w:val="en-GB"/>
              </w:rPr>
              <w:t xml:space="preserve">. </w:t>
            </w:r>
            <w:r>
              <w:rPr>
                <w:spacing w:val="-4"/>
                <w:lang w:val="en-GB"/>
              </w:rPr>
              <w:t xml:space="preserve">Number of finished dwellings only stagnated in the CR last year </w:t>
            </w:r>
            <w:r w:rsidRPr="00DA21B0">
              <w:rPr>
                <w:spacing w:val="-4"/>
                <w:lang w:val="en-GB"/>
              </w:rPr>
              <w:t>(</w:t>
            </w:r>
            <w:r>
              <w:rPr>
                <w:spacing w:val="-4"/>
                <w:lang w:val="en-GB"/>
              </w:rPr>
              <w:t xml:space="preserve">to </w:t>
            </w:r>
            <w:r w:rsidRPr="00DA21B0">
              <w:rPr>
                <w:spacing w:val="-4"/>
                <w:lang w:val="en-GB"/>
              </w:rPr>
              <w:t>34</w:t>
            </w:r>
            <w:r>
              <w:rPr>
                <w:spacing w:val="-4"/>
                <w:lang w:val="en-GB"/>
              </w:rPr>
              <w:t>.</w:t>
            </w:r>
            <w:r w:rsidRPr="00DA21B0">
              <w:rPr>
                <w:spacing w:val="-4"/>
                <w:lang w:val="en-GB"/>
              </w:rPr>
              <w:t>6 t</w:t>
            </w:r>
            <w:r>
              <w:rPr>
                <w:spacing w:val="-4"/>
                <w:lang w:val="en-GB"/>
              </w:rPr>
              <w:t>housand</w:t>
            </w:r>
            <w:r w:rsidRPr="00DA21B0">
              <w:rPr>
                <w:spacing w:val="-4"/>
                <w:lang w:val="en-GB"/>
              </w:rPr>
              <w:t>)</w:t>
            </w:r>
            <w:r>
              <w:rPr>
                <w:spacing w:val="-4"/>
                <w:lang w:val="en-GB"/>
              </w:rPr>
              <w:t xml:space="preserve"> and it lagged by one sixth behind the year </w:t>
            </w:r>
            <w:r w:rsidRPr="00DA21B0">
              <w:rPr>
                <w:spacing w:val="-4"/>
                <w:lang w:val="en-GB"/>
              </w:rPr>
              <w:t xml:space="preserve">2007. </w:t>
            </w:r>
            <w:r>
              <w:rPr>
                <w:spacing w:val="-4"/>
                <w:lang w:val="en-GB"/>
              </w:rPr>
              <w:t xml:space="preserve">There were even the least flats in the family houses created for the last four years. Sharply raised prices of construction materials as well as work could have contributed to the large number of not completed constructions </w:t>
            </w:r>
            <w:r w:rsidRPr="00DA21B0">
              <w:rPr>
                <w:spacing w:val="-4"/>
                <w:lang w:val="en-GB"/>
              </w:rPr>
              <w:t>a</w:t>
            </w:r>
            <w:r>
              <w:rPr>
                <w:spacing w:val="-4"/>
                <w:lang w:val="en-GB"/>
              </w:rPr>
              <w:t xml:space="preserve">nd thus also prolongation of the average time of construction. </w:t>
            </w:r>
          </w:p>
        </w:tc>
      </w:tr>
      <w:tr w:rsidR="00C12FCC" w:rsidRPr="00191C35" w14:paraId="6B9A6403" w14:textId="77777777" w:rsidTr="00B3385E">
        <w:trPr>
          <w:trHeight w:val="145"/>
        </w:trPr>
        <w:tc>
          <w:tcPr>
            <w:tcW w:w="1728" w:type="dxa"/>
            <w:shd w:val="clear" w:color="auto" w:fill="auto"/>
            <w:tcMar>
              <w:left w:w="0" w:type="dxa"/>
            </w:tcMar>
          </w:tcPr>
          <w:p w14:paraId="67BF3CD5" w14:textId="77777777" w:rsidR="00C12FCC" w:rsidRDefault="00C12FCC" w:rsidP="00C12FCC">
            <w:pPr>
              <w:pStyle w:val="Marginlie"/>
            </w:pPr>
          </w:p>
        </w:tc>
        <w:tc>
          <w:tcPr>
            <w:tcW w:w="206" w:type="dxa"/>
            <w:shd w:val="clear" w:color="auto" w:fill="auto"/>
            <w:tcMar>
              <w:left w:w="0" w:type="dxa"/>
            </w:tcMar>
          </w:tcPr>
          <w:p w14:paraId="2E8D93D8"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086D7E7E" w14:textId="34FCF363" w:rsidR="00C12FCC" w:rsidRPr="006E759E" w:rsidRDefault="00C12FCC" w:rsidP="00C12FCC">
            <w:pPr>
              <w:spacing w:after="0"/>
              <w:rPr>
                <w:spacing w:val="-5"/>
              </w:rPr>
            </w:pPr>
            <w:r>
              <w:rPr>
                <w:b/>
                <w:spacing w:val="-5"/>
              </w:rPr>
              <w:t xml:space="preserve">Chart </w:t>
            </w:r>
            <w:r w:rsidRPr="006E759E">
              <w:rPr>
                <w:b/>
                <w:spacing w:val="-5"/>
              </w:rPr>
              <w:t xml:space="preserve">6  </w:t>
            </w:r>
            <w:r w:rsidRPr="00357C56">
              <w:rPr>
                <w:b/>
                <w:spacing w:val="-4"/>
                <w:lang w:val="en-GB"/>
              </w:rPr>
              <w:t xml:space="preserve">Contributions of branches to year-on-year change of construction output </w:t>
            </w:r>
            <w:r w:rsidRPr="00357C56">
              <w:rPr>
                <w:spacing w:val="-4"/>
                <w:lang w:val="en-GB"/>
              </w:rPr>
              <w:t>(</w:t>
            </w:r>
            <w:r>
              <w:rPr>
                <w:spacing w:val="-4"/>
                <w:lang w:val="en-GB"/>
              </w:rPr>
              <w:t xml:space="preserve">real, </w:t>
            </w:r>
            <w:r w:rsidRPr="00357C56">
              <w:rPr>
                <w:spacing w:val="-4"/>
                <w:lang w:val="en-GB"/>
              </w:rPr>
              <w:t xml:space="preserve">in </w:t>
            </w:r>
            <w:proofErr w:type="gramStart"/>
            <w:r w:rsidRPr="00357C56">
              <w:rPr>
                <w:spacing w:val="-4"/>
                <w:lang w:val="en-GB"/>
              </w:rPr>
              <w:t>p.p.</w:t>
            </w:r>
            <w:proofErr w:type="gramEnd"/>
            <w:r w:rsidRPr="00357C56">
              <w:rPr>
                <w:spacing w:val="-4"/>
                <w:lang w:val="en-GB"/>
              </w:rPr>
              <w:t>)</w:t>
            </w:r>
            <w:r w:rsidRPr="00357C56">
              <w:rPr>
                <w:b/>
                <w:bCs/>
                <w:spacing w:val="-4"/>
                <w:lang w:val="en-GB"/>
              </w:rPr>
              <w:t>, new construction orders</w:t>
            </w:r>
            <w:r w:rsidRPr="00357C56">
              <w:rPr>
                <w:b/>
                <w:spacing w:val="-4"/>
                <w:lang w:val="en-GB"/>
              </w:rPr>
              <w:t xml:space="preserve"> </w:t>
            </w:r>
            <w:r w:rsidRPr="00357C56">
              <w:rPr>
                <w:bCs/>
                <w:spacing w:val="-4"/>
                <w:lang w:val="en-GB"/>
              </w:rPr>
              <w:t>(</w:t>
            </w:r>
            <w:r>
              <w:rPr>
                <w:bCs/>
                <w:spacing w:val="-4"/>
                <w:lang w:val="en-GB"/>
              </w:rPr>
              <w:t xml:space="preserve">nominal, </w:t>
            </w:r>
            <w:r w:rsidRPr="00357C56">
              <w:rPr>
                <w:bCs/>
                <w:spacing w:val="-4"/>
                <w:lang w:val="en-GB"/>
              </w:rPr>
              <w:t>year-on-year in %</w:t>
            </w:r>
            <w:r>
              <w:rPr>
                <w:bCs/>
                <w:spacing w:val="-4"/>
                <w:lang w:val="en-GB"/>
              </w:rPr>
              <w:t>, right axis</w:t>
            </w:r>
            <w:r w:rsidRPr="00357C56">
              <w:rPr>
                <w:bCs/>
                <w:spacing w:val="-4"/>
                <w:lang w:val="en-GB"/>
              </w:rPr>
              <w:t>)</w:t>
            </w:r>
            <w:r w:rsidRPr="00357C56">
              <w:rPr>
                <w:b/>
                <w:spacing w:val="-4"/>
                <w:lang w:val="en-GB"/>
              </w:rPr>
              <w:t>, balance of confidence indicator in construction*</w:t>
            </w:r>
            <w:r>
              <w:rPr>
                <w:spacing w:val="-4"/>
                <w:lang w:val="en-GB"/>
              </w:rPr>
              <w:t xml:space="preserve"> (in p.p., right axis) </w:t>
            </w:r>
            <w:r w:rsidRPr="00165DF4">
              <w:rPr>
                <w:b/>
                <w:bCs/>
                <w:spacing w:val="-4"/>
                <w:lang w:val="en-GB"/>
              </w:rPr>
              <w:t>and</w:t>
            </w:r>
            <w:r>
              <w:rPr>
                <w:spacing w:val="-4"/>
                <w:lang w:val="en-GB"/>
              </w:rPr>
              <w:t xml:space="preserve"> </w:t>
            </w:r>
            <w:r w:rsidRPr="00357C56">
              <w:rPr>
                <w:b/>
                <w:spacing w:val="-4"/>
                <w:lang w:val="en-GB"/>
              </w:rPr>
              <w:t>selected barriers to growth</w:t>
            </w:r>
            <w:r>
              <w:rPr>
                <w:spacing w:val="-4"/>
                <w:lang w:val="en-GB"/>
              </w:rPr>
              <w:t>* (in %, right axis)</w:t>
            </w:r>
          </w:p>
        </w:tc>
      </w:tr>
      <w:tr w:rsidR="00C12FCC" w:rsidRPr="00191C35" w14:paraId="11D86604" w14:textId="77777777" w:rsidTr="00F54F86">
        <w:tblPrEx>
          <w:tblCellMar>
            <w:left w:w="70" w:type="dxa"/>
            <w:right w:w="70" w:type="dxa"/>
          </w:tblCellMar>
        </w:tblPrEx>
        <w:trPr>
          <w:trHeight w:val="145"/>
        </w:trPr>
        <w:tc>
          <w:tcPr>
            <w:tcW w:w="1728" w:type="dxa"/>
            <w:shd w:val="clear" w:color="auto" w:fill="auto"/>
          </w:tcPr>
          <w:p w14:paraId="1CFBC8CB" w14:textId="77777777" w:rsidR="00C12FCC" w:rsidRDefault="00C12FCC" w:rsidP="00C12FCC">
            <w:pPr>
              <w:pStyle w:val="Marginlie"/>
            </w:pPr>
          </w:p>
        </w:tc>
        <w:tc>
          <w:tcPr>
            <w:tcW w:w="206" w:type="dxa"/>
            <w:shd w:val="clear" w:color="auto" w:fill="auto"/>
          </w:tcPr>
          <w:p w14:paraId="0252D769" w14:textId="77777777" w:rsidR="00C12FCC" w:rsidRPr="00B43216" w:rsidRDefault="00C12FCC" w:rsidP="00C12FCC">
            <w:pPr>
              <w:pStyle w:val="Textpoznpodarou"/>
              <w:jc w:val="both"/>
              <w:rPr>
                <w:spacing w:val="-4"/>
              </w:rPr>
            </w:pPr>
          </w:p>
        </w:tc>
        <w:tc>
          <w:tcPr>
            <w:tcW w:w="7730" w:type="dxa"/>
            <w:shd w:val="clear" w:color="auto" w:fill="auto"/>
          </w:tcPr>
          <w:p w14:paraId="3F1E8B72" w14:textId="09A53304" w:rsidR="00C12FCC" w:rsidRPr="003E01D3" w:rsidRDefault="00C12FCC" w:rsidP="00C12FCC">
            <w:pPr>
              <w:spacing w:after="0"/>
              <w:rPr>
                <w:b/>
                <w:spacing w:val="-4"/>
              </w:rPr>
            </w:pPr>
            <w:r>
              <w:rPr>
                <w:noProof/>
              </w:rPr>
              <w:drawing>
                <wp:inline distT="0" distB="0" distL="0" distR="0" wp14:anchorId="21A2C432" wp14:editId="1EA936AF">
                  <wp:extent cx="4817994" cy="3626053"/>
                  <wp:effectExtent l="0" t="0" r="1905"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12FCC" w:rsidRPr="00191C35" w14:paraId="470747E1" w14:textId="77777777" w:rsidTr="00B3385E">
        <w:trPr>
          <w:trHeight w:val="145"/>
        </w:trPr>
        <w:tc>
          <w:tcPr>
            <w:tcW w:w="1728" w:type="dxa"/>
            <w:shd w:val="clear" w:color="auto" w:fill="auto"/>
            <w:tcMar>
              <w:left w:w="0" w:type="dxa"/>
            </w:tcMar>
          </w:tcPr>
          <w:p w14:paraId="35CE6A84" w14:textId="77777777" w:rsidR="00C12FCC" w:rsidRDefault="00C12FCC" w:rsidP="00C12FCC">
            <w:pPr>
              <w:pStyle w:val="Marginlie"/>
            </w:pPr>
          </w:p>
        </w:tc>
        <w:tc>
          <w:tcPr>
            <w:tcW w:w="206" w:type="dxa"/>
            <w:shd w:val="clear" w:color="auto" w:fill="auto"/>
            <w:tcMar>
              <w:left w:w="0" w:type="dxa"/>
            </w:tcMar>
          </w:tcPr>
          <w:p w14:paraId="4AD9133C"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64F79DA2" w14:textId="77777777" w:rsidR="00C12FCC" w:rsidRDefault="00C12FCC" w:rsidP="00C12FCC">
            <w:pPr>
              <w:spacing w:after="0"/>
              <w:rPr>
                <w:rFonts w:cs="Arial"/>
                <w:sz w:val="14"/>
                <w:szCs w:val="14"/>
                <w:lang w:val="en-GB"/>
              </w:rPr>
            </w:pPr>
            <w:r w:rsidRPr="001A1529">
              <w:rPr>
                <w:rFonts w:cs="Arial"/>
                <w:sz w:val="14"/>
                <w:szCs w:val="14"/>
                <w:lang w:val="en-GB"/>
              </w:rPr>
              <w:t xml:space="preserve">Note: </w:t>
            </w:r>
            <w:r w:rsidRPr="001A1529">
              <w:rPr>
                <w:rFonts w:cs="Arial"/>
                <w:spacing w:val="-7"/>
                <w:sz w:val="14"/>
                <w:szCs w:val="14"/>
                <w:lang w:val="en-GB"/>
              </w:rPr>
              <w:t>Data</w:t>
            </w:r>
            <w:r>
              <w:rPr>
                <w:rFonts w:cs="Arial"/>
                <w:spacing w:val="-7"/>
                <w:sz w:val="14"/>
                <w:szCs w:val="14"/>
                <w:lang w:val="en-GB"/>
              </w:rPr>
              <w:t xml:space="preserve"> related to construction output </w:t>
            </w:r>
            <w:proofErr w:type="gramStart"/>
            <w:r>
              <w:rPr>
                <w:rFonts w:cs="Arial"/>
                <w:spacing w:val="-7"/>
                <w:sz w:val="14"/>
                <w:szCs w:val="14"/>
                <w:lang w:val="en-GB"/>
              </w:rPr>
              <w:t>are adjusted</w:t>
            </w:r>
            <w:proofErr w:type="gramEnd"/>
            <w:r>
              <w:rPr>
                <w:rFonts w:cs="Arial"/>
                <w:spacing w:val="-7"/>
                <w:sz w:val="14"/>
                <w:szCs w:val="14"/>
                <w:lang w:val="en-GB"/>
              </w:rPr>
              <w:t xml:space="preserve"> for calendar effects. </w:t>
            </w:r>
          </w:p>
          <w:p w14:paraId="37461444" w14:textId="6DCE7044" w:rsidR="00C12FCC" w:rsidRDefault="00C12FCC" w:rsidP="00C12FCC">
            <w:pPr>
              <w:spacing w:after="0"/>
              <w:rPr>
                <w:rFonts w:cs="Arial"/>
                <w:sz w:val="14"/>
                <w:szCs w:val="14"/>
                <w:lang w:val="en-GB"/>
              </w:rPr>
            </w:pPr>
            <w:r w:rsidRPr="00883202">
              <w:rPr>
                <w:rFonts w:cs="Arial"/>
                <w:sz w:val="14"/>
                <w:szCs w:val="14"/>
              </w:rPr>
              <w:t>*</w:t>
            </w:r>
            <w:r>
              <w:rPr>
                <w:rFonts w:cs="Arial"/>
                <w:sz w:val="14"/>
                <w:szCs w:val="14"/>
                <w:lang w:val="en-GB"/>
              </w:rPr>
              <w:t xml:space="preserve"> Balance of confidence as well as barriers to growth are seasonally adjusted and express the state in the second month of the given quarter. Businesses could have state more main barriers simultaneously. </w:t>
            </w:r>
          </w:p>
          <w:p w14:paraId="1BD149C2" w14:textId="2E8890CA" w:rsidR="00C12FCC" w:rsidRPr="00FC6785" w:rsidRDefault="00C12FCC" w:rsidP="00C12FCC">
            <w:pPr>
              <w:tabs>
                <w:tab w:val="right" w:pos="7711"/>
              </w:tabs>
              <w:spacing w:after="200"/>
              <w:rPr>
                <w:rFonts w:cs="Arial"/>
                <w:sz w:val="14"/>
                <w:szCs w:val="14"/>
              </w:rPr>
            </w:pPr>
            <w:r>
              <w:rPr>
                <w:rFonts w:cs="Arial"/>
                <w:sz w:val="14"/>
                <w:szCs w:val="14"/>
              </w:rPr>
              <w:tab/>
              <w:t>Source</w:t>
            </w:r>
            <w:r w:rsidRPr="00883202">
              <w:rPr>
                <w:rFonts w:cs="Arial"/>
                <w:sz w:val="14"/>
                <w:szCs w:val="14"/>
              </w:rPr>
              <w:t xml:space="preserve">: </w:t>
            </w:r>
            <w:r>
              <w:rPr>
                <w:rFonts w:cs="Arial"/>
                <w:sz w:val="14"/>
                <w:szCs w:val="14"/>
              </w:rPr>
              <w:t>CZSO, Eurostat</w:t>
            </w:r>
          </w:p>
        </w:tc>
      </w:tr>
      <w:tr w:rsidR="00C12FCC" w:rsidRPr="00191C35" w14:paraId="7A5200FD" w14:textId="77777777" w:rsidTr="00B3385E">
        <w:trPr>
          <w:trHeight w:val="145"/>
        </w:trPr>
        <w:tc>
          <w:tcPr>
            <w:tcW w:w="1728" w:type="dxa"/>
            <w:shd w:val="clear" w:color="auto" w:fill="auto"/>
            <w:tcMar>
              <w:left w:w="0" w:type="dxa"/>
            </w:tcMar>
          </w:tcPr>
          <w:p w14:paraId="74D1FA2A" w14:textId="43E15C9D" w:rsidR="00C12FCC" w:rsidRPr="001A1EED" w:rsidRDefault="00C12FCC" w:rsidP="00C12FCC">
            <w:pPr>
              <w:pStyle w:val="Marginlie"/>
              <w:rPr>
                <w:lang w:val="en-GB"/>
              </w:rPr>
            </w:pPr>
            <w:r>
              <w:rPr>
                <w:lang w:val="en-GB"/>
              </w:rPr>
              <w:t>Growth of the value of new construction orders slowed down in Q</w:t>
            </w:r>
            <w:r w:rsidRPr="001A1EED">
              <w:rPr>
                <w:lang w:val="en-GB"/>
              </w:rPr>
              <w:t>4.</w:t>
            </w:r>
          </w:p>
          <w:p w14:paraId="36770E7A" w14:textId="77777777" w:rsidR="00C12FCC" w:rsidRPr="001A1EED" w:rsidRDefault="00C12FCC" w:rsidP="00C12FCC">
            <w:pPr>
              <w:pStyle w:val="Marginlie"/>
              <w:rPr>
                <w:lang w:val="en-GB"/>
              </w:rPr>
            </w:pPr>
          </w:p>
          <w:p w14:paraId="206EC03F" w14:textId="34684B7E" w:rsidR="00C12FCC" w:rsidRPr="001A1EED" w:rsidRDefault="00C12FCC" w:rsidP="00C12FCC">
            <w:pPr>
              <w:pStyle w:val="Marginlie"/>
              <w:rPr>
                <w:lang w:val="en-GB"/>
              </w:rPr>
            </w:pPr>
          </w:p>
          <w:p w14:paraId="53D1E470" w14:textId="77777777" w:rsidR="00C12FCC" w:rsidRPr="001A1EED" w:rsidRDefault="00C12FCC" w:rsidP="00C12FCC">
            <w:pPr>
              <w:pStyle w:val="Marginlie"/>
              <w:rPr>
                <w:lang w:val="en-GB"/>
              </w:rPr>
            </w:pPr>
          </w:p>
          <w:p w14:paraId="36357554" w14:textId="46407212" w:rsidR="00C12FCC" w:rsidRPr="001A1EED" w:rsidRDefault="00C12FCC" w:rsidP="00C12FCC">
            <w:pPr>
              <w:pStyle w:val="Marginlie"/>
              <w:rPr>
                <w:lang w:val="en-GB"/>
              </w:rPr>
            </w:pPr>
            <w:r>
              <w:rPr>
                <w:lang w:val="en-GB"/>
              </w:rPr>
              <w:t xml:space="preserve">Entrepreneur confidence in construction did not change much last year, January and February 2022 brought a positive shift. Shortage of labour </w:t>
            </w:r>
            <w:r>
              <w:rPr>
                <w:lang w:val="en-GB"/>
              </w:rPr>
              <w:lastRenderedPageBreak/>
              <w:t xml:space="preserve">remains the key barrier to growth. </w:t>
            </w:r>
          </w:p>
        </w:tc>
        <w:tc>
          <w:tcPr>
            <w:tcW w:w="206" w:type="dxa"/>
            <w:shd w:val="clear" w:color="auto" w:fill="auto"/>
            <w:tcMar>
              <w:left w:w="0" w:type="dxa"/>
            </w:tcMar>
          </w:tcPr>
          <w:p w14:paraId="3BE2ECC9" w14:textId="77777777" w:rsidR="00C12FCC" w:rsidRPr="001A1EED" w:rsidRDefault="00C12FCC" w:rsidP="00C12FCC">
            <w:pPr>
              <w:pStyle w:val="Textpoznpodarou"/>
              <w:jc w:val="both"/>
              <w:rPr>
                <w:color w:val="0D0D0D" w:themeColor="text1" w:themeTint="F2"/>
                <w:spacing w:val="-4"/>
                <w:lang w:val="en-GB"/>
              </w:rPr>
            </w:pPr>
          </w:p>
        </w:tc>
        <w:tc>
          <w:tcPr>
            <w:tcW w:w="7730" w:type="dxa"/>
            <w:shd w:val="clear" w:color="auto" w:fill="auto"/>
            <w:tcMar>
              <w:left w:w="0" w:type="dxa"/>
            </w:tcMar>
          </w:tcPr>
          <w:p w14:paraId="0BA2A99F" w14:textId="670A9F5A" w:rsidR="00C12FCC" w:rsidRPr="000D6AAF" w:rsidRDefault="00C12FCC" w:rsidP="00C12FCC">
            <w:pPr>
              <w:spacing w:after="160"/>
              <w:rPr>
                <w:rFonts w:cs="Arial"/>
                <w:bCs/>
                <w:color w:val="0D0D0D" w:themeColor="text1" w:themeTint="F2"/>
                <w:spacing w:val="-5"/>
                <w:szCs w:val="20"/>
                <w:lang w:val="en-GB"/>
              </w:rPr>
            </w:pPr>
            <w:proofErr w:type="gramStart"/>
            <w:r w:rsidRPr="000D6AAF">
              <w:rPr>
                <w:lang w:val="en-GB"/>
              </w:rPr>
              <w:t xml:space="preserve">Growth of the nominal value of newly contracted domestic construction orders (in businesses with more than 50 employees) after swift year-on-year pace in the first three quarters (in total by one fifth) slowed down in the remaining part of the last year (to 1.0%) and was thus overshadowed by the growth of construction works (7.9%) as well as prices of </w:t>
            </w:r>
            <w:r w:rsidRPr="00D02AA9">
              <w:rPr>
                <w:lang w:val="en-GB"/>
              </w:rPr>
              <w:t>materials (17.0%)</w:t>
            </w:r>
            <w:r w:rsidRPr="00D02AA9">
              <w:rPr>
                <w:rStyle w:val="Znakapoznpodarou"/>
                <w:spacing w:val="-5"/>
                <w:lang w:val="en-GB"/>
              </w:rPr>
              <w:footnoteReference w:id="39"/>
            </w:r>
            <w:r w:rsidRPr="00D02AA9">
              <w:rPr>
                <w:spacing w:val="-5"/>
                <w:lang w:val="en-GB"/>
              </w:rPr>
              <w:t>.</w:t>
            </w:r>
            <w:proofErr w:type="gramEnd"/>
            <w:r w:rsidRPr="00D02AA9">
              <w:rPr>
                <w:spacing w:val="-5"/>
                <w:lang w:val="en-GB"/>
              </w:rPr>
              <w:t xml:space="preserve"> </w:t>
            </w:r>
            <w:r w:rsidRPr="00D02AA9">
              <w:rPr>
                <w:lang w:val="en-GB"/>
              </w:rPr>
              <w:t>Total stock of work including all so far not yet realised orders was by 13.1% higher year-on-year in December 2021 (it grew similarly for both domestic public and private orders). The</w:t>
            </w:r>
            <w:r>
              <w:rPr>
                <w:lang w:val="en-GB"/>
              </w:rPr>
              <w:t xml:space="preserve"> approximate value per one building permit e</w:t>
            </w:r>
            <w:r w:rsidRPr="00D02AA9">
              <w:rPr>
                <w:lang w:val="en-GB"/>
              </w:rPr>
              <w:t xml:space="preserve">xceeded the similar level from year 2020 by 30% in Q4, in </w:t>
            </w:r>
            <w:proofErr w:type="gramStart"/>
            <w:r w:rsidRPr="00D02AA9">
              <w:rPr>
                <w:lang w:val="en-GB"/>
              </w:rPr>
              <w:t>two year</w:t>
            </w:r>
            <w:proofErr w:type="gramEnd"/>
            <w:r w:rsidRPr="00D02AA9">
              <w:rPr>
                <w:lang w:val="en-GB"/>
              </w:rPr>
              <w:t xml:space="preserve"> comparison however it was higher "only" by 16%. The new construction of residential buildin</w:t>
            </w:r>
            <w:r>
              <w:rPr>
                <w:lang w:val="en-GB"/>
              </w:rPr>
              <w:t>g</w:t>
            </w:r>
            <w:r w:rsidRPr="00D02AA9">
              <w:rPr>
                <w:lang w:val="en-GB"/>
              </w:rPr>
              <w:t>s contributed the most to the growth. Entreprene</w:t>
            </w:r>
            <w:r>
              <w:rPr>
                <w:lang w:val="en-GB"/>
              </w:rPr>
              <w:t>ur c</w:t>
            </w:r>
            <w:r w:rsidRPr="00D02AA9">
              <w:rPr>
                <w:lang w:val="en-GB"/>
              </w:rPr>
              <w:t xml:space="preserve">onfidence in construction was slightly fluctuating throughout the </w:t>
            </w:r>
            <w:r w:rsidRPr="00D02AA9">
              <w:rPr>
                <w:lang w:val="en-GB"/>
              </w:rPr>
              <w:lastRenderedPageBreak/>
              <w:t>whole last year and remained slightly below the level from</w:t>
            </w:r>
            <w:r>
              <w:rPr>
                <w:lang w:val="en-GB"/>
              </w:rPr>
              <w:t xml:space="preserve"> </w:t>
            </w:r>
            <w:r w:rsidRPr="00D02AA9">
              <w:rPr>
                <w:lang w:val="en-GB"/>
              </w:rPr>
              <w:t xml:space="preserve">the period </w:t>
            </w:r>
            <w:r>
              <w:rPr>
                <w:lang w:val="en-GB"/>
              </w:rPr>
              <w:t xml:space="preserve">just </w:t>
            </w:r>
            <w:r w:rsidRPr="00D02AA9">
              <w:rPr>
                <w:lang w:val="en-GB"/>
              </w:rPr>
              <w:t>befor</w:t>
            </w:r>
            <w:r>
              <w:rPr>
                <w:lang w:val="en-GB"/>
              </w:rPr>
              <w:t>e</w:t>
            </w:r>
            <w:r w:rsidRPr="00D02AA9">
              <w:rPr>
                <w:lang w:val="en-GB"/>
              </w:rPr>
              <w:t xml:space="preserve"> the onset of pandemics. At the beginning of year 2022, improvement </w:t>
            </w:r>
            <w:proofErr w:type="gramStart"/>
            <w:r w:rsidRPr="00D02AA9">
              <w:rPr>
                <w:lang w:val="en-GB"/>
              </w:rPr>
              <w:t>was recorded</w:t>
            </w:r>
            <w:proofErr w:type="gramEnd"/>
            <w:r w:rsidRPr="00D02AA9">
              <w:rPr>
                <w:lang w:val="en-GB"/>
              </w:rPr>
              <w:t xml:space="preserve"> than</w:t>
            </w:r>
            <w:r>
              <w:rPr>
                <w:lang w:val="en-GB"/>
              </w:rPr>
              <w:t>k</w:t>
            </w:r>
            <w:r w:rsidRPr="00D02AA9">
              <w:rPr>
                <w:lang w:val="en-GB"/>
              </w:rPr>
              <w:t xml:space="preserve">s to </w:t>
            </w:r>
            <w:r>
              <w:rPr>
                <w:lang w:val="en-GB"/>
              </w:rPr>
              <w:t>the</w:t>
            </w:r>
            <w:r w:rsidRPr="00D02AA9">
              <w:rPr>
                <w:lang w:val="en-GB"/>
              </w:rPr>
              <w:t xml:space="preserve"> more favourable evaluation of the current demand as well as employment anticipations. Already only 19% of businesses indicated inadequate demand as a barrier to growth, in contrast record 26% of businesses faced shortage of material and equipment. Shortage of labour remains in practice the key barrier to grow</w:t>
            </w:r>
            <w:r>
              <w:rPr>
                <w:lang w:val="en-GB"/>
              </w:rPr>
              <w:t>th</w:t>
            </w:r>
            <w:r w:rsidRPr="00D02AA9">
              <w:rPr>
                <w:lang w:val="en-GB"/>
              </w:rPr>
              <w:t xml:space="preserve"> in construction for more than three years - it already limited 52% of businesses this year in February.</w:t>
            </w:r>
          </w:p>
        </w:tc>
      </w:tr>
      <w:tr w:rsidR="00C12FCC" w:rsidRPr="00191C35" w14:paraId="6BB22A99" w14:textId="77777777" w:rsidTr="00B3385E">
        <w:trPr>
          <w:trHeight w:val="145"/>
        </w:trPr>
        <w:tc>
          <w:tcPr>
            <w:tcW w:w="1728" w:type="dxa"/>
            <w:shd w:val="clear" w:color="auto" w:fill="auto"/>
            <w:tcMar>
              <w:left w:w="0" w:type="dxa"/>
            </w:tcMar>
          </w:tcPr>
          <w:p w14:paraId="36FCEE02" w14:textId="37237114" w:rsidR="00C12FCC" w:rsidRPr="002125EB" w:rsidRDefault="00C12FCC" w:rsidP="00C12FCC">
            <w:pPr>
              <w:pStyle w:val="Marginlie"/>
              <w:rPr>
                <w:lang w:val="en-GB"/>
              </w:rPr>
            </w:pPr>
            <w:r>
              <w:rPr>
                <w:lang w:val="en-GB"/>
              </w:rPr>
              <w:lastRenderedPageBreak/>
              <w:t>Mainly activities tied to tourism contributed to the quarter-on-quarter growth of sales in services last year in Q</w:t>
            </w:r>
            <w:r w:rsidRPr="002125EB">
              <w:rPr>
                <w:lang w:val="en-GB"/>
              </w:rPr>
              <w:t>2</w:t>
            </w:r>
            <w:r>
              <w:rPr>
                <w:lang w:val="en-GB"/>
              </w:rPr>
              <w:t xml:space="preserve"> and </w:t>
            </w:r>
            <w:r w:rsidRPr="002125EB">
              <w:rPr>
                <w:lang w:val="en-GB"/>
              </w:rPr>
              <w:t xml:space="preserve">3, </w:t>
            </w:r>
            <w:r>
              <w:rPr>
                <w:lang w:val="en-GB"/>
              </w:rPr>
              <w:t>transportation and warehousing then at the end of the year.</w:t>
            </w:r>
          </w:p>
        </w:tc>
        <w:tc>
          <w:tcPr>
            <w:tcW w:w="206" w:type="dxa"/>
            <w:shd w:val="clear" w:color="auto" w:fill="auto"/>
            <w:tcMar>
              <w:left w:w="0" w:type="dxa"/>
            </w:tcMar>
          </w:tcPr>
          <w:p w14:paraId="2043A58F" w14:textId="77777777" w:rsidR="00C12FCC" w:rsidRPr="00B34A3C" w:rsidRDefault="00C12FCC" w:rsidP="00C12FCC">
            <w:pPr>
              <w:pStyle w:val="Textpoznpodarou"/>
              <w:jc w:val="both"/>
              <w:rPr>
                <w:color w:val="0D0D0D" w:themeColor="text1" w:themeTint="F2"/>
                <w:spacing w:val="-4"/>
              </w:rPr>
            </w:pPr>
          </w:p>
        </w:tc>
        <w:tc>
          <w:tcPr>
            <w:tcW w:w="7730" w:type="dxa"/>
            <w:shd w:val="clear" w:color="auto" w:fill="auto"/>
            <w:tcMar>
              <w:left w:w="0" w:type="dxa"/>
            </w:tcMar>
          </w:tcPr>
          <w:p w14:paraId="5E3328D4" w14:textId="6B656612" w:rsidR="00C12FCC" w:rsidRPr="00753630" w:rsidRDefault="00C12FCC" w:rsidP="00C12FCC">
            <w:pPr>
              <w:spacing w:after="160"/>
              <w:rPr>
                <w:color w:val="0D0D0D" w:themeColor="text1" w:themeTint="F2"/>
                <w:spacing w:val="-5"/>
                <w:lang w:val="en-GB"/>
              </w:rPr>
            </w:pPr>
            <w:r w:rsidRPr="00753630">
              <w:rPr>
                <w:lang w:val="en-GB"/>
              </w:rPr>
              <w:t>Considerable improvement of the epidemic situation during the last year’s Spring together with the progressing vaccination of population enabled practically complete loosening of restrictions. Opposed to the Summer months of year 2020, procedures for the cross border movement of persons w</w:t>
            </w:r>
            <w:r>
              <w:rPr>
                <w:lang w:val="en-GB"/>
              </w:rPr>
              <w:t>ere</w:t>
            </w:r>
            <w:r w:rsidRPr="00753630">
              <w:rPr>
                <w:lang w:val="en-GB"/>
              </w:rPr>
              <w:t xml:space="preserve"> also simplified. This </w:t>
            </w:r>
            <w:r>
              <w:rPr>
                <w:lang w:val="en-GB"/>
              </w:rPr>
              <w:t xml:space="preserve">led to the </w:t>
            </w:r>
            <w:r w:rsidRPr="00753630">
              <w:rPr>
                <w:lang w:val="en-GB"/>
              </w:rPr>
              <w:t>swift quarter-on-quarter growth of sales in selected services</w:t>
            </w:r>
            <w:r w:rsidRPr="00753630">
              <w:rPr>
                <w:color w:val="0D0D0D" w:themeColor="text1" w:themeTint="F2"/>
                <w:spacing w:val="-5"/>
                <w:vertAlign w:val="superscript"/>
                <w:lang w:val="en-GB"/>
              </w:rPr>
              <w:footnoteReference w:id="40"/>
            </w:r>
            <w:r w:rsidRPr="00753630">
              <w:rPr>
                <w:color w:val="0D0D0D" w:themeColor="text1" w:themeTint="F2"/>
                <w:spacing w:val="-5"/>
                <w:lang w:val="en-GB"/>
              </w:rPr>
              <w:t xml:space="preserve">, which represented 5.3% in Q2 2021 and 3.0% in the subsequent period. This revival </w:t>
            </w:r>
            <w:proofErr w:type="gramStart"/>
            <w:r w:rsidRPr="00753630">
              <w:rPr>
                <w:color w:val="0D0D0D" w:themeColor="text1" w:themeTint="F2"/>
                <w:spacing w:val="-5"/>
                <w:lang w:val="en-GB"/>
              </w:rPr>
              <w:t>was naturally driven</w:t>
            </w:r>
            <w:proofErr w:type="gramEnd"/>
            <w:r w:rsidRPr="00753630">
              <w:rPr>
                <w:color w:val="0D0D0D" w:themeColor="text1" w:themeTint="F2"/>
                <w:spacing w:val="-5"/>
                <w:lang w:val="en-GB"/>
              </w:rPr>
              <w:t xml:space="preserve"> by the activities tied to tourism, all ma</w:t>
            </w:r>
            <w:r>
              <w:rPr>
                <w:color w:val="0D0D0D" w:themeColor="text1" w:themeTint="F2"/>
                <w:spacing w:val="-5"/>
                <w:lang w:val="en-GB"/>
              </w:rPr>
              <w:t>i</w:t>
            </w:r>
            <w:r w:rsidRPr="00753630">
              <w:rPr>
                <w:color w:val="0D0D0D" w:themeColor="text1" w:themeTint="F2"/>
                <w:spacing w:val="-5"/>
                <w:lang w:val="en-GB"/>
              </w:rPr>
              <w:t>n services branches however participated to a lesser extent. The recovery of services continued in Q4 (+2.2%), mainly thanks to the branch transportation and warehousing, whose sales overtook the peak from the pre-pandemic period for the first time. This has not been valid so far for services as a whole since their total output still lagged by 2.5% behind the level from Q2 2019.</w:t>
            </w:r>
          </w:p>
        </w:tc>
      </w:tr>
      <w:tr w:rsidR="00C12FCC" w:rsidRPr="00191C35" w14:paraId="6AA67DF7" w14:textId="77777777" w:rsidTr="00B3385E">
        <w:trPr>
          <w:trHeight w:val="145"/>
        </w:trPr>
        <w:tc>
          <w:tcPr>
            <w:tcW w:w="1728" w:type="dxa"/>
            <w:shd w:val="clear" w:color="auto" w:fill="auto"/>
            <w:tcMar>
              <w:left w:w="0" w:type="dxa"/>
            </w:tcMar>
          </w:tcPr>
          <w:p w14:paraId="545060D3" w14:textId="50B9E1C0" w:rsidR="00C12FCC" w:rsidRPr="002125EB" w:rsidRDefault="00C12FCC" w:rsidP="00C12FCC">
            <w:pPr>
              <w:pStyle w:val="Marginlie"/>
              <w:rPr>
                <w:lang w:val="en-GB"/>
              </w:rPr>
            </w:pPr>
            <w:r>
              <w:rPr>
                <w:lang w:val="en-GB"/>
              </w:rPr>
              <w:t xml:space="preserve">Transportation and warehousing ensured more than </w:t>
            </w:r>
            <w:proofErr w:type="gramStart"/>
            <w:r>
              <w:rPr>
                <w:lang w:val="en-GB"/>
              </w:rPr>
              <w:t>one half</w:t>
            </w:r>
            <w:proofErr w:type="gramEnd"/>
            <w:r>
              <w:rPr>
                <w:lang w:val="en-GB"/>
              </w:rPr>
              <w:t xml:space="preserve"> of the year-on-year growth of sales in services last year. </w:t>
            </w:r>
          </w:p>
          <w:p w14:paraId="0E6BC005" w14:textId="77777777" w:rsidR="00C12FCC" w:rsidRPr="002125EB" w:rsidRDefault="00C12FCC" w:rsidP="00C12FCC">
            <w:pPr>
              <w:pStyle w:val="Marginlie"/>
              <w:rPr>
                <w:lang w:val="en-GB"/>
              </w:rPr>
            </w:pPr>
          </w:p>
          <w:p w14:paraId="56B234F1" w14:textId="77777777" w:rsidR="00C12FCC" w:rsidRPr="002125EB" w:rsidRDefault="00C12FCC" w:rsidP="00C12FCC">
            <w:pPr>
              <w:pStyle w:val="Marginlie"/>
              <w:rPr>
                <w:lang w:val="en-GB"/>
              </w:rPr>
            </w:pPr>
          </w:p>
          <w:p w14:paraId="0DA5D313" w14:textId="77777777" w:rsidR="00C12FCC" w:rsidRPr="002125EB" w:rsidRDefault="00C12FCC" w:rsidP="00C12FCC">
            <w:pPr>
              <w:pStyle w:val="Marginlie"/>
              <w:rPr>
                <w:lang w:val="en-GB"/>
              </w:rPr>
            </w:pPr>
          </w:p>
          <w:p w14:paraId="2D9F4B5B" w14:textId="77777777" w:rsidR="00C12FCC" w:rsidRPr="002125EB" w:rsidRDefault="00C12FCC" w:rsidP="00C12FCC">
            <w:pPr>
              <w:pStyle w:val="Marginlie"/>
              <w:rPr>
                <w:lang w:val="en-GB"/>
              </w:rPr>
            </w:pPr>
          </w:p>
          <w:p w14:paraId="531AB886" w14:textId="78542FC7" w:rsidR="00C12FCC" w:rsidRPr="002125EB" w:rsidRDefault="00C12FCC" w:rsidP="00C12FCC">
            <w:pPr>
              <w:pStyle w:val="Marginlie"/>
              <w:rPr>
                <w:lang w:val="en-GB"/>
              </w:rPr>
            </w:pPr>
            <w:r>
              <w:rPr>
                <w:lang w:val="en-GB"/>
              </w:rPr>
              <w:t xml:space="preserve">Sales in accommodation, food service and restaurants still deeply lagged behind year </w:t>
            </w:r>
            <w:r w:rsidRPr="002125EB">
              <w:rPr>
                <w:lang w:val="en-GB"/>
              </w:rPr>
              <w:t>2019</w:t>
            </w:r>
            <w:r>
              <w:rPr>
                <w:lang w:val="en-GB"/>
              </w:rPr>
              <w:t xml:space="preserve">. </w:t>
            </w:r>
          </w:p>
        </w:tc>
        <w:tc>
          <w:tcPr>
            <w:tcW w:w="206" w:type="dxa"/>
            <w:shd w:val="clear" w:color="auto" w:fill="auto"/>
            <w:tcMar>
              <w:left w:w="0" w:type="dxa"/>
            </w:tcMar>
          </w:tcPr>
          <w:p w14:paraId="4325DE0C" w14:textId="77777777" w:rsidR="00C12FCC" w:rsidRPr="002125EB" w:rsidRDefault="00C12FCC" w:rsidP="00C12FCC">
            <w:pPr>
              <w:pStyle w:val="Textpoznpodarou"/>
              <w:jc w:val="both"/>
              <w:rPr>
                <w:color w:val="0D0D0D" w:themeColor="text1" w:themeTint="F2"/>
                <w:spacing w:val="-4"/>
                <w:lang w:val="en-GB"/>
              </w:rPr>
            </w:pPr>
          </w:p>
        </w:tc>
        <w:tc>
          <w:tcPr>
            <w:tcW w:w="7730" w:type="dxa"/>
            <w:shd w:val="clear" w:color="auto" w:fill="auto"/>
            <w:tcMar>
              <w:left w:w="0" w:type="dxa"/>
            </w:tcMar>
          </w:tcPr>
          <w:p w14:paraId="048CED87" w14:textId="73ED3A6B" w:rsidR="00C12FCC" w:rsidRPr="002125EB" w:rsidRDefault="00C12FCC" w:rsidP="00C12FCC">
            <w:pPr>
              <w:spacing w:after="0"/>
              <w:rPr>
                <w:spacing w:val="-2"/>
                <w:lang w:val="en-GB"/>
              </w:rPr>
            </w:pPr>
            <w:r>
              <w:rPr>
                <w:spacing w:val="-2"/>
                <w:lang w:val="en-GB"/>
              </w:rPr>
              <w:t xml:space="preserve">The sales in branch transportation and warehousing increased by full 12.8% year-on-year for the whole last year and contributed by more than one half to the growth of all services performance </w:t>
            </w:r>
            <w:r w:rsidRPr="002125EB">
              <w:rPr>
                <w:spacing w:val="-2"/>
                <w:lang w:val="en-GB"/>
              </w:rPr>
              <w:t>(+7</w:t>
            </w:r>
            <w:r>
              <w:rPr>
                <w:spacing w:val="-2"/>
                <w:lang w:val="en-GB"/>
              </w:rPr>
              <w:t>.</w:t>
            </w:r>
            <w:r w:rsidRPr="002125EB">
              <w:rPr>
                <w:spacing w:val="-2"/>
                <w:lang w:val="en-GB"/>
              </w:rPr>
              <w:t>5%)</w:t>
            </w:r>
            <w:r>
              <w:rPr>
                <w:spacing w:val="-2"/>
                <w:lang w:val="en-GB"/>
              </w:rPr>
              <w:t xml:space="preserve">. The strong demand in warehousing, where the sales overtook the level from year </w:t>
            </w:r>
            <w:r w:rsidRPr="002125EB">
              <w:rPr>
                <w:spacing w:val="-2"/>
                <w:lang w:val="en-GB"/>
              </w:rPr>
              <w:t xml:space="preserve">2019 </w:t>
            </w:r>
            <w:r>
              <w:rPr>
                <w:spacing w:val="-2"/>
                <w:lang w:val="en-GB"/>
              </w:rPr>
              <w:t>already by nearly one tenth, was a decisive factor</w:t>
            </w:r>
            <w:r w:rsidRPr="002125EB">
              <w:rPr>
                <w:spacing w:val="-2"/>
                <w:lang w:val="en-GB"/>
              </w:rPr>
              <w:t xml:space="preserve">. </w:t>
            </w:r>
            <w:r>
              <w:rPr>
                <w:spacing w:val="-2"/>
                <w:lang w:val="en-GB"/>
              </w:rPr>
              <w:t xml:space="preserve">The fast advancement of the postal and courier services continued, they benefited from the growth of the sales via internet, which further surged during the pandemics. Sales from land and pipeline transportation did increase by </w:t>
            </w:r>
            <w:r w:rsidRPr="002125EB">
              <w:rPr>
                <w:spacing w:val="-2"/>
                <w:lang w:val="en-GB"/>
              </w:rPr>
              <w:t>5</w:t>
            </w:r>
            <w:r>
              <w:rPr>
                <w:spacing w:val="-2"/>
                <w:lang w:val="en-GB"/>
              </w:rPr>
              <w:t>.</w:t>
            </w:r>
            <w:r w:rsidRPr="002125EB">
              <w:rPr>
                <w:spacing w:val="-2"/>
                <w:lang w:val="en-GB"/>
              </w:rPr>
              <w:t>7%</w:t>
            </w:r>
            <w:r>
              <w:rPr>
                <w:spacing w:val="-2"/>
                <w:lang w:val="en-GB"/>
              </w:rPr>
              <w:t xml:space="preserve"> year-on-year last year</w:t>
            </w:r>
            <w:r w:rsidRPr="002125EB">
              <w:rPr>
                <w:spacing w:val="-2"/>
                <w:lang w:val="en-GB"/>
              </w:rPr>
              <w:t xml:space="preserve">, </w:t>
            </w:r>
            <w:r>
              <w:rPr>
                <w:spacing w:val="-2"/>
                <w:lang w:val="en-GB"/>
              </w:rPr>
              <w:t xml:space="preserve">in reality they however </w:t>
            </w:r>
            <w:proofErr w:type="gramStart"/>
            <w:r>
              <w:rPr>
                <w:spacing w:val="-2"/>
                <w:lang w:val="en-GB"/>
              </w:rPr>
              <w:t>were placed</w:t>
            </w:r>
            <w:proofErr w:type="gramEnd"/>
            <w:r>
              <w:rPr>
                <w:spacing w:val="-2"/>
                <w:lang w:val="en-GB"/>
              </w:rPr>
              <w:t xml:space="preserve"> only near to the value from years </w:t>
            </w:r>
            <w:r w:rsidRPr="002125EB">
              <w:rPr>
                <w:spacing w:val="-2"/>
                <w:lang w:val="en-GB"/>
              </w:rPr>
              <w:t>2015 a</w:t>
            </w:r>
            <w:r>
              <w:rPr>
                <w:spacing w:val="-2"/>
                <w:lang w:val="en-GB"/>
              </w:rPr>
              <w:t>nd</w:t>
            </w:r>
            <w:r w:rsidRPr="002125EB">
              <w:rPr>
                <w:spacing w:val="-2"/>
                <w:lang w:val="en-GB"/>
              </w:rPr>
              <w:t xml:space="preserve"> 2016. </w:t>
            </w:r>
            <w:r>
              <w:rPr>
                <w:spacing w:val="-2"/>
                <w:lang w:val="en-GB"/>
              </w:rPr>
              <w:t xml:space="preserve">Lowered transport demands of population stemming from more frequent utilisation of home office as well as distance learning </w:t>
            </w:r>
            <w:proofErr w:type="gramStart"/>
            <w:r>
              <w:rPr>
                <w:spacing w:val="-2"/>
                <w:lang w:val="en-GB"/>
              </w:rPr>
              <w:t>and also</w:t>
            </w:r>
            <w:proofErr w:type="gramEnd"/>
            <w:r>
              <w:rPr>
                <w:spacing w:val="-2"/>
                <w:lang w:val="en-GB"/>
              </w:rPr>
              <w:t xml:space="preserve"> from the slower recovery of the arrival tourism</w:t>
            </w:r>
            <w:r w:rsidRPr="002125EB">
              <w:rPr>
                <w:rStyle w:val="Znakapoznpodarou"/>
                <w:spacing w:val="-5"/>
                <w:lang w:val="en-GB"/>
              </w:rPr>
              <w:footnoteReference w:id="41"/>
            </w:r>
            <w:r>
              <w:rPr>
                <w:spacing w:val="-2"/>
                <w:lang w:val="en-GB"/>
              </w:rPr>
              <w:t xml:space="preserve"> prevented the return to the standard level of mobility</w:t>
            </w:r>
            <w:r w:rsidRPr="002125EB">
              <w:rPr>
                <w:spacing w:val="-2"/>
                <w:lang w:val="en-GB"/>
              </w:rPr>
              <w:t xml:space="preserve">. </w:t>
            </w:r>
            <w:r>
              <w:rPr>
                <w:spacing w:val="-2"/>
                <w:lang w:val="en-GB"/>
              </w:rPr>
              <w:t xml:space="preserve">This was fully mirrored in sales of accommodation, which mildly increased year-on-year </w:t>
            </w:r>
            <w:r w:rsidRPr="002125EB">
              <w:rPr>
                <w:spacing w:val="-2"/>
                <w:lang w:val="en-GB"/>
              </w:rPr>
              <w:t>(</w:t>
            </w:r>
            <w:r>
              <w:rPr>
                <w:spacing w:val="-2"/>
                <w:lang w:val="en-GB"/>
              </w:rPr>
              <w:t xml:space="preserve">by </w:t>
            </w:r>
            <w:r w:rsidRPr="002125EB">
              <w:rPr>
                <w:spacing w:val="-2"/>
                <w:lang w:val="en-GB"/>
              </w:rPr>
              <w:t>2</w:t>
            </w:r>
            <w:r>
              <w:rPr>
                <w:spacing w:val="-2"/>
                <w:lang w:val="en-GB"/>
              </w:rPr>
              <w:t>.</w:t>
            </w:r>
            <w:r w:rsidRPr="002125EB">
              <w:rPr>
                <w:spacing w:val="-2"/>
                <w:lang w:val="en-GB"/>
              </w:rPr>
              <w:t>3%)</w:t>
            </w:r>
            <w:proofErr w:type="gramStart"/>
            <w:r w:rsidRPr="002125EB">
              <w:rPr>
                <w:spacing w:val="-2"/>
                <w:lang w:val="en-GB"/>
              </w:rPr>
              <w:t>,</w:t>
            </w:r>
            <w:proofErr w:type="gramEnd"/>
            <w:r w:rsidRPr="002125EB">
              <w:rPr>
                <w:spacing w:val="-2"/>
                <w:lang w:val="en-GB"/>
              </w:rPr>
              <w:t xml:space="preserve"> </w:t>
            </w:r>
            <w:r>
              <w:rPr>
                <w:spacing w:val="-2"/>
                <w:lang w:val="en-GB"/>
              </w:rPr>
              <w:t xml:space="preserve">however they were by 55% weaker compared to year </w:t>
            </w:r>
            <w:r w:rsidRPr="002125EB">
              <w:rPr>
                <w:spacing w:val="-2"/>
                <w:lang w:val="en-GB"/>
              </w:rPr>
              <w:t>2019</w:t>
            </w:r>
            <w:r>
              <w:rPr>
                <w:spacing w:val="-2"/>
                <w:lang w:val="en-GB"/>
              </w:rPr>
              <w:t>. The two-year slump in food service and restaurants amounted to “only” 30% thanks to the faster revival of consumption of domestic households</w:t>
            </w:r>
            <w:r w:rsidRPr="002125EB">
              <w:rPr>
                <w:spacing w:val="-2"/>
                <w:lang w:val="en-GB"/>
              </w:rPr>
              <w:t>.</w:t>
            </w:r>
          </w:p>
          <w:p w14:paraId="1EC44562" w14:textId="05B825C0" w:rsidR="00C12FCC" w:rsidRPr="002125EB" w:rsidRDefault="00C12FCC" w:rsidP="00C12FCC">
            <w:pPr>
              <w:spacing w:after="0"/>
              <w:rPr>
                <w:spacing w:val="-2"/>
                <w:lang w:val="en-GB"/>
              </w:rPr>
            </w:pPr>
          </w:p>
        </w:tc>
      </w:tr>
      <w:tr w:rsidR="00C12FCC" w:rsidRPr="00191C35" w14:paraId="796135B9" w14:textId="77777777" w:rsidTr="00B3385E">
        <w:trPr>
          <w:trHeight w:val="145"/>
        </w:trPr>
        <w:tc>
          <w:tcPr>
            <w:tcW w:w="1728" w:type="dxa"/>
            <w:shd w:val="clear" w:color="auto" w:fill="auto"/>
            <w:tcMar>
              <w:left w:w="0" w:type="dxa"/>
            </w:tcMar>
          </w:tcPr>
          <w:p w14:paraId="23AB07B8" w14:textId="77777777" w:rsidR="00C12FCC" w:rsidRDefault="00C12FCC" w:rsidP="00C12FCC">
            <w:pPr>
              <w:pStyle w:val="Marginlie"/>
              <w:rPr>
                <w:lang w:val="en-GB"/>
              </w:rPr>
            </w:pPr>
            <w:r>
              <w:rPr>
                <w:lang w:val="en-GB"/>
              </w:rPr>
              <w:t xml:space="preserve">Growth of sales in information and communication continued for the eighth year in a row. </w:t>
            </w:r>
          </w:p>
          <w:p w14:paraId="7353E612" w14:textId="77777777" w:rsidR="00C12FCC" w:rsidRPr="002577BB" w:rsidRDefault="00C12FCC" w:rsidP="00C12FCC">
            <w:pPr>
              <w:pStyle w:val="Marginlie"/>
              <w:rPr>
                <w:lang w:val="en-GB"/>
              </w:rPr>
            </w:pPr>
          </w:p>
          <w:p w14:paraId="74AE44A2" w14:textId="77777777" w:rsidR="00C12FCC" w:rsidRPr="002577BB" w:rsidRDefault="00C12FCC" w:rsidP="00C12FCC">
            <w:pPr>
              <w:pStyle w:val="Marginlie"/>
              <w:rPr>
                <w:lang w:val="en-GB"/>
              </w:rPr>
            </w:pPr>
          </w:p>
          <w:p w14:paraId="49D8EF65" w14:textId="5E02B780" w:rsidR="00C12FCC" w:rsidRDefault="00C12FCC" w:rsidP="00C12FCC">
            <w:pPr>
              <w:pStyle w:val="Marginlie"/>
              <w:rPr>
                <w:lang w:val="en-GB"/>
              </w:rPr>
            </w:pPr>
            <w:r>
              <w:rPr>
                <w:lang w:val="en-GB"/>
              </w:rPr>
              <w:lastRenderedPageBreak/>
              <w:t>Some specialised services for businesses faced decline of demand in years 2</w:t>
            </w:r>
            <w:r w:rsidRPr="002577BB">
              <w:rPr>
                <w:lang w:val="en-GB"/>
              </w:rPr>
              <w:t xml:space="preserve">020 </w:t>
            </w:r>
            <w:r>
              <w:rPr>
                <w:lang w:val="en-GB"/>
              </w:rPr>
              <w:t xml:space="preserve">and </w:t>
            </w:r>
            <w:r w:rsidRPr="002577BB">
              <w:rPr>
                <w:lang w:val="en-GB"/>
              </w:rPr>
              <w:t>2021.</w:t>
            </w:r>
          </w:p>
        </w:tc>
        <w:tc>
          <w:tcPr>
            <w:tcW w:w="206" w:type="dxa"/>
            <w:shd w:val="clear" w:color="auto" w:fill="auto"/>
            <w:tcMar>
              <w:left w:w="0" w:type="dxa"/>
            </w:tcMar>
          </w:tcPr>
          <w:p w14:paraId="2264E09E" w14:textId="77777777" w:rsidR="00C12FCC" w:rsidRPr="002125EB" w:rsidRDefault="00C12FCC" w:rsidP="00C12FCC">
            <w:pPr>
              <w:pStyle w:val="Textpoznpodarou"/>
              <w:jc w:val="both"/>
              <w:rPr>
                <w:color w:val="0D0D0D" w:themeColor="text1" w:themeTint="F2"/>
                <w:spacing w:val="-4"/>
                <w:lang w:val="en-GB"/>
              </w:rPr>
            </w:pPr>
          </w:p>
        </w:tc>
        <w:tc>
          <w:tcPr>
            <w:tcW w:w="7730" w:type="dxa"/>
            <w:shd w:val="clear" w:color="auto" w:fill="auto"/>
            <w:tcMar>
              <w:left w:w="0" w:type="dxa"/>
            </w:tcMar>
          </w:tcPr>
          <w:p w14:paraId="1309C898" w14:textId="5810429D" w:rsidR="00C12FCC" w:rsidRDefault="00C12FCC" w:rsidP="00C12FCC">
            <w:pPr>
              <w:spacing w:after="200"/>
              <w:rPr>
                <w:spacing w:val="-2"/>
                <w:lang w:val="en-GB"/>
              </w:rPr>
            </w:pPr>
            <w:r>
              <w:rPr>
                <w:color w:val="0D0D0D" w:themeColor="text1" w:themeTint="F2"/>
                <w:spacing w:val="-4"/>
                <w:lang w:val="en-GB"/>
              </w:rPr>
              <w:t xml:space="preserve">Year-on-year growth of sales in information and communication (ICT) markedly accelerated last year </w:t>
            </w:r>
            <w:r w:rsidRPr="002577BB">
              <w:rPr>
                <w:color w:val="0D0D0D" w:themeColor="text1" w:themeTint="F2"/>
                <w:spacing w:val="-4"/>
                <w:lang w:val="en-GB"/>
              </w:rPr>
              <w:t>(</w:t>
            </w:r>
            <w:r>
              <w:rPr>
                <w:color w:val="0D0D0D" w:themeColor="text1" w:themeTint="F2"/>
                <w:spacing w:val="-4"/>
                <w:lang w:val="en-GB"/>
              </w:rPr>
              <w:t xml:space="preserve">to </w:t>
            </w:r>
            <w:r w:rsidRPr="002577BB">
              <w:rPr>
                <w:color w:val="0D0D0D" w:themeColor="text1" w:themeTint="F2"/>
                <w:spacing w:val="-4"/>
                <w:lang w:val="en-GB"/>
              </w:rPr>
              <w:t>5</w:t>
            </w:r>
            <w:r>
              <w:rPr>
                <w:color w:val="0D0D0D" w:themeColor="text1" w:themeTint="F2"/>
                <w:spacing w:val="-4"/>
                <w:lang w:val="en-GB"/>
              </w:rPr>
              <w:t>.</w:t>
            </w:r>
            <w:r w:rsidRPr="002577BB">
              <w:rPr>
                <w:color w:val="0D0D0D" w:themeColor="text1" w:themeTint="F2"/>
                <w:spacing w:val="-4"/>
                <w:lang w:val="en-GB"/>
              </w:rPr>
              <w:t>8%).</w:t>
            </w:r>
            <w:r>
              <w:rPr>
                <w:color w:val="0D0D0D" w:themeColor="text1" w:themeTint="F2"/>
                <w:spacing w:val="-4"/>
                <w:lang w:val="en-GB"/>
              </w:rPr>
              <w:t xml:space="preserve"> Sales </w:t>
            </w:r>
            <w:proofErr w:type="gramStart"/>
            <w:r>
              <w:rPr>
                <w:color w:val="0D0D0D" w:themeColor="text1" w:themeTint="F2"/>
                <w:spacing w:val="-4"/>
                <w:lang w:val="en-GB"/>
              </w:rPr>
              <w:t>were hiked up</w:t>
            </w:r>
            <w:proofErr w:type="gramEnd"/>
            <w:r>
              <w:rPr>
                <w:color w:val="0D0D0D" w:themeColor="text1" w:themeTint="F2"/>
                <w:spacing w:val="-4"/>
                <w:lang w:val="en-GB"/>
              </w:rPr>
              <w:t xml:space="preserve"> here for the eighth year in a row. All subbranches contributed to the last </w:t>
            </w:r>
            <w:r w:rsidRPr="007F2F8E">
              <w:rPr>
                <w:color w:val="0D0D0D" w:themeColor="text1" w:themeTint="F2"/>
                <w:spacing w:val="-4"/>
                <w:lang w:val="en-GB"/>
              </w:rPr>
              <w:t xml:space="preserve">year’s growth, activities in the area of information technologies (for instance programming) the most. </w:t>
            </w:r>
            <w:r>
              <w:rPr>
                <w:color w:val="0D0D0D" w:themeColor="text1" w:themeTint="F2"/>
                <w:spacing w:val="-4"/>
                <w:lang w:val="en-GB"/>
              </w:rPr>
              <w:t>Motion picture and music industry were fast recovering</w:t>
            </w:r>
            <w:r w:rsidRPr="007F2F8E">
              <w:rPr>
                <w:rStyle w:val="Znakapoznpodarou"/>
                <w:color w:val="0D0D0D" w:themeColor="text1" w:themeTint="F2"/>
                <w:spacing w:val="-4"/>
                <w:lang w:val="en-GB"/>
              </w:rPr>
              <w:footnoteReference w:id="42"/>
            </w:r>
            <w:proofErr w:type="gramStart"/>
            <w:r w:rsidRPr="007F2F8E">
              <w:rPr>
                <w:color w:val="0D0D0D" w:themeColor="text1" w:themeTint="F2"/>
                <w:spacing w:val="-4"/>
                <w:lang w:val="en-GB"/>
              </w:rPr>
              <w:t>,</w:t>
            </w:r>
            <w:proofErr w:type="gramEnd"/>
            <w:r>
              <w:rPr>
                <w:color w:val="0D0D0D" w:themeColor="text1" w:themeTint="F2"/>
                <w:spacing w:val="-4"/>
                <w:lang w:val="en-GB"/>
              </w:rPr>
              <w:t xml:space="preserve"> however the slump of sales from year </w:t>
            </w:r>
            <w:r w:rsidRPr="007F2F8E">
              <w:rPr>
                <w:color w:val="0D0D0D" w:themeColor="text1" w:themeTint="F2"/>
                <w:spacing w:val="-4"/>
                <w:lang w:val="en-GB"/>
              </w:rPr>
              <w:t>2020 (</w:t>
            </w:r>
            <w:r>
              <w:rPr>
                <w:color w:val="0D0D0D" w:themeColor="text1" w:themeTint="F2"/>
                <w:spacing w:val="-4"/>
                <w:lang w:val="en-GB"/>
              </w:rPr>
              <w:t xml:space="preserve">by </w:t>
            </w:r>
            <w:r w:rsidRPr="007F2F8E">
              <w:rPr>
                <w:color w:val="0D0D0D" w:themeColor="text1" w:themeTint="F2"/>
                <w:spacing w:val="-4"/>
                <w:lang w:val="en-GB"/>
              </w:rPr>
              <w:t>39%)</w:t>
            </w:r>
            <w:r>
              <w:rPr>
                <w:color w:val="0D0D0D" w:themeColor="text1" w:themeTint="F2"/>
                <w:spacing w:val="-4"/>
                <w:lang w:val="en-GB"/>
              </w:rPr>
              <w:t xml:space="preserve"> was not fully compensated yet. Sales </w:t>
            </w:r>
            <w:r>
              <w:rPr>
                <w:color w:val="0D0D0D" w:themeColor="text1" w:themeTint="F2"/>
                <w:spacing w:val="-4"/>
                <w:lang w:val="en-GB"/>
              </w:rPr>
              <w:lastRenderedPageBreak/>
              <w:t xml:space="preserve">in branch professional, scientific and technical activities, dependent to a large extent on the business demand, increased by </w:t>
            </w:r>
            <w:r w:rsidRPr="007F2F8E">
              <w:rPr>
                <w:color w:val="0D0D0D" w:themeColor="text1" w:themeTint="F2"/>
                <w:spacing w:val="-4"/>
                <w:lang w:val="en-GB"/>
              </w:rPr>
              <w:t>5</w:t>
            </w:r>
            <w:r>
              <w:rPr>
                <w:color w:val="0D0D0D" w:themeColor="text1" w:themeTint="F2"/>
                <w:spacing w:val="-4"/>
                <w:lang w:val="en-GB"/>
              </w:rPr>
              <w:t>.</w:t>
            </w:r>
            <w:r w:rsidRPr="007F2F8E">
              <w:rPr>
                <w:color w:val="0D0D0D" w:themeColor="text1" w:themeTint="F2"/>
                <w:spacing w:val="-4"/>
                <w:lang w:val="en-GB"/>
              </w:rPr>
              <w:t>4%</w:t>
            </w:r>
            <w:r>
              <w:rPr>
                <w:color w:val="0D0D0D" w:themeColor="text1" w:themeTint="F2"/>
                <w:spacing w:val="-4"/>
                <w:lang w:val="en-GB"/>
              </w:rPr>
              <w:t xml:space="preserve"> year-on-year last year</w:t>
            </w:r>
            <w:r w:rsidRPr="007F2F8E">
              <w:rPr>
                <w:color w:val="0D0D0D" w:themeColor="text1" w:themeTint="F2"/>
                <w:spacing w:val="-4"/>
                <w:lang w:val="en-GB"/>
              </w:rPr>
              <w:t>.</w:t>
            </w:r>
            <w:r>
              <w:rPr>
                <w:color w:val="0D0D0D" w:themeColor="text1" w:themeTint="F2"/>
                <w:spacing w:val="-4"/>
                <w:lang w:val="en-GB"/>
              </w:rPr>
              <w:t xml:space="preserve"> The architectural and engineering services played the largest role. Demand for activities for head office </w:t>
            </w:r>
            <w:r w:rsidRPr="007F2F8E">
              <w:rPr>
                <w:color w:val="0D0D0D" w:themeColor="text1" w:themeTint="F2"/>
                <w:spacing w:val="-4"/>
                <w:lang w:val="en-GB"/>
              </w:rPr>
              <w:t>(</w:t>
            </w:r>
            <w:r>
              <w:rPr>
                <w:color w:val="0D0D0D" w:themeColor="text1" w:themeTint="F2"/>
                <w:spacing w:val="-4"/>
                <w:lang w:val="en-GB"/>
              </w:rPr>
              <w:t>including management consultancy activities</w:t>
            </w:r>
            <w:r w:rsidRPr="007F2F8E">
              <w:rPr>
                <w:color w:val="0D0D0D" w:themeColor="text1" w:themeTint="F2"/>
                <w:spacing w:val="-4"/>
                <w:lang w:val="en-GB"/>
              </w:rPr>
              <w:t>)</w:t>
            </w:r>
            <w:r>
              <w:rPr>
                <w:color w:val="0D0D0D" w:themeColor="text1" w:themeTint="F2"/>
                <w:spacing w:val="-4"/>
                <w:lang w:val="en-GB"/>
              </w:rPr>
              <w:t xml:space="preserve"> was strengthening</w:t>
            </w:r>
            <w:r w:rsidRPr="007F2F8E">
              <w:rPr>
                <w:color w:val="0D0D0D" w:themeColor="text1" w:themeTint="F2"/>
                <w:spacing w:val="-4"/>
                <w:lang w:val="en-GB"/>
              </w:rPr>
              <w:t xml:space="preserve">, </w:t>
            </w:r>
            <w:r>
              <w:rPr>
                <w:color w:val="0D0D0D" w:themeColor="text1" w:themeTint="F2"/>
                <w:spacing w:val="-4"/>
                <w:lang w:val="en-GB"/>
              </w:rPr>
              <w:t xml:space="preserve">similarly to legal and accounting activities already overcoming the level of sales from the period shortly before the pandemic period. On the contrary, some specialised services (for example translation, photographic, design activities) faced a decrease of demand in both pandemic years. </w:t>
            </w:r>
            <w:r w:rsidRPr="000B2BA8">
              <w:rPr>
                <w:color w:val="0D0D0D" w:themeColor="text1" w:themeTint="F2"/>
                <w:spacing w:val="-4"/>
                <w:lang w:val="en-GB"/>
              </w:rPr>
              <w:t>Last year’s growth of services in the administrative and support services activities</w:t>
            </w:r>
            <w:r>
              <w:rPr>
                <w:color w:val="0D0D0D" w:themeColor="text1" w:themeTint="F2"/>
                <w:spacing w:val="-4"/>
                <w:lang w:val="en-GB"/>
              </w:rPr>
              <w:t xml:space="preserve"> </w:t>
            </w:r>
            <w:r w:rsidRPr="000B2BA8">
              <w:rPr>
                <w:color w:val="0D0D0D" w:themeColor="text1" w:themeTint="F2"/>
                <w:spacing w:val="-4"/>
                <w:lang w:val="en-GB"/>
              </w:rPr>
              <w:t>(</w:t>
            </w:r>
            <w:r>
              <w:rPr>
                <w:color w:val="0D0D0D" w:themeColor="text1" w:themeTint="F2"/>
                <w:spacing w:val="-4"/>
                <w:lang w:val="en-GB"/>
              </w:rPr>
              <w:t xml:space="preserve">by </w:t>
            </w:r>
            <w:r w:rsidRPr="000B2BA8">
              <w:rPr>
                <w:color w:val="0D0D0D" w:themeColor="text1" w:themeTint="F2"/>
                <w:spacing w:val="-4"/>
                <w:lang w:val="en-GB"/>
              </w:rPr>
              <w:t>7</w:t>
            </w:r>
            <w:r>
              <w:rPr>
                <w:color w:val="0D0D0D" w:themeColor="text1" w:themeTint="F2"/>
                <w:spacing w:val="-4"/>
                <w:lang w:val="en-GB"/>
              </w:rPr>
              <w:t>.</w:t>
            </w:r>
            <w:r w:rsidRPr="000B2BA8">
              <w:rPr>
                <w:color w:val="0D0D0D" w:themeColor="text1" w:themeTint="F2"/>
                <w:spacing w:val="-4"/>
                <w:lang w:val="en-GB"/>
              </w:rPr>
              <w:t xml:space="preserve">5%) </w:t>
            </w:r>
            <w:r>
              <w:rPr>
                <w:color w:val="0D0D0D" w:themeColor="text1" w:themeTint="F2"/>
                <w:spacing w:val="-4"/>
                <w:lang w:val="en-GB"/>
              </w:rPr>
              <w:t xml:space="preserve"> was for a major part influenced by the revival of demand in the area of travel agencies, where however the sales still hasn´t reached even </w:t>
            </w:r>
            <w:r w:rsidRPr="000B2BA8">
              <w:rPr>
                <w:color w:val="0D0D0D" w:themeColor="text1" w:themeTint="F2"/>
                <w:spacing w:val="-4"/>
                <w:lang w:val="en-GB"/>
              </w:rPr>
              <w:t>40%</w:t>
            </w:r>
            <w:r>
              <w:rPr>
                <w:color w:val="0D0D0D" w:themeColor="text1" w:themeTint="F2"/>
                <w:spacing w:val="-4"/>
                <w:lang w:val="en-GB"/>
              </w:rPr>
              <w:t xml:space="preserve"> of level from year </w:t>
            </w:r>
            <w:r w:rsidRPr="000B2BA8">
              <w:rPr>
                <w:color w:val="0D0D0D" w:themeColor="text1" w:themeTint="F2"/>
                <w:spacing w:val="-4"/>
                <w:lang w:val="en-GB"/>
              </w:rPr>
              <w:t>2019. Other subbranches haven´t overcome the slump from year 2020 yet – especially then employment placement agencies, which featured apparent weaker demand during the last year.</w:t>
            </w:r>
            <w:r>
              <w:rPr>
                <w:color w:val="0D0D0D" w:themeColor="text1" w:themeTint="F2"/>
                <w:spacing w:val="-4"/>
                <w:lang w:val="en-GB"/>
              </w:rPr>
              <w:t xml:space="preserve"> </w:t>
            </w:r>
          </w:p>
        </w:tc>
      </w:tr>
      <w:tr w:rsidR="00C12FCC" w:rsidRPr="00191C35" w14:paraId="025C2BBD" w14:textId="77777777" w:rsidTr="00B3385E">
        <w:trPr>
          <w:trHeight w:val="145"/>
        </w:trPr>
        <w:tc>
          <w:tcPr>
            <w:tcW w:w="1728" w:type="dxa"/>
            <w:shd w:val="clear" w:color="auto" w:fill="auto"/>
            <w:tcMar>
              <w:left w:w="0" w:type="dxa"/>
            </w:tcMar>
          </w:tcPr>
          <w:p w14:paraId="103B63DF" w14:textId="77777777" w:rsidR="00C12FCC" w:rsidRDefault="00C12FCC" w:rsidP="00C12FCC">
            <w:pPr>
              <w:pStyle w:val="Marginlie"/>
            </w:pPr>
          </w:p>
        </w:tc>
        <w:tc>
          <w:tcPr>
            <w:tcW w:w="206" w:type="dxa"/>
            <w:shd w:val="clear" w:color="auto" w:fill="auto"/>
            <w:tcMar>
              <w:left w:w="0" w:type="dxa"/>
            </w:tcMar>
          </w:tcPr>
          <w:p w14:paraId="51730E25"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45F27AC2" w14:textId="1DE7182D" w:rsidR="00C12FCC" w:rsidRPr="00491A43" w:rsidRDefault="00C12FCC" w:rsidP="00C12FCC">
            <w:pPr>
              <w:spacing w:after="0"/>
              <w:rPr>
                <w:szCs w:val="20"/>
              </w:rPr>
            </w:pPr>
            <w:r>
              <w:rPr>
                <w:b/>
              </w:rPr>
              <w:t xml:space="preserve">Chart </w:t>
            </w:r>
            <w:r w:rsidRPr="00491A43">
              <w:rPr>
                <w:b/>
              </w:rPr>
              <w:t>7</w:t>
            </w:r>
            <w:r>
              <w:rPr>
                <w:b/>
              </w:rPr>
              <w:t xml:space="preserve"> </w:t>
            </w:r>
            <w:r w:rsidRPr="00491A43">
              <w:rPr>
                <w:b/>
              </w:rPr>
              <w:t xml:space="preserve"> </w:t>
            </w:r>
            <w:r w:rsidRPr="000A5DBC">
              <w:rPr>
                <w:b/>
                <w:lang w:val="en-GB"/>
              </w:rPr>
              <w:t xml:space="preserve">Contributions of branches to year-on-year change of sales in services* </w:t>
            </w:r>
            <w:r w:rsidRPr="000A5DBC">
              <w:rPr>
                <w:lang w:val="en-GB"/>
              </w:rPr>
              <w:t xml:space="preserve">(in </w:t>
            </w:r>
            <w:proofErr w:type="gramStart"/>
            <w:r w:rsidRPr="000A5DBC">
              <w:rPr>
                <w:lang w:val="en-GB"/>
              </w:rPr>
              <w:t>p.p.</w:t>
            </w:r>
            <w:proofErr w:type="gramEnd"/>
            <w:r w:rsidRPr="000A5DBC">
              <w:rPr>
                <w:lang w:val="en-GB"/>
              </w:rPr>
              <w:t xml:space="preserve">, </w:t>
            </w:r>
            <w:r>
              <w:rPr>
                <w:lang w:val="en-GB"/>
              </w:rPr>
              <w:t>real),</w:t>
            </w:r>
            <w:r w:rsidRPr="000A5DBC">
              <w:rPr>
                <w:b/>
                <w:lang w:val="en-GB"/>
              </w:rPr>
              <w:t xml:space="preserve"> balance of confidence indicator in selected services** </w:t>
            </w:r>
            <w:r w:rsidRPr="000A5DBC">
              <w:rPr>
                <w:lang w:val="en-GB"/>
              </w:rPr>
              <w:t>(i</w:t>
            </w:r>
            <w:r>
              <w:rPr>
                <w:lang w:val="en-GB"/>
              </w:rPr>
              <w:t>n p.p., right axis</w:t>
            </w:r>
            <w:r w:rsidRPr="000A5DBC">
              <w:rPr>
                <w:lang w:val="en-GB"/>
              </w:rPr>
              <w:t>)</w:t>
            </w:r>
            <w:r w:rsidRPr="000A5DBC">
              <w:rPr>
                <w:b/>
                <w:lang w:val="en-GB"/>
              </w:rPr>
              <w:t xml:space="preserve"> and selected growth barriers*</w:t>
            </w:r>
            <w:r>
              <w:rPr>
                <w:lang w:val="en-GB"/>
              </w:rPr>
              <w:t>* (in %, right axis)</w:t>
            </w:r>
          </w:p>
        </w:tc>
      </w:tr>
      <w:tr w:rsidR="00C12FCC" w:rsidRPr="00191C35" w14:paraId="4CF79A9D" w14:textId="77777777" w:rsidTr="00F54F86">
        <w:tblPrEx>
          <w:tblCellMar>
            <w:left w:w="70" w:type="dxa"/>
            <w:right w:w="70" w:type="dxa"/>
          </w:tblCellMar>
        </w:tblPrEx>
        <w:trPr>
          <w:trHeight w:val="145"/>
        </w:trPr>
        <w:tc>
          <w:tcPr>
            <w:tcW w:w="1728" w:type="dxa"/>
            <w:shd w:val="clear" w:color="auto" w:fill="auto"/>
          </w:tcPr>
          <w:p w14:paraId="25069B2C" w14:textId="77777777" w:rsidR="00C12FCC" w:rsidRDefault="00C12FCC" w:rsidP="00C12FCC">
            <w:pPr>
              <w:pStyle w:val="Marginlie"/>
            </w:pPr>
          </w:p>
        </w:tc>
        <w:tc>
          <w:tcPr>
            <w:tcW w:w="206" w:type="dxa"/>
            <w:shd w:val="clear" w:color="auto" w:fill="auto"/>
          </w:tcPr>
          <w:p w14:paraId="097BB298" w14:textId="77777777" w:rsidR="00C12FCC" w:rsidRPr="00B43216" w:rsidRDefault="00C12FCC" w:rsidP="00C12FCC">
            <w:pPr>
              <w:pStyle w:val="Textpoznpodarou"/>
              <w:jc w:val="both"/>
              <w:rPr>
                <w:spacing w:val="-4"/>
              </w:rPr>
            </w:pPr>
          </w:p>
        </w:tc>
        <w:tc>
          <w:tcPr>
            <w:tcW w:w="7730" w:type="dxa"/>
            <w:shd w:val="clear" w:color="auto" w:fill="auto"/>
          </w:tcPr>
          <w:p w14:paraId="697F1FE6" w14:textId="019AAA63" w:rsidR="00C12FCC" w:rsidRPr="004D53D9" w:rsidRDefault="00C12FCC" w:rsidP="00C12FCC">
            <w:pPr>
              <w:spacing w:after="0"/>
              <w:rPr>
                <w:spacing w:val="-4"/>
                <w:szCs w:val="20"/>
              </w:rPr>
            </w:pPr>
            <w:r>
              <w:rPr>
                <w:noProof/>
              </w:rPr>
              <w:drawing>
                <wp:inline distT="0" distB="0" distL="0" distR="0" wp14:anchorId="25874FDD" wp14:editId="386C290D">
                  <wp:extent cx="4778163" cy="3590193"/>
                  <wp:effectExtent l="0" t="0" r="381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12FCC" w:rsidRPr="00191C35" w14:paraId="430C4CF8" w14:textId="77777777" w:rsidTr="00B3385E">
        <w:trPr>
          <w:trHeight w:val="145"/>
        </w:trPr>
        <w:tc>
          <w:tcPr>
            <w:tcW w:w="1728" w:type="dxa"/>
            <w:shd w:val="clear" w:color="auto" w:fill="auto"/>
            <w:tcMar>
              <w:left w:w="0" w:type="dxa"/>
            </w:tcMar>
          </w:tcPr>
          <w:p w14:paraId="51F34DA1" w14:textId="77777777" w:rsidR="00C12FCC" w:rsidRDefault="00C12FCC" w:rsidP="00C12FCC">
            <w:pPr>
              <w:pStyle w:val="Marginlie"/>
            </w:pPr>
          </w:p>
        </w:tc>
        <w:tc>
          <w:tcPr>
            <w:tcW w:w="206" w:type="dxa"/>
            <w:shd w:val="clear" w:color="auto" w:fill="auto"/>
            <w:tcMar>
              <w:left w:w="0" w:type="dxa"/>
            </w:tcMar>
          </w:tcPr>
          <w:p w14:paraId="7DF5F619" w14:textId="77777777" w:rsidR="00C12FCC" w:rsidRPr="00B43216" w:rsidRDefault="00C12FCC" w:rsidP="00C12FCC">
            <w:pPr>
              <w:pStyle w:val="Textpoznpodarou"/>
              <w:jc w:val="both"/>
              <w:rPr>
                <w:spacing w:val="-4"/>
              </w:rPr>
            </w:pPr>
          </w:p>
        </w:tc>
        <w:tc>
          <w:tcPr>
            <w:tcW w:w="7730" w:type="dxa"/>
            <w:shd w:val="clear" w:color="auto" w:fill="auto"/>
            <w:tcMar>
              <w:left w:w="0" w:type="dxa"/>
            </w:tcMar>
          </w:tcPr>
          <w:p w14:paraId="5FEF0A67" w14:textId="6475801E" w:rsidR="00C12FCC" w:rsidRPr="00883202" w:rsidRDefault="00C12FCC" w:rsidP="00C12FCC">
            <w:pPr>
              <w:spacing w:after="0"/>
              <w:rPr>
                <w:rFonts w:cs="Arial"/>
                <w:sz w:val="14"/>
                <w:szCs w:val="14"/>
              </w:rPr>
            </w:pPr>
            <w:r w:rsidRPr="00883202">
              <w:rPr>
                <w:rFonts w:cs="Arial"/>
                <w:sz w:val="14"/>
                <w:szCs w:val="14"/>
              </w:rPr>
              <w:t>*</w:t>
            </w:r>
            <w:r w:rsidRPr="007A51D9">
              <w:rPr>
                <w:color w:val="0D0D0D" w:themeColor="text1" w:themeTint="F2"/>
                <w:sz w:val="14"/>
                <w:szCs w:val="14"/>
                <w:lang w:val="en-GB"/>
              </w:rPr>
              <w:t xml:space="preserve"> Without branches trade, financial activities, insurance activities, science, research and public services</w:t>
            </w:r>
            <w:r>
              <w:rPr>
                <w:color w:val="0D0D0D" w:themeColor="text1" w:themeTint="F2"/>
                <w:sz w:val="14"/>
                <w:szCs w:val="14"/>
                <w:lang w:val="en-GB"/>
              </w:rPr>
              <w:t xml:space="preserve">. Sales </w:t>
            </w:r>
            <w:proofErr w:type="gramStart"/>
            <w:r>
              <w:rPr>
                <w:color w:val="0D0D0D" w:themeColor="text1" w:themeTint="F2"/>
                <w:sz w:val="14"/>
                <w:szCs w:val="14"/>
                <w:lang w:val="en-GB"/>
              </w:rPr>
              <w:t>are adjusted</w:t>
            </w:r>
            <w:proofErr w:type="gramEnd"/>
            <w:r>
              <w:rPr>
                <w:color w:val="0D0D0D" w:themeColor="text1" w:themeTint="F2"/>
                <w:sz w:val="14"/>
                <w:szCs w:val="14"/>
                <w:lang w:val="en-GB"/>
              </w:rPr>
              <w:t xml:space="preserve"> for calendar effect. </w:t>
            </w:r>
          </w:p>
          <w:p w14:paraId="706EEBDB" w14:textId="444103CC" w:rsidR="00C12FCC" w:rsidRDefault="00C12FCC" w:rsidP="00C12FCC">
            <w:pPr>
              <w:tabs>
                <w:tab w:val="right" w:pos="7711"/>
              </w:tabs>
              <w:spacing w:after="0"/>
              <w:rPr>
                <w:rFonts w:cs="Arial"/>
                <w:sz w:val="14"/>
                <w:szCs w:val="14"/>
              </w:rPr>
            </w:pPr>
            <w:r w:rsidRPr="00883202">
              <w:rPr>
                <w:rFonts w:cs="Arial"/>
                <w:sz w:val="14"/>
                <w:szCs w:val="14"/>
              </w:rPr>
              <w:t>**</w:t>
            </w:r>
            <w:r w:rsidRPr="007A51D9">
              <w:rPr>
                <w:rFonts w:cs="Arial"/>
                <w:sz w:val="14"/>
                <w:szCs w:val="14"/>
                <w:lang w:val="en-GB"/>
              </w:rPr>
              <w:t xml:space="preserve">Also includes the financial sector. Balance of confidence as well as the barriers to growth are seasonally adjusted and express the state in the first (growth barriers), resp. second month of the given quarter </w:t>
            </w:r>
            <w:r w:rsidRPr="007A51D9">
              <w:rPr>
                <w:rFonts w:cs="Arial"/>
                <w:spacing w:val="-2"/>
                <w:sz w:val="14"/>
                <w:szCs w:val="14"/>
                <w:lang w:val="en-GB"/>
              </w:rPr>
              <w:t>(balance of confidence). Businesses could have stated more main barriers simultaneousl</w:t>
            </w:r>
            <w:r>
              <w:rPr>
                <w:rFonts w:cs="Arial"/>
                <w:spacing w:val="-2"/>
                <w:sz w:val="14"/>
                <w:szCs w:val="14"/>
                <w:lang w:val="en-GB"/>
              </w:rPr>
              <w:t xml:space="preserve">y. </w:t>
            </w:r>
          </w:p>
          <w:p w14:paraId="6A5B139D" w14:textId="7B9BF55B" w:rsidR="00C12FCC" w:rsidRPr="00417064" w:rsidRDefault="00C12FCC" w:rsidP="00C12FCC">
            <w:pPr>
              <w:tabs>
                <w:tab w:val="right" w:pos="7711"/>
              </w:tabs>
              <w:spacing w:after="200"/>
              <w:jc w:val="right"/>
              <w:rPr>
                <w:rFonts w:cs="Arial"/>
                <w:sz w:val="14"/>
                <w:szCs w:val="14"/>
              </w:rPr>
            </w:pPr>
            <w:r>
              <w:rPr>
                <w:rFonts w:cs="Arial"/>
                <w:sz w:val="14"/>
                <w:szCs w:val="14"/>
              </w:rPr>
              <w:t>Source: CZSO, Eurostat</w:t>
            </w:r>
          </w:p>
        </w:tc>
      </w:tr>
      <w:tr w:rsidR="00C12FCC" w:rsidRPr="007B59C1" w14:paraId="37C82307" w14:textId="77777777" w:rsidTr="00B3385E">
        <w:trPr>
          <w:trHeight w:val="145"/>
        </w:trPr>
        <w:tc>
          <w:tcPr>
            <w:tcW w:w="1728" w:type="dxa"/>
            <w:shd w:val="clear" w:color="auto" w:fill="auto"/>
            <w:tcMar>
              <w:left w:w="0" w:type="dxa"/>
            </w:tcMar>
          </w:tcPr>
          <w:p w14:paraId="4A7FF61D" w14:textId="3C7B926C" w:rsidR="00C12FCC" w:rsidRPr="00347A07" w:rsidRDefault="00C12FCC" w:rsidP="00C12FCC">
            <w:pPr>
              <w:pStyle w:val="Marginlie"/>
              <w:rPr>
                <w:color w:val="0D0D0D" w:themeColor="text1" w:themeTint="F2"/>
                <w:lang w:val="en-GB"/>
              </w:rPr>
            </w:pPr>
            <w:r>
              <w:rPr>
                <w:color w:val="0D0D0D" w:themeColor="text1" w:themeTint="F2"/>
                <w:lang w:val="en-GB"/>
              </w:rPr>
              <w:t>Last year</w:t>
            </w:r>
            <w:r>
              <w:rPr>
                <w:color w:val="0D0D0D" w:themeColor="text1" w:themeTint="F2"/>
                <w:lang w:val="en-US"/>
              </w:rPr>
              <w:t>’</w:t>
            </w:r>
            <w:r>
              <w:rPr>
                <w:color w:val="0D0D0D" w:themeColor="text1" w:themeTint="F2"/>
              </w:rPr>
              <w:t xml:space="preserve">s </w:t>
            </w:r>
            <w:r>
              <w:rPr>
                <w:color w:val="0D0D0D" w:themeColor="text1" w:themeTint="F2"/>
                <w:lang w:val="en-GB"/>
              </w:rPr>
              <w:t xml:space="preserve">retail performance </w:t>
            </w:r>
            <w:proofErr w:type="gramStart"/>
            <w:r>
              <w:rPr>
                <w:color w:val="0D0D0D" w:themeColor="text1" w:themeTint="F2"/>
                <w:lang w:val="en-GB"/>
              </w:rPr>
              <w:t>was marked</w:t>
            </w:r>
            <w:proofErr w:type="gramEnd"/>
            <w:r>
              <w:rPr>
                <w:color w:val="0D0D0D" w:themeColor="text1" w:themeTint="F2"/>
                <w:lang w:val="en-GB"/>
              </w:rPr>
              <w:t xml:space="preserve"> by restrictions in Q1. Month-on-month decrease of sales </w:t>
            </w:r>
            <w:proofErr w:type="gramStart"/>
            <w:r>
              <w:rPr>
                <w:color w:val="0D0D0D" w:themeColor="text1" w:themeTint="F2"/>
                <w:lang w:val="en-GB"/>
              </w:rPr>
              <w:t>was also recorded</w:t>
            </w:r>
            <w:proofErr w:type="gramEnd"/>
            <w:r>
              <w:rPr>
                <w:color w:val="0D0D0D" w:themeColor="text1" w:themeTint="F2"/>
                <w:lang w:val="en-GB"/>
              </w:rPr>
              <w:t xml:space="preserve"> at the end of the last year. </w:t>
            </w:r>
          </w:p>
        </w:tc>
        <w:tc>
          <w:tcPr>
            <w:tcW w:w="206" w:type="dxa"/>
            <w:shd w:val="clear" w:color="auto" w:fill="auto"/>
            <w:tcMar>
              <w:left w:w="0" w:type="dxa"/>
            </w:tcMar>
          </w:tcPr>
          <w:p w14:paraId="2A118BBB" w14:textId="77777777" w:rsidR="00C12FCC" w:rsidRPr="00347A07" w:rsidRDefault="00C12FCC" w:rsidP="00C12FCC">
            <w:pPr>
              <w:pStyle w:val="Textpoznpodarou"/>
              <w:jc w:val="both"/>
              <w:rPr>
                <w:color w:val="0D0D0D" w:themeColor="text1" w:themeTint="F2"/>
                <w:spacing w:val="-4"/>
                <w:lang w:val="en-GB"/>
              </w:rPr>
            </w:pPr>
          </w:p>
        </w:tc>
        <w:tc>
          <w:tcPr>
            <w:tcW w:w="7730" w:type="dxa"/>
            <w:shd w:val="clear" w:color="auto" w:fill="auto"/>
            <w:tcMar>
              <w:left w:w="0" w:type="dxa"/>
            </w:tcMar>
          </w:tcPr>
          <w:p w14:paraId="7E2A4C90" w14:textId="1232ACC3" w:rsidR="00C12FCC" w:rsidRPr="00347A07" w:rsidRDefault="00C12FCC" w:rsidP="00C12FCC">
            <w:pPr>
              <w:spacing w:after="200"/>
              <w:rPr>
                <w:rFonts w:cs="Arial"/>
                <w:color w:val="0D0D0D" w:themeColor="text1" w:themeTint="F2"/>
                <w:spacing w:val="-3"/>
                <w:szCs w:val="20"/>
                <w:lang w:val="en-GB"/>
              </w:rPr>
            </w:pPr>
            <w:r>
              <w:rPr>
                <w:rFonts w:cs="Arial"/>
                <w:color w:val="0D0D0D" w:themeColor="text1" w:themeTint="F2"/>
                <w:spacing w:val="-3"/>
                <w:szCs w:val="20"/>
                <w:lang w:val="en-GB"/>
              </w:rPr>
              <w:t xml:space="preserve">Last </w:t>
            </w:r>
            <w:r w:rsidRPr="008D04A7">
              <w:rPr>
                <w:rFonts w:cs="Arial"/>
                <w:color w:val="0D0D0D" w:themeColor="text1" w:themeTint="F2"/>
                <w:spacing w:val="-3"/>
                <w:szCs w:val="20"/>
                <w:lang w:val="en-GB"/>
              </w:rPr>
              <w:t>year’s retail sales</w:t>
            </w:r>
            <w:r w:rsidRPr="008D04A7">
              <w:rPr>
                <w:rStyle w:val="Znakapoznpodarou"/>
                <w:color w:val="0D0D0D" w:themeColor="text1" w:themeTint="F2"/>
                <w:spacing w:val="-3"/>
                <w:lang w:val="en-GB"/>
              </w:rPr>
              <w:footnoteReference w:id="43"/>
            </w:r>
            <w:r w:rsidRPr="008D04A7">
              <w:rPr>
                <w:rFonts w:cs="Arial"/>
                <w:color w:val="0D0D0D" w:themeColor="text1" w:themeTint="F2"/>
                <w:spacing w:val="-3"/>
                <w:szCs w:val="20"/>
                <w:lang w:val="en-GB"/>
              </w:rPr>
              <w:t xml:space="preserve"> were considerably affected by restrictions in Q1, which culminated by a substantial limitation of population mobility in March. </w:t>
            </w:r>
            <w:r>
              <w:rPr>
                <w:rFonts w:cs="Arial"/>
                <w:color w:val="0D0D0D" w:themeColor="text1" w:themeTint="F2"/>
                <w:spacing w:val="-3"/>
                <w:szCs w:val="20"/>
                <w:lang w:val="en-GB"/>
              </w:rPr>
              <w:t xml:space="preserve">Sales reacted to the Spring easing of restrictions by strong May growth </w:t>
            </w:r>
            <w:r w:rsidRPr="008D04A7">
              <w:rPr>
                <w:rFonts w:cs="Arial"/>
                <w:color w:val="0D0D0D" w:themeColor="text1" w:themeTint="F2"/>
                <w:spacing w:val="-3"/>
                <w:szCs w:val="20"/>
                <w:lang w:val="en-GB"/>
              </w:rPr>
              <w:t>(</w:t>
            </w:r>
            <w:r>
              <w:rPr>
                <w:rFonts w:cs="Arial"/>
                <w:color w:val="0D0D0D" w:themeColor="text1" w:themeTint="F2"/>
                <w:spacing w:val="-3"/>
                <w:szCs w:val="20"/>
                <w:lang w:val="en-GB"/>
              </w:rPr>
              <w:t xml:space="preserve">by </w:t>
            </w:r>
            <w:r w:rsidRPr="008D04A7">
              <w:rPr>
                <w:rFonts w:cs="Arial"/>
                <w:color w:val="0D0D0D" w:themeColor="text1" w:themeTint="F2"/>
                <w:spacing w:val="-3"/>
                <w:szCs w:val="20"/>
                <w:lang w:val="en-GB"/>
              </w:rPr>
              <w:t>9</w:t>
            </w:r>
            <w:r>
              <w:rPr>
                <w:rFonts w:cs="Arial"/>
                <w:color w:val="0D0D0D" w:themeColor="text1" w:themeTint="F2"/>
                <w:spacing w:val="-3"/>
                <w:szCs w:val="20"/>
                <w:lang w:val="en-GB"/>
              </w:rPr>
              <w:t>.</w:t>
            </w:r>
            <w:r w:rsidRPr="008D04A7">
              <w:rPr>
                <w:rFonts w:cs="Arial"/>
                <w:color w:val="0D0D0D" w:themeColor="text1" w:themeTint="F2"/>
                <w:spacing w:val="-3"/>
                <w:szCs w:val="20"/>
                <w:lang w:val="en-GB"/>
              </w:rPr>
              <w:t>0%</w:t>
            </w:r>
            <w:r>
              <w:rPr>
                <w:rFonts w:cs="Arial"/>
                <w:color w:val="0D0D0D" w:themeColor="text1" w:themeTint="F2"/>
                <w:spacing w:val="-3"/>
                <w:szCs w:val="20"/>
                <w:lang w:val="en-GB"/>
              </w:rPr>
              <w:t xml:space="preserve"> year-on-year, in that by 13.9% in the segment of non-food goods</w:t>
            </w:r>
            <w:r w:rsidRPr="008D04A7">
              <w:rPr>
                <w:rFonts w:cs="Arial"/>
                <w:color w:val="0D0D0D" w:themeColor="text1" w:themeTint="F2"/>
                <w:spacing w:val="-3"/>
                <w:szCs w:val="20"/>
                <w:lang w:val="en-GB"/>
              </w:rPr>
              <w:t>).</w:t>
            </w:r>
            <w:r>
              <w:rPr>
                <w:rFonts w:cs="Arial"/>
                <w:color w:val="0D0D0D" w:themeColor="text1" w:themeTint="F2"/>
                <w:spacing w:val="-3"/>
                <w:szCs w:val="20"/>
                <w:lang w:val="en-GB"/>
              </w:rPr>
              <w:t xml:space="preserve"> Simultaneously the value of the consumer confidence considerably strengthened but did not reach the height from the period shortly before the onset of the pandemics even during the Summer</w:t>
            </w:r>
            <w:r w:rsidRPr="00347A07">
              <w:rPr>
                <w:rStyle w:val="Znakapoznpodarou"/>
                <w:color w:val="0D0D0D" w:themeColor="text1" w:themeTint="F2"/>
                <w:spacing w:val="-3"/>
                <w:szCs w:val="20"/>
                <w:lang w:val="en-GB"/>
              </w:rPr>
              <w:footnoteReference w:id="44"/>
            </w:r>
            <w:r w:rsidRPr="00347A07">
              <w:rPr>
                <w:rFonts w:cs="Arial"/>
                <w:color w:val="0D0D0D" w:themeColor="text1" w:themeTint="F2"/>
                <w:spacing w:val="-3"/>
                <w:szCs w:val="20"/>
                <w:lang w:val="en-GB"/>
              </w:rPr>
              <w:t xml:space="preserve">. </w:t>
            </w:r>
            <w:r>
              <w:rPr>
                <w:rFonts w:cs="Arial"/>
                <w:color w:val="0D0D0D" w:themeColor="text1" w:themeTint="F2"/>
                <w:spacing w:val="-3"/>
                <w:szCs w:val="20"/>
                <w:lang w:val="en-GB"/>
              </w:rPr>
              <w:t xml:space="preserve">Even though the worsening of the epidemic situation </w:t>
            </w:r>
            <w:r>
              <w:rPr>
                <w:rFonts w:cs="Arial"/>
                <w:color w:val="0D0D0D" w:themeColor="text1" w:themeTint="F2"/>
                <w:spacing w:val="-3"/>
                <w:szCs w:val="20"/>
                <w:lang w:val="en-GB"/>
              </w:rPr>
              <w:lastRenderedPageBreak/>
              <w:t xml:space="preserve">was not connected to the restriction on the purchase options in the last third of the year any more, retail sales fell both in November and December </w:t>
            </w:r>
            <w:r w:rsidRPr="00347A07">
              <w:rPr>
                <w:rFonts w:cs="Arial"/>
                <w:color w:val="0D0D0D" w:themeColor="text1" w:themeTint="F2"/>
                <w:spacing w:val="-3"/>
                <w:szCs w:val="20"/>
                <w:lang w:val="en-GB"/>
              </w:rPr>
              <w:t>(</w:t>
            </w:r>
            <w:r>
              <w:rPr>
                <w:rFonts w:cs="Arial"/>
                <w:color w:val="0D0D0D" w:themeColor="text1" w:themeTint="F2"/>
                <w:spacing w:val="-3"/>
                <w:szCs w:val="20"/>
                <w:lang w:val="en-GB"/>
              </w:rPr>
              <w:t xml:space="preserve">in total by </w:t>
            </w:r>
            <w:r w:rsidRPr="00347A07">
              <w:rPr>
                <w:rFonts w:cs="Arial"/>
                <w:color w:val="0D0D0D" w:themeColor="text1" w:themeTint="F2"/>
                <w:spacing w:val="-3"/>
                <w:szCs w:val="20"/>
                <w:lang w:val="en-GB"/>
              </w:rPr>
              <w:t>3</w:t>
            </w:r>
            <w:r>
              <w:rPr>
                <w:rFonts w:cs="Arial"/>
                <w:color w:val="0D0D0D" w:themeColor="text1" w:themeTint="F2"/>
                <w:spacing w:val="-3"/>
                <w:szCs w:val="20"/>
                <w:lang w:val="en-GB"/>
              </w:rPr>
              <w:t>.</w:t>
            </w:r>
            <w:r w:rsidRPr="00347A07">
              <w:rPr>
                <w:rFonts w:cs="Arial"/>
                <w:color w:val="0D0D0D" w:themeColor="text1" w:themeTint="F2"/>
                <w:spacing w:val="-3"/>
                <w:szCs w:val="20"/>
                <w:lang w:val="en-GB"/>
              </w:rPr>
              <w:t>4%</w:t>
            </w:r>
            <w:r>
              <w:rPr>
                <w:rFonts w:cs="Arial"/>
                <w:color w:val="0D0D0D" w:themeColor="text1" w:themeTint="F2"/>
                <w:spacing w:val="-3"/>
                <w:szCs w:val="20"/>
                <w:lang w:val="en-GB"/>
              </w:rPr>
              <w:t xml:space="preserve"> for both months</w:t>
            </w:r>
            <w:r w:rsidRPr="00347A07">
              <w:rPr>
                <w:rFonts w:cs="Arial"/>
                <w:color w:val="0D0D0D" w:themeColor="text1" w:themeTint="F2"/>
                <w:spacing w:val="-3"/>
                <w:szCs w:val="20"/>
                <w:lang w:val="en-GB"/>
              </w:rPr>
              <w:t xml:space="preserve">). </w:t>
            </w:r>
            <w:r>
              <w:rPr>
                <w:rFonts w:cs="Arial"/>
                <w:color w:val="0D0D0D" w:themeColor="text1" w:themeTint="F2"/>
                <w:spacing w:val="-3"/>
                <w:szCs w:val="20"/>
                <w:lang w:val="en-GB"/>
              </w:rPr>
              <w:t xml:space="preserve">They increased by </w:t>
            </w:r>
            <w:r w:rsidRPr="00347A07">
              <w:rPr>
                <w:rFonts w:cs="Arial"/>
                <w:color w:val="0D0D0D" w:themeColor="text1" w:themeTint="F2"/>
                <w:spacing w:val="-3"/>
                <w:szCs w:val="20"/>
                <w:lang w:val="en-GB"/>
              </w:rPr>
              <w:t>4</w:t>
            </w:r>
            <w:r>
              <w:rPr>
                <w:rFonts w:cs="Arial"/>
                <w:color w:val="0D0D0D" w:themeColor="text1" w:themeTint="F2"/>
                <w:spacing w:val="-3"/>
                <w:szCs w:val="20"/>
                <w:lang w:val="en-GB"/>
              </w:rPr>
              <w:t>.</w:t>
            </w:r>
            <w:r w:rsidRPr="00347A07">
              <w:rPr>
                <w:rFonts w:cs="Arial"/>
                <w:color w:val="0D0D0D" w:themeColor="text1" w:themeTint="F2"/>
                <w:spacing w:val="-3"/>
                <w:szCs w:val="20"/>
                <w:lang w:val="en-GB"/>
              </w:rPr>
              <w:t>4%</w:t>
            </w:r>
            <w:r w:rsidRPr="00347A07">
              <w:rPr>
                <w:rStyle w:val="Znakapoznpodarou"/>
                <w:color w:val="0D0D0D" w:themeColor="text1" w:themeTint="F2"/>
                <w:spacing w:val="-3"/>
                <w:szCs w:val="20"/>
                <w:lang w:val="en-GB"/>
              </w:rPr>
              <w:footnoteReference w:id="45"/>
            </w:r>
            <w:r>
              <w:rPr>
                <w:rFonts w:cs="Arial"/>
                <w:color w:val="0D0D0D" w:themeColor="text1" w:themeTint="F2"/>
                <w:spacing w:val="-3"/>
                <w:szCs w:val="20"/>
                <w:lang w:val="en-GB"/>
              </w:rPr>
              <w:t xml:space="preserve"> for the </w:t>
            </w:r>
            <w:proofErr w:type="gramStart"/>
            <w:r>
              <w:rPr>
                <w:rFonts w:cs="Arial"/>
                <w:color w:val="0D0D0D" w:themeColor="text1" w:themeTint="F2"/>
                <w:spacing w:val="-3"/>
                <w:szCs w:val="20"/>
                <w:lang w:val="en-GB"/>
              </w:rPr>
              <w:t>whole</w:t>
            </w:r>
            <w:proofErr w:type="gramEnd"/>
            <w:r>
              <w:rPr>
                <w:rFonts w:cs="Arial"/>
                <w:color w:val="0D0D0D" w:themeColor="text1" w:themeTint="F2"/>
                <w:spacing w:val="-3"/>
                <w:szCs w:val="20"/>
                <w:lang w:val="en-GB"/>
              </w:rPr>
              <w:t xml:space="preserve"> last year and after small decrease in year </w:t>
            </w:r>
            <w:r w:rsidRPr="00347A07">
              <w:rPr>
                <w:rFonts w:cs="Arial"/>
                <w:color w:val="0D0D0D" w:themeColor="text1" w:themeTint="F2"/>
                <w:spacing w:val="-3"/>
                <w:szCs w:val="20"/>
                <w:lang w:val="en-GB"/>
              </w:rPr>
              <w:t>2020 (</w:t>
            </w:r>
            <w:r>
              <w:rPr>
                <w:rFonts w:cs="Arial"/>
                <w:color w:val="0D0D0D" w:themeColor="text1" w:themeTint="F2"/>
                <w:spacing w:val="-3"/>
                <w:szCs w:val="20"/>
                <w:lang w:val="en-GB"/>
              </w:rPr>
              <w:t xml:space="preserve">by </w:t>
            </w:r>
            <w:r w:rsidRPr="00347A07">
              <w:rPr>
                <w:rFonts w:cs="Arial"/>
                <w:color w:val="0D0D0D" w:themeColor="text1" w:themeTint="F2"/>
                <w:spacing w:val="-3"/>
                <w:szCs w:val="20"/>
                <w:lang w:val="en-GB"/>
              </w:rPr>
              <w:t>0</w:t>
            </w:r>
            <w:r>
              <w:rPr>
                <w:rFonts w:cs="Arial"/>
                <w:color w:val="0D0D0D" w:themeColor="text1" w:themeTint="F2"/>
                <w:spacing w:val="-3"/>
                <w:szCs w:val="20"/>
                <w:lang w:val="en-GB"/>
              </w:rPr>
              <w:t>.</w:t>
            </w:r>
            <w:r w:rsidRPr="00347A07">
              <w:rPr>
                <w:rFonts w:cs="Arial"/>
                <w:color w:val="0D0D0D" w:themeColor="text1" w:themeTint="F2"/>
                <w:spacing w:val="-3"/>
                <w:szCs w:val="20"/>
                <w:lang w:val="en-GB"/>
              </w:rPr>
              <w:t>9%)</w:t>
            </w:r>
            <w:r>
              <w:rPr>
                <w:rFonts w:cs="Arial"/>
                <w:color w:val="0D0D0D" w:themeColor="text1" w:themeTint="F2"/>
                <w:spacing w:val="-3"/>
                <w:szCs w:val="20"/>
                <w:lang w:val="en-GB"/>
              </w:rPr>
              <w:t xml:space="preserve"> they neared the pace from the period just before the onset of the pandemics. </w:t>
            </w:r>
          </w:p>
        </w:tc>
      </w:tr>
      <w:tr w:rsidR="00C12FCC" w:rsidRPr="007B59C1" w14:paraId="0629855B" w14:textId="77777777" w:rsidTr="00B3385E">
        <w:trPr>
          <w:trHeight w:val="145"/>
        </w:trPr>
        <w:tc>
          <w:tcPr>
            <w:tcW w:w="1728" w:type="dxa"/>
            <w:shd w:val="clear" w:color="auto" w:fill="auto"/>
            <w:tcMar>
              <w:left w:w="0" w:type="dxa"/>
            </w:tcMar>
          </w:tcPr>
          <w:p w14:paraId="2AD08411" w14:textId="2747C511" w:rsidR="00C12FCC" w:rsidRDefault="00C12FCC" w:rsidP="00C12FCC">
            <w:pPr>
              <w:pStyle w:val="Marginlie"/>
              <w:rPr>
                <w:color w:val="0D0D0D" w:themeColor="text1" w:themeTint="F2"/>
                <w:lang w:val="en-GB"/>
              </w:rPr>
            </w:pPr>
            <w:r>
              <w:rPr>
                <w:color w:val="0D0D0D" w:themeColor="text1" w:themeTint="F2"/>
                <w:lang w:val="en-GB"/>
              </w:rPr>
              <w:lastRenderedPageBreak/>
              <w:t xml:space="preserve">Sales for non-food goods </w:t>
            </w:r>
            <w:proofErr w:type="gramStart"/>
            <w:r>
              <w:rPr>
                <w:color w:val="0D0D0D" w:themeColor="text1" w:themeTint="F2"/>
                <w:lang w:val="en-GB"/>
              </w:rPr>
              <w:t>were significantly driven</w:t>
            </w:r>
            <w:proofErr w:type="gramEnd"/>
            <w:r>
              <w:rPr>
                <w:color w:val="0D0D0D" w:themeColor="text1" w:themeTint="F2"/>
                <w:lang w:val="en-GB"/>
              </w:rPr>
              <w:t xml:space="preserve"> by the sales via internet. </w:t>
            </w:r>
          </w:p>
          <w:p w14:paraId="075FE0D7" w14:textId="77777777" w:rsidR="00C12FCC" w:rsidRPr="006F1F09" w:rsidRDefault="00C12FCC" w:rsidP="00C12FCC">
            <w:pPr>
              <w:pStyle w:val="Marginlie"/>
              <w:rPr>
                <w:color w:val="0D0D0D" w:themeColor="text1" w:themeTint="F2"/>
                <w:lang w:val="en-GB"/>
              </w:rPr>
            </w:pPr>
          </w:p>
          <w:p w14:paraId="1C675393" w14:textId="77777777" w:rsidR="00C12FCC" w:rsidRPr="006F1F09" w:rsidRDefault="00C12FCC" w:rsidP="00C12FCC">
            <w:pPr>
              <w:pStyle w:val="Marginlie"/>
              <w:rPr>
                <w:color w:val="0D0D0D" w:themeColor="text1" w:themeTint="F2"/>
                <w:lang w:val="en-GB"/>
              </w:rPr>
            </w:pPr>
          </w:p>
          <w:p w14:paraId="42FDE83F" w14:textId="77777777" w:rsidR="00C12FCC" w:rsidRPr="006F1F09" w:rsidRDefault="00C12FCC" w:rsidP="00C12FCC">
            <w:pPr>
              <w:pStyle w:val="Marginlie"/>
              <w:rPr>
                <w:color w:val="0D0D0D" w:themeColor="text1" w:themeTint="F2"/>
                <w:lang w:val="en-GB"/>
              </w:rPr>
            </w:pPr>
          </w:p>
          <w:p w14:paraId="21C39B6B" w14:textId="77777777" w:rsidR="00C12FCC" w:rsidRPr="006F1F09" w:rsidRDefault="00C12FCC" w:rsidP="00C12FCC">
            <w:pPr>
              <w:pStyle w:val="Marginlie"/>
              <w:rPr>
                <w:color w:val="0D0D0D" w:themeColor="text1" w:themeTint="F2"/>
                <w:lang w:val="en-GB"/>
              </w:rPr>
            </w:pPr>
          </w:p>
          <w:p w14:paraId="682E2C3D" w14:textId="503834D2" w:rsidR="00C12FCC" w:rsidRPr="006F1F09" w:rsidRDefault="00C12FCC" w:rsidP="00C12FCC">
            <w:pPr>
              <w:pStyle w:val="Marginlie"/>
              <w:rPr>
                <w:color w:val="0D0D0D" w:themeColor="text1" w:themeTint="F2"/>
                <w:lang w:val="en-GB"/>
              </w:rPr>
            </w:pPr>
            <w:r>
              <w:rPr>
                <w:color w:val="0D0D0D" w:themeColor="text1" w:themeTint="F2"/>
                <w:lang w:val="en-GB"/>
              </w:rPr>
              <w:t>Sales for food fell for the second year in a row. Large chains apparently also participated on this result in 2</w:t>
            </w:r>
            <w:r w:rsidRPr="006F1F09">
              <w:rPr>
                <w:color w:val="0D0D0D" w:themeColor="text1" w:themeTint="F2"/>
                <w:lang w:val="en-GB"/>
              </w:rPr>
              <w:t>021</w:t>
            </w:r>
            <w:r>
              <w:rPr>
                <w:color w:val="0D0D0D" w:themeColor="text1" w:themeTint="F2"/>
                <w:lang w:val="en-GB"/>
              </w:rPr>
              <w:t xml:space="preserve">. </w:t>
            </w:r>
          </w:p>
        </w:tc>
        <w:tc>
          <w:tcPr>
            <w:tcW w:w="206" w:type="dxa"/>
            <w:shd w:val="clear" w:color="auto" w:fill="auto"/>
            <w:tcMar>
              <w:left w:w="0" w:type="dxa"/>
            </w:tcMar>
          </w:tcPr>
          <w:p w14:paraId="4E640E3B" w14:textId="77777777" w:rsidR="00C12FCC" w:rsidRPr="006F1F09" w:rsidRDefault="00C12FCC" w:rsidP="00C12FCC">
            <w:pPr>
              <w:pStyle w:val="Textpoznpodarou"/>
              <w:jc w:val="both"/>
              <w:rPr>
                <w:color w:val="0D0D0D" w:themeColor="text1" w:themeTint="F2"/>
                <w:spacing w:val="-4"/>
                <w:lang w:val="en-GB"/>
              </w:rPr>
            </w:pPr>
          </w:p>
        </w:tc>
        <w:tc>
          <w:tcPr>
            <w:tcW w:w="7730" w:type="dxa"/>
            <w:shd w:val="clear" w:color="auto" w:fill="auto"/>
            <w:tcMar>
              <w:left w:w="0" w:type="dxa"/>
            </w:tcMar>
          </w:tcPr>
          <w:p w14:paraId="6F82C0C0" w14:textId="37EE0B3B" w:rsidR="00C12FCC" w:rsidRPr="006F1F09" w:rsidRDefault="00C12FCC" w:rsidP="00C12FCC">
            <w:pPr>
              <w:spacing w:after="200"/>
              <w:rPr>
                <w:rFonts w:cs="Arial"/>
                <w:color w:val="0D0D0D" w:themeColor="text1" w:themeTint="F2"/>
                <w:spacing w:val="-5"/>
                <w:szCs w:val="20"/>
                <w:lang w:val="en-GB"/>
              </w:rPr>
            </w:pPr>
            <w:r w:rsidRPr="006F1F09">
              <w:rPr>
                <w:rFonts w:cs="Arial"/>
                <w:color w:val="0D0D0D" w:themeColor="text1" w:themeTint="F2"/>
                <w:spacing w:val="-5"/>
                <w:szCs w:val="20"/>
                <w:lang w:val="en-GB"/>
              </w:rPr>
              <w:t>L</w:t>
            </w:r>
            <w:r>
              <w:rPr>
                <w:rFonts w:cs="Arial"/>
                <w:color w:val="0D0D0D" w:themeColor="text1" w:themeTint="F2"/>
                <w:spacing w:val="-5"/>
                <w:szCs w:val="20"/>
                <w:lang w:val="en-GB"/>
              </w:rPr>
              <w:t xml:space="preserve">ast </w:t>
            </w:r>
            <w:r w:rsidRPr="000C4093">
              <w:rPr>
                <w:rFonts w:cs="Arial"/>
                <w:color w:val="0D0D0D" w:themeColor="text1" w:themeTint="F2"/>
                <w:spacing w:val="-5"/>
                <w:szCs w:val="20"/>
                <w:lang w:val="en-GB"/>
              </w:rPr>
              <w:t xml:space="preserve">year’s growth of the whole retail was driven the most by higher sales for non-food goods (8.0% year-on-year), </w:t>
            </w:r>
            <w:r>
              <w:rPr>
                <w:rFonts w:cs="Arial"/>
                <w:color w:val="0D0D0D" w:themeColor="text1" w:themeTint="F2"/>
                <w:spacing w:val="-5"/>
                <w:szCs w:val="20"/>
                <w:lang w:val="en-GB"/>
              </w:rPr>
              <w:t xml:space="preserve">which could have been the result of postponed consumption as well as the popularity of purchases via internet, which apparently became the dominant purchasing channel for a part of the consumers during the pandemic. Within the specialised shops, apart from the sales via internet the sales in shops with computer and communication equipment </w:t>
            </w:r>
            <w:r w:rsidRPr="000C4093">
              <w:rPr>
                <w:rFonts w:cs="Arial"/>
                <w:color w:val="0D0D0D" w:themeColor="text1" w:themeTint="F2"/>
                <w:spacing w:val="-5"/>
                <w:szCs w:val="20"/>
                <w:lang w:val="en-GB"/>
              </w:rPr>
              <w:t>(6</w:t>
            </w:r>
            <w:r>
              <w:rPr>
                <w:rFonts w:cs="Arial"/>
                <w:color w:val="0D0D0D" w:themeColor="text1" w:themeTint="F2"/>
                <w:spacing w:val="-5"/>
                <w:szCs w:val="20"/>
                <w:lang w:val="en-GB"/>
              </w:rPr>
              <w:t>.</w:t>
            </w:r>
            <w:r w:rsidRPr="000C4093">
              <w:rPr>
                <w:rFonts w:cs="Arial"/>
                <w:color w:val="0D0D0D" w:themeColor="text1" w:themeTint="F2"/>
                <w:spacing w:val="-5"/>
                <w:szCs w:val="20"/>
                <w:lang w:val="en-GB"/>
              </w:rPr>
              <w:t>8%) a</w:t>
            </w:r>
            <w:r>
              <w:rPr>
                <w:rFonts w:cs="Arial"/>
                <w:color w:val="0D0D0D" w:themeColor="text1" w:themeTint="F2"/>
                <w:spacing w:val="-5"/>
                <w:szCs w:val="20"/>
                <w:lang w:val="en-GB"/>
              </w:rPr>
              <w:t xml:space="preserve">nd in shops with cosmetic and toilet requisites </w:t>
            </w:r>
            <w:r w:rsidRPr="000C4093">
              <w:rPr>
                <w:rFonts w:cs="Arial"/>
                <w:color w:val="0D0D0D" w:themeColor="text1" w:themeTint="F2"/>
                <w:spacing w:val="-5"/>
                <w:szCs w:val="20"/>
                <w:lang w:val="en-GB"/>
              </w:rPr>
              <w:t>(5</w:t>
            </w:r>
            <w:r>
              <w:rPr>
                <w:rFonts w:cs="Arial"/>
                <w:color w:val="0D0D0D" w:themeColor="text1" w:themeTint="F2"/>
                <w:spacing w:val="-5"/>
                <w:szCs w:val="20"/>
                <w:lang w:val="en-GB"/>
              </w:rPr>
              <w:t>.</w:t>
            </w:r>
            <w:r w:rsidRPr="000C4093">
              <w:rPr>
                <w:rFonts w:cs="Arial"/>
                <w:color w:val="0D0D0D" w:themeColor="text1" w:themeTint="F2"/>
                <w:spacing w:val="-5"/>
                <w:szCs w:val="20"/>
                <w:lang w:val="en-GB"/>
              </w:rPr>
              <w:t>8%)</w:t>
            </w:r>
            <w:r>
              <w:rPr>
                <w:rFonts w:cs="Arial"/>
                <w:color w:val="0D0D0D" w:themeColor="text1" w:themeTint="F2"/>
                <w:spacing w:val="-5"/>
                <w:szCs w:val="20"/>
                <w:lang w:val="en-GB"/>
              </w:rPr>
              <w:t xml:space="preserve"> grew the most</w:t>
            </w:r>
            <w:r w:rsidRPr="000C4093">
              <w:rPr>
                <w:rFonts w:cs="Arial"/>
                <w:color w:val="0D0D0D" w:themeColor="text1" w:themeTint="F2"/>
                <w:spacing w:val="-5"/>
                <w:szCs w:val="20"/>
                <w:lang w:val="en-GB"/>
              </w:rPr>
              <w:t xml:space="preserve">. </w:t>
            </w:r>
            <w:r>
              <w:rPr>
                <w:rFonts w:cs="Arial"/>
                <w:color w:val="0D0D0D" w:themeColor="text1" w:themeTint="F2"/>
                <w:spacing w:val="-5"/>
                <w:szCs w:val="20"/>
                <w:lang w:val="en-GB"/>
              </w:rPr>
              <w:t xml:space="preserve">Demand for shops with clothing, footwear and leather goods </w:t>
            </w:r>
            <w:proofErr w:type="gramStart"/>
            <w:r>
              <w:rPr>
                <w:rFonts w:cs="Arial"/>
                <w:color w:val="0D0D0D" w:themeColor="text1" w:themeTint="F2"/>
                <w:spacing w:val="-5"/>
                <w:szCs w:val="20"/>
                <w:lang w:val="en-GB"/>
              </w:rPr>
              <w:t>and also</w:t>
            </w:r>
            <w:proofErr w:type="gramEnd"/>
            <w:r>
              <w:rPr>
                <w:rFonts w:cs="Arial"/>
                <w:color w:val="0D0D0D" w:themeColor="text1" w:themeTint="F2"/>
                <w:spacing w:val="-5"/>
                <w:szCs w:val="20"/>
                <w:lang w:val="en-GB"/>
              </w:rPr>
              <w:t xml:space="preserve"> for products for culture and recreation grew slower – the sales nevertheless still in both cases notably lagged behind the year 2019. Sales for food shrank last year for the second year in a row (equally by </w:t>
            </w:r>
            <w:r w:rsidRPr="000C4093">
              <w:rPr>
                <w:rFonts w:cs="Arial"/>
                <w:color w:val="0D0D0D" w:themeColor="text1" w:themeTint="F2"/>
                <w:spacing w:val="-5"/>
                <w:szCs w:val="20"/>
                <w:lang w:val="en-GB"/>
              </w:rPr>
              <w:t>0</w:t>
            </w:r>
            <w:r>
              <w:rPr>
                <w:rFonts w:cs="Arial"/>
                <w:color w:val="0D0D0D" w:themeColor="text1" w:themeTint="F2"/>
                <w:spacing w:val="-5"/>
                <w:szCs w:val="20"/>
                <w:lang w:val="en-GB"/>
              </w:rPr>
              <w:t>.</w:t>
            </w:r>
            <w:r w:rsidRPr="000C4093">
              <w:rPr>
                <w:rFonts w:cs="Arial"/>
                <w:color w:val="0D0D0D" w:themeColor="text1" w:themeTint="F2"/>
                <w:spacing w:val="-5"/>
                <w:szCs w:val="20"/>
                <w:lang w:val="en-GB"/>
              </w:rPr>
              <w:t>3%)</w:t>
            </w:r>
            <w:proofErr w:type="gramStart"/>
            <w:r w:rsidRPr="000C4093">
              <w:rPr>
                <w:rFonts w:cs="Arial"/>
                <w:color w:val="0D0D0D" w:themeColor="text1" w:themeTint="F2"/>
                <w:spacing w:val="-5"/>
                <w:szCs w:val="20"/>
                <w:lang w:val="en-GB"/>
              </w:rPr>
              <w:t>,</w:t>
            </w:r>
            <w:proofErr w:type="gramEnd"/>
            <w:r>
              <w:rPr>
                <w:rFonts w:cs="Arial"/>
                <w:color w:val="0D0D0D" w:themeColor="text1" w:themeTint="F2"/>
                <w:spacing w:val="-5"/>
                <w:szCs w:val="20"/>
                <w:lang w:val="en-GB"/>
              </w:rPr>
              <w:t xml:space="preserve"> they fell in non-specialised shops, where the large business chains dominate, for the first time after seven years of growth. Sellers of fuels earned by 4.0% </w:t>
            </w:r>
            <w:r w:rsidRPr="00D447AE">
              <w:rPr>
                <w:rFonts w:cs="Arial"/>
                <w:color w:val="0D0D0D" w:themeColor="text1" w:themeTint="F2"/>
                <w:spacing w:val="-5"/>
                <w:szCs w:val="20"/>
                <w:lang w:val="en-GB"/>
              </w:rPr>
              <w:t>more year-on-year, however they were far from offsetting the slump from year 2020</w:t>
            </w:r>
            <w:r w:rsidRPr="00D447AE">
              <w:rPr>
                <w:rStyle w:val="Znakapoznpodarou"/>
                <w:color w:val="0D0D0D" w:themeColor="text1" w:themeTint="F2"/>
                <w:spacing w:val="-5"/>
                <w:szCs w:val="20"/>
                <w:lang w:val="en-GB"/>
              </w:rPr>
              <w:footnoteReference w:id="46"/>
            </w:r>
            <w:r w:rsidRPr="00D447AE">
              <w:rPr>
                <w:rFonts w:cs="Arial"/>
                <w:color w:val="0D0D0D" w:themeColor="text1" w:themeTint="F2"/>
                <w:spacing w:val="-5"/>
                <w:szCs w:val="20"/>
                <w:lang w:val="en-GB"/>
              </w:rPr>
              <w:t>. The motorist segment was in similar situation, their sales lagged by 8% behind the level of year 2019 despite the last year’s revival. It was valid for this whole segment apart f</w:t>
            </w:r>
            <w:r>
              <w:rPr>
                <w:rFonts w:cs="Arial"/>
                <w:color w:val="0D0D0D" w:themeColor="text1" w:themeTint="F2"/>
                <w:spacing w:val="-5"/>
                <w:szCs w:val="20"/>
                <w:lang w:val="en-GB"/>
              </w:rPr>
              <w:t>rom</w:t>
            </w:r>
            <w:r w:rsidRPr="00D447AE">
              <w:rPr>
                <w:rFonts w:cs="Arial"/>
                <w:color w:val="0D0D0D" w:themeColor="text1" w:themeTint="F2"/>
                <w:spacing w:val="-5"/>
                <w:szCs w:val="20"/>
                <w:lang w:val="en-GB"/>
              </w:rPr>
              <w:t xml:space="preserve"> trade, repairs and motorcycles maintenance (with long time growing demand, largely not disrupted during the pandemics).</w:t>
            </w:r>
          </w:p>
        </w:tc>
      </w:tr>
      <w:tr w:rsidR="00C12FCC" w:rsidRPr="00BA07CB" w14:paraId="43E58328" w14:textId="77777777" w:rsidTr="00B3385E">
        <w:trPr>
          <w:trHeight w:val="145"/>
        </w:trPr>
        <w:tc>
          <w:tcPr>
            <w:tcW w:w="1728" w:type="dxa"/>
            <w:shd w:val="clear" w:color="auto" w:fill="auto"/>
            <w:tcMar>
              <w:left w:w="0" w:type="dxa"/>
            </w:tcMar>
          </w:tcPr>
          <w:p w14:paraId="01EDB46D" w14:textId="24E9162E" w:rsidR="00C12FCC" w:rsidRPr="0006697D" w:rsidRDefault="00C12FCC" w:rsidP="00C12FCC">
            <w:pPr>
              <w:pStyle w:val="Marginlie"/>
              <w:rPr>
                <w:color w:val="0D0D0D" w:themeColor="text1" w:themeTint="F2"/>
              </w:rPr>
            </w:pPr>
          </w:p>
        </w:tc>
        <w:tc>
          <w:tcPr>
            <w:tcW w:w="206" w:type="dxa"/>
            <w:shd w:val="clear" w:color="auto" w:fill="auto"/>
            <w:tcMar>
              <w:left w:w="0" w:type="dxa"/>
            </w:tcMar>
          </w:tcPr>
          <w:p w14:paraId="172F6E33" w14:textId="77777777" w:rsidR="00C12FCC" w:rsidRPr="0006697D" w:rsidRDefault="00C12FCC" w:rsidP="00C12FCC">
            <w:pPr>
              <w:pStyle w:val="Textpoznpodarou"/>
              <w:jc w:val="both"/>
              <w:rPr>
                <w:color w:val="0D0D0D" w:themeColor="text1" w:themeTint="F2"/>
                <w:spacing w:val="-4"/>
              </w:rPr>
            </w:pPr>
          </w:p>
        </w:tc>
        <w:tc>
          <w:tcPr>
            <w:tcW w:w="7730" w:type="dxa"/>
            <w:shd w:val="clear" w:color="auto" w:fill="auto"/>
            <w:tcMar>
              <w:left w:w="0" w:type="dxa"/>
            </w:tcMar>
          </w:tcPr>
          <w:p w14:paraId="11A361A4" w14:textId="223A687E" w:rsidR="00C12FCC" w:rsidRPr="0006697D" w:rsidRDefault="00C12FCC" w:rsidP="00C12FCC">
            <w:pPr>
              <w:spacing w:after="0"/>
              <w:rPr>
                <w:rFonts w:cs="Arial"/>
                <w:color w:val="0D0D0D" w:themeColor="text1" w:themeTint="F2"/>
                <w:spacing w:val="-4"/>
                <w:szCs w:val="20"/>
              </w:rPr>
            </w:pPr>
            <w:r>
              <w:rPr>
                <w:rFonts w:cs="Arial"/>
                <w:b/>
                <w:color w:val="0D0D0D" w:themeColor="text1" w:themeTint="F2"/>
                <w:spacing w:val="-4"/>
                <w:szCs w:val="20"/>
              </w:rPr>
              <w:t xml:space="preserve">Chart </w:t>
            </w:r>
            <w:r w:rsidRPr="00360244">
              <w:rPr>
                <w:rFonts w:cs="Arial"/>
                <w:b/>
                <w:color w:val="0D0D0D" w:themeColor="text1" w:themeTint="F2"/>
                <w:spacing w:val="-4"/>
                <w:szCs w:val="20"/>
              </w:rPr>
              <w:t>8</w:t>
            </w:r>
            <w:r>
              <w:rPr>
                <w:rFonts w:cs="Arial"/>
                <w:b/>
                <w:color w:val="0D0D0D" w:themeColor="text1" w:themeTint="F2"/>
                <w:spacing w:val="-4"/>
                <w:szCs w:val="20"/>
              </w:rPr>
              <w:t xml:space="preserve"> </w:t>
            </w:r>
            <w:r w:rsidRPr="00CC1D7E">
              <w:rPr>
                <w:rFonts w:cs="Arial"/>
                <w:b/>
                <w:bCs/>
                <w:color w:val="0D0D0D" w:themeColor="text1" w:themeTint="F2"/>
                <w:spacing w:val="-4"/>
                <w:szCs w:val="20"/>
              </w:rPr>
              <w:t xml:space="preserve"> </w:t>
            </w:r>
            <w:r w:rsidRPr="00667F1B">
              <w:rPr>
                <w:rFonts w:cs="Arial"/>
                <w:b/>
                <w:bCs/>
                <w:color w:val="0D0D0D" w:themeColor="text1" w:themeTint="F2"/>
                <w:spacing w:val="-4"/>
                <w:szCs w:val="20"/>
                <w:lang w:val="en-GB"/>
              </w:rPr>
              <w:t xml:space="preserve">Retail sales* </w:t>
            </w:r>
            <w:r w:rsidRPr="00667F1B">
              <w:rPr>
                <w:rFonts w:cs="Arial"/>
                <w:color w:val="0D0D0D" w:themeColor="text1" w:themeTint="F2"/>
                <w:spacing w:val="-4"/>
                <w:szCs w:val="20"/>
                <w:lang w:val="en-GB"/>
              </w:rPr>
              <w:t xml:space="preserve">(real, year-on-year in %) </w:t>
            </w:r>
            <w:r w:rsidRPr="00667F1B">
              <w:rPr>
                <w:rFonts w:cs="Arial"/>
                <w:b/>
                <w:color w:val="0D0D0D" w:themeColor="text1" w:themeTint="F2"/>
                <w:spacing w:val="-4"/>
                <w:szCs w:val="20"/>
                <w:lang w:val="en-GB"/>
              </w:rPr>
              <w:t>and balance of confidence indicator of consumers</w:t>
            </w:r>
            <w:r w:rsidRPr="00667F1B">
              <w:rPr>
                <w:rFonts w:cs="Arial"/>
                <w:b/>
                <w:bCs/>
                <w:color w:val="0D0D0D" w:themeColor="text1" w:themeTint="F2"/>
                <w:spacing w:val="-4"/>
                <w:szCs w:val="20"/>
                <w:lang w:val="en-GB"/>
              </w:rPr>
              <w:t xml:space="preserve">** </w:t>
            </w:r>
            <w:r w:rsidRPr="00667F1B">
              <w:rPr>
                <w:rFonts w:cs="Arial"/>
                <w:color w:val="0D0D0D" w:themeColor="text1" w:themeTint="F2"/>
                <w:spacing w:val="-4"/>
                <w:szCs w:val="20"/>
                <w:lang w:val="en-GB"/>
              </w:rPr>
              <w:t>(in points, right axis)</w:t>
            </w:r>
          </w:p>
        </w:tc>
      </w:tr>
      <w:tr w:rsidR="00C12FCC" w:rsidRPr="004D53D9" w14:paraId="700CA7B2" w14:textId="77777777" w:rsidTr="007C581C">
        <w:tblPrEx>
          <w:tblCellMar>
            <w:left w:w="70" w:type="dxa"/>
            <w:right w:w="70" w:type="dxa"/>
          </w:tblCellMar>
        </w:tblPrEx>
        <w:trPr>
          <w:trHeight w:val="145"/>
        </w:trPr>
        <w:tc>
          <w:tcPr>
            <w:tcW w:w="1728" w:type="dxa"/>
            <w:shd w:val="clear" w:color="auto" w:fill="auto"/>
          </w:tcPr>
          <w:p w14:paraId="56E5604F" w14:textId="77777777" w:rsidR="00C12FCC" w:rsidRPr="0006697D" w:rsidRDefault="00C12FCC" w:rsidP="00C12FCC">
            <w:pPr>
              <w:pStyle w:val="Marginlie"/>
              <w:rPr>
                <w:color w:val="0D0D0D" w:themeColor="text1" w:themeTint="F2"/>
              </w:rPr>
            </w:pPr>
          </w:p>
        </w:tc>
        <w:tc>
          <w:tcPr>
            <w:tcW w:w="206" w:type="dxa"/>
            <w:shd w:val="clear" w:color="auto" w:fill="auto"/>
          </w:tcPr>
          <w:p w14:paraId="38AC9B2E" w14:textId="77777777" w:rsidR="00C12FCC" w:rsidRPr="0006697D" w:rsidRDefault="00C12FCC" w:rsidP="00C12FCC">
            <w:pPr>
              <w:pStyle w:val="Textpoznpodarou"/>
              <w:jc w:val="both"/>
              <w:rPr>
                <w:color w:val="0D0D0D" w:themeColor="text1" w:themeTint="F2"/>
                <w:spacing w:val="-4"/>
              </w:rPr>
            </w:pPr>
          </w:p>
        </w:tc>
        <w:tc>
          <w:tcPr>
            <w:tcW w:w="7730" w:type="dxa"/>
            <w:shd w:val="clear" w:color="auto" w:fill="auto"/>
          </w:tcPr>
          <w:p w14:paraId="50C9FD71" w14:textId="7BB802E6" w:rsidR="00C12FCC" w:rsidRPr="0006697D" w:rsidRDefault="00C12FCC" w:rsidP="00C12FCC">
            <w:pPr>
              <w:spacing w:after="0"/>
              <w:rPr>
                <w:rFonts w:cs="Arial"/>
                <w:color w:val="0D0D0D" w:themeColor="text1" w:themeTint="F2"/>
                <w:spacing w:val="-4"/>
                <w:szCs w:val="20"/>
              </w:rPr>
            </w:pPr>
            <w:r>
              <w:rPr>
                <w:noProof/>
              </w:rPr>
              <w:drawing>
                <wp:inline distT="0" distB="0" distL="0" distR="0" wp14:anchorId="5D542B76" wp14:editId="334944E7">
                  <wp:extent cx="4774222" cy="3590192"/>
                  <wp:effectExtent l="0" t="0" r="762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12FCC" w:rsidRPr="00417064" w14:paraId="48FD2A49" w14:textId="77777777" w:rsidTr="00B3385E">
        <w:trPr>
          <w:trHeight w:val="145"/>
        </w:trPr>
        <w:tc>
          <w:tcPr>
            <w:tcW w:w="1728" w:type="dxa"/>
            <w:shd w:val="clear" w:color="auto" w:fill="auto"/>
            <w:tcMar>
              <w:left w:w="0" w:type="dxa"/>
            </w:tcMar>
          </w:tcPr>
          <w:p w14:paraId="308A5B17" w14:textId="77777777" w:rsidR="00C12FCC" w:rsidRPr="0006697D" w:rsidRDefault="00C12FCC" w:rsidP="00C12FCC">
            <w:pPr>
              <w:pStyle w:val="Marginlie"/>
              <w:rPr>
                <w:color w:val="0D0D0D" w:themeColor="text1" w:themeTint="F2"/>
              </w:rPr>
            </w:pPr>
          </w:p>
        </w:tc>
        <w:tc>
          <w:tcPr>
            <w:tcW w:w="206" w:type="dxa"/>
            <w:shd w:val="clear" w:color="auto" w:fill="auto"/>
            <w:tcMar>
              <w:left w:w="0" w:type="dxa"/>
            </w:tcMar>
          </w:tcPr>
          <w:p w14:paraId="46D54BE9" w14:textId="77777777" w:rsidR="00C12FCC" w:rsidRPr="0006697D" w:rsidRDefault="00C12FCC" w:rsidP="00C12FCC">
            <w:pPr>
              <w:pStyle w:val="Textpoznpodarou"/>
              <w:jc w:val="both"/>
              <w:rPr>
                <w:color w:val="0D0D0D" w:themeColor="text1" w:themeTint="F2"/>
                <w:spacing w:val="-4"/>
              </w:rPr>
            </w:pPr>
          </w:p>
        </w:tc>
        <w:tc>
          <w:tcPr>
            <w:tcW w:w="7730" w:type="dxa"/>
            <w:shd w:val="clear" w:color="auto" w:fill="auto"/>
            <w:tcMar>
              <w:left w:w="0" w:type="dxa"/>
            </w:tcMar>
          </w:tcPr>
          <w:p w14:paraId="7FCDF937" w14:textId="76A4BA22" w:rsidR="00C12FCC" w:rsidRPr="00D14262" w:rsidRDefault="00C12FCC" w:rsidP="00C12FCC">
            <w:pPr>
              <w:spacing w:after="0"/>
              <w:rPr>
                <w:rFonts w:cs="Arial"/>
                <w:color w:val="0D0D0D" w:themeColor="text1" w:themeTint="F2"/>
                <w:spacing w:val="-4"/>
                <w:sz w:val="14"/>
                <w:szCs w:val="14"/>
                <w:lang w:val="en-GB"/>
              </w:rPr>
            </w:pPr>
            <w:r w:rsidRPr="0006697D">
              <w:rPr>
                <w:rFonts w:cs="Arial"/>
                <w:color w:val="0D0D0D" w:themeColor="text1" w:themeTint="F2"/>
                <w:spacing w:val="-4"/>
                <w:sz w:val="14"/>
                <w:szCs w:val="14"/>
              </w:rPr>
              <w:t>*</w:t>
            </w:r>
            <w:r>
              <w:rPr>
                <w:rFonts w:cs="Arial"/>
                <w:sz w:val="14"/>
                <w:szCs w:val="14"/>
              </w:rPr>
              <w:t xml:space="preserve"> </w:t>
            </w:r>
            <w:r w:rsidRPr="00D14262">
              <w:rPr>
                <w:rFonts w:cs="Arial"/>
                <w:sz w:val="14"/>
                <w:szCs w:val="14"/>
                <w:lang w:val="en-GB"/>
              </w:rPr>
              <w:t xml:space="preserve">Sales are adjusted for calendar effects. </w:t>
            </w:r>
          </w:p>
          <w:p w14:paraId="1BDEAF70" w14:textId="6D72B816" w:rsidR="00C12FCC" w:rsidRPr="00C12FCC" w:rsidRDefault="00C12FCC" w:rsidP="00C12FCC">
            <w:pPr>
              <w:tabs>
                <w:tab w:val="right" w:pos="7711"/>
              </w:tabs>
              <w:spacing w:after="0"/>
              <w:rPr>
                <w:rFonts w:cs="Arial"/>
                <w:color w:val="0D0D0D" w:themeColor="text1" w:themeTint="F2"/>
                <w:spacing w:val="-4"/>
                <w:sz w:val="14"/>
                <w:szCs w:val="14"/>
                <w:lang w:val="en-GB"/>
              </w:rPr>
            </w:pPr>
            <w:r w:rsidRPr="00D14262">
              <w:rPr>
                <w:rFonts w:cs="Arial"/>
                <w:color w:val="0D0D0D" w:themeColor="text1" w:themeTint="F2"/>
                <w:spacing w:val="-4"/>
                <w:sz w:val="14"/>
                <w:szCs w:val="14"/>
                <w:lang w:val="en-GB"/>
              </w:rPr>
              <w:t xml:space="preserve">** Consumer confidence balance </w:t>
            </w:r>
            <w:proofErr w:type="gramStart"/>
            <w:r w:rsidRPr="00D14262">
              <w:rPr>
                <w:rFonts w:cs="Arial"/>
                <w:color w:val="0D0D0D" w:themeColor="text1" w:themeTint="F2"/>
                <w:spacing w:val="-4"/>
                <w:sz w:val="14"/>
                <w:szCs w:val="14"/>
                <w:lang w:val="en-GB"/>
              </w:rPr>
              <w:t>is seasonally adjusted</w:t>
            </w:r>
            <w:proofErr w:type="gramEnd"/>
            <w:r w:rsidRPr="00D14262">
              <w:rPr>
                <w:rFonts w:cs="Arial"/>
                <w:color w:val="0D0D0D" w:themeColor="text1" w:themeTint="F2"/>
                <w:spacing w:val="-4"/>
                <w:sz w:val="14"/>
                <w:szCs w:val="14"/>
                <w:lang w:val="en-GB"/>
              </w:rPr>
              <w:t xml:space="preserve"> and expresses the position in the second month of the given quarter. Source::CZSO</w:t>
            </w:r>
          </w:p>
        </w:tc>
      </w:tr>
    </w:tbl>
    <w:p w14:paraId="3BFBA732" w14:textId="03772FCB" w:rsidR="00700E8A" w:rsidRPr="00F62CCE" w:rsidRDefault="00700E8A">
      <w:pPr>
        <w:spacing w:after="0" w:line="240" w:lineRule="auto"/>
        <w:jc w:val="left"/>
        <w:rPr>
          <w:rFonts w:eastAsia="MS Gothic"/>
          <w:b/>
          <w:bCs/>
          <w:color w:val="71818C"/>
          <w:sz w:val="2"/>
          <w:szCs w:val="2"/>
          <w:highlight w:val="yellow"/>
        </w:rPr>
      </w:pPr>
      <w:r w:rsidRPr="00F62CCE">
        <w:rPr>
          <w:sz w:val="2"/>
          <w:szCs w:val="2"/>
          <w:highlight w:val="yellow"/>
        </w:rPr>
        <w:br w:type="page"/>
      </w:r>
    </w:p>
    <w:p w14:paraId="2B1B849D" w14:textId="02630156" w:rsidR="00A02E8B" w:rsidRPr="004B67FC" w:rsidRDefault="00A02E8B" w:rsidP="00A02E8B">
      <w:pPr>
        <w:pStyle w:val="Nadpis11"/>
        <w:rPr>
          <w:sz w:val="2"/>
          <w:szCs w:val="2"/>
          <w:lang w:val="en-GB"/>
        </w:rPr>
      </w:pPr>
      <w:bookmarkStart w:id="18" w:name="_Toc90395912"/>
      <w:bookmarkStart w:id="19" w:name="_Toc90395913"/>
      <w:bookmarkStart w:id="20" w:name="_Toc50712130"/>
      <w:bookmarkStart w:id="21" w:name="_Toc58605377"/>
      <w:bookmarkStart w:id="22" w:name="_Toc26865023"/>
      <w:bookmarkStart w:id="23" w:name="_Toc74246554"/>
      <w:bookmarkStart w:id="24" w:name="_Toc66719933"/>
      <w:bookmarkStart w:id="25" w:name="_Toc50712132"/>
      <w:bookmarkStart w:id="26" w:name="_Toc101437434"/>
      <w:bookmarkEnd w:id="11"/>
      <w:bookmarkEnd w:id="12"/>
      <w:bookmarkEnd w:id="13"/>
      <w:bookmarkEnd w:id="14"/>
      <w:r>
        <w:lastRenderedPageBreak/>
        <w:t>4</w:t>
      </w:r>
      <w:bookmarkStart w:id="27" w:name="_Toc511215218"/>
      <w:bookmarkStart w:id="28" w:name="_Toc19090679"/>
      <w:bookmarkStart w:id="29" w:name="_Toc74643856"/>
      <w:bookmarkStart w:id="30" w:name="_Toc42852411"/>
      <w:bookmarkStart w:id="31" w:name="_Toc74643857"/>
      <w:bookmarkEnd w:id="27"/>
      <w:bookmarkEnd w:id="28"/>
      <w:r w:rsidRPr="009110F7">
        <w:t>.</w:t>
      </w:r>
      <w:r>
        <w:t> </w:t>
      </w:r>
      <w:r w:rsidR="00CA6BE6" w:rsidRPr="004B67FC">
        <w:rPr>
          <w:lang w:val="en-GB"/>
        </w:rPr>
        <w:t>External Relations</w:t>
      </w:r>
      <w:bookmarkEnd w:id="18"/>
      <w:bookmarkEnd w:id="26"/>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A02E8B" w:rsidRPr="004B67FC" w14:paraId="165398AE" w14:textId="77777777" w:rsidTr="008E039E">
        <w:trPr>
          <w:trHeight w:val="145"/>
        </w:trPr>
        <w:tc>
          <w:tcPr>
            <w:tcW w:w="1760" w:type="dxa"/>
            <w:shd w:val="clear" w:color="auto" w:fill="auto"/>
            <w:tcMar>
              <w:left w:w="0" w:type="dxa"/>
            </w:tcMar>
          </w:tcPr>
          <w:p w14:paraId="59BB3315" w14:textId="1FD65A58" w:rsidR="00A02E8B" w:rsidRPr="004B67FC" w:rsidRDefault="008616E4" w:rsidP="008E039E">
            <w:pPr>
              <w:pStyle w:val="Marginlie"/>
              <w:rPr>
                <w:lang w:val="en-GB"/>
              </w:rPr>
            </w:pPr>
            <w:proofErr w:type="gramStart"/>
            <w:r>
              <w:rPr>
                <w:lang w:val="en-GB"/>
              </w:rPr>
              <w:t>The strong increase of export was influenced mainly by the first half of the year and low comparative basis</w:t>
            </w:r>
            <w:proofErr w:type="gramEnd"/>
            <w:r>
              <w:rPr>
                <w:lang w:val="en-GB"/>
              </w:rPr>
              <w:t xml:space="preserve"> in year </w:t>
            </w:r>
            <w:r w:rsidR="00A02E8B" w:rsidRPr="004B67FC">
              <w:rPr>
                <w:lang w:val="en-GB"/>
              </w:rPr>
              <w:t>2021</w:t>
            </w:r>
            <w:r>
              <w:rPr>
                <w:lang w:val="en-GB"/>
              </w:rPr>
              <w:t xml:space="preserve">. </w:t>
            </w:r>
          </w:p>
        </w:tc>
        <w:tc>
          <w:tcPr>
            <w:tcW w:w="223" w:type="dxa"/>
            <w:shd w:val="clear" w:color="auto" w:fill="auto"/>
            <w:tcMar>
              <w:left w:w="0" w:type="dxa"/>
            </w:tcMar>
          </w:tcPr>
          <w:p w14:paraId="7DA3815F" w14:textId="77777777" w:rsidR="00A02E8B" w:rsidRPr="004B67FC" w:rsidRDefault="00A02E8B" w:rsidP="008E039E">
            <w:pPr>
              <w:pStyle w:val="Textpoznpodarou"/>
              <w:jc w:val="both"/>
              <w:rPr>
                <w:spacing w:val="-4"/>
                <w:lang w:val="en-GB"/>
              </w:rPr>
            </w:pPr>
          </w:p>
        </w:tc>
        <w:tc>
          <w:tcPr>
            <w:tcW w:w="7656" w:type="dxa"/>
            <w:shd w:val="clear" w:color="auto" w:fill="auto"/>
            <w:tcMar>
              <w:left w:w="0" w:type="dxa"/>
            </w:tcMar>
          </w:tcPr>
          <w:p w14:paraId="04A70410" w14:textId="196E7365" w:rsidR="00A02E8B" w:rsidRPr="004B67FC" w:rsidRDefault="00273A9F" w:rsidP="008E039E">
            <w:pPr>
              <w:spacing w:after="180"/>
              <w:rPr>
                <w:spacing w:val="-4"/>
                <w:lang w:val="en-GB"/>
              </w:rPr>
            </w:pPr>
            <w:r>
              <w:rPr>
                <w:spacing w:val="-4"/>
                <w:lang w:val="en-GB"/>
              </w:rPr>
              <w:t xml:space="preserve">The export reached value </w:t>
            </w:r>
            <w:r w:rsidR="00A02E8B" w:rsidRPr="004B67FC">
              <w:rPr>
                <w:spacing w:val="-4"/>
                <w:lang w:val="en-GB"/>
              </w:rPr>
              <w:t>3</w:t>
            </w:r>
            <w:r>
              <w:rPr>
                <w:spacing w:val="-4"/>
                <w:lang w:val="en-GB"/>
              </w:rPr>
              <w:t> </w:t>
            </w:r>
            <w:r w:rsidR="00A02E8B" w:rsidRPr="004B67FC">
              <w:rPr>
                <w:spacing w:val="-4"/>
                <w:lang w:val="en-GB"/>
              </w:rPr>
              <w:t>936</w:t>
            </w:r>
            <w:r>
              <w:rPr>
                <w:spacing w:val="-4"/>
                <w:lang w:val="en-GB"/>
              </w:rPr>
              <w:t>.</w:t>
            </w:r>
            <w:r w:rsidR="00A02E8B" w:rsidRPr="004B67FC">
              <w:rPr>
                <w:spacing w:val="-4"/>
                <w:lang w:val="en-GB"/>
              </w:rPr>
              <w:t>4</w:t>
            </w:r>
            <w:r>
              <w:rPr>
                <w:spacing w:val="-4"/>
                <w:lang w:val="en-GB"/>
              </w:rPr>
              <w:t xml:space="preserve"> CZK bn in 2021 </w:t>
            </w:r>
            <w:r w:rsidR="00A02E8B" w:rsidRPr="004B67FC">
              <w:rPr>
                <w:spacing w:val="-4"/>
                <w:lang w:val="en-GB"/>
              </w:rPr>
              <w:t>a</w:t>
            </w:r>
            <w:r>
              <w:rPr>
                <w:spacing w:val="-4"/>
                <w:lang w:val="en-GB"/>
              </w:rPr>
              <w:t xml:space="preserve">nd it was thus by </w:t>
            </w:r>
            <w:r w:rsidR="00A02E8B" w:rsidRPr="004B67FC">
              <w:rPr>
                <w:spacing w:val="-4"/>
                <w:lang w:val="en-GB"/>
              </w:rPr>
              <w:t>453</w:t>
            </w:r>
            <w:r>
              <w:rPr>
                <w:spacing w:val="-4"/>
                <w:lang w:val="en-GB"/>
              </w:rPr>
              <w:t>.</w:t>
            </w:r>
            <w:r w:rsidR="00A02E8B" w:rsidRPr="004B67FC">
              <w:rPr>
                <w:spacing w:val="-4"/>
                <w:lang w:val="en-GB"/>
              </w:rPr>
              <w:t>3</w:t>
            </w:r>
            <w:r>
              <w:rPr>
                <w:spacing w:val="-4"/>
                <w:lang w:val="en-GB"/>
              </w:rPr>
              <w:t xml:space="preserve"> bn </w:t>
            </w:r>
            <w:r w:rsidR="00A02E8B" w:rsidRPr="004B67FC">
              <w:rPr>
                <w:spacing w:val="-4"/>
                <w:lang w:val="en-GB"/>
              </w:rPr>
              <w:t>(13</w:t>
            </w:r>
            <w:r>
              <w:rPr>
                <w:spacing w:val="-4"/>
                <w:lang w:val="en-GB"/>
              </w:rPr>
              <w:t>.</w:t>
            </w:r>
            <w:r w:rsidR="00A02E8B" w:rsidRPr="004B67FC">
              <w:rPr>
                <w:spacing w:val="-4"/>
                <w:lang w:val="en-GB"/>
              </w:rPr>
              <w:t>0%)</w:t>
            </w:r>
            <w:r>
              <w:rPr>
                <w:spacing w:val="-4"/>
                <w:lang w:val="en-GB"/>
              </w:rPr>
              <w:t xml:space="preserve"> higher year-on-year</w:t>
            </w:r>
            <w:r w:rsidR="00A02E8B" w:rsidRPr="004B67FC">
              <w:rPr>
                <w:spacing w:val="-4"/>
                <w:lang w:val="en-GB"/>
              </w:rPr>
              <w:t>.</w:t>
            </w:r>
            <w:r>
              <w:rPr>
                <w:spacing w:val="-4"/>
                <w:lang w:val="en-GB"/>
              </w:rPr>
              <w:t xml:space="preserve"> This exceptionally high addition (the highest since year </w:t>
            </w:r>
            <w:r w:rsidR="00A02E8B" w:rsidRPr="004B67FC">
              <w:rPr>
                <w:spacing w:val="-4"/>
                <w:lang w:val="en-GB"/>
              </w:rPr>
              <w:t xml:space="preserve">2014) </w:t>
            </w:r>
            <w:r>
              <w:rPr>
                <w:spacing w:val="-4"/>
                <w:lang w:val="en-GB"/>
              </w:rPr>
              <w:t xml:space="preserve">was also affected by the comparison with year </w:t>
            </w:r>
            <w:r w:rsidR="00A02E8B" w:rsidRPr="004B67FC">
              <w:rPr>
                <w:spacing w:val="-4"/>
                <w:lang w:val="en-GB"/>
              </w:rPr>
              <w:t>2020 (</w:t>
            </w:r>
            <w:r>
              <w:rPr>
                <w:spacing w:val="-4"/>
                <w:lang w:val="en-GB"/>
              </w:rPr>
              <w:t xml:space="preserve">export decline by </w:t>
            </w:r>
            <w:r w:rsidR="00A02E8B" w:rsidRPr="004B67FC">
              <w:rPr>
                <w:spacing w:val="-4"/>
                <w:lang w:val="en-GB"/>
              </w:rPr>
              <w:t>5</w:t>
            </w:r>
            <w:r>
              <w:rPr>
                <w:spacing w:val="-4"/>
                <w:lang w:val="en-GB"/>
              </w:rPr>
              <w:t>.</w:t>
            </w:r>
            <w:r w:rsidR="00A02E8B" w:rsidRPr="004B67FC">
              <w:rPr>
                <w:spacing w:val="-4"/>
                <w:lang w:val="en-GB"/>
              </w:rPr>
              <w:t xml:space="preserve">7%), </w:t>
            </w:r>
            <w:r>
              <w:rPr>
                <w:spacing w:val="-4"/>
                <w:lang w:val="en-GB"/>
              </w:rPr>
              <w:t>when the foreign trade was strongly influenced by the interruption of production in large industrial business</w:t>
            </w:r>
            <w:r w:rsidR="0097386E">
              <w:rPr>
                <w:spacing w:val="-4"/>
                <w:lang w:val="en-GB"/>
              </w:rPr>
              <w:t>es</w:t>
            </w:r>
            <w:r>
              <w:rPr>
                <w:spacing w:val="-4"/>
                <w:lang w:val="en-GB"/>
              </w:rPr>
              <w:t xml:space="preserve"> in both the CR and Europe, especially in motor vehicle factories. </w:t>
            </w:r>
            <w:r w:rsidR="00A61990">
              <w:rPr>
                <w:spacing w:val="-4"/>
                <w:lang w:val="en-GB"/>
              </w:rPr>
              <w:t xml:space="preserve">Development in Q2, which was affected by the low comparative basis of the same </w:t>
            </w:r>
            <w:proofErr w:type="gramStart"/>
            <w:r w:rsidR="00A61990">
              <w:rPr>
                <w:spacing w:val="-4"/>
                <w:lang w:val="en-GB"/>
              </w:rPr>
              <w:t>time period</w:t>
            </w:r>
            <w:proofErr w:type="gramEnd"/>
            <w:r w:rsidR="00A61990">
              <w:rPr>
                <w:spacing w:val="-4"/>
                <w:lang w:val="en-GB"/>
              </w:rPr>
              <w:t xml:space="preserve"> of year 2020 </w:t>
            </w:r>
            <w:r w:rsidR="00A02E8B" w:rsidRPr="004B67FC">
              <w:rPr>
                <w:spacing w:val="-4"/>
                <w:lang w:val="en-GB"/>
              </w:rPr>
              <w:t>(</w:t>
            </w:r>
            <w:r w:rsidR="00A61990">
              <w:rPr>
                <w:spacing w:val="-4"/>
                <w:lang w:val="en-GB"/>
              </w:rPr>
              <w:t>export was by 40.8% higher year-on-year</w:t>
            </w:r>
            <w:r w:rsidR="00A02E8B" w:rsidRPr="004B67FC">
              <w:rPr>
                <w:spacing w:val="-4"/>
                <w:lang w:val="en-GB"/>
              </w:rPr>
              <w:t>)</w:t>
            </w:r>
            <w:r w:rsidR="00A61990">
              <w:rPr>
                <w:spacing w:val="-4"/>
                <w:lang w:val="en-GB"/>
              </w:rPr>
              <w:t>, contributed the most to the strong increase</w:t>
            </w:r>
            <w:r w:rsidR="00A02E8B" w:rsidRPr="004B67FC">
              <w:rPr>
                <w:spacing w:val="-4"/>
                <w:lang w:val="en-GB"/>
              </w:rPr>
              <w:t xml:space="preserve">. </w:t>
            </w:r>
            <w:r w:rsidR="008514DE">
              <w:rPr>
                <w:spacing w:val="-4"/>
                <w:lang w:val="en-GB"/>
              </w:rPr>
              <w:t>The export of goods was however growing year-on-ye</w:t>
            </w:r>
            <w:r w:rsidR="00A61990">
              <w:rPr>
                <w:spacing w:val="-4"/>
                <w:lang w:val="en-GB"/>
              </w:rPr>
              <w:t>a</w:t>
            </w:r>
            <w:r w:rsidR="008514DE">
              <w:rPr>
                <w:spacing w:val="-4"/>
                <w:lang w:val="en-GB"/>
              </w:rPr>
              <w:t xml:space="preserve">r in all quarters. In Q4 itself, the value of export amounted to </w:t>
            </w:r>
            <w:r w:rsidR="00A02E8B" w:rsidRPr="004B67FC">
              <w:rPr>
                <w:spacing w:val="-4"/>
                <w:lang w:val="en-GB"/>
              </w:rPr>
              <w:t>1</w:t>
            </w:r>
            <w:r w:rsidR="008514DE">
              <w:rPr>
                <w:spacing w:val="-4"/>
                <w:lang w:val="en-GB"/>
              </w:rPr>
              <w:t> </w:t>
            </w:r>
            <w:r w:rsidR="00A02E8B" w:rsidRPr="004B67FC">
              <w:rPr>
                <w:spacing w:val="-4"/>
                <w:lang w:val="en-GB"/>
              </w:rPr>
              <w:t>030</w:t>
            </w:r>
            <w:r w:rsidR="008514DE">
              <w:rPr>
                <w:spacing w:val="-4"/>
                <w:lang w:val="en-GB"/>
              </w:rPr>
              <w:t>.</w:t>
            </w:r>
            <w:r w:rsidR="00A02E8B" w:rsidRPr="004B67FC">
              <w:rPr>
                <w:spacing w:val="-4"/>
                <w:lang w:val="en-GB"/>
              </w:rPr>
              <w:t>0</w:t>
            </w:r>
            <w:r w:rsidR="008514DE">
              <w:rPr>
                <w:spacing w:val="-4"/>
                <w:lang w:val="en-GB"/>
              </w:rPr>
              <w:t xml:space="preserve"> CZK bn</w:t>
            </w:r>
            <w:r w:rsidR="00A02E8B" w:rsidRPr="004B67FC">
              <w:rPr>
                <w:spacing w:val="-4"/>
                <w:lang w:val="en-GB"/>
              </w:rPr>
              <w:t xml:space="preserve">. </w:t>
            </w:r>
            <w:r w:rsidR="00AE68C1">
              <w:rPr>
                <w:spacing w:val="-4"/>
                <w:lang w:val="en-GB"/>
              </w:rPr>
              <w:t xml:space="preserve">It represents year-on-year increase of </w:t>
            </w:r>
            <w:r w:rsidR="00A02E8B" w:rsidRPr="004B67FC">
              <w:rPr>
                <w:spacing w:val="-4"/>
                <w:lang w:val="en-GB"/>
              </w:rPr>
              <w:t>27</w:t>
            </w:r>
            <w:r w:rsidR="00AE68C1">
              <w:rPr>
                <w:spacing w:val="-4"/>
                <w:lang w:val="en-GB"/>
              </w:rPr>
              <w:t>.</w:t>
            </w:r>
            <w:r w:rsidR="00A02E8B" w:rsidRPr="004B67FC">
              <w:rPr>
                <w:spacing w:val="-4"/>
                <w:lang w:val="en-GB"/>
              </w:rPr>
              <w:t>5</w:t>
            </w:r>
            <w:r w:rsidR="00AE68C1">
              <w:rPr>
                <w:spacing w:val="-4"/>
                <w:lang w:val="en-GB"/>
              </w:rPr>
              <w:t xml:space="preserve"> CZK bn </w:t>
            </w:r>
            <w:r w:rsidR="00A02E8B" w:rsidRPr="004B67FC">
              <w:rPr>
                <w:spacing w:val="-4"/>
                <w:lang w:val="en-GB"/>
              </w:rPr>
              <w:t>(2</w:t>
            </w:r>
            <w:r w:rsidR="00AE68C1">
              <w:rPr>
                <w:spacing w:val="-4"/>
                <w:lang w:val="en-GB"/>
              </w:rPr>
              <w:t>.</w:t>
            </w:r>
            <w:r w:rsidR="00A02E8B" w:rsidRPr="004B67FC">
              <w:rPr>
                <w:spacing w:val="-4"/>
                <w:lang w:val="en-GB"/>
              </w:rPr>
              <w:t xml:space="preserve">7%). </w:t>
            </w:r>
            <w:r w:rsidR="00B865FC">
              <w:rPr>
                <w:spacing w:val="-4"/>
                <w:lang w:val="en-GB"/>
              </w:rPr>
              <w:t>The relatively moderate dynamics was apart from difficulties with the supply of components in industry also affected by the comparison with very strong Q</w:t>
            </w:r>
            <w:r w:rsidR="00A02E8B" w:rsidRPr="004B67FC">
              <w:rPr>
                <w:spacing w:val="-4"/>
                <w:lang w:val="en-GB"/>
              </w:rPr>
              <w:t>4</w:t>
            </w:r>
            <w:r w:rsidR="00B865FC">
              <w:rPr>
                <w:spacing w:val="-4"/>
                <w:lang w:val="en-GB"/>
              </w:rPr>
              <w:t xml:space="preserve"> </w:t>
            </w:r>
            <w:r w:rsidR="00A02E8B" w:rsidRPr="004B67FC">
              <w:rPr>
                <w:spacing w:val="-4"/>
                <w:lang w:val="en-GB"/>
              </w:rPr>
              <w:t>2020,</w:t>
            </w:r>
            <w:r w:rsidR="00B865FC">
              <w:rPr>
                <w:spacing w:val="-4"/>
                <w:lang w:val="en-GB"/>
              </w:rPr>
              <w:t xml:space="preserve"> when the impulse of exports to catch up to the losses from Spring of the same year culminated. </w:t>
            </w:r>
          </w:p>
        </w:tc>
      </w:tr>
      <w:tr w:rsidR="00A02E8B" w:rsidRPr="009110F7" w14:paraId="26234E33" w14:textId="77777777" w:rsidTr="008E039E">
        <w:trPr>
          <w:trHeight w:val="145"/>
        </w:trPr>
        <w:tc>
          <w:tcPr>
            <w:tcW w:w="1760" w:type="dxa"/>
            <w:shd w:val="clear" w:color="auto" w:fill="auto"/>
            <w:tcMar>
              <w:left w:w="0" w:type="dxa"/>
            </w:tcMar>
          </w:tcPr>
          <w:p w14:paraId="20150DE6" w14:textId="6CA098F7" w:rsidR="00A02E8B" w:rsidRPr="008616E4" w:rsidRDefault="000F0C1C" w:rsidP="008E039E">
            <w:pPr>
              <w:pStyle w:val="Marginlie"/>
              <w:rPr>
                <w:lang w:val="en-GB"/>
              </w:rPr>
            </w:pPr>
            <w:r>
              <w:rPr>
                <w:lang w:val="en-GB"/>
              </w:rPr>
              <w:t xml:space="preserve">Export into the European Union grew stronger than export outside the EU last year. </w:t>
            </w:r>
          </w:p>
        </w:tc>
        <w:tc>
          <w:tcPr>
            <w:tcW w:w="223" w:type="dxa"/>
            <w:shd w:val="clear" w:color="auto" w:fill="auto"/>
            <w:tcMar>
              <w:left w:w="0" w:type="dxa"/>
            </w:tcMar>
          </w:tcPr>
          <w:p w14:paraId="62C2FD5B" w14:textId="77777777" w:rsidR="00A02E8B" w:rsidRPr="008616E4" w:rsidRDefault="00A02E8B" w:rsidP="008E039E">
            <w:pPr>
              <w:pStyle w:val="Textpoznpodarou"/>
              <w:jc w:val="both"/>
              <w:rPr>
                <w:spacing w:val="-4"/>
                <w:lang w:val="en-GB"/>
              </w:rPr>
            </w:pPr>
          </w:p>
        </w:tc>
        <w:tc>
          <w:tcPr>
            <w:tcW w:w="7656" w:type="dxa"/>
            <w:shd w:val="clear" w:color="auto" w:fill="auto"/>
            <w:tcMar>
              <w:left w:w="0" w:type="dxa"/>
            </w:tcMar>
          </w:tcPr>
          <w:p w14:paraId="6D7E6CDD" w14:textId="3D4DA9E8" w:rsidR="00A02E8B" w:rsidRPr="008616E4" w:rsidRDefault="00667203" w:rsidP="008E039E">
            <w:pPr>
              <w:spacing w:after="180"/>
              <w:rPr>
                <w:spacing w:val="-4"/>
                <w:lang w:val="en-GB"/>
              </w:rPr>
            </w:pPr>
            <w:r>
              <w:rPr>
                <w:spacing w:val="-4"/>
                <w:lang w:val="en-GB"/>
              </w:rPr>
              <w:t xml:space="preserve">From the territorial viewpoint, export into the European Union played a major part in the export increase last year, it was </w:t>
            </w:r>
            <w:r w:rsidR="00A02E8B" w:rsidRPr="008616E4">
              <w:rPr>
                <w:spacing w:val="-4"/>
                <w:lang w:val="en-GB"/>
              </w:rPr>
              <w:t>398</w:t>
            </w:r>
            <w:r>
              <w:rPr>
                <w:spacing w:val="-4"/>
                <w:lang w:val="en-GB"/>
              </w:rPr>
              <w:t>.</w:t>
            </w:r>
            <w:r w:rsidR="00A02E8B" w:rsidRPr="008616E4">
              <w:rPr>
                <w:spacing w:val="-4"/>
                <w:lang w:val="en-GB"/>
              </w:rPr>
              <w:t>4</w:t>
            </w:r>
            <w:r>
              <w:rPr>
                <w:spacing w:val="-4"/>
                <w:lang w:val="en-GB"/>
              </w:rPr>
              <w:t xml:space="preserve"> CZK bn </w:t>
            </w:r>
            <w:r w:rsidR="00A02E8B" w:rsidRPr="008616E4">
              <w:rPr>
                <w:spacing w:val="-4"/>
                <w:lang w:val="en-GB"/>
              </w:rPr>
              <w:t>(14</w:t>
            </w:r>
            <w:r>
              <w:rPr>
                <w:spacing w:val="-4"/>
                <w:lang w:val="en-GB"/>
              </w:rPr>
              <w:t>.</w:t>
            </w:r>
            <w:r w:rsidR="00A02E8B" w:rsidRPr="008616E4">
              <w:rPr>
                <w:spacing w:val="-4"/>
                <w:lang w:val="en-GB"/>
              </w:rPr>
              <w:t>4%)</w:t>
            </w:r>
            <w:r>
              <w:rPr>
                <w:spacing w:val="-4"/>
                <w:lang w:val="en-GB"/>
              </w:rPr>
              <w:t xml:space="preserve"> higher</w:t>
            </w:r>
            <w:r w:rsidR="00A02E8B" w:rsidRPr="008616E4">
              <w:rPr>
                <w:spacing w:val="-4"/>
                <w:lang w:val="en-GB"/>
              </w:rPr>
              <w:t xml:space="preserve">. Export </w:t>
            </w:r>
            <w:r>
              <w:rPr>
                <w:spacing w:val="-4"/>
                <w:lang w:val="en-GB"/>
              </w:rPr>
              <w:t xml:space="preserve">outside the EU was by </w:t>
            </w:r>
            <w:r w:rsidR="00A02E8B" w:rsidRPr="008616E4">
              <w:rPr>
                <w:spacing w:val="-4"/>
                <w:lang w:val="en-GB"/>
              </w:rPr>
              <w:t>54</w:t>
            </w:r>
            <w:r>
              <w:rPr>
                <w:spacing w:val="-4"/>
                <w:lang w:val="en-GB"/>
              </w:rPr>
              <w:t>.</w:t>
            </w:r>
            <w:r w:rsidR="00A02E8B" w:rsidRPr="008616E4">
              <w:rPr>
                <w:spacing w:val="-4"/>
                <w:lang w:val="en-GB"/>
              </w:rPr>
              <w:t>3</w:t>
            </w:r>
            <w:r>
              <w:rPr>
                <w:spacing w:val="-4"/>
                <w:lang w:val="en-GB"/>
              </w:rPr>
              <w:t xml:space="preserve"> CZK bn higher </w:t>
            </w:r>
            <w:r w:rsidR="00A02E8B" w:rsidRPr="008616E4">
              <w:rPr>
                <w:spacing w:val="-4"/>
                <w:lang w:val="en-GB"/>
              </w:rPr>
              <w:t>(7</w:t>
            </w:r>
            <w:r>
              <w:rPr>
                <w:spacing w:val="-4"/>
                <w:lang w:val="en-GB"/>
              </w:rPr>
              <w:t>.</w:t>
            </w:r>
            <w:r w:rsidR="00A02E8B" w:rsidRPr="008616E4">
              <w:rPr>
                <w:spacing w:val="-4"/>
                <w:lang w:val="en-GB"/>
              </w:rPr>
              <w:t>7%).</w:t>
            </w:r>
            <w:r>
              <w:rPr>
                <w:spacing w:val="-4"/>
                <w:lang w:val="en-GB"/>
              </w:rPr>
              <w:t xml:space="preserve"> The year-on-year dynamics of export into the EU </w:t>
            </w:r>
            <w:proofErr w:type="gramStart"/>
            <w:r>
              <w:rPr>
                <w:spacing w:val="-4"/>
                <w:lang w:val="en-GB"/>
              </w:rPr>
              <w:t>was higher compared</w:t>
            </w:r>
            <w:proofErr w:type="gramEnd"/>
            <w:r>
              <w:rPr>
                <w:spacing w:val="-4"/>
                <w:lang w:val="en-GB"/>
              </w:rPr>
              <w:t xml:space="preserve"> to the export outside the EU in all quarters of year</w:t>
            </w:r>
            <w:r w:rsidR="00A02E8B" w:rsidRPr="008616E4">
              <w:rPr>
                <w:spacing w:val="-4"/>
                <w:lang w:val="en-GB"/>
              </w:rPr>
              <w:t xml:space="preserve"> 2021</w:t>
            </w:r>
            <w:r>
              <w:rPr>
                <w:spacing w:val="-4"/>
                <w:lang w:val="en-GB"/>
              </w:rPr>
              <w:t xml:space="preserve">. </w:t>
            </w:r>
            <w:r w:rsidR="00AA7CAD">
              <w:rPr>
                <w:spacing w:val="-4"/>
                <w:lang w:val="en-GB"/>
              </w:rPr>
              <w:t xml:space="preserve">Export grew into the majority of individual countries, which </w:t>
            </w:r>
            <w:proofErr w:type="gramStart"/>
            <w:r w:rsidR="00AA7CAD">
              <w:rPr>
                <w:spacing w:val="-4"/>
                <w:lang w:val="en-GB"/>
              </w:rPr>
              <w:t>was also given</w:t>
            </w:r>
            <w:proofErr w:type="gramEnd"/>
            <w:r w:rsidR="00AA7CAD">
              <w:rPr>
                <w:spacing w:val="-4"/>
                <w:lang w:val="en-GB"/>
              </w:rPr>
              <w:t xml:space="preserve"> by low comparative basis. Export to Germany </w:t>
            </w:r>
            <w:r w:rsidR="00A02E8B" w:rsidRPr="008616E4">
              <w:rPr>
                <w:spacing w:val="-4"/>
                <w:lang w:val="en-GB"/>
              </w:rPr>
              <w:t>(+125</w:t>
            </w:r>
            <w:r w:rsidR="00AA7CAD">
              <w:rPr>
                <w:spacing w:val="-4"/>
                <w:lang w:val="en-GB"/>
              </w:rPr>
              <w:t>.</w:t>
            </w:r>
            <w:r w:rsidR="00A02E8B" w:rsidRPr="008616E4">
              <w:rPr>
                <w:spacing w:val="-4"/>
                <w:lang w:val="en-GB"/>
              </w:rPr>
              <w:t>9</w:t>
            </w:r>
            <w:r w:rsidR="00AA7CAD">
              <w:rPr>
                <w:spacing w:val="-4"/>
                <w:lang w:val="en-GB"/>
              </w:rPr>
              <w:t xml:space="preserve"> CZK bn</w:t>
            </w:r>
            <w:r w:rsidR="00A02E8B" w:rsidRPr="008616E4">
              <w:rPr>
                <w:spacing w:val="-4"/>
                <w:lang w:val="en-GB"/>
              </w:rPr>
              <w:t>, 11</w:t>
            </w:r>
            <w:r w:rsidR="00AA7CAD">
              <w:rPr>
                <w:spacing w:val="-4"/>
                <w:lang w:val="en-GB"/>
              </w:rPr>
              <w:t>.</w:t>
            </w:r>
            <w:r w:rsidR="00A02E8B" w:rsidRPr="008616E4">
              <w:rPr>
                <w:spacing w:val="-4"/>
                <w:lang w:val="en-GB"/>
              </w:rPr>
              <w:t>5%),</w:t>
            </w:r>
            <w:r w:rsidR="00AA7CAD">
              <w:rPr>
                <w:spacing w:val="-4"/>
                <w:lang w:val="en-GB"/>
              </w:rPr>
              <w:t xml:space="preserve"> Slovakia </w:t>
            </w:r>
            <w:r w:rsidR="00A02E8B" w:rsidRPr="008616E4">
              <w:rPr>
                <w:spacing w:val="-4"/>
                <w:lang w:val="en-GB"/>
              </w:rPr>
              <w:t>(+57</w:t>
            </w:r>
            <w:r w:rsidR="00AA7CAD">
              <w:rPr>
                <w:spacing w:val="-4"/>
                <w:lang w:val="en-GB"/>
              </w:rPr>
              <w:t>.</w:t>
            </w:r>
            <w:r w:rsidR="00A02E8B" w:rsidRPr="008616E4">
              <w:rPr>
                <w:spacing w:val="-4"/>
                <w:lang w:val="en-GB"/>
              </w:rPr>
              <w:t>5</w:t>
            </w:r>
            <w:r w:rsidR="00AA7CAD">
              <w:rPr>
                <w:spacing w:val="-4"/>
                <w:lang w:val="en-GB"/>
              </w:rPr>
              <w:t xml:space="preserve"> bn</w:t>
            </w:r>
            <w:r w:rsidR="00A02E8B" w:rsidRPr="008616E4">
              <w:rPr>
                <w:spacing w:val="-4"/>
                <w:lang w:val="en-GB"/>
              </w:rPr>
              <w:t>, 17</w:t>
            </w:r>
            <w:r w:rsidR="00AA7CAD">
              <w:rPr>
                <w:spacing w:val="-4"/>
                <w:lang w:val="en-GB"/>
              </w:rPr>
              <w:t>.</w:t>
            </w:r>
            <w:r w:rsidR="00A02E8B" w:rsidRPr="008616E4">
              <w:rPr>
                <w:spacing w:val="-4"/>
                <w:lang w:val="en-GB"/>
              </w:rPr>
              <w:t>7%) a</w:t>
            </w:r>
            <w:r w:rsidR="00AA7CAD">
              <w:rPr>
                <w:spacing w:val="-4"/>
                <w:lang w:val="en-GB"/>
              </w:rPr>
              <w:t xml:space="preserve">nd Poland </w:t>
            </w:r>
            <w:r w:rsidR="00A02E8B" w:rsidRPr="008616E4">
              <w:rPr>
                <w:spacing w:val="-4"/>
                <w:lang w:val="en-GB"/>
              </w:rPr>
              <w:t>(+51</w:t>
            </w:r>
            <w:r w:rsidR="00AA7CAD">
              <w:rPr>
                <w:spacing w:val="-4"/>
                <w:lang w:val="en-GB"/>
              </w:rPr>
              <w:t>.</w:t>
            </w:r>
            <w:r w:rsidR="00A02E8B" w:rsidRPr="008616E4">
              <w:rPr>
                <w:spacing w:val="-4"/>
                <w:lang w:val="en-GB"/>
              </w:rPr>
              <w:t>4</w:t>
            </w:r>
            <w:r w:rsidR="00AA7CAD">
              <w:rPr>
                <w:spacing w:val="-4"/>
                <w:lang w:val="en-GB"/>
              </w:rPr>
              <w:t xml:space="preserve"> bn</w:t>
            </w:r>
            <w:r w:rsidR="00A02E8B" w:rsidRPr="008616E4">
              <w:rPr>
                <w:spacing w:val="-4"/>
                <w:lang w:val="en-GB"/>
              </w:rPr>
              <w:t>, 22</w:t>
            </w:r>
            <w:r w:rsidR="00AA7CAD">
              <w:rPr>
                <w:spacing w:val="-4"/>
                <w:lang w:val="en-GB"/>
              </w:rPr>
              <w:t>.</w:t>
            </w:r>
            <w:r w:rsidR="00A02E8B" w:rsidRPr="008616E4">
              <w:rPr>
                <w:spacing w:val="-4"/>
                <w:lang w:val="en-GB"/>
              </w:rPr>
              <w:t>5 %)</w:t>
            </w:r>
            <w:r w:rsidR="00AA7CAD">
              <w:rPr>
                <w:spacing w:val="-4"/>
                <w:lang w:val="en-GB"/>
              </w:rPr>
              <w:t xml:space="preserve"> grew the most in 2021</w:t>
            </w:r>
            <w:r w:rsidR="00A02E8B" w:rsidRPr="008616E4">
              <w:rPr>
                <w:spacing w:val="-4"/>
                <w:lang w:val="en-GB"/>
              </w:rPr>
              <w:t xml:space="preserve">. </w:t>
            </w:r>
            <w:r w:rsidR="00AA7CAD">
              <w:rPr>
                <w:spacing w:val="-4"/>
                <w:lang w:val="en-GB"/>
              </w:rPr>
              <w:t xml:space="preserve">Export to Austria </w:t>
            </w:r>
            <w:r w:rsidR="00A02E8B" w:rsidRPr="008616E4">
              <w:rPr>
                <w:spacing w:val="-4"/>
                <w:lang w:val="en-GB"/>
              </w:rPr>
              <w:t>(+36</w:t>
            </w:r>
            <w:r w:rsidR="00AA7CAD">
              <w:rPr>
                <w:spacing w:val="-4"/>
                <w:lang w:val="en-GB"/>
              </w:rPr>
              <w:t>.</w:t>
            </w:r>
            <w:r w:rsidR="00A02E8B" w:rsidRPr="008616E4">
              <w:rPr>
                <w:spacing w:val="-4"/>
                <w:lang w:val="en-GB"/>
              </w:rPr>
              <w:t>4</w:t>
            </w:r>
            <w:r w:rsidR="00AA7CAD">
              <w:rPr>
                <w:spacing w:val="-4"/>
                <w:lang w:val="en-GB"/>
              </w:rPr>
              <w:t xml:space="preserve"> CZK bn</w:t>
            </w:r>
            <w:r w:rsidR="00A02E8B" w:rsidRPr="008616E4">
              <w:rPr>
                <w:spacing w:val="-4"/>
                <w:lang w:val="en-GB"/>
              </w:rPr>
              <w:t>, 25</w:t>
            </w:r>
            <w:r w:rsidR="00AA7CAD">
              <w:rPr>
                <w:spacing w:val="-4"/>
                <w:lang w:val="en-GB"/>
              </w:rPr>
              <w:t>.</w:t>
            </w:r>
            <w:r w:rsidR="00A02E8B" w:rsidRPr="008616E4">
              <w:rPr>
                <w:spacing w:val="-4"/>
                <w:lang w:val="en-GB"/>
              </w:rPr>
              <w:t>6%), It</w:t>
            </w:r>
            <w:r w:rsidR="00AA7CAD">
              <w:rPr>
                <w:spacing w:val="-4"/>
                <w:lang w:val="en-GB"/>
              </w:rPr>
              <w:t xml:space="preserve">aly </w:t>
            </w:r>
            <w:r w:rsidR="00A02E8B" w:rsidRPr="008616E4">
              <w:rPr>
                <w:spacing w:val="-4"/>
                <w:lang w:val="en-GB"/>
              </w:rPr>
              <w:t>(+23</w:t>
            </w:r>
            <w:r w:rsidR="00AA7CAD">
              <w:rPr>
                <w:spacing w:val="-4"/>
                <w:lang w:val="en-GB"/>
              </w:rPr>
              <w:t>.</w:t>
            </w:r>
            <w:r w:rsidR="00A02E8B" w:rsidRPr="008616E4">
              <w:rPr>
                <w:spacing w:val="-4"/>
                <w:lang w:val="en-GB"/>
              </w:rPr>
              <w:t>5</w:t>
            </w:r>
            <w:r w:rsidR="00AA7CAD">
              <w:rPr>
                <w:spacing w:val="-4"/>
                <w:lang w:val="en-GB"/>
              </w:rPr>
              <w:t xml:space="preserve"> bn</w:t>
            </w:r>
            <w:r w:rsidR="00A02E8B" w:rsidRPr="008616E4">
              <w:rPr>
                <w:spacing w:val="-4"/>
                <w:lang w:val="en-GB"/>
              </w:rPr>
              <w:t>, 18</w:t>
            </w:r>
            <w:r w:rsidR="00AA7CAD">
              <w:rPr>
                <w:spacing w:val="-4"/>
                <w:lang w:val="en-GB"/>
              </w:rPr>
              <w:t>.</w:t>
            </w:r>
            <w:r w:rsidR="00A02E8B" w:rsidRPr="008616E4">
              <w:rPr>
                <w:spacing w:val="-4"/>
                <w:lang w:val="en-GB"/>
              </w:rPr>
              <w:t>7%) a</w:t>
            </w:r>
            <w:r w:rsidR="00AA7CAD">
              <w:rPr>
                <w:spacing w:val="-4"/>
                <w:lang w:val="en-GB"/>
              </w:rPr>
              <w:t xml:space="preserve">nd France </w:t>
            </w:r>
            <w:r w:rsidR="00A02E8B" w:rsidRPr="008616E4">
              <w:rPr>
                <w:spacing w:val="-4"/>
                <w:lang w:val="en-GB"/>
              </w:rPr>
              <w:t>(+18</w:t>
            </w:r>
            <w:r w:rsidR="00AA7CAD">
              <w:rPr>
                <w:spacing w:val="-4"/>
                <w:lang w:val="en-GB"/>
              </w:rPr>
              <w:t>.</w:t>
            </w:r>
            <w:r w:rsidR="00A02E8B" w:rsidRPr="008616E4">
              <w:rPr>
                <w:spacing w:val="-4"/>
                <w:lang w:val="en-GB"/>
              </w:rPr>
              <w:t>3</w:t>
            </w:r>
            <w:r w:rsidR="00AA7CAD">
              <w:rPr>
                <w:spacing w:val="-4"/>
                <w:lang w:val="en-GB"/>
              </w:rPr>
              <w:t xml:space="preserve"> bn</w:t>
            </w:r>
            <w:r w:rsidR="00A02E8B" w:rsidRPr="008616E4">
              <w:rPr>
                <w:spacing w:val="-4"/>
                <w:lang w:val="en-GB"/>
              </w:rPr>
              <w:t>, 10</w:t>
            </w:r>
            <w:r w:rsidR="00AA7CAD">
              <w:rPr>
                <w:spacing w:val="-4"/>
                <w:lang w:val="en-GB"/>
              </w:rPr>
              <w:t>.</w:t>
            </w:r>
            <w:r w:rsidR="00A02E8B" w:rsidRPr="008616E4">
              <w:rPr>
                <w:spacing w:val="-4"/>
                <w:lang w:val="en-GB"/>
              </w:rPr>
              <w:t>9%)</w:t>
            </w:r>
            <w:r w:rsidR="00AA7CAD">
              <w:rPr>
                <w:spacing w:val="-4"/>
                <w:lang w:val="en-GB"/>
              </w:rPr>
              <w:t xml:space="preserve"> nevertheless also recorded significant increases</w:t>
            </w:r>
            <w:r w:rsidR="00A02E8B" w:rsidRPr="008616E4">
              <w:rPr>
                <w:spacing w:val="-4"/>
                <w:lang w:val="en-GB"/>
              </w:rPr>
              <w:t>.</w:t>
            </w:r>
            <w:r w:rsidR="00AA7CAD">
              <w:rPr>
                <w:spacing w:val="-4"/>
                <w:lang w:val="en-GB"/>
              </w:rPr>
              <w:t xml:space="preserve"> Only several countries reported decrease of export. Export to Russia </w:t>
            </w:r>
            <w:r w:rsidR="00A02E8B" w:rsidRPr="008616E4">
              <w:rPr>
                <w:spacing w:val="-4"/>
                <w:lang w:val="en-GB"/>
              </w:rPr>
              <w:t>(–4</w:t>
            </w:r>
            <w:r w:rsidR="00AA7CAD">
              <w:rPr>
                <w:spacing w:val="-4"/>
                <w:lang w:val="en-GB"/>
              </w:rPr>
              <w:t>.</w:t>
            </w:r>
            <w:r w:rsidR="00A02E8B" w:rsidRPr="008616E4">
              <w:rPr>
                <w:spacing w:val="-4"/>
                <w:lang w:val="en-GB"/>
              </w:rPr>
              <w:t>6</w:t>
            </w:r>
            <w:r w:rsidR="00AA7CAD">
              <w:rPr>
                <w:spacing w:val="-4"/>
                <w:lang w:val="en-GB"/>
              </w:rPr>
              <w:t xml:space="preserve"> CZK bn</w:t>
            </w:r>
            <w:r w:rsidR="00A02E8B" w:rsidRPr="008616E4">
              <w:rPr>
                <w:spacing w:val="-4"/>
                <w:lang w:val="en-GB"/>
              </w:rPr>
              <w:t xml:space="preserve">, </w:t>
            </w:r>
            <w:r w:rsidR="00A02E8B" w:rsidRPr="008616E4">
              <w:rPr>
                <w:spacing w:val="-4"/>
                <w:lang w:val="en-GB"/>
              </w:rPr>
              <w:br/>
              <w:t>–5</w:t>
            </w:r>
            <w:r w:rsidR="00AA7CAD">
              <w:rPr>
                <w:spacing w:val="-4"/>
                <w:lang w:val="en-GB"/>
              </w:rPr>
              <w:t>.</w:t>
            </w:r>
            <w:r w:rsidR="00A02E8B" w:rsidRPr="008616E4">
              <w:rPr>
                <w:spacing w:val="-4"/>
                <w:lang w:val="en-GB"/>
              </w:rPr>
              <w:t xml:space="preserve">5%), </w:t>
            </w:r>
            <w:r w:rsidR="00AA7CAD" w:rsidRPr="008616E4">
              <w:rPr>
                <w:spacing w:val="-4"/>
                <w:lang w:val="en-GB"/>
              </w:rPr>
              <w:t>Kazakhst</w:t>
            </w:r>
            <w:r w:rsidR="00AA7CAD">
              <w:rPr>
                <w:spacing w:val="-4"/>
                <w:lang w:val="en-GB"/>
              </w:rPr>
              <w:t xml:space="preserve">an </w:t>
            </w:r>
            <w:r w:rsidR="00A02E8B" w:rsidRPr="008616E4">
              <w:rPr>
                <w:spacing w:val="-4"/>
                <w:lang w:val="en-GB"/>
              </w:rPr>
              <w:t>(–3</w:t>
            </w:r>
            <w:r w:rsidR="00AA7CAD">
              <w:rPr>
                <w:spacing w:val="-4"/>
                <w:lang w:val="en-GB"/>
              </w:rPr>
              <w:t>.</w:t>
            </w:r>
            <w:r w:rsidR="00A02E8B" w:rsidRPr="008616E4">
              <w:rPr>
                <w:spacing w:val="-4"/>
                <w:lang w:val="en-GB"/>
              </w:rPr>
              <w:t>6</w:t>
            </w:r>
            <w:r w:rsidR="00AA7CAD">
              <w:rPr>
                <w:spacing w:val="-4"/>
                <w:lang w:val="en-GB"/>
              </w:rPr>
              <w:t xml:space="preserve"> bn</w:t>
            </w:r>
            <w:r w:rsidR="00A02E8B" w:rsidRPr="008616E4">
              <w:rPr>
                <w:spacing w:val="-4"/>
                <w:lang w:val="en-GB"/>
              </w:rPr>
              <w:t>, –46</w:t>
            </w:r>
            <w:r w:rsidR="00AA7CAD">
              <w:rPr>
                <w:spacing w:val="-4"/>
                <w:lang w:val="en-GB"/>
              </w:rPr>
              <w:t>.</w:t>
            </w:r>
            <w:r w:rsidR="00A02E8B" w:rsidRPr="008616E4">
              <w:rPr>
                <w:spacing w:val="-4"/>
                <w:lang w:val="en-GB"/>
              </w:rPr>
              <w:t>8%), Indon</w:t>
            </w:r>
            <w:r w:rsidR="00AA7CAD">
              <w:rPr>
                <w:spacing w:val="-4"/>
                <w:lang w:val="en-GB"/>
              </w:rPr>
              <w:t xml:space="preserve">esia </w:t>
            </w:r>
            <w:r w:rsidR="00A02E8B" w:rsidRPr="008616E4">
              <w:rPr>
                <w:spacing w:val="-4"/>
                <w:lang w:val="en-GB"/>
              </w:rPr>
              <w:t>(–2</w:t>
            </w:r>
            <w:r w:rsidR="00AA7CAD">
              <w:rPr>
                <w:spacing w:val="-4"/>
                <w:lang w:val="en-GB"/>
              </w:rPr>
              <w:t>.</w:t>
            </w:r>
            <w:r w:rsidR="00A02E8B" w:rsidRPr="008616E4">
              <w:rPr>
                <w:spacing w:val="-4"/>
                <w:lang w:val="en-GB"/>
              </w:rPr>
              <w:t>2</w:t>
            </w:r>
            <w:r w:rsidR="00AA7CAD">
              <w:rPr>
                <w:spacing w:val="-4"/>
                <w:lang w:val="en-GB"/>
              </w:rPr>
              <w:t xml:space="preserve"> bn</w:t>
            </w:r>
            <w:r w:rsidR="00A02E8B" w:rsidRPr="008616E4">
              <w:rPr>
                <w:spacing w:val="-4"/>
                <w:lang w:val="en-GB"/>
              </w:rPr>
              <w:t>, –52</w:t>
            </w:r>
            <w:r w:rsidR="00AA7CAD">
              <w:rPr>
                <w:spacing w:val="-4"/>
                <w:lang w:val="en-GB"/>
              </w:rPr>
              <w:t>.</w:t>
            </w:r>
            <w:r w:rsidR="00A02E8B" w:rsidRPr="008616E4">
              <w:rPr>
                <w:spacing w:val="-4"/>
                <w:lang w:val="en-GB"/>
              </w:rPr>
              <w:t>5%) a</w:t>
            </w:r>
            <w:r w:rsidR="00AA7CAD">
              <w:rPr>
                <w:spacing w:val="-4"/>
                <w:lang w:val="en-GB"/>
              </w:rPr>
              <w:t xml:space="preserve">nd Turkey </w:t>
            </w:r>
            <w:r w:rsidR="00A02E8B" w:rsidRPr="008616E4">
              <w:rPr>
                <w:spacing w:val="-4"/>
                <w:lang w:val="en-GB"/>
              </w:rPr>
              <w:t>(–2</w:t>
            </w:r>
            <w:r w:rsidR="00AA7CAD">
              <w:rPr>
                <w:spacing w:val="-4"/>
                <w:lang w:val="en-GB"/>
              </w:rPr>
              <w:t>.</w:t>
            </w:r>
            <w:r w:rsidR="00A02E8B" w:rsidRPr="008616E4">
              <w:rPr>
                <w:spacing w:val="-4"/>
                <w:lang w:val="en-GB"/>
              </w:rPr>
              <w:t>1 </w:t>
            </w:r>
            <w:r w:rsidR="00AA7CAD">
              <w:rPr>
                <w:spacing w:val="-4"/>
                <w:lang w:val="en-GB"/>
              </w:rPr>
              <w:t>bn</w:t>
            </w:r>
            <w:r w:rsidR="00A02E8B" w:rsidRPr="008616E4">
              <w:rPr>
                <w:spacing w:val="-4"/>
                <w:lang w:val="en-GB"/>
              </w:rPr>
              <w:t>, –4</w:t>
            </w:r>
            <w:r w:rsidR="00AA7CAD">
              <w:rPr>
                <w:spacing w:val="-4"/>
                <w:lang w:val="en-GB"/>
              </w:rPr>
              <w:t>.</w:t>
            </w:r>
            <w:r w:rsidR="00A02E8B" w:rsidRPr="008616E4">
              <w:rPr>
                <w:spacing w:val="-4"/>
                <w:lang w:val="en-GB"/>
              </w:rPr>
              <w:t>9%)</w:t>
            </w:r>
            <w:r w:rsidR="00AA7CAD">
              <w:rPr>
                <w:spacing w:val="-4"/>
                <w:lang w:val="en-GB"/>
              </w:rPr>
              <w:t xml:space="preserve"> fell the most last year</w:t>
            </w:r>
            <w:r w:rsidR="00A02E8B" w:rsidRPr="008616E4">
              <w:rPr>
                <w:spacing w:val="-4"/>
                <w:lang w:val="en-GB"/>
              </w:rPr>
              <w:t>.</w:t>
            </w:r>
          </w:p>
        </w:tc>
      </w:tr>
      <w:tr w:rsidR="00A02E8B" w:rsidRPr="009110F7" w14:paraId="06FBD171" w14:textId="77777777" w:rsidTr="008E039E">
        <w:trPr>
          <w:trHeight w:val="145"/>
        </w:trPr>
        <w:tc>
          <w:tcPr>
            <w:tcW w:w="1760" w:type="dxa"/>
            <w:shd w:val="clear" w:color="auto" w:fill="auto"/>
            <w:tcMar>
              <w:left w:w="0" w:type="dxa"/>
            </w:tcMar>
          </w:tcPr>
          <w:p w14:paraId="337BD45E" w14:textId="1AFEDD4F" w:rsidR="00A02E8B" w:rsidRPr="00C221B9" w:rsidRDefault="000F0C1C" w:rsidP="008E039E">
            <w:pPr>
              <w:pStyle w:val="Marginlie"/>
              <w:rPr>
                <w:lang w:val="en-GB"/>
              </w:rPr>
            </w:pPr>
            <w:r w:rsidRPr="00C221B9">
              <w:rPr>
                <w:lang w:val="en-GB"/>
              </w:rPr>
              <w:t>Export outside the EU was falling in Q</w:t>
            </w:r>
            <w:r w:rsidR="00A02E8B" w:rsidRPr="00C221B9">
              <w:rPr>
                <w:lang w:val="en-GB"/>
              </w:rPr>
              <w:t>4.</w:t>
            </w:r>
          </w:p>
        </w:tc>
        <w:tc>
          <w:tcPr>
            <w:tcW w:w="223" w:type="dxa"/>
            <w:shd w:val="clear" w:color="auto" w:fill="auto"/>
            <w:tcMar>
              <w:left w:w="0" w:type="dxa"/>
            </w:tcMar>
          </w:tcPr>
          <w:p w14:paraId="308EEBD2" w14:textId="77777777" w:rsidR="00A02E8B" w:rsidRPr="00C221B9" w:rsidRDefault="00A02E8B" w:rsidP="008E039E">
            <w:pPr>
              <w:pStyle w:val="Textpoznpodarou"/>
              <w:jc w:val="both"/>
              <w:rPr>
                <w:spacing w:val="-4"/>
                <w:lang w:val="en-GB"/>
              </w:rPr>
            </w:pPr>
          </w:p>
        </w:tc>
        <w:tc>
          <w:tcPr>
            <w:tcW w:w="7656" w:type="dxa"/>
            <w:shd w:val="clear" w:color="auto" w:fill="auto"/>
            <w:tcMar>
              <w:left w:w="0" w:type="dxa"/>
            </w:tcMar>
          </w:tcPr>
          <w:p w14:paraId="75F9B0AD" w14:textId="0376B122" w:rsidR="00A02E8B" w:rsidRPr="00C221B9" w:rsidRDefault="007E5CF0" w:rsidP="008E039E">
            <w:pPr>
              <w:spacing w:after="180"/>
              <w:rPr>
                <w:spacing w:val="-4"/>
                <w:lang w:val="en-GB"/>
              </w:rPr>
            </w:pPr>
            <w:r>
              <w:rPr>
                <w:spacing w:val="-4"/>
                <w:lang w:val="en-GB"/>
              </w:rPr>
              <w:t>In Q</w:t>
            </w:r>
            <w:r w:rsidR="00A02E8B" w:rsidRPr="00C221B9">
              <w:rPr>
                <w:spacing w:val="-4"/>
                <w:lang w:val="en-GB"/>
              </w:rPr>
              <w:t>4</w:t>
            </w:r>
            <w:r>
              <w:rPr>
                <w:spacing w:val="-4"/>
                <w:lang w:val="en-GB"/>
              </w:rPr>
              <w:t xml:space="preserve"> itself, the export into the EU grew year-on-year </w:t>
            </w:r>
            <w:r w:rsidR="00A02E8B" w:rsidRPr="00C221B9">
              <w:rPr>
                <w:spacing w:val="-4"/>
                <w:lang w:val="en-GB"/>
              </w:rPr>
              <w:t>(+30</w:t>
            </w:r>
            <w:r>
              <w:rPr>
                <w:spacing w:val="-4"/>
                <w:lang w:val="en-GB"/>
              </w:rPr>
              <w:t>.</w:t>
            </w:r>
            <w:r w:rsidR="00A02E8B" w:rsidRPr="00C221B9">
              <w:rPr>
                <w:spacing w:val="-4"/>
                <w:lang w:val="en-GB"/>
              </w:rPr>
              <w:t>0</w:t>
            </w:r>
            <w:r>
              <w:rPr>
                <w:spacing w:val="-4"/>
                <w:lang w:val="en-GB"/>
              </w:rPr>
              <w:t xml:space="preserve"> CZK bn</w:t>
            </w:r>
            <w:r w:rsidR="00A02E8B" w:rsidRPr="00C221B9">
              <w:rPr>
                <w:spacing w:val="-4"/>
                <w:lang w:val="en-GB"/>
              </w:rPr>
              <w:t>, 3</w:t>
            </w:r>
            <w:r>
              <w:rPr>
                <w:spacing w:val="-4"/>
                <w:lang w:val="en-GB"/>
              </w:rPr>
              <w:t>.</w:t>
            </w:r>
            <w:r w:rsidR="00A02E8B" w:rsidRPr="00C221B9">
              <w:rPr>
                <w:spacing w:val="-4"/>
                <w:lang w:val="en-GB"/>
              </w:rPr>
              <w:t xml:space="preserve">7%), </w:t>
            </w:r>
            <w:r>
              <w:rPr>
                <w:spacing w:val="-4"/>
                <w:lang w:val="en-GB"/>
              </w:rPr>
              <w:t xml:space="preserve">while the export outside the EU dropped for the second time in a row </w:t>
            </w:r>
            <w:r w:rsidR="00A02E8B" w:rsidRPr="00C221B9">
              <w:rPr>
                <w:spacing w:val="-4"/>
                <w:lang w:val="en-GB"/>
              </w:rPr>
              <w:t>(–2</w:t>
            </w:r>
            <w:r>
              <w:rPr>
                <w:spacing w:val="-4"/>
                <w:lang w:val="en-GB"/>
              </w:rPr>
              <w:t>.</w:t>
            </w:r>
            <w:r w:rsidR="00A02E8B" w:rsidRPr="00C221B9">
              <w:rPr>
                <w:spacing w:val="-4"/>
                <w:lang w:val="en-GB"/>
              </w:rPr>
              <w:t>8</w:t>
            </w:r>
            <w:r>
              <w:rPr>
                <w:spacing w:val="-4"/>
                <w:lang w:val="en-GB"/>
              </w:rPr>
              <w:t xml:space="preserve"> bn</w:t>
            </w:r>
            <w:r w:rsidR="00A02E8B" w:rsidRPr="00C221B9">
              <w:rPr>
                <w:spacing w:val="-4"/>
                <w:lang w:val="en-GB"/>
              </w:rPr>
              <w:t>, –1</w:t>
            </w:r>
            <w:r>
              <w:rPr>
                <w:spacing w:val="-4"/>
                <w:lang w:val="en-GB"/>
              </w:rPr>
              <w:t>.</w:t>
            </w:r>
            <w:r w:rsidR="00A02E8B" w:rsidRPr="00C221B9">
              <w:rPr>
                <w:spacing w:val="-4"/>
                <w:lang w:val="en-GB"/>
              </w:rPr>
              <w:t xml:space="preserve">4%). </w:t>
            </w:r>
            <w:r>
              <w:rPr>
                <w:spacing w:val="-4"/>
                <w:lang w:val="en-GB"/>
              </w:rPr>
              <w:t xml:space="preserve">Export to Slovakia </w:t>
            </w:r>
            <w:r w:rsidR="00A02E8B" w:rsidRPr="00C221B9">
              <w:rPr>
                <w:spacing w:val="-4"/>
                <w:lang w:val="en-GB"/>
              </w:rPr>
              <w:t>(+18</w:t>
            </w:r>
            <w:r>
              <w:rPr>
                <w:spacing w:val="-4"/>
                <w:lang w:val="en-GB"/>
              </w:rPr>
              <w:t>.</w:t>
            </w:r>
            <w:r w:rsidR="00A02E8B" w:rsidRPr="00C221B9">
              <w:rPr>
                <w:spacing w:val="-4"/>
                <w:lang w:val="en-GB"/>
              </w:rPr>
              <w:t>7</w:t>
            </w:r>
            <w:r>
              <w:rPr>
                <w:spacing w:val="-4"/>
                <w:lang w:val="en-GB"/>
              </w:rPr>
              <w:t xml:space="preserve"> CZK bn</w:t>
            </w:r>
            <w:r w:rsidR="00A02E8B" w:rsidRPr="00C221B9">
              <w:rPr>
                <w:spacing w:val="-4"/>
                <w:lang w:val="en-GB"/>
              </w:rPr>
              <w:t>, 20</w:t>
            </w:r>
            <w:r>
              <w:rPr>
                <w:spacing w:val="-4"/>
                <w:lang w:val="en-GB"/>
              </w:rPr>
              <w:t>.</w:t>
            </w:r>
            <w:r w:rsidR="00A02E8B" w:rsidRPr="00C221B9">
              <w:rPr>
                <w:spacing w:val="-4"/>
                <w:lang w:val="en-GB"/>
              </w:rPr>
              <w:t>0%),</w:t>
            </w:r>
            <w:r>
              <w:rPr>
                <w:spacing w:val="-4"/>
                <w:lang w:val="en-GB"/>
              </w:rPr>
              <w:t xml:space="preserve"> Austria </w:t>
            </w:r>
            <w:r w:rsidR="00A02E8B" w:rsidRPr="00C221B9">
              <w:rPr>
                <w:spacing w:val="-4"/>
                <w:lang w:val="en-GB"/>
              </w:rPr>
              <w:t>(+8</w:t>
            </w:r>
            <w:r>
              <w:rPr>
                <w:spacing w:val="-4"/>
                <w:lang w:val="en-GB"/>
              </w:rPr>
              <w:t>.</w:t>
            </w:r>
            <w:r w:rsidR="00A02E8B" w:rsidRPr="00C221B9">
              <w:rPr>
                <w:spacing w:val="-4"/>
                <w:lang w:val="en-GB"/>
              </w:rPr>
              <w:t>3</w:t>
            </w:r>
            <w:r>
              <w:rPr>
                <w:spacing w:val="-4"/>
                <w:lang w:val="en-GB"/>
              </w:rPr>
              <w:t xml:space="preserve"> bn</w:t>
            </w:r>
            <w:r w:rsidR="00A02E8B" w:rsidRPr="00C221B9">
              <w:rPr>
                <w:spacing w:val="-4"/>
                <w:lang w:val="en-GB"/>
              </w:rPr>
              <w:t>, 21</w:t>
            </w:r>
            <w:r>
              <w:rPr>
                <w:spacing w:val="-4"/>
                <w:lang w:val="en-GB"/>
              </w:rPr>
              <w:t>.</w:t>
            </w:r>
            <w:r w:rsidR="00A02E8B" w:rsidRPr="00C221B9">
              <w:rPr>
                <w:spacing w:val="-4"/>
                <w:lang w:val="en-GB"/>
              </w:rPr>
              <w:t>5%) a</w:t>
            </w:r>
            <w:r>
              <w:rPr>
                <w:spacing w:val="-4"/>
                <w:lang w:val="en-GB"/>
              </w:rPr>
              <w:t xml:space="preserve">nd Poland </w:t>
            </w:r>
            <w:r w:rsidR="00A02E8B" w:rsidRPr="00C221B9">
              <w:rPr>
                <w:spacing w:val="-4"/>
                <w:lang w:val="en-GB"/>
              </w:rPr>
              <w:t>(+7</w:t>
            </w:r>
            <w:r>
              <w:rPr>
                <w:spacing w:val="-4"/>
                <w:lang w:val="en-GB"/>
              </w:rPr>
              <w:t>.</w:t>
            </w:r>
            <w:r w:rsidR="00A02E8B" w:rsidRPr="00C221B9">
              <w:rPr>
                <w:spacing w:val="-4"/>
                <w:lang w:val="en-GB"/>
              </w:rPr>
              <w:t>7</w:t>
            </w:r>
            <w:r>
              <w:rPr>
                <w:spacing w:val="-4"/>
                <w:lang w:val="en-GB"/>
              </w:rPr>
              <w:t xml:space="preserve"> bn</w:t>
            </w:r>
            <w:r w:rsidR="00A02E8B" w:rsidRPr="00C221B9">
              <w:rPr>
                <w:spacing w:val="-4"/>
                <w:lang w:val="en-GB"/>
              </w:rPr>
              <w:t>, 11</w:t>
            </w:r>
            <w:r>
              <w:rPr>
                <w:spacing w:val="-4"/>
                <w:lang w:val="en-GB"/>
              </w:rPr>
              <w:t>.</w:t>
            </w:r>
            <w:r w:rsidR="00A02E8B" w:rsidRPr="00C221B9">
              <w:rPr>
                <w:spacing w:val="-4"/>
                <w:lang w:val="en-GB"/>
              </w:rPr>
              <w:t>7%)</w:t>
            </w:r>
            <w:r>
              <w:rPr>
                <w:spacing w:val="-4"/>
                <w:lang w:val="en-GB"/>
              </w:rPr>
              <w:t xml:space="preserve"> increased the most</w:t>
            </w:r>
            <w:r w:rsidR="00A02E8B" w:rsidRPr="00C221B9">
              <w:rPr>
                <w:spacing w:val="-4"/>
                <w:lang w:val="en-GB"/>
              </w:rPr>
              <w:t xml:space="preserve">. </w:t>
            </w:r>
            <w:r w:rsidR="00666479">
              <w:rPr>
                <w:spacing w:val="-4"/>
                <w:lang w:val="en-GB"/>
              </w:rPr>
              <w:t xml:space="preserve">Year-on-year increase of export to Germany </w:t>
            </w:r>
            <w:r w:rsidR="00A02E8B" w:rsidRPr="00C221B9">
              <w:rPr>
                <w:spacing w:val="-4"/>
                <w:lang w:val="en-GB"/>
              </w:rPr>
              <w:t>(+4</w:t>
            </w:r>
            <w:r w:rsidR="00666479">
              <w:rPr>
                <w:spacing w:val="-4"/>
                <w:lang w:val="en-GB"/>
              </w:rPr>
              <w:t>.</w:t>
            </w:r>
            <w:r w:rsidR="00A02E8B" w:rsidRPr="00C221B9">
              <w:rPr>
                <w:spacing w:val="-4"/>
                <w:lang w:val="en-GB"/>
              </w:rPr>
              <w:t>0</w:t>
            </w:r>
            <w:r w:rsidR="00666479">
              <w:rPr>
                <w:spacing w:val="-4"/>
                <w:lang w:val="en-GB"/>
              </w:rPr>
              <w:t xml:space="preserve"> CZK bn</w:t>
            </w:r>
            <w:r w:rsidR="00A02E8B" w:rsidRPr="00C221B9">
              <w:rPr>
                <w:spacing w:val="-4"/>
                <w:lang w:val="en-GB"/>
              </w:rPr>
              <w:t>, 1</w:t>
            </w:r>
            <w:r w:rsidR="00666479">
              <w:rPr>
                <w:spacing w:val="-4"/>
                <w:lang w:val="en-GB"/>
              </w:rPr>
              <w:t>.</w:t>
            </w:r>
            <w:r w:rsidR="00A02E8B" w:rsidRPr="00C221B9">
              <w:rPr>
                <w:spacing w:val="-4"/>
                <w:lang w:val="en-GB"/>
              </w:rPr>
              <w:t>3%)</w:t>
            </w:r>
            <w:r w:rsidR="00666479">
              <w:rPr>
                <w:spacing w:val="-4"/>
                <w:lang w:val="en-GB"/>
              </w:rPr>
              <w:t xml:space="preserve"> was relatively weak</w:t>
            </w:r>
            <w:r w:rsidR="00A02E8B" w:rsidRPr="00C221B9">
              <w:rPr>
                <w:spacing w:val="-4"/>
                <w:lang w:val="en-GB"/>
              </w:rPr>
              <w:t>.</w:t>
            </w:r>
            <w:r w:rsidR="00E20D05">
              <w:rPr>
                <w:spacing w:val="-4"/>
                <w:lang w:val="en-GB"/>
              </w:rPr>
              <w:t xml:space="preserve"> Growth of export to our nearest neighbours </w:t>
            </w:r>
            <w:r w:rsidR="00A02E8B" w:rsidRPr="00C221B9">
              <w:rPr>
                <w:spacing w:val="-4"/>
                <w:lang w:val="en-GB"/>
              </w:rPr>
              <w:t>(</w:t>
            </w:r>
            <w:r w:rsidR="00E20D05">
              <w:rPr>
                <w:spacing w:val="-4"/>
                <w:lang w:val="en-GB"/>
              </w:rPr>
              <w:t xml:space="preserve">mainly to Germany and Slovakia) </w:t>
            </w:r>
            <w:proofErr w:type="gramStart"/>
            <w:r w:rsidR="00E20D05">
              <w:rPr>
                <w:spacing w:val="-4"/>
                <w:lang w:val="en-GB"/>
              </w:rPr>
              <w:t>was significantly supported</w:t>
            </w:r>
            <w:proofErr w:type="gramEnd"/>
            <w:r w:rsidR="00E20D05">
              <w:rPr>
                <w:spacing w:val="-4"/>
                <w:lang w:val="en-GB"/>
              </w:rPr>
              <w:t xml:space="preserve"> by sharp increase of electricity prices. In Q</w:t>
            </w:r>
            <w:r w:rsidR="00A02E8B" w:rsidRPr="00C221B9">
              <w:rPr>
                <w:spacing w:val="-4"/>
                <w:lang w:val="en-GB"/>
              </w:rPr>
              <w:t>4</w:t>
            </w:r>
            <w:r w:rsidR="00E20D05">
              <w:rPr>
                <w:spacing w:val="-4"/>
                <w:lang w:val="en-GB"/>
              </w:rPr>
              <w:t xml:space="preserve">, the largest year-on-year decrease was recorded by export to France </w:t>
            </w:r>
            <w:r w:rsidR="00A02E8B" w:rsidRPr="00C221B9">
              <w:rPr>
                <w:spacing w:val="-4"/>
                <w:lang w:val="en-GB"/>
              </w:rPr>
              <w:t>(–7</w:t>
            </w:r>
            <w:r w:rsidR="00E20D05">
              <w:rPr>
                <w:spacing w:val="-4"/>
                <w:lang w:val="en-GB"/>
              </w:rPr>
              <w:t>.</w:t>
            </w:r>
            <w:r w:rsidR="00A02E8B" w:rsidRPr="00C221B9">
              <w:rPr>
                <w:spacing w:val="-4"/>
                <w:lang w:val="en-GB"/>
              </w:rPr>
              <w:t>2</w:t>
            </w:r>
            <w:r w:rsidR="00E20D05">
              <w:rPr>
                <w:spacing w:val="-4"/>
                <w:lang w:val="en-GB"/>
              </w:rPr>
              <w:t xml:space="preserve"> CZK bn</w:t>
            </w:r>
            <w:r w:rsidR="00A02E8B" w:rsidRPr="00C221B9">
              <w:rPr>
                <w:spacing w:val="-4"/>
                <w:lang w:val="en-GB"/>
              </w:rPr>
              <w:t>, –13</w:t>
            </w:r>
            <w:r w:rsidR="00E20D05">
              <w:rPr>
                <w:spacing w:val="-4"/>
                <w:lang w:val="en-GB"/>
              </w:rPr>
              <w:t>.</w:t>
            </w:r>
            <w:r w:rsidR="00A02E8B" w:rsidRPr="00C221B9">
              <w:rPr>
                <w:spacing w:val="-4"/>
                <w:lang w:val="en-GB"/>
              </w:rPr>
              <w:t>7%), Rus</w:t>
            </w:r>
            <w:r w:rsidR="00E20D05">
              <w:rPr>
                <w:spacing w:val="-4"/>
                <w:lang w:val="en-GB"/>
              </w:rPr>
              <w:t xml:space="preserve">sia </w:t>
            </w:r>
            <w:r w:rsidR="00A02E8B" w:rsidRPr="00C221B9">
              <w:rPr>
                <w:spacing w:val="-4"/>
                <w:lang w:val="en-GB"/>
              </w:rPr>
              <w:t>(–6</w:t>
            </w:r>
            <w:r w:rsidR="00E20D05">
              <w:rPr>
                <w:spacing w:val="-4"/>
                <w:lang w:val="en-GB"/>
              </w:rPr>
              <w:t>.</w:t>
            </w:r>
            <w:r w:rsidR="00A02E8B" w:rsidRPr="00C221B9">
              <w:rPr>
                <w:spacing w:val="-4"/>
                <w:lang w:val="en-GB"/>
              </w:rPr>
              <w:t>1</w:t>
            </w:r>
            <w:r w:rsidR="00E20D05">
              <w:rPr>
                <w:spacing w:val="-4"/>
                <w:lang w:val="en-GB"/>
              </w:rPr>
              <w:t xml:space="preserve"> bn</w:t>
            </w:r>
            <w:r w:rsidR="00A02E8B" w:rsidRPr="00C221B9">
              <w:rPr>
                <w:spacing w:val="-4"/>
                <w:lang w:val="en-GB"/>
              </w:rPr>
              <w:t>, –25</w:t>
            </w:r>
            <w:r w:rsidR="00E20D05">
              <w:rPr>
                <w:spacing w:val="-4"/>
                <w:lang w:val="en-GB"/>
              </w:rPr>
              <w:t>.</w:t>
            </w:r>
            <w:r w:rsidR="00A02E8B" w:rsidRPr="00C221B9">
              <w:rPr>
                <w:spacing w:val="-4"/>
                <w:lang w:val="en-GB"/>
              </w:rPr>
              <w:t>9%) a</w:t>
            </w:r>
            <w:r w:rsidR="00E20D05">
              <w:rPr>
                <w:spacing w:val="-4"/>
                <w:lang w:val="en-GB"/>
              </w:rPr>
              <w:t xml:space="preserve">nd Spain </w:t>
            </w:r>
            <w:r w:rsidR="00A02E8B" w:rsidRPr="00C221B9">
              <w:rPr>
                <w:spacing w:val="-4"/>
                <w:lang w:val="en-GB"/>
              </w:rPr>
              <w:t>(–4</w:t>
            </w:r>
            <w:r w:rsidR="00E20D05">
              <w:rPr>
                <w:spacing w:val="-4"/>
                <w:lang w:val="en-GB"/>
              </w:rPr>
              <w:t>.</w:t>
            </w:r>
            <w:r w:rsidR="00A02E8B" w:rsidRPr="00C221B9">
              <w:rPr>
                <w:spacing w:val="-4"/>
                <w:lang w:val="en-GB"/>
              </w:rPr>
              <w:t>3</w:t>
            </w:r>
            <w:r w:rsidR="00E20D05">
              <w:rPr>
                <w:spacing w:val="-4"/>
                <w:lang w:val="en-GB"/>
              </w:rPr>
              <w:t xml:space="preserve"> bn</w:t>
            </w:r>
            <w:r w:rsidR="00A02E8B" w:rsidRPr="00C221B9">
              <w:rPr>
                <w:spacing w:val="-4"/>
                <w:lang w:val="en-GB"/>
              </w:rPr>
              <w:t>, –15</w:t>
            </w:r>
            <w:r w:rsidR="00E20D05">
              <w:rPr>
                <w:spacing w:val="-4"/>
                <w:lang w:val="en-GB"/>
              </w:rPr>
              <w:t>.</w:t>
            </w:r>
            <w:r w:rsidR="00A02E8B" w:rsidRPr="00C221B9">
              <w:rPr>
                <w:spacing w:val="-4"/>
                <w:lang w:val="en-GB"/>
              </w:rPr>
              <w:t>4%).</w:t>
            </w:r>
          </w:p>
        </w:tc>
      </w:tr>
      <w:tr w:rsidR="00A02E8B" w:rsidRPr="009110F7" w14:paraId="06A19B1F" w14:textId="77777777" w:rsidTr="008E039E">
        <w:trPr>
          <w:trHeight w:val="170"/>
        </w:trPr>
        <w:tc>
          <w:tcPr>
            <w:tcW w:w="1760" w:type="dxa"/>
            <w:shd w:val="clear" w:color="auto" w:fill="auto"/>
            <w:tcMar>
              <w:left w:w="0" w:type="dxa"/>
            </w:tcMar>
          </w:tcPr>
          <w:p w14:paraId="059E8172" w14:textId="1E4D9823" w:rsidR="00A02E8B" w:rsidRPr="00C221B9" w:rsidRDefault="005E3515" w:rsidP="008E039E">
            <w:pPr>
              <w:pStyle w:val="Marginlie"/>
              <w:rPr>
                <w:lang w:val="en-GB"/>
              </w:rPr>
            </w:pPr>
            <w:r>
              <w:rPr>
                <w:lang w:val="en-GB"/>
              </w:rPr>
              <w:t xml:space="preserve">Export of </w:t>
            </w:r>
            <w:r w:rsidR="00CF7514">
              <w:rPr>
                <w:lang w:val="en-GB"/>
              </w:rPr>
              <w:t xml:space="preserve">absolute majority of types of goods grew last year. </w:t>
            </w:r>
          </w:p>
        </w:tc>
        <w:tc>
          <w:tcPr>
            <w:tcW w:w="223" w:type="dxa"/>
            <w:shd w:val="clear" w:color="auto" w:fill="auto"/>
            <w:tcMar>
              <w:left w:w="0" w:type="dxa"/>
            </w:tcMar>
          </w:tcPr>
          <w:p w14:paraId="2CD89808" w14:textId="77777777" w:rsidR="00A02E8B" w:rsidRPr="00C221B9" w:rsidRDefault="00A02E8B" w:rsidP="008E039E">
            <w:pPr>
              <w:pStyle w:val="Textpoznpodarou"/>
              <w:jc w:val="both"/>
              <w:rPr>
                <w:spacing w:val="-4"/>
                <w:lang w:val="en-GB"/>
              </w:rPr>
            </w:pPr>
          </w:p>
        </w:tc>
        <w:tc>
          <w:tcPr>
            <w:tcW w:w="7656" w:type="dxa"/>
            <w:shd w:val="clear" w:color="auto" w:fill="auto"/>
            <w:tcMar>
              <w:left w:w="0" w:type="dxa"/>
            </w:tcMar>
          </w:tcPr>
          <w:p w14:paraId="0C4D256E" w14:textId="0DEF9BE6" w:rsidR="00A02E8B" w:rsidRPr="00C221B9" w:rsidRDefault="00CF7514" w:rsidP="008E039E">
            <w:pPr>
              <w:spacing w:after="180"/>
              <w:rPr>
                <w:spacing w:val="-4"/>
                <w:lang w:val="en-GB"/>
              </w:rPr>
            </w:pPr>
            <w:r>
              <w:rPr>
                <w:spacing w:val="-4"/>
                <w:lang w:val="en-GB"/>
              </w:rPr>
              <w:t>Electrical appliances contributed the most to the total increase of export of goods in 20</w:t>
            </w:r>
            <w:r w:rsidR="00A02E8B" w:rsidRPr="00C221B9">
              <w:rPr>
                <w:spacing w:val="-4"/>
                <w:lang w:val="en-GB"/>
              </w:rPr>
              <w:t>21</w:t>
            </w:r>
            <w:r>
              <w:rPr>
                <w:spacing w:val="-4"/>
                <w:lang w:val="en-GB"/>
              </w:rPr>
              <w:t xml:space="preserve"> </w:t>
            </w:r>
            <w:r w:rsidR="00A02E8B" w:rsidRPr="00C221B9">
              <w:rPr>
                <w:spacing w:val="-4"/>
                <w:lang w:val="en-GB"/>
              </w:rPr>
              <w:t>(+51</w:t>
            </w:r>
            <w:r>
              <w:rPr>
                <w:spacing w:val="-4"/>
                <w:lang w:val="en-GB"/>
              </w:rPr>
              <w:t>.</w:t>
            </w:r>
            <w:r w:rsidR="00A02E8B" w:rsidRPr="00C221B9">
              <w:rPr>
                <w:spacing w:val="-4"/>
                <w:lang w:val="en-GB"/>
              </w:rPr>
              <w:t>1</w:t>
            </w:r>
            <w:r>
              <w:rPr>
                <w:spacing w:val="-4"/>
                <w:lang w:val="en-GB"/>
              </w:rPr>
              <w:t xml:space="preserve"> CZK bn</w:t>
            </w:r>
            <w:r w:rsidR="00A02E8B" w:rsidRPr="00C221B9">
              <w:rPr>
                <w:spacing w:val="-4"/>
                <w:lang w:val="en-GB"/>
              </w:rPr>
              <w:t>, 17</w:t>
            </w:r>
            <w:r>
              <w:rPr>
                <w:spacing w:val="-4"/>
                <w:lang w:val="en-GB"/>
              </w:rPr>
              <w:t>.</w:t>
            </w:r>
            <w:r w:rsidR="00A02E8B" w:rsidRPr="00C221B9">
              <w:rPr>
                <w:spacing w:val="-4"/>
                <w:lang w:val="en-GB"/>
              </w:rPr>
              <w:t xml:space="preserve">0%), </w:t>
            </w:r>
            <w:r>
              <w:rPr>
                <w:spacing w:val="-4"/>
                <w:lang w:val="en-GB"/>
              </w:rPr>
              <w:t xml:space="preserve">followed by chemical substances and products </w:t>
            </w:r>
            <w:r w:rsidR="00A02E8B" w:rsidRPr="00C221B9">
              <w:rPr>
                <w:spacing w:val="-4"/>
                <w:lang w:val="en-GB"/>
              </w:rPr>
              <w:t>(+48</w:t>
            </w:r>
            <w:r>
              <w:rPr>
                <w:spacing w:val="-4"/>
                <w:lang w:val="en-GB"/>
              </w:rPr>
              <w:t>.</w:t>
            </w:r>
            <w:r w:rsidR="00A02E8B" w:rsidRPr="00C221B9">
              <w:rPr>
                <w:spacing w:val="-4"/>
                <w:lang w:val="en-GB"/>
              </w:rPr>
              <w:t>4</w:t>
            </w:r>
            <w:r>
              <w:rPr>
                <w:spacing w:val="-4"/>
                <w:lang w:val="en-GB"/>
              </w:rPr>
              <w:t xml:space="preserve"> bn</w:t>
            </w:r>
            <w:r w:rsidR="00A02E8B" w:rsidRPr="00C221B9">
              <w:rPr>
                <w:spacing w:val="-4"/>
                <w:lang w:val="en-GB"/>
              </w:rPr>
              <w:t>, 29</w:t>
            </w:r>
            <w:r>
              <w:rPr>
                <w:spacing w:val="-4"/>
                <w:lang w:val="en-GB"/>
              </w:rPr>
              <w:t>.</w:t>
            </w:r>
            <w:r w:rsidR="00A02E8B" w:rsidRPr="00C221B9">
              <w:rPr>
                <w:spacing w:val="-4"/>
                <w:lang w:val="en-GB"/>
              </w:rPr>
              <w:t>5%),</w:t>
            </w:r>
            <w:r>
              <w:rPr>
                <w:spacing w:val="-4"/>
                <w:lang w:val="en-GB"/>
              </w:rPr>
              <w:t xml:space="preserve"> motor vehicles </w:t>
            </w:r>
            <w:r w:rsidR="00A02E8B" w:rsidRPr="00C221B9">
              <w:rPr>
                <w:spacing w:val="-4"/>
                <w:lang w:val="en-GB"/>
              </w:rPr>
              <w:t>(+47</w:t>
            </w:r>
            <w:r>
              <w:rPr>
                <w:spacing w:val="-4"/>
                <w:lang w:val="en-GB"/>
              </w:rPr>
              <w:t>.</w:t>
            </w:r>
            <w:r w:rsidR="00A02E8B" w:rsidRPr="00C221B9">
              <w:rPr>
                <w:spacing w:val="-4"/>
                <w:lang w:val="en-GB"/>
              </w:rPr>
              <w:t>4</w:t>
            </w:r>
            <w:r>
              <w:rPr>
                <w:spacing w:val="-4"/>
                <w:lang w:val="en-GB"/>
              </w:rPr>
              <w:t xml:space="preserve"> bn</w:t>
            </w:r>
            <w:r w:rsidR="00A02E8B" w:rsidRPr="00C221B9">
              <w:rPr>
                <w:spacing w:val="-4"/>
                <w:lang w:val="en-GB"/>
              </w:rPr>
              <w:t>, 5</w:t>
            </w:r>
            <w:r>
              <w:rPr>
                <w:spacing w:val="-4"/>
                <w:lang w:val="en-GB"/>
              </w:rPr>
              <w:t>.</w:t>
            </w:r>
            <w:r w:rsidR="00A02E8B" w:rsidRPr="00C221B9">
              <w:rPr>
                <w:spacing w:val="-4"/>
                <w:lang w:val="en-GB"/>
              </w:rPr>
              <w:t>2%)</w:t>
            </w:r>
            <w:r>
              <w:rPr>
                <w:spacing w:val="-4"/>
                <w:lang w:val="en-GB"/>
              </w:rPr>
              <w:t xml:space="preserve"> and basic metals </w:t>
            </w:r>
            <w:r w:rsidR="00A02E8B" w:rsidRPr="00C221B9">
              <w:rPr>
                <w:spacing w:val="-4"/>
                <w:lang w:val="en-GB"/>
              </w:rPr>
              <w:t>(+46</w:t>
            </w:r>
            <w:r>
              <w:rPr>
                <w:spacing w:val="-4"/>
                <w:lang w:val="en-GB"/>
              </w:rPr>
              <w:t>.</w:t>
            </w:r>
            <w:r w:rsidR="00A02E8B" w:rsidRPr="00C221B9">
              <w:rPr>
                <w:spacing w:val="-4"/>
                <w:lang w:val="en-GB"/>
              </w:rPr>
              <w:t>7</w:t>
            </w:r>
            <w:r>
              <w:rPr>
                <w:spacing w:val="-4"/>
                <w:lang w:val="en-GB"/>
              </w:rPr>
              <w:t xml:space="preserve"> bn</w:t>
            </w:r>
            <w:r w:rsidR="00A02E8B" w:rsidRPr="00C221B9">
              <w:rPr>
                <w:spacing w:val="-4"/>
                <w:lang w:val="en-GB"/>
              </w:rPr>
              <w:t>, 37</w:t>
            </w:r>
            <w:r>
              <w:rPr>
                <w:spacing w:val="-4"/>
                <w:lang w:val="en-GB"/>
              </w:rPr>
              <w:t>.</w:t>
            </w:r>
            <w:r w:rsidR="00A02E8B" w:rsidRPr="00C221B9">
              <w:rPr>
                <w:spacing w:val="-4"/>
                <w:lang w:val="en-GB"/>
              </w:rPr>
              <w:t xml:space="preserve">3%). </w:t>
            </w:r>
            <w:r w:rsidR="00A41C73">
              <w:rPr>
                <w:spacing w:val="-4"/>
                <w:lang w:val="en-GB"/>
              </w:rPr>
              <w:t xml:space="preserve">Higher prices strongly assisted </w:t>
            </w:r>
            <w:r w:rsidR="008E1491">
              <w:rPr>
                <w:spacing w:val="-4"/>
                <w:lang w:val="en-GB"/>
              </w:rPr>
              <w:t xml:space="preserve">the growth of chemical products and metals. It was also behind the record increase of export of electricity, gas, steam and air conditioning supply </w:t>
            </w:r>
            <w:r w:rsidR="00A02E8B" w:rsidRPr="00C221B9">
              <w:rPr>
                <w:spacing w:val="-4"/>
                <w:lang w:val="en-GB"/>
              </w:rPr>
              <w:t>(+39</w:t>
            </w:r>
            <w:r w:rsidR="008E1491">
              <w:rPr>
                <w:spacing w:val="-4"/>
                <w:lang w:val="en-GB"/>
              </w:rPr>
              <w:t>.</w:t>
            </w:r>
            <w:r w:rsidR="00A02E8B" w:rsidRPr="00C221B9">
              <w:rPr>
                <w:spacing w:val="-4"/>
                <w:lang w:val="en-GB"/>
              </w:rPr>
              <w:t>7</w:t>
            </w:r>
            <w:r w:rsidR="008E1491">
              <w:rPr>
                <w:spacing w:val="-4"/>
                <w:lang w:val="en-GB"/>
              </w:rPr>
              <w:t xml:space="preserve"> CZK bn</w:t>
            </w:r>
            <w:r w:rsidR="00A02E8B" w:rsidRPr="00C221B9">
              <w:rPr>
                <w:spacing w:val="-4"/>
                <w:lang w:val="en-GB"/>
              </w:rPr>
              <w:t>, 191</w:t>
            </w:r>
            <w:r w:rsidR="008E1491">
              <w:rPr>
                <w:spacing w:val="-4"/>
                <w:lang w:val="en-GB"/>
              </w:rPr>
              <w:t>.</w:t>
            </w:r>
            <w:r w:rsidR="00A02E8B" w:rsidRPr="00C221B9">
              <w:rPr>
                <w:spacing w:val="-4"/>
                <w:lang w:val="en-GB"/>
              </w:rPr>
              <w:t xml:space="preserve">6%). </w:t>
            </w:r>
            <w:r w:rsidR="008E1491">
              <w:rPr>
                <w:spacing w:val="-4"/>
                <w:lang w:val="en-GB"/>
              </w:rPr>
              <w:t xml:space="preserve">Export of machinery and equipment </w:t>
            </w:r>
            <w:r w:rsidR="00A02E8B" w:rsidRPr="00C221B9">
              <w:rPr>
                <w:spacing w:val="-4"/>
                <w:lang w:val="en-GB"/>
              </w:rPr>
              <w:t>(+39</w:t>
            </w:r>
            <w:r w:rsidR="008E1491">
              <w:rPr>
                <w:spacing w:val="-4"/>
                <w:lang w:val="en-GB"/>
              </w:rPr>
              <w:t>.</w:t>
            </w:r>
            <w:r w:rsidR="00A02E8B" w:rsidRPr="00C221B9">
              <w:rPr>
                <w:spacing w:val="-4"/>
                <w:lang w:val="en-GB"/>
              </w:rPr>
              <w:t>3</w:t>
            </w:r>
            <w:r w:rsidR="008E1491">
              <w:rPr>
                <w:spacing w:val="-4"/>
                <w:lang w:val="en-GB"/>
              </w:rPr>
              <w:t xml:space="preserve"> CZK bn</w:t>
            </w:r>
            <w:r w:rsidR="00A02E8B" w:rsidRPr="00C221B9">
              <w:rPr>
                <w:spacing w:val="-4"/>
                <w:lang w:val="en-GB"/>
              </w:rPr>
              <w:t>, 10</w:t>
            </w:r>
            <w:r w:rsidR="008E1491">
              <w:rPr>
                <w:spacing w:val="-4"/>
                <w:lang w:val="en-GB"/>
              </w:rPr>
              <w:t>.</w:t>
            </w:r>
            <w:r w:rsidR="00A02E8B" w:rsidRPr="00C221B9">
              <w:rPr>
                <w:spacing w:val="-4"/>
                <w:lang w:val="en-GB"/>
              </w:rPr>
              <w:t>3%),</w:t>
            </w:r>
            <w:r w:rsidR="008E1491">
              <w:rPr>
                <w:spacing w:val="-4"/>
                <w:lang w:val="en-GB"/>
              </w:rPr>
              <w:t xml:space="preserve"> metal products </w:t>
            </w:r>
            <w:r w:rsidR="00A02E8B" w:rsidRPr="00C221B9">
              <w:rPr>
                <w:spacing w:val="-4"/>
                <w:lang w:val="en-GB"/>
              </w:rPr>
              <w:t>(+31</w:t>
            </w:r>
            <w:r w:rsidR="008E1491">
              <w:rPr>
                <w:spacing w:val="-4"/>
                <w:lang w:val="en-GB"/>
              </w:rPr>
              <w:t>.</w:t>
            </w:r>
            <w:r w:rsidR="00A02E8B" w:rsidRPr="00C221B9">
              <w:rPr>
                <w:spacing w:val="-4"/>
                <w:lang w:val="en-GB"/>
              </w:rPr>
              <w:t>6</w:t>
            </w:r>
            <w:r w:rsidR="008E1491">
              <w:rPr>
                <w:spacing w:val="-4"/>
                <w:lang w:val="en-GB"/>
              </w:rPr>
              <w:t xml:space="preserve"> bn</w:t>
            </w:r>
            <w:r w:rsidR="00A02E8B" w:rsidRPr="00C221B9">
              <w:rPr>
                <w:spacing w:val="-4"/>
                <w:lang w:val="en-GB"/>
              </w:rPr>
              <w:t>, 14</w:t>
            </w:r>
            <w:r w:rsidR="008E1491">
              <w:rPr>
                <w:spacing w:val="-4"/>
                <w:lang w:val="en-GB"/>
              </w:rPr>
              <w:t>.</w:t>
            </w:r>
            <w:r w:rsidR="00A02E8B" w:rsidRPr="00C221B9">
              <w:rPr>
                <w:spacing w:val="-4"/>
                <w:lang w:val="en-GB"/>
              </w:rPr>
              <w:t>6%) a</w:t>
            </w:r>
            <w:r w:rsidR="008E1491">
              <w:rPr>
                <w:spacing w:val="-4"/>
                <w:lang w:val="en-GB"/>
              </w:rPr>
              <w:t xml:space="preserve">nd rubber and plastic products </w:t>
            </w:r>
            <w:r w:rsidR="00A02E8B" w:rsidRPr="00C221B9">
              <w:rPr>
                <w:spacing w:val="-4"/>
                <w:lang w:val="en-GB"/>
              </w:rPr>
              <w:t>(+24</w:t>
            </w:r>
            <w:r w:rsidR="008E1491">
              <w:rPr>
                <w:spacing w:val="-4"/>
                <w:lang w:val="en-GB"/>
              </w:rPr>
              <w:t>.</w:t>
            </w:r>
            <w:r w:rsidR="00A02E8B" w:rsidRPr="00C221B9">
              <w:rPr>
                <w:spacing w:val="-4"/>
                <w:lang w:val="en-GB"/>
              </w:rPr>
              <w:t>3</w:t>
            </w:r>
            <w:r w:rsidR="008E1491">
              <w:rPr>
                <w:spacing w:val="-4"/>
                <w:lang w:val="en-GB"/>
              </w:rPr>
              <w:t xml:space="preserve"> bn</w:t>
            </w:r>
            <w:r w:rsidR="00A02E8B" w:rsidRPr="00C221B9">
              <w:rPr>
                <w:spacing w:val="-4"/>
                <w:lang w:val="en-GB"/>
              </w:rPr>
              <w:t>, 13</w:t>
            </w:r>
            <w:r w:rsidR="008E1491">
              <w:rPr>
                <w:spacing w:val="-4"/>
                <w:lang w:val="en-GB"/>
              </w:rPr>
              <w:t>.</w:t>
            </w:r>
            <w:r w:rsidR="00A02E8B" w:rsidRPr="00C221B9">
              <w:rPr>
                <w:spacing w:val="-4"/>
                <w:lang w:val="en-GB"/>
              </w:rPr>
              <w:t>3%)</w:t>
            </w:r>
            <w:r w:rsidR="008E1491">
              <w:rPr>
                <w:spacing w:val="-4"/>
                <w:lang w:val="en-GB"/>
              </w:rPr>
              <w:t xml:space="preserve"> recovered after the slump in 2020 and grew significantly. </w:t>
            </w:r>
            <w:r w:rsidR="009D6D47">
              <w:rPr>
                <w:spacing w:val="-4"/>
                <w:lang w:val="en-GB"/>
              </w:rPr>
              <w:t xml:space="preserve">Products associated with waste </w:t>
            </w:r>
            <w:r w:rsidR="00A02E8B" w:rsidRPr="00C221B9">
              <w:rPr>
                <w:spacing w:val="-4"/>
                <w:lang w:val="en-GB"/>
              </w:rPr>
              <w:t>(+18</w:t>
            </w:r>
            <w:r w:rsidR="009D6D47">
              <w:rPr>
                <w:spacing w:val="-4"/>
                <w:lang w:val="en-GB"/>
              </w:rPr>
              <w:t>.</w:t>
            </w:r>
            <w:r w:rsidR="00A02E8B" w:rsidRPr="00C221B9">
              <w:rPr>
                <w:spacing w:val="-4"/>
                <w:lang w:val="en-GB"/>
              </w:rPr>
              <w:t>5</w:t>
            </w:r>
            <w:r w:rsidR="009D6D47">
              <w:rPr>
                <w:spacing w:val="-4"/>
                <w:lang w:val="en-GB"/>
              </w:rPr>
              <w:t xml:space="preserve"> CZK bn</w:t>
            </w:r>
            <w:r w:rsidR="00A02E8B" w:rsidRPr="00C221B9">
              <w:rPr>
                <w:spacing w:val="-4"/>
                <w:lang w:val="en-GB"/>
              </w:rPr>
              <w:t>, 66</w:t>
            </w:r>
            <w:r w:rsidR="009D6D47">
              <w:rPr>
                <w:spacing w:val="-4"/>
                <w:lang w:val="en-GB"/>
              </w:rPr>
              <w:t>.</w:t>
            </w:r>
            <w:r w:rsidR="00A02E8B" w:rsidRPr="00C221B9">
              <w:rPr>
                <w:spacing w:val="-4"/>
                <w:lang w:val="en-GB"/>
              </w:rPr>
              <w:t>2%)</w:t>
            </w:r>
            <w:r w:rsidR="00A02E8B" w:rsidRPr="00C221B9">
              <w:rPr>
                <w:rStyle w:val="Znakapoznpodarou"/>
                <w:spacing w:val="-4"/>
                <w:lang w:val="en-GB"/>
              </w:rPr>
              <w:footnoteReference w:id="47"/>
            </w:r>
            <w:r w:rsidR="00A02E8B" w:rsidRPr="00C221B9">
              <w:rPr>
                <w:spacing w:val="-4"/>
                <w:lang w:val="en-GB"/>
              </w:rPr>
              <w:t>,</w:t>
            </w:r>
            <w:r w:rsidR="009D6D47">
              <w:rPr>
                <w:spacing w:val="-4"/>
                <w:lang w:val="en-GB"/>
              </w:rPr>
              <w:t xml:space="preserve"> coke and refined oil products </w:t>
            </w:r>
            <w:r w:rsidR="00A02E8B" w:rsidRPr="00C221B9">
              <w:rPr>
                <w:spacing w:val="-4"/>
                <w:lang w:val="en-GB"/>
              </w:rPr>
              <w:t>(+17</w:t>
            </w:r>
            <w:r w:rsidR="009D6D47">
              <w:rPr>
                <w:spacing w:val="-4"/>
                <w:lang w:val="en-GB"/>
              </w:rPr>
              <w:t>.</w:t>
            </w:r>
            <w:r w:rsidR="00A02E8B" w:rsidRPr="00C221B9">
              <w:rPr>
                <w:spacing w:val="-4"/>
                <w:lang w:val="en-GB"/>
              </w:rPr>
              <w:t>3</w:t>
            </w:r>
            <w:r w:rsidR="009D6D47">
              <w:rPr>
                <w:spacing w:val="-4"/>
                <w:lang w:val="en-GB"/>
              </w:rPr>
              <w:t xml:space="preserve"> bn</w:t>
            </w:r>
            <w:r w:rsidR="00A02E8B" w:rsidRPr="00C221B9">
              <w:rPr>
                <w:spacing w:val="-4"/>
                <w:lang w:val="en-GB"/>
              </w:rPr>
              <w:t>, 67</w:t>
            </w:r>
            <w:r w:rsidR="009D6D47">
              <w:rPr>
                <w:spacing w:val="-4"/>
                <w:lang w:val="en-GB"/>
              </w:rPr>
              <w:t>.</w:t>
            </w:r>
            <w:r w:rsidR="00A02E8B" w:rsidRPr="00C221B9">
              <w:rPr>
                <w:spacing w:val="-4"/>
                <w:lang w:val="en-GB"/>
              </w:rPr>
              <w:t>7%) a</w:t>
            </w:r>
            <w:r w:rsidR="009D6D47">
              <w:rPr>
                <w:spacing w:val="-4"/>
                <w:lang w:val="en-GB"/>
              </w:rPr>
              <w:t xml:space="preserve">nd wood and wood products </w:t>
            </w:r>
            <w:r w:rsidR="00A02E8B" w:rsidRPr="00C221B9">
              <w:rPr>
                <w:spacing w:val="-4"/>
                <w:lang w:val="en-GB"/>
              </w:rPr>
              <w:t>(+15</w:t>
            </w:r>
            <w:r w:rsidR="009D6D47">
              <w:rPr>
                <w:spacing w:val="-4"/>
                <w:lang w:val="en-GB"/>
              </w:rPr>
              <w:t>.</w:t>
            </w:r>
            <w:r w:rsidR="00A02E8B" w:rsidRPr="00C221B9">
              <w:rPr>
                <w:spacing w:val="-4"/>
                <w:lang w:val="en-GB"/>
              </w:rPr>
              <w:t>8</w:t>
            </w:r>
            <w:r w:rsidR="009D6D47">
              <w:rPr>
                <w:spacing w:val="-4"/>
                <w:lang w:val="en-GB"/>
              </w:rPr>
              <w:t xml:space="preserve"> bn</w:t>
            </w:r>
            <w:r w:rsidR="00A02E8B" w:rsidRPr="00C221B9">
              <w:rPr>
                <w:spacing w:val="-4"/>
                <w:lang w:val="en-GB"/>
              </w:rPr>
              <w:t>, 38</w:t>
            </w:r>
            <w:r w:rsidR="009D6D47">
              <w:rPr>
                <w:spacing w:val="-4"/>
                <w:lang w:val="en-GB"/>
              </w:rPr>
              <w:t>.</w:t>
            </w:r>
            <w:r w:rsidR="00A02E8B" w:rsidRPr="00C221B9">
              <w:rPr>
                <w:spacing w:val="-4"/>
                <w:lang w:val="en-GB"/>
              </w:rPr>
              <w:t>3%)</w:t>
            </w:r>
            <w:r w:rsidR="009D6D47">
              <w:rPr>
                <w:spacing w:val="-4"/>
                <w:lang w:val="en-GB"/>
              </w:rPr>
              <w:t xml:space="preserve"> recorded exceptionally strong export increase last year. </w:t>
            </w:r>
            <w:r w:rsidR="005C6558">
              <w:rPr>
                <w:spacing w:val="-4"/>
                <w:lang w:val="en-GB"/>
              </w:rPr>
              <w:t xml:space="preserve">Export of food products </w:t>
            </w:r>
            <w:r w:rsidR="00A02E8B" w:rsidRPr="00C221B9">
              <w:rPr>
                <w:spacing w:val="-4"/>
                <w:lang w:val="en-GB"/>
              </w:rPr>
              <w:t>(+9</w:t>
            </w:r>
            <w:r w:rsidR="005C6558">
              <w:rPr>
                <w:spacing w:val="-4"/>
                <w:lang w:val="en-GB"/>
              </w:rPr>
              <w:t>.</w:t>
            </w:r>
            <w:r w:rsidR="00A02E8B" w:rsidRPr="00C221B9">
              <w:rPr>
                <w:spacing w:val="-4"/>
                <w:lang w:val="en-GB"/>
              </w:rPr>
              <w:t>7</w:t>
            </w:r>
            <w:r w:rsidR="005C6558">
              <w:rPr>
                <w:spacing w:val="-4"/>
                <w:lang w:val="en-GB"/>
              </w:rPr>
              <w:t xml:space="preserve"> bn</w:t>
            </w:r>
            <w:r w:rsidR="00A02E8B" w:rsidRPr="00C221B9">
              <w:rPr>
                <w:spacing w:val="-4"/>
                <w:lang w:val="en-GB"/>
              </w:rPr>
              <w:t>, 8</w:t>
            </w:r>
            <w:r w:rsidR="005C6558">
              <w:rPr>
                <w:spacing w:val="-4"/>
                <w:lang w:val="en-GB"/>
              </w:rPr>
              <w:t>.</w:t>
            </w:r>
            <w:r w:rsidR="00A02E8B" w:rsidRPr="00C221B9">
              <w:rPr>
                <w:spacing w:val="-4"/>
                <w:lang w:val="en-GB"/>
              </w:rPr>
              <w:t xml:space="preserve">1%), </w:t>
            </w:r>
            <w:r w:rsidR="005C6558">
              <w:rPr>
                <w:spacing w:val="-4"/>
                <w:lang w:val="en-GB"/>
              </w:rPr>
              <w:t xml:space="preserve">computer, electronic and optical appliances </w:t>
            </w:r>
            <w:r w:rsidR="00A02E8B" w:rsidRPr="00C221B9">
              <w:rPr>
                <w:spacing w:val="-4"/>
                <w:lang w:val="en-GB"/>
              </w:rPr>
              <w:t>(+8</w:t>
            </w:r>
            <w:r w:rsidR="005C6558">
              <w:rPr>
                <w:spacing w:val="-4"/>
                <w:lang w:val="en-GB"/>
              </w:rPr>
              <w:t>.</w:t>
            </w:r>
            <w:r w:rsidR="00A02E8B" w:rsidRPr="00C221B9">
              <w:rPr>
                <w:spacing w:val="-4"/>
                <w:lang w:val="en-GB"/>
              </w:rPr>
              <w:t>7</w:t>
            </w:r>
            <w:r w:rsidR="005C6558">
              <w:rPr>
                <w:spacing w:val="-4"/>
                <w:lang w:val="en-GB"/>
              </w:rPr>
              <w:t xml:space="preserve"> CZK bn</w:t>
            </w:r>
            <w:r w:rsidR="00A02E8B" w:rsidRPr="00C221B9">
              <w:rPr>
                <w:spacing w:val="-4"/>
                <w:lang w:val="en-GB"/>
              </w:rPr>
              <w:t>, 2</w:t>
            </w:r>
            <w:r w:rsidR="005C6558">
              <w:rPr>
                <w:spacing w:val="-4"/>
                <w:lang w:val="en-GB"/>
              </w:rPr>
              <w:t>.</w:t>
            </w:r>
            <w:r w:rsidR="00A02E8B" w:rsidRPr="00C221B9">
              <w:rPr>
                <w:spacing w:val="-4"/>
                <w:lang w:val="en-GB"/>
              </w:rPr>
              <w:t>3%),</w:t>
            </w:r>
            <w:r w:rsidR="005C6558">
              <w:rPr>
                <w:spacing w:val="-4"/>
                <w:lang w:val="en-GB"/>
              </w:rPr>
              <w:t xml:space="preserve"> other non-metal mineral products </w:t>
            </w:r>
            <w:r w:rsidR="00A02E8B" w:rsidRPr="00C221B9">
              <w:rPr>
                <w:spacing w:val="-4"/>
                <w:lang w:val="en-GB"/>
              </w:rPr>
              <w:t>(+8</w:t>
            </w:r>
            <w:r w:rsidR="005C6558">
              <w:rPr>
                <w:spacing w:val="-4"/>
                <w:lang w:val="en-GB"/>
              </w:rPr>
              <w:t>.</w:t>
            </w:r>
            <w:r w:rsidR="00A02E8B" w:rsidRPr="00C221B9">
              <w:rPr>
                <w:spacing w:val="-4"/>
                <w:lang w:val="en-GB"/>
              </w:rPr>
              <w:t>6</w:t>
            </w:r>
            <w:r w:rsidR="005C6558">
              <w:rPr>
                <w:spacing w:val="-4"/>
                <w:lang w:val="en-GB"/>
              </w:rPr>
              <w:t xml:space="preserve"> bn</w:t>
            </w:r>
            <w:r w:rsidR="00A02E8B" w:rsidRPr="00C221B9">
              <w:rPr>
                <w:spacing w:val="-4"/>
                <w:lang w:val="en-GB"/>
              </w:rPr>
              <w:t>, 12</w:t>
            </w:r>
            <w:r w:rsidR="005C6558">
              <w:rPr>
                <w:spacing w:val="-4"/>
                <w:lang w:val="en-GB"/>
              </w:rPr>
              <w:t>.</w:t>
            </w:r>
            <w:r w:rsidR="00A02E8B" w:rsidRPr="00C221B9">
              <w:rPr>
                <w:spacing w:val="-4"/>
                <w:lang w:val="en-GB"/>
              </w:rPr>
              <w:t>2%), o</w:t>
            </w:r>
            <w:r w:rsidR="005C6558">
              <w:rPr>
                <w:spacing w:val="-4"/>
                <w:lang w:val="en-GB"/>
              </w:rPr>
              <w:t xml:space="preserve">ther products of manufacturing </w:t>
            </w:r>
            <w:r w:rsidR="00A02E8B" w:rsidRPr="00C221B9">
              <w:rPr>
                <w:spacing w:val="-4"/>
                <w:lang w:val="en-GB"/>
              </w:rPr>
              <w:t>(+7</w:t>
            </w:r>
            <w:r w:rsidR="005C6558">
              <w:rPr>
                <w:spacing w:val="-4"/>
                <w:lang w:val="en-GB"/>
              </w:rPr>
              <w:t>.</w:t>
            </w:r>
            <w:r w:rsidR="00A02E8B" w:rsidRPr="00C221B9">
              <w:rPr>
                <w:spacing w:val="-4"/>
                <w:lang w:val="en-GB"/>
              </w:rPr>
              <w:t>8 </w:t>
            </w:r>
            <w:r w:rsidR="005C6558">
              <w:rPr>
                <w:spacing w:val="-4"/>
                <w:lang w:val="en-GB"/>
              </w:rPr>
              <w:t>bn</w:t>
            </w:r>
            <w:r w:rsidR="00A02E8B" w:rsidRPr="00C221B9">
              <w:rPr>
                <w:spacing w:val="-4"/>
                <w:lang w:val="en-GB"/>
              </w:rPr>
              <w:t>, 9</w:t>
            </w:r>
            <w:r w:rsidR="005C6558">
              <w:rPr>
                <w:spacing w:val="-4"/>
                <w:lang w:val="en-GB"/>
              </w:rPr>
              <w:t>.</w:t>
            </w:r>
            <w:r w:rsidR="00A02E8B" w:rsidRPr="00C221B9">
              <w:rPr>
                <w:spacing w:val="-4"/>
                <w:lang w:val="en-GB"/>
              </w:rPr>
              <w:t>2%),</w:t>
            </w:r>
            <w:r w:rsidR="005C6558">
              <w:rPr>
                <w:spacing w:val="-4"/>
                <w:lang w:val="en-GB"/>
              </w:rPr>
              <w:t xml:space="preserve"> clothing </w:t>
            </w:r>
            <w:r w:rsidR="00A02E8B" w:rsidRPr="00C221B9">
              <w:rPr>
                <w:spacing w:val="-4"/>
                <w:lang w:val="en-GB"/>
              </w:rPr>
              <w:t>(+7</w:t>
            </w:r>
            <w:r w:rsidR="005C6558">
              <w:rPr>
                <w:spacing w:val="-4"/>
                <w:lang w:val="en-GB"/>
              </w:rPr>
              <w:t>.</w:t>
            </w:r>
            <w:r w:rsidR="00A02E8B" w:rsidRPr="00C221B9">
              <w:rPr>
                <w:spacing w:val="-4"/>
                <w:lang w:val="en-GB"/>
              </w:rPr>
              <w:t>2</w:t>
            </w:r>
            <w:r w:rsidR="005C6558">
              <w:rPr>
                <w:spacing w:val="-4"/>
                <w:lang w:val="en-GB"/>
              </w:rPr>
              <w:t xml:space="preserve"> bn</w:t>
            </w:r>
            <w:r w:rsidR="00A02E8B" w:rsidRPr="00C221B9">
              <w:rPr>
                <w:spacing w:val="-4"/>
                <w:lang w:val="en-GB"/>
              </w:rPr>
              <w:t>, 21</w:t>
            </w:r>
            <w:r w:rsidR="005C6558">
              <w:rPr>
                <w:spacing w:val="-4"/>
                <w:lang w:val="en-GB"/>
              </w:rPr>
              <w:t>.</w:t>
            </w:r>
            <w:r w:rsidR="00A02E8B" w:rsidRPr="00C221B9">
              <w:rPr>
                <w:spacing w:val="-4"/>
                <w:lang w:val="en-GB"/>
              </w:rPr>
              <w:t xml:space="preserve">1%) </w:t>
            </w:r>
            <w:r w:rsidR="005C6558">
              <w:rPr>
                <w:spacing w:val="-4"/>
                <w:lang w:val="en-GB"/>
              </w:rPr>
              <w:t xml:space="preserve">or paper and paper products </w:t>
            </w:r>
            <w:r w:rsidR="00A02E8B" w:rsidRPr="00C221B9">
              <w:rPr>
                <w:spacing w:val="-4"/>
                <w:lang w:val="en-GB"/>
              </w:rPr>
              <w:t>(+6</w:t>
            </w:r>
            <w:r w:rsidR="005C6558">
              <w:rPr>
                <w:spacing w:val="-4"/>
                <w:lang w:val="en-GB"/>
              </w:rPr>
              <w:t>.</w:t>
            </w:r>
            <w:r w:rsidR="00A02E8B" w:rsidRPr="00C221B9">
              <w:rPr>
                <w:spacing w:val="-4"/>
                <w:lang w:val="en-GB"/>
              </w:rPr>
              <w:t>5</w:t>
            </w:r>
            <w:r w:rsidR="005C6558">
              <w:rPr>
                <w:spacing w:val="-4"/>
                <w:lang w:val="en-GB"/>
              </w:rPr>
              <w:t xml:space="preserve"> bn</w:t>
            </w:r>
            <w:r w:rsidR="00A02E8B" w:rsidRPr="00C221B9">
              <w:rPr>
                <w:spacing w:val="-4"/>
                <w:lang w:val="en-GB"/>
              </w:rPr>
              <w:t>, 10</w:t>
            </w:r>
            <w:r w:rsidR="005C6558">
              <w:rPr>
                <w:spacing w:val="-4"/>
                <w:lang w:val="en-GB"/>
              </w:rPr>
              <w:t>.</w:t>
            </w:r>
            <w:r w:rsidR="00A02E8B" w:rsidRPr="00C221B9">
              <w:rPr>
                <w:spacing w:val="-4"/>
                <w:lang w:val="en-GB"/>
              </w:rPr>
              <w:t>4%)</w:t>
            </w:r>
            <w:r w:rsidR="005C6558">
              <w:rPr>
                <w:spacing w:val="-4"/>
                <w:lang w:val="en-GB"/>
              </w:rPr>
              <w:t xml:space="preserve"> also grew solidly</w:t>
            </w:r>
            <w:r w:rsidR="00A02E8B" w:rsidRPr="00C221B9">
              <w:rPr>
                <w:spacing w:val="-4"/>
                <w:lang w:val="en-GB"/>
              </w:rPr>
              <w:t xml:space="preserve">. </w:t>
            </w:r>
            <w:r w:rsidR="00836C91">
              <w:rPr>
                <w:spacing w:val="-4"/>
                <w:lang w:val="en-GB"/>
              </w:rPr>
              <w:t xml:space="preserve">Only the export of some relatively smaller items was lower year-on-year, </w:t>
            </w:r>
            <w:r w:rsidR="00A02E8B" w:rsidRPr="00C221B9">
              <w:rPr>
                <w:spacing w:val="-4"/>
                <w:lang w:val="en-GB"/>
              </w:rPr>
              <w:t>export</w:t>
            </w:r>
            <w:r w:rsidR="00836C91">
              <w:rPr>
                <w:spacing w:val="-4"/>
                <w:lang w:val="en-GB"/>
              </w:rPr>
              <w:t xml:space="preserve"> of oil and natural gas </w:t>
            </w:r>
            <w:r w:rsidR="00A02E8B" w:rsidRPr="00C221B9">
              <w:rPr>
                <w:spacing w:val="-4"/>
                <w:lang w:val="en-GB"/>
              </w:rPr>
              <w:t>(–2</w:t>
            </w:r>
            <w:r w:rsidR="00836C91">
              <w:rPr>
                <w:spacing w:val="-4"/>
                <w:lang w:val="en-GB"/>
              </w:rPr>
              <w:t>.</w:t>
            </w:r>
            <w:r w:rsidR="00A02E8B" w:rsidRPr="00C221B9">
              <w:rPr>
                <w:spacing w:val="-4"/>
                <w:lang w:val="en-GB"/>
              </w:rPr>
              <w:t>9</w:t>
            </w:r>
            <w:r w:rsidR="00836C91">
              <w:rPr>
                <w:spacing w:val="-4"/>
                <w:lang w:val="en-GB"/>
              </w:rPr>
              <w:t xml:space="preserve"> CZK bn</w:t>
            </w:r>
            <w:r w:rsidR="00A02E8B" w:rsidRPr="00C221B9">
              <w:rPr>
                <w:spacing w:val="-4"/>
                <w:lang w:val="en-GB"/>
              </w:rPr>
              <w:t>, –85</w:t>
            </w:r>
            <w:r w:rsidR="00836C91">
              <w:rPr>
                <w:spacing w:val="-4"/>
                <w:lang w:val="en-GB"/>
              </w:rPr>
              <w:t>.</w:t>
            </w:r>
            <w:r w:rsidR="00A02E8B" w:rsidRPr="00C221B9">
              <w:rPr>
                <w:spacing w:val="-4"/>
                <w:lang w:val="en-GB"/>
              </w:rPr>
              <w:t xml:space="preserve">3%) </w:t>
            </w:r>
            <w:r w:rsidR="00836C91">
              <w:rPr>
                <w:spacing w:val="-4"/>
                <w:lang w:val="en-GB"/>
              </w:rPr>
              <w:t xml:space="preserve">and motion pictures, </w:t>
            </w:r>
            <w:bookmarkStart w:id="32" w:name="OLE_LINK1"/>
            <w:r w:rsidR="00836C91">
              <w:rPr>
                <w:spacing w:val="-4"/>
                <w:lang w:val="en-GB"/>
              </w:rPr>
              <w:t xml:space="preserve">video production and sound recording activities </w:t>
            </w:r>
            <w:bookmarkEnd w:id="32"/>
            <w:r w:rsidR="00A02E8B" w:rsidRPr="00C221B9">
              <w:rPr>
                <w:spacing w:val="-4"/>
                <w:lang w:val="en-GB"/>
              </w:rPr>
              <w:t>(–1</w:t>
            </w:r>
            <w:r w:rsidR="00836C91">
              <w:rPr>
                <w:spacing w:val="-4"/>
                <w:lang w:val="en-GB"/>
              </w:rPr>
              <w:t>.</w:t>
            </w:r>
            <w:r w:rsidR="00A02E8B" w:rsidRPr="00C221B9">
              <w:rPr>
                <w:spacing w:val="-4"/>
                <w:lang w:val="en-GB"/>
              </w:rPr>
              <w:t>5</w:t>
            </w:r>
            <w:r w:rsidR="00836C91">
              <w:rPr>
                <w:spacing w:val="-4"/>
                <w:lang w:val="en-GB"/>
              </w:rPr>
              <w:t xml:space="preserve"> bn</w:t>
            </w:r>
            <w:r w:rsidR="00A02E8B" w:rsidRPr="00C221B9">
              <w:rPr>
                <w:spacing w:val="-4"/>
                <w:lang w:val="en-GB"/>
              </w:rPr>
              <w:t>, –14</w:t>
            </w:r>
            <w:r w:rsidR="00836C91">
              <w:rPr>
                <w:spacing w:val="-4"/>
                <w:lang w:val="en-GB"/>
              </w:rPr>
              <w:t>.</w:t>
            </w:r>
            <w:r w:rsidR="00A02E8B" w:rsidRPr="00C221B9">
              <w:rPr>
                <w:spacing w:val="-4"/>
                <w:lang w:val="en-GB"/>
              </w:rPr>
              <w:t>4%)</w:t>
            </w:r>
            <w:r w:rsidR="00836C91">
              <w:rPr>
                <w:spacing w:val="-4"/>
                <w:lang w:val="en-GB"/>
              </w:rPr>
              <w:t xml:space="preserve"> went down the most</w:t>
            </w:r>
            <w:r w:rsidR="00A02E8B" w:rsidRPr="00C221B9">
              <w:rPr>
                <w:spacing w:val="-4"/>
                <w:lang w:val="en-GB"/>
              </w:rPr>
              <w:t>.</w:t>
            </w:r>
          </w:p>
        </w:tc>
      </w:tr>
      <w:tr w:rsidR="00A02E8B" w:rsidRPr="009110F7" w14:paraId="0139AA71" w14:textId="77777777" w:rsidTr="008E039E">
        <w:trPr>
          <w:trHeight w:val="170"/>
        </w:trPr>
        <w:tc>
          <w:tcPr>
            <w:tcW w:w="1760" w:type="dxa"/>
            <w:shd w:val="clear" w:color="auto" w:fill="auto"/>
            <w:tcMar>
              <w:left w:w="0" w:type="dxa"/>
            </w:tcMar>
          </w:tcPr>
          <w:p w14:paraId="00C8A38C" w14:textId="06B0530D" w:rsidR="00A02E8B" w:rsidRPr="00836C91" w:rsidRDefault="008A0E38" w:rsidP="008E039E">
            <w:pPr>
              <w:pStyle w:val="Marginlie"/>
              <w:rPr>
                <w:lang w:val="en-GB"/>
              </w:rPr>
            </w:pPr>
            <w:r>
              <w:rPr>
                <w:lang w:val="en-GB"/>
              </w:rPr>
              <w:lastRenderedPageBreak/>
              <w:t>In Q</w:t>
            </w:r>
            <w:r w:rsidR="00A02E8B" w:rsidRPr="00836C91">
              <w:rPr>
                <w:lang w:val="en-GB"/>
              </w:rPr>
              <w:t>4</w:t>
            </w:r>
            <w:r>
              <w:rPr>
                <w:lang w:val="en-GB"/>
              </w:rPr>
              <w:t xml:space="preserve">, the export of motor vehicles sank deeply. </w:t>
            </w:r>
          </w:p>
        </w:tc>
        <w:tc>
          <w:tcPr>
            <w:tcW w:w="223" w:type="dxa"/>
            <w:shd w:val="clear" w:color="auto" w:fill="auto"/>
            <w:tcMar>
              <w:left w:w="0" w:type="dxa"/>
            </w:tcMar>
          </w:tcPr>
          <w:p w14:paraId="2C36D693" w14:textId="77777777" w:rsidR="00A02E8B" w:rsidRPr="00836C91" w:rsidRDefault="00A02E8B" w:rsidP="008E039E">
            <w:pPr>
              <w:pStyle w:val="Textpoznpodarou"/>
              <w:jc w:val="both"/>
              <w:rPr>
                <w:spacing w:val="-4"/>
                <w:lang w:val="en-GB"/>
              </w:rPr>
            </w:pPr>
          </w:p>
        </w:tc>
        <w:tc>
          <w:tcPr>
            <w:tcW w:w="7656" w:type="dxa"/>
            <w:shd w:val="clear" w:color="auto" w:fill="auto"/>
            <w:tcMar>
              <w:left w:w="0" w:type="dxa"/>
            </w:tcMar>
          </w:tcPr>
          <w:p w14:paraId="4ED29F64" w14:textId="118540B6" w:rsidR="00A02E8B" w:rsidRPr="00836C91" w:rsidRDefault="008A0E38" w:rsidP="008E039E">
            <w:pPr>
              <w:spacing w:after="180"/>
              <w:rPr>
                <w:spacing w:val="-4"/>
                <w:lang w:val="en-GB"/>
              </w:rPr>
            </w:pPr>
            <w:r>
              <w:rPr>
                <w:spacing w:val="-4"/>
                <w:lang w:val="en-GB"/>
              </w:rPr>
              <w:t>Large deceleration of the export dynamics, which occurred in the second half of year 2021, can be for the major part connect</w:t>
            </w:r>
            <w:r w:rsidR="00523908">
              <w:rPr>
                <w:spacing w:val="-4"/>
                <w:lang w:val="en-GB"/>
              </w:rPr>
              <w:t>ed</w:t>
            </w:r>
            <w:r>
              <w:rPr>
                <w:spacing w:val="-4"/>
                <w:lang w:val="en-GB"/>
              </w:rPr>
              <w:t xml:space="preserve"> to the difficulties in manufacturing of motor vehicles. In Q4 itself, the export of motor vehicles lower</w:t>
            </w:r>
            <w:r w:rsidR="006A08CE">
              <w:rPr>
                <w:spacing w:val="-4"/>
                <w:lang w:val="en-GB"/>
              </w:rPr>
              <w:t>ed</w:t>
            </w:r>
            <w:r>
              <w:rPr>
                <w:spacing w:val="-4"/>
                <w:lang w:val="en-GB"/>
              </w:rPr>
              <w:t xml:space="preserve"> by 50.0 CZK bn year-on-year </w:t>
            </w:r>
            <w:r w:rsidR="00A02E8B" w:rsidRPr="00836C91">
              <w:rPr>
                <w:spacing w:val="-4"/>
                <w:lang w:val="en-GB"/>
              </w:rPr>
              <w:t>(–17</w:t>
            </w:r>
            <w:r>
              <w:rPr>
                <w:spacing w:val="-4"/>
                <w:lang w:val="en-GB"/>
              </w:rPr>
              <w:t>.</w:t>
            </w:r>
            <w:r w:rsidR="00A02E8B" w:rsidRPr="00836C91">
              <w:rPr>
                <w:spacing w:val="-4"/>
                <w:lang w:val="en-GB"/>
              </w:rPr>
              <w:t xml:space="preserve">4%). </w:t>
            </w:r>
            <w:r w:rsidR="006A08CE">
              <w:rPr>
                <w:spacing w:val="-4"/>
                <w:lang w:val="en-GB"/>
              </w:rPr>
              <w:t xml:space="preserve">Only exporters of computer, electronic and optical appliances </w:t>
            </w:r>
            <w:r w:rsidR="00A02E8B" w:rsidRPr="00836C91">
              <w:rPr>
                <w:spacing w:val="-4"/>
                <w:lang w:val="en-GB"/>
              </w:rPr>
              <w:t>(–13</w:t>
            </w:r>
            <w:r w:rsidR="006A08CE">
              <w:rPr>
                <w:spacing w:val="-4"/>
                <w:lang w:val="en-GB"/>
              </w:rPr>
              <w:t>.</w:t>
            </w:r>
            <w:r w:rsidR="00A02E8B" w:rsidRPr="00836C91">
              <w:rPr>
                <w:spacing w:val="-4"/>
                <w:lang w:val="en-GB"/>
              </w:rPr>
              <w:t>7</w:t>
            </w:r>
            <w:r w:rsidR="006A08CE">
              <w:rPr>
                <w:spacing w:val="-4"/>
                <w:lang w:val="en-GB"/>
              </w:rPr>
              <w:t xml:space="preserve"> CZK bn</w:t>
            </w:r>
            <w:r w:rsidR="00A02E8B" w:rsidRPr="00836C91">
              <w:rPr>
                <w:spacing w:val="-4"/>
                <w:lang w:val="en-GB"/>
              </w:rPr>
              <w:t>, –11</w:t>
            </w:r>
            <w:r w:rsidR="006A08CE">
              <w:rPr>
                <w:spacing w:val="-4"/>
                <w:lang w:val="en-GB"/>
              </w:rPr>
              <w:t>.</w:t>
            </w:r>
            <w:r w:rsidR="00A02E8B" w:rsidRPr="00836C91">
              <w:rPr>
                <w:spacing w:val="-4"/>
                <w:lang w:val="en-GB"/>
              </w:rPr>
              <w:t>8%)</w:t>
            </w:r>
            <w:r w:rsidR="006A08CE">
              <w:rPr>
                <w:spacing w:val="-4"/>
                <w:lang w:val="en-GB"/>
              </w:rPr>
              <w:t xml:space="preserve"> then recorded considerable decrease</w:t>
            </w:r>
            <w:r w:rsidR="00A02E8B" w:rsidRPr="00836C91">
              <w:rPr>
                <w:spacing w:val="-4"/>
                <w:lang w:val="en-GB"/>
              </w:rPr>
              <w:t xml:space="preserve">. </w:t>
            </w:r>
            <w:r w:rsidR="00D576E0">
              <w:rPr>
                <w:spacing w:val="-4"/>
                <w:lang w:val="en-GB"/>
              </w:rPr>
              <w:t xml:space="preserve">Electricity, gas, steam and air conditioning supply </w:t>
            </w:r>
            <w:r w:rsidR="00A02E8B" w:rsidRPr="00836C91">
              <w:rPr>
                <w:spacing w:val="-4"/>
                <w:lang w:val="en-GB"/>
              </w:rPr>
              <w:t>(+27</w:t>
            </w:r>
            <w:r w:rsidR="00D576E0">
              <w:rPr>
                <w:spacing w:val="-4"/>
                <w:lang w:val="en-GB"/>
              </w:rPr>
              <w:t>.</w:t>
            </w:r>
            <w:r w:rsidR="00A02E8B" w:rsidRPr="00836C91">
              <w:rPr>
                <w:spacing w:val="-4"/>
                <w:lang w:val="en-GB"/>
              </w:rPr>
              <w:t>4</w:t>
            </w:r>
            <w:r w:rsidR="00D576E0">
              <w:rPr>
                <w:spacing w:val="-4"/>
                <w:lang w:val="en-GB"/>
              </w:rPr>
              <w:t xml:space="preserve"> CZK bn</w:t>
            </w:r>
            <w:r w:rsidR="00A02E8B" w:rsidRPr="00836C91">
              <w:rPr>
                <w:spacing w:val="-4"/>
                <w:lang w:val="en-GB"/>
              </w:rPr>
              <w:t>, 450</w:t>
            </w:r>
            <w:r w:rsidR="00D576E0">
              <w:rPr>
                <w:spacing w:val="-4"/>
                <w:lang w:val="en-GB"/>
              </w:rPr>
              <w:t>.</w:t>
            </w:r>
            <w:r w:rsidR="00A02E8B" w:rsidRPr="00836C91">
              <w:rPr>
                <w:spacing w:val="-4"/>
                <w:lang w:val="en-GB"/>
              </w:rPr>
              <w:t>9%)</w:t>
            </w:r>
            <w:r w:rsidR="00D576E0">
              <w:rPr>
                <w:spacing w:val="-4"/>
                <w:lang w:val="en-GB"/>
              </w:rPr>
              <w:t xml:space="preserve"> played a key role in the resulting total year-on-year increase of the value of export of goods in Q4</w:t>
            </w:r>
            <w:r w:rsidR="00A02E8B" w:rsidRPr="00836C91">
              <w:rPr>
                <w:spacing w:val="-4"/>
                <w:lang w:val="en-GB"/>
              </w:rPr>
              <w:t xml:space="preserve">, </w:t>
            </w:r>
            <w:r w:rsidR="00D576E0">
              <w:rPr>
                <w:spacing w:val="-4"/>
                <w:lang w:val="en-GB"/>
              </w:rPr>
              <w:t xml:space="preserve">but also the majority of other branches preserved at least a moderate growth. </w:t>
            </w:r>
            <w:proofErr w:type="gramStart"/>
            <w:r w:rsidR="00C63B51">
              <w:rPr>
                <w:spacing w:val="-4"/>
                <w:lang w:val="en-GB"/>
              </w:rPr>
              <w:t xml:space="preserve">Towards the end of the year, export of basic metals </w:t>
            </w:r>
            <w:r w:rsidR="00A02E8B" w:rsidRPr="00836C91">
              <w:rPr>
                <w:spacing w:val="-4"/>
                <w:lang w:val="en-GB"/>
              </w:rPr>
              <w:t>(+13</w:t>
            </w:r>
            <w:r w:rsidR="00C63B51">
              <w:rPr>
                <w:spacing w:val="-4"/>
                <w:lang w:val="en-GB"/>
              </w:rPr>
              <w:t>.</w:t>
            </w:r>
            <w:r w:rsidR="00A02E8B" w:rsidRPr="00836C91">
              <w:rPr>
                <w:spacing w:val="-4"/>
                <w:lang w:val="en-GB"/>
              </w:rPr>
              <w:t>1</w:t>
            </w:r>
            <w:r w:rsidR="00C63B51">
              <w:rPr>
                <w:spacing w:val="-4"/>
                <w:lang w:val="en-GB"/>
              </w:rPr>
              <w:t xml:space="preserve"> CZK bn</w:t>
            </w:r>
            <w:r w:rsidR="00A02E8B" w:rsidRPr="00836C91">
              <w:rPr>
                <w:spacing w:val="-4"/>
                <w:lang w:val="en-GB"/>
              </w:rPr>
              <w:t>, 41</w:t>
            </w:r>
            <w:r w:rsidR="00C63B51">
              <w:rPr>
                <w:spacing w:val="-4"/>
                <w:lang w:val="en-GB"/>
              </w:rPr>
              <w:t>.</w:t>
            </w:r>
            <w:r w:rsidR="00A02E8B" w:rsidRPr="00836C91">
              <w:rPr>
                <w:spacing w:val="-4"/>
                <w:lang w:val="en-GB"/>
              </w:rPr>
              <w:t>0%), chemic</w:t>
            </w:r>
            <w:r w:rsidR="00C63B51">
              <w:rPr>
                <w:spacing w:val="-4"/>
                <w:lang w:val="en-GB"/>
              </w:rPr>
              <w:t xml:space="preserve">al substances and products </w:t>
            </w:r>
            <w:r w:rsidR="00A02E8B" w:rsidRPr="00836C91">
              <w:rPr>
                <w:spacing w:val="-4"/>
                <w:lang w:val="en-GB"/>
              </w:rPr>
              <w:t>(+11</w:t>
            </w:r>
            <w:r w:rsidR="00C63B51">
              <w:rPr>
                <w:spacing w:val="-4"/>
                <w:lang w:val="en-GB"/>
              </w:rPr>
              <w:t>.</w:t>
            </w:r>
            <w:r w:rsidR="00A02E8B" w:rsidRPr="00836C91">
              <w:rPr>
                <w:spacing w:val="-4"/>
                <w:lang w:val="en-GB"/>
              </w:rPr>
              <w:t>2 </w:t>
            </w:r>
            <w:r w:rsidR="00C63B51">
              <w:rPr>
                <w:spacing w:val="-4"/>
                <w:lang w:val="en-GB"/>
              </w:rPr>
              <w:t>bn</w:t>
            </w:r>
            <w:r w:rsidR="00A02E8B" w:rsidRPr="00836C91">
              <w:rPr>
                <w:spacing w:val="-4"/>
                <w:lang w:val="en-GB"/>
              </w:rPr>
              <w:t>, 24</w:t>
            </w:r>
            <w:r w:rsidR="00C63B51">
              <w:rPr>
                <w:spacing w:val="-4"/>
                <w:lang w:val="en-GB"/>
              </w:rPr>
              <w:t>.</w:t>
            </w:r>
            <w:r w:rsidR="00A02E8B" w:rsidRPr="00836C91">
              <w:rPr>
                <w:spacing w:val="-4"/>
                <w:lang w:val="en-GB"/>
              </w:rPr>
              <w:t>1%),</w:t>
            </w:r>
            <w:r w:rsidR="00C63B51">
              <w:rPr>
                <w:spacing w:val="-4"/>
                <w:lang w:val="en-GB"/>
              </w:rPr>
              <w:t xml:space="preserve"> coke and refined oil products </w:t>
            </w:r>
            <w:r w:rsidR="00A02E8B" w:rsidRPr="00836C91">
              <w:rPr>
                <w:spacing w:val="-4"/>
                <w:lang w:val="en-GB"/>
              </w:rPr>
              <w:t>(+6</w:t>
            </w:r>
            <w:r w:rsidR="00C63B51">
              <w:rPr>
                <w:spacing w:val="-4"/>
                <w:lang w:val="en-GB"/>
              </w:rPr>
              <w:t>.</w:t>
            </w:r>
            <w:r w:rsidR="00A02E8B" w:rsidRPr="00836C91">
              <w:rPr>
                <w:spacing w:val="-4"/>
                <w:lang w:val="en-GB"/>
              </w:rPr>
              <w:t>1</w:t>
            </w:r>
            <w:r w:rsidR="00C63B51">
              <w:rPr>
                <w:spacing w:val="-4"/>
                <w:lang w:val="en-GB"/>
              </w:rPr>
              <w:t xml:space="preserve"> bn</w:t>
            </w:r>
            <w:r w:rsidR="00A02E8B" w:rsidRPr="00836C91">
              <w:rPr>
                <w:spacing w:val="-4"/>
                <w:lang w:val="en-GB"/>
              </w:rPr>
              <w:t>, 89</w:t>
            </w:r>
            <w:r w:rsidR="00C63B51">
              <w:rPr>
                <w:spacing w:val="-4"/>
                <w:lang w:val="en-GB"/>
              </w:rPr>
              <w:t>.</w:t>
            </w:r>
            <w:r w:rsidR="00A02E8B" w:rsidRPr="00836C91">
              <w:rPr>
                <w:spacing w:val="-4"/>
                <w:lang w:val="en-GB"/>
              </w:rPr>
              <w:t>7%),</w:t>
            </w:r>
            <w:r w:rsidR="00C63B51">
              <w:rPr>
                <w:spacing w:val="-4"/>
                <w:lang w:val="en-GB"/>
              </w:rPr>
              <w:t xml:space="preserve"> metalworking products </w:t>
            </w:r>
            <w:r w:rsidR="00A02E8B" w:rsidRPr="00836C91">
              <w:rPr>
                <w:spacing w:val="-4"/>
                <w:lang w:val="en-GB"/>
              </w:rPr>
              <w:t>(+5</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8</w:t>
            </w:r>
            <w:r w:rsidR="00C63B51">
              <w:rPr>
                <w:spacing w:val="-4"/>
                <w:lang w:val="en-GB"/>
              </w:rPr>
              <w:t>.</w:t>
            </w:r>
            <w:r w:rsidR="00A02E8B" w:rsidRPr="00836C91">
              <w:rPr>
                <w:spacing w:val="-4"/>
                <w:lang w:val="en-GB"/>
              </w:rPr>
              <w:t>8%),</w:t>
            </w:r>
            <w:r w:rsidR="00C63B51">
              <w:rPr>
                <w:spacing w:val="-4"/>
                <w:lang w:val="en-GB"/>
              </w:rPr>
              <w:t xml:space="preserve"> products associated with waste </w:t>
            </w:r>
            <w:r w:rsidR="00A02E8B" w:rsidRPr="00836C91">
              <w:rPr>
                <w:spacing w:val="-4"/>
                <w:lang w:val="en-GB"/>
              </w:rPr>
              <w:t>(+3</w:t>
            </w:r>
            <w:r w:rsidR="00C63B51">
              <w:rPr>
                <w:spacing w:val="-4"/>
                <w:lang w:val="en-GB"/>
              </w:rPr>
              <w:t>.</w:t>
            </w:r>
            <w:r w:rsidR="00A02E8B" w:rsidRPr="00836C91">
              <w:rPr>
                <w:spacing w:val="-4"/>
                <w:lang w:val="en-GB"/>
              </w:rPr>
              <w:t>8</w:t>
            </w:r>
            <w:r w:rsidR="00C63B51">
              <w:rPr>
                <w:spacing w:val="-4"/>
                <w:lang w:val="en-GB"/>
              </w:rPr>
              <w:t xml:space="preserve"> bn</w:t>
            </w:r>
            <w:r w:rsidR="00A02E8B" w:rsidRPr="00836C91">
              <w:rPr>
                <w:spacing w:val="-4"/>
                <w:lang w:val="en-GB"/>
              </w:rPr>
              <w:t>, 47</w:t>
            </w:r>
            <w:r w:rsidR="00C63B51">
              <w:rPr>
                <w:spacing w:val="-4"/>
                <w:lang w:val="en-GB"/>
              </w:rPr>
              <w:t>.</w:t>
            </w:r>
            <w:r w:rsidR="00A02E8B" w:rsidRPr="00836C91">
              <w:rPr>
                <w:spacing w:val="-4"/>
                <w:lang w:val="en-GB"/>
              </w:rPr>
              <w:t>4%),</w:t>
            </w:r>
            <w:r w:rsidR="00C63B51">
              <w:rPr>
                <w:spacing w:val="-4"/>
                <w:lang w:val="en-GB"/>
              </w:rPr>
              <w:t xml:space="preserve"> electrical appliances </w:t>
            </w:r>
            <w:r w:rsidR="00A02E8B" w:rsidRPr="00836C91">
              <w:rPr>
                <w:spacing w:val="-4"/>
                <w:lang w:val="en-GB"/>
              </w:rPr>
              <w:t>(+3</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3</w:t>
            </w:r>
            <w:r w:rsidR="00C63B51">
              <w:rPr>
                <w:spacing w:val="-4"/>
                <w:lang w:val="en-GB"/>
              </w:rPr>
              <w:t>.</w:t>
            </w:r>
            <w:r w:rsidR="00A02E8B" w:rsidRPr="00836C91">
              <w:rPr>
                <w:spacing w:val="-4"/>
                <w:lang w:val="en-GB"/>
              </w:rPr>
              <w:t>7%),</w:t>
            </w:r>
            <w:r w:rsidR="00C63B51">
              <w:rPr>
                <w:spacing w:val="-4"/>
                <w:lang w:val="en-GB"/>
              </w:rPr>
              <w:t xml:space="preserve"> food products </w:t>
            </w:r>
            <w:r w:rsidR="00A02E8B" w:rsidRPr="00836C91">
              <w:rPr>
                <w:spacing w:val="-4"/>
                <w:lang w:val="en-GB"/>
              </w:rPr>
              <w:t>(+3</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10</w:t>
            </w:r>
            <w:r w:rsidR="00C63B51">
              <w:rPr>
                <w:spacing w:val="-4"/>
                <w:lang w:val="en-GB"/>
              </w:rPr>
              <w:t>.</w:t>
            </w:r>
            <w:r w:rsidR="00A02E8B" w:rsidRPr="00836C91">
              <w:rPr>
                <w:spacing w:val="-4"/>
                <w:lang w:val="en-GB"/>
              </w:rPr>
              <w:t>2%)</w:t>
            </w:r>
            <w:r w:rsidR="00C63B51">
              <w:rPr>
                <w:spacing w:val="-4"/>
                <w:lang w:val="en-GB"/>
              </w:rPr>
              <w:t xml:space="preserve"> or wood and wood products </w:t>
            </w:r>
            <w:r w:rsidR="00A02E8B" w:rsidRPr="00836C91">
              <w:rPr>
                <w:spacing w:val="-4"/>
                <w:lang w:val="en-GB"/>
              </w:rPr>
              <w:t>(+3</w:t>
            </w:r>
            <w:r w:rsidR="00C63B51">
              <w:rPr>
                <w:spacing w:val="-4"/>
                <w:lang w:val="en-GB"/>
              </w:rPr>
              <w:t>.</w:t>
            </w:r>
            <w:r w:rsidR="00A02E8B" w:rsidRPr="00836C91">
              <w:rPr>
                <w:spacing w:val="-4"/>
                <w:lang w:val="en-GB"/>
              </w:rPr>
              <w:t>1</w:t>
            </w:r>
            <w:r w:rsidR="00C63B51">
              <w:rPr>
                <w:spacing w:val="-4"/>
                <w:lang w:val="en-GB"/>
              </w:rPr>
              <w:t xml:space="preserve"> bn</w:t>
            </w:r>
            <w:r w:rsidR="00A02E8B" w:rsidRPr="00836C91">
              <w:rPr>
                <w:spacing w:val="-4"/>
                <w:lang w:val="en-GB"/>
              </w:rPr>
              <w:t>, 28</w:t>
            </w:r>
            <w:r w:rsidR="00C63B51">
              <w:rPr>
                <w:spacing w:val="-4"/>
                <w:lang w:val="en-GB"/>
              </w:rPr>
              <w:t>.</w:t>
            </w:r>
            <w:r w:rsidR="00A02E8B" w:rsidRPr="00836C91">
              <w:rPr>
                <w:spacing w:val="-4"/>
                <w:lang w:val="en-GB"/>
              </w:rPr>
              <w:t>3%)</w:t>
            </w:r>
            <w:r w:rsidR="00C63B51">
              <w:rPr>
                <w:spacing w:val="-4"/>
                <w:lang w:val="en-GB"/>
              </w:rPr>
              <w:t xml:space="preserve"> was higher year-on-year</w:t>
            </w:r>
            <w:r w:rsidR="00A02E8B" w:rsidRPr="00836C91">
              <w:rPr>
                <w:spacing w:val="-4"/>
                <w:lang w:val="en-GB"/>
              </w:rPr>
              <w:t>.</w:t>
            </w:r>
            <w:proofErr w:type="gramEnd"/>
          </w:p>
        </w:tc>
      </w:tr>
      <w:tr w:rsidR="00A02E8B" w:rsidRPr="009110F7" w14:paraId="47BFA65E" w14:textId="77777777" w:rsidTr="008E039E">
        <w:trPr>
          <w:trHeight w:val="150"/>
        </w:trPr>
        <w:tc>
          <w:tcPr>
            <w:tcW w:w="1760" w:type="dxa"/>
            <w:vMerge w:val="restart"/>
            <w:shd w:val="clear" w:color="auto" w:fill="auto"/>
            <w:tcMar>
              <w:left w:w="0" w:type="dxa"/>
            </w:tcMar>
          </w:tcPr>
          <w:p w14:paraId="1C4C6A73" w14:textId="77777777" w:rsidR="00A02E8B" w:rsidRDefault="00A02E8B" w:rsidP="008E039E">
            <w:pPr>
              <w:pStyle w:val="Marginlie"/>
            </w:pPr>
          </w:p>
        </w:tc>
        <w:tc>
          <w:tcPr>
            <w:tcW w:w="223" w:type="dxa"/>
            <w:vMerge w:val="restart"/>
            <w:shd w:val="clear" w:color="auto" w:fill="auto"/>
            <w:tcMar>
              <w:left w:w="0" w:type="dxa"/>
            </w:tcMar>
          </w:tcPr>
          <w:p w14:paraId="3A9C7680" w14:textId="77777777" w:rsidR="00A02E8B" w:rsidRDefault="00A02E8B" w:rsidP="008E039E">
            <w:pPr>
              <w:pStyle w:val="Textpoznpodarou"/>
              <w:jc w:val="both"/>
              <w:rPr>
                <w:spacing w:val="-4"/>
              </w:rPr>
            </w:pPr>
          </w:p>
        </w:tc>
        <w:tc>
          <w:tcPr>
            <w:tcW w:w="7656" w:type="dxa"/>
            <w:shd w:val="clear" w:color="auto" w:fill="auto"/>
            <w:tcMar>
              <w:left w:w="0" w:type="dxa"/>
            </w:tcMar>
          </w:tcPr>
          <w:p w14:paraId="1F7ADEBC" w14:textId="62E74F6D" w:rsidR="00A02E8B" w:rsidRPr="00804097" w:rsidRDefault="00167AD0" w:rsidP="00A02E8B">
            <w:pPr>
              <w:spacing w:after="0"/>
              <w:rPr>
                <w:b/>
                <w:bCs/>
                <w:spacing w:val="-4"/>
              </w:rPr>
            </w:pPr>
            <w:r>
              <w:rPr>
                <w:b/>
                <w:bCs/>
                <w:spacing w:val="-4"/>
              </w:rPr>
              <w:t xml:space="preserve">Chart </w:t>
            </w:r>
            <w:r w:rsidR="00A02E8B">
              <w:rPr>
                <w:b/>
                <w:bCs/>
                <w:spacing w:val="-4"/>
              </w:rPr>
              <w:t xml:space="preserve">9  </w:t>
            </w:r>
            <w:r w:rsidR="00027EF4" w:rsidRPr="00027EF4">
              <w:rPr>
                <w:b/>
                <w:bCs/>
                <w:spacing w:val="-4"/>
                <w:lang w:val="en-GB"/>
              </w:rPr>
              <w:t xml:space="preserve">Export and import of goods </w:t>
            </w:r>
            <w:r w:rsidR="00A02E8B" w:rsidRPr="00027EF4">
              <w:rPr>
                <w:spacing w:val="-4"/>
                <w:lang w:val="en-GB"/>
              </w:rPr>
              <w:t>(</w:t>
            </w:r>
            <w:r w:rsidR="00027EF4" w:rsidRPr="00027EF4">
              <w:rPr>
                <w:spacing w:val="-4"/>
                <w:lang w:val="en-GB"/>
              </w:rPr>
              <w:t xml:space="preserve">year-on-year change, in </w:t>
            </w:r>
            <w:r w:rsidR="00A02E8B" w:rsidRPr="00027EF4">
              <w:rPr>
                <w:spacing w:val="-4"/>
                <w:lang w:val="en-GB"/>
              </w:rPr>
              <w:t>%)</w:t>
            </w:r>
            <w:r w:rsidR="00A02E8B" w:rsidRPr="00027EF4">
              <w:rPr>
                <w:b/>
                <w:bCs/>
                <w:spacing w:val="-4"/>
                <w:lang w:val="en-GB"/>
              </w:rPr>
              <w:t xml:space="preserve"> a</w:t>
            </w:r>
            <w:r w:rsidR="00027EF4" w:rsidRPr="00027EF4">
              <w:rPr>
                <w:b/>
                <w:bCs/>
                <w:spacing w:val="-4"/>
                <w:lang w:val="en-GB"/>
              </w:rPr>
              <w:t xml:space="preserve">nd balance of foreign trade with goods </w:t>
            </w:r>
            <w:r w:rsidR="00A02E8B" w:rsidRPr="00027EF4">
              <w:rPr>
                <w:spacing w:val="-4"/>
                <w:lang w:val="en-GB"/>
              </w:rPr>
              <w:t>(</w:t>
            </w:r>
            <w:r w:rsidR="00027EF4" w:rsidRPr="00027EF4">
              <w:rPr>
                <w:spacing w:val="-4"/>
                <w:lang w:val="en-GB"/>
              </w:rPr>
              <w:t>in CZK bn</w:t>
            </w:r>
            <w:r w:rsidR="00A02E8B" w:rsidRPr="00027EF4">
              <w:rPr>
                <w:spacing w:val="-4"/>
                <w:lang w:val="en-GB"/>
              </w:rPr>
              <w:t xml:space="preserve">, </w:t>
            </w:r>
            <w:r w:rsidR="00027EF4" w:rsidRPr="00027EF4">
              <w:rPr>
                <w:spacing w:val="-4"/>
                <w:lang w:val="en-GB"/>
              </w:rPr>
              <w:t>right axis</w:t>
            </w:r>
            <w:r w:rsidR="00A02E8B" w:rsidRPr="00804097">
              <w:rPr>
                <w:spacing w:val="-4"/>
              </w:rPr>
              <w:t>)</w:t>
            </w:r>
          </w:p>
        </w:tc>
      </w:tr>
      <w:tr w:rsidR="00A02E8B" w:rsidRPr="009110F7" w14:paraId="319124DC" w14:textId="77777777" w:rsidTr="00D2240D">
        <w:tblPrEx>
          <w:tblCellMar>
            <w:left w:w="70" w:type="dxa"/>
            <w:right w:w="70" w:type="dxa"/>
          </w:tblCellMar>
        </w:tblPrEx>
        <w:trPr>
          <w:trHeight w:val="150"/>
        </w:trPr>
        <w:tc>
          <w:tcPr>
            <w:tcW w:w="1760" w:type="dxa"/>
            <w:vMerge/>
            <w:shd w:val="clear" w:color="auto" w:fill="auto"/>
          </w:tcPr>
          <w:p w14:paraId="1E5E3659" w14:textId="77777777" w:rsidR="00A02E8B" w:rsidRDefault="00A02E8B" w:rsidP="008E039E">
            <w:pPr>
              <w:pStyle w:val="Marginlie"/>
            </w:pPr>
          </w:p>
        </w:tc>
        <w:tc>
          <w:tcPr>
            <w:tcW w:w="223" w:type="dxa"/>
            <w:vMerge/>
            <w:shd w:val="clear" w:color="auto" w:fill="auto"/>
          </w:tcPr>
          <w:p w14:paraId="1F57B1C7" w14:textId="77777777" w:rsidR="00A02E8B" w:rsidRDefault="00A02E8B" w:rsidP="008E039E">
            <w:pPr>
              <w:pStyle w:val="Textpoznpodarou"/>
              <w:jc w:val="both"/>
              <w:rPr>
                <w:spacing w:val="-4"/>
              </w:rPr>
            </w:pPr>
          </w:p>
        </w:tc>
        <w:tc>
          <w:tcPr>
            <w:tcW w:w="7656" w:type="dxa"/>
            <w:shd w:val="clear" w:color="auto" w:fill="auto"/>
          </w:tcPr>
          <w:p w14:paraId="024BD0AD" w14:textId="6C93FE9D" w:rsidR="00A02E8B" w:rsidRDefault="00D2240D" w:rsidP="008E039E">
            <w:pPr>
              <w:spacing w:after="0"/>
              <w:rPr>
                <w:spacing w:val="-4"/>
              </w:rPr>
            </w:pPr>
            <w:r>
              <w:rPr>
                <w:noProof/>
              </w:rPr>
              <w:drawing>
                <wp:inline distT="0" distB="0" distL="0" distR="0" wp14:anchorId="049BB3FE" wp14:editId="11494E3A">
                  <wp:extent cx="4770000" cy="3540625"/>
                  <wp:effectExtent l="0" t="0" r="0" b="3175"/>
                  <wp:docPr id="42" name="Graf 42">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02E8B" w:rsidRPr="009110F7" w14:paraId="467E6C70" w14:textId="77777777" w:rsidTr="008E039E">
        <w:trPr>
          <w:trHeight w:val="150"/>
        </w:trPr>
        <w:tc>
          <w:tcPr>
            <w:tcW w:w="1760" w:type="dxa"/>
            <w:vMerge/>
            <w:shd w:val="clear" w:color="auto" w:fill="auto"/>
            <w:tcMar>
              <w:left w:w="0" w:type="dxa"/>
            </w:tcMar>
          </w:tcPr>
          <w:p w14:paraId="283FE59D" w14:textId="77777777" w:rsidR="00A02E8B" w:rsidRDefault="00A02E8B" w:rsidP="008E039E">
            <w:pPr>
              <w:pStyle w:val="Marginlie"/>
            </w:pPr>
          </w:p>
        </w:tc>
        <w:tc>
          <w:tcPr>
            <w:tcW w:w="223" w:type="dxa"/>
            <w:vMerge/>
            <w:shd w:val="clear" w:color="auto" w:fill="auto"/>
            <w:tcMar>
              <w:left w:w="0" w:type="dxa"/>
            </w:tcMar>
          </w:tcPr>
          <w:p w14:paraId="365892C6" w14:textId="77777777" w:rsidR="00A02E8B" w:rsidRDefault="00A02E8B" w:rsidP="008E039E">
            <w:pPr>
              <w:pStyle w:val="Textpoznpodarou"/>
              <w:jc w:val="both"/>
              <w:rPr>
                <w:spacing w:val="-4"/>
              </w:rPr>
            </w:pPr>
          </w:p>
        </w:tc>
        <w:tc>
          <w:tcPr>
            <w:tcW w:w="7656" w:type="dxa"/>
            <w:shd w:val="clear" w:color="auto" w:fill="auto"/>
            <w:tcMar>
              <w:left w:w="0" w:type="dxa"/>
            </w:tcMar>
          </w:tcPr>
          <w:p w14:paraId="7F038E7E" w14:textId="47607D13" w:rsidR="00111B33" w:rsidRPr="00167AD0" w:rsidRDefault="00167AD0" w:rsidP="00D2240D">
            <w:pPr>
              <w:spacing w:after="180"/>
              <w:rPr>
                <w:b/>
                <w:bCs/>
                <w:spacing w:val="-4"/>
                <w:sz w:val="16"/>
                <w:szCs w:val="16"/>
              </w:rPr>
            </w:pPr>
            <w:r>
              <w:rPr>
                <w:sz w:val="14"/>
                <w:szCs w:val="14"/>
              </w:rPr>
              <w:t>Source</w:t>
            </w:r>
            <w:r w:rsidR="00A02E8B">
              <w:rPr>
                <w:sz w:val="14"/>
                <w:szCs w:val="14"/>
              </w:rPr>
              <w:t xml:space="preserve">: </w:t>
            </w:r>
            <w:r>
              <w:rPr>
                <w:sz w:val="14"/>
                <w:szCs w:val="14"/>
              </w:rPr>
              <w:t>CZSO</w:t>
            </w:r>
          </w:p>
        </w:tc>
      </w:tr>
      <w:tr w:rsidR="00A02E8B" w:rsidRPr="009110F7" w14:paraId="02A4992E" w14:textId="77777777" w:rsidTr="008E039E">
        <w:trPr>
          <w:trHeight w:val="145"/>
        </w:trPr>
        <w:tc>
          <w:tcPr>
            <w:tcW w:w="1760" w:type="dxa"/>
            <w:shd w:val="clear" w:color="auto" w:fill="auto"/>
            <w:tcMar>
              <w:left w:w="0" w:type="dxa"/>
            </w:tcMar>
          </w:tcPr>
          <w:p w14:paraId="7B12D77B" w14:textId="4E1FE1D0" w:rsidR="00A02E8B" w:rsidRPr="00C63B51" w:rsidRDefault="008C0A2C" w:rsidP="008E039E">
            <w:pPr>
              <w:pStyle w:val="Marginlie"/>
              <w:rPr>
                <w:lang w:val="en-GB"/>
              </w:rPr>
            </w:pPr>
            <w:r>
              <w:rPr>
                <w:lang w:val="en-GB"/>
              </w:rPr>
              <w:t xml:space="preserve">Import very strongly increased during the whole last year. </w:t>
            </w:r>
          </w:p>
        </w:tc>
        <w:tc>
          <w:tcPr>
            <w:tcW w:w="223" w:type="dxa"/>
            <w:shd w:val="clear" w:color="auto" w:fill="auto"/>
            <w:tcMar>
              <w:left w:w="0" w:type="dxa"/>
            </w:tcMar>
          </w:tcPr>
          <w:p w14:paraId="1CE17EE0" w14:textId="77777777" w:rsidR="00A02E8B" w:rsidRPr="00C63B51" w:rsidRDefault="00A02E8B" w:rsidP="008E039E">
            <w:pPr>
              <w:pStyle w:val="Textpoznpodarou"/>
              <w:jc w:val="both"/>
              <w:rPr>
                <w:spacing w:val="-4"/>
                <w:lang w:val="en-GB"/>
              </w:rPr>
            </w:pPr>
          </w:p>
        </w:tc>
        <w:tc>
          <w:tcPr>
            <w:tcW w:w="7656" w:type="dxa"/>
            <w:shd w:val="clear" w:color="auto" w:fill="auto"/>
            <w:tcMar>
              <w:left w:w="0" w:type="dxa"/>
            </w:tcMar>
          </w:tcPr>
          <w:p w14:paraId="11CD0E27" w14:textId="513134B2" w:rsidR="00A02E8B" w:rsidRPr="00C63B51" w:rsidRDefault="008C0A2C" w:rsidP="008E039E">
            <w:pPr>
              <w:spacing w:after="180"/>
              <w:rPr>
                <w:spacing w:val="-4"/>
                <w:lang w:val="en-GB"/>
              </w:rPr>
            </w:pPr>
            <w:r>
              <w:rPr>
                <w:spacing w:val="-4"/>
                <w:lang w:val="en-GB"/>
              </w:rPr>
              <w:t xml:space="preserve">Import of goods attained value of </w:t>
            </w:r>
            <w:r w:rsidR="00A02E8B" w:rsidRPr="00C63B51">
              <w:rPr>
                <w:spacing w:val="-4"/>
                <w:lang w:val="en-GB"/>
              </w:rPr>
              <w:t>3</w:t>
            </w:r>
            <w:r>
              <w:rPr>
                <w:spacing w:val="-4"/>
                <w:lang w:val="en-GB"/>
              </w:rPr>
              <w:t> </w:t>
            </w:r>
            <w:r w:rsidR="00A02E8B" w:rsidRPr="00C63B51">
              <w:rPr>
                <w:spacing w:val="-4"/>
                <w:lang w:val="en-GB"/>
              </w:rPr>
              <w:t>940</w:t>
            </w:r>
            <w:r>
              <w:rPr>
                <w:spacing w:val="-4"/>
                <w:lang w:val="en-GB"/>
              </w:rPr>
              <w:t>.</w:t>
            </w:r>
            <w:r w:rsidR="00A02E8B" w:rsidRPr="00C63B51">
              <w:rPr>
                <w:spacing w:val="-4"/>
                <w:lang w:val="en-GB"/>
              </w:rPr>
              <w:t>3</w:t>
            </w:r>
            <w:r>
              <w:rPr>
                <w:spacing w:val="-4"/>
                <w:lang w:val="en-GB"/>
              </w:rPr>
              <w:t xml:space="preserve"> CZK bn in 2021 </w:t>
            </w:r>
            <w:r w:rsidR="00A02E8B" w:rsidRPr="00C63B51">
              <w:rPr>
                <w:spacing w:val="-4"/>
                <w:lang w:val="en-GB"/>
              </w:rPr>
              <w:t>a</w:t>
            </w:r>
            <w:r>
              <w:rPr>
                <w:spacing w:val="-4"/>
                <w:lang w:val="en-GB"/>
              </w:rPr>
              <w:t xml:space="preserve">nd expanded by </w:t>
            </w:r>
            <w:r w:rsidR="00A02E8B" w:rsidRPr="00C63B51">
              <w:rPr>
                <w:spacing w:val="-4"/>
                <w:lang w:val="en-GB"/>
              </w:rPr>
              <w:t>637</w:t>
            </w:r>
            <w:r>
              <w:rPr>
                <w:spacing w:val="-4"/>
                <w:lang w:val="en-GB"/>
              </w:rPr>
              <w:t>.</w:t>
            </w:r>
            <w:r w:rsidR="00A02E8B" w:rsidRPr="00C63B51">
              <w:rPr>
                <w:spacing w:val="-4"/>
                <w:lang w:val="en-GB"/>
              </w:rPr>
              <w:t>1</w:t>
            </w:r>
            <w:r>
              <w:rPr>
                <w:spacing w:val="-4"/>
                <w:lang w:val="en-GB"/>
              </w:rPr>
              <w:t xml:space="preserve"> bn </w:t>
            </w:r>
            <w:r w:rsidR="00A02E8B" w:rsidRPr="00C63B51">
              <w:rPr>
                <w:spacing w:val="-4"/>
                <w:lang w:val="en-GB"/>
              </w:rPr>
              <w:t>(19</w:t>
            </w:r>
            <w:r>
              <w:rPr>
                <w:spacing w:val="-4"/>
                <w:lang w:val="en-GB"/>
              </w:rPr>
              <w:t>.</w:t>
            </w:r>
            <w:r w:rsidR="00A02E8B" w:rsidRPr="00C63B51">
              <w:rPr>
                <w:spacing w:val="-4"/>
                <w:lang w:val="en-GB"/>
              </w:rPr>
              <w:t>3%)</w:t>
            </w:r>
            <w:r>
              <w:rPr>
                <w:spacing w:val="-4"/>
                <w:lang w:val="en-GB"/>
              </w:rPr>
              <w:t xml:space="preserve"> year-on-year</w:t>
            </w:r>
            <w:r w:rsidR="00A02E8B" w:rsidRPr="00C63B51">
              <w:rPr>
                <w:spacing w:val="-4"/>
                <w:lang w:val="en-GB"/>
              </w:rPr>
              <w:t xml:space="preserve">. </w:t>
            </w:r>
            <w:r w:rsidR="007A26FD">
              <w:rPr>
                <w:spacing w:val="-4"/>
                <w:lang w:val="en-GB"/>
              </w:rPr>
              <w:t xml:space="preserve">Comparison with weak year 2020 contributed to the sharp increase of import, but the development of prices of many raw materials also had an effect. Increase of prices of oil and natural gas, basic metals as well as other materials </w:t>
            </w:r>
            <w:proofErr w:type="gramStart"/>
            <w:r w:rsidR="007A26FD">
              <w:rPr>
                <w:spacing w:val="-4"/>
                <w:lang w:val="en-GB"/>
              </w:rPr>
              <w:t>was reflected</w:t>
            </w:r>
            <w:proofErr w:type="gramEnd"/>
            <w:r w:rsidR="007A26FD">
              <w:rPr>
                <w:spacing w:val="-4"/>
                <w:lang w:val="en-GB"/>
              </w:rPr>
              <w:t xml:space="preserve"> in the very strong import dynamics during the whole year</w:t>
            </w:r>
            <w:r w:rsidR="00A02E8B" w:rsidRPr="00C63B51">
              <w:rPr>
                <w:spacing w:val="-4"/>
                <w:lang w:val="en-GB"/>
              </w:rPr>
              <w:t xml:space="preserve">. </w:t>
            </w:r>
            <w:r w:rsidR="000279A9">
              <w:rPr>
                <w:spacing w:val="-4"/>
                <w:lang w:val="en-GB"/>
              </w:rPr>
              <w:t>In Q</w:t>
            </w:r>
            <w:r w:rsidR="00A02E8B" w:rsidRPr="00C63B51">
              <w:rPr>
                <w:spacing w:val="-4"/>
                <w:lang w:val="en-GB"/>
              </w:rPr>
              <w:t>4</w:t>
            </w:r>
            <w:r w:rsidR="000279A9">
              <w:rPr>
                <w:spacing w:val="-4"/>
                <w:lang w:val="en-GB"/>
              </w:rPr>
              <w:t xml:space="preserve"> itself, the value of import arrived at </w:t>
            </w:r>
            <w:r w:rsidR="00A02E8B" w:rsidRPr="00C63B51">
              <w:rPr>
                <w:spacing w:val="-4"/>
                <w:lang w:val="en-GB"/>
              </w:rPr>
              <w:t>1</w:t>
            </w:r>
            <w:r w:rsidR="000279A9">
              <w:rPr>
                <w:spacing w:val="-4"/>
                <w:lang w:val="en-GB"/>
              </w:rPr>
              <w:t> </w:t>
            </w:r>
            <w:r w:rsidR="00A02E8B" w:rsidRPr="00C63B51">
              <w:rPr>
                <w:spacing w:val="-4"/>
                <w:lang w:val="en-GB"/>
              </w:rPr>
              <w:t>057</w:t>
            </w:r>
            <w:r w:rsidR="000279A9">
              <w:rPr>
                <w:spacing w:val="-4"/>
                <w:lang w:val="en-GB"/>
              </w:rPr>
              <w:t>.</w:t>
            </w:r>
            <w:r w:rsidR="00A02E8B" w:rsidRPr="00C63B51">
              <w:rPr>
                <w:spacing w:val="-4"/>
                <w:lang w:val="en-GB"/>
              </w:rPr>
              <w:t>4</w:t>
            </w:r>
            <w:r w:rsidR="000279A9">
              <w:rPr>
                <w:spacing w:val="-4"/>
                <w:lang w:val="en-GB"/>
              </w:rPr>
              <w:t xml:space="preserve"> CZK bn and it was by </w:t>
            </w:r>
            <w:r w:rsidR="00A02E8B" w:rsidRPr="00C63B51">
              <w:rPr>
                <w:spacing w:val="-4"/>
                <w:lang w:val="en-GB"/>
              </w:rPr>
              <w:t>133</w:t>
            </w:r>
            <w:r w:rsidR="000279A9">
              <w:rPr>
                <w:spacing w:val="-4"/>
                <w:lang w:val="en-GB"/>
              </w:rPr>
              <w:t>.</w:t>
            </w:r>
            <w:r w:rsidR="00A02E8B" w:rsidRPr="00C63B51">
              <w:rPr>
                <w:spacing w:val="-4"/>
                <w:lang w:val="en-GB"/>
              </w:rPr>
              <w:t>9</w:t>
            </w:r>
            <w:r w:rsidR="000279A9">
              <w:rPr>
                <w:spacing w:val="-4"/>
                <w:lang w:val="en-GB"/>
              </w:rPr>
              <w:t xml:space="preserve"> bn </w:t>
            </w:r>
            <w:r w:rsidR="00A02E8B" w:rsidRPr="00C63B51">
              <w:rPr>
                <w:spacing w:val="-4"/>
                <w:lang w:val="en-GB"/>
              </w:rPr>
              <w:t>(14</w:t>
            </w:r>
            <w:r w:rsidR="000279A9">
              <w:rPr>
                <w:spacing w:val="-4"/>
                <w:lang w:val="en-GB"/>
              </w:rPr>
              <w:t>.</w:t>
            </w:r>
            <w:r w:rsidR="00A02E8B" w:rsidRPr="00C63B51">
              <w:rPr>
                <w:spacing w:val="-4"/>
                <w:lang w:val="en-GB"/>
              </w:rPr>
              <w:t>5%)</w:t>
            </w:r>
            <w:r w:rsidR="000279A9">
              <w:rPr>
                <w:spacing w:val="-4"/>
                <w:lang w:val="en-GB"/>
              </w:rPr>
              <w:t xml:space="preserve"> higher year-on-year</w:t>
            </w:r>
            <w:r w:rsidR="00A02E8B" w:rsidRPr="00C63B51">
              <w:rPr>
                <w:spacing w:val="-4"/>
                <w:lang w:val="en-GB"/>
              </w:rPr>
              <w:t>.</w:t>
            </w:r>
            <w:r w:rsidR="00EF39FD">
              <w:rPr>
                <w:spacing w:val="-4"/>
                <w:lang w:val="en-GB"/>
              </w:rPr>
              <w:t xml:space="preserve"> Significant growth of prices of materials </w:t>
            </w:r>
            <w:proofErr w:type="gramStart"/>
            <w:r w:rsidR="00EF39FD">
              <w:rPr>
                <w:spacing w:val="-4"/>
                <w:lang w:val="en-GB"/>
              </w:rPr>
              <w:t>was reflected</w:t>
            </w:r>
            <w:proofErr w:type="gramEnd"/>
            <w:r w:rsidR="00EF39FD">
              <w:rPr>
                <w:spacing w:val="-4"/>
                <w:lang w:val="en-GB"/>
              </w:rPr>
              <w:t xml:space="preserve"> on the development of import from the territorial view</w:t>
            </w:r>
            <w:r w:rsidR="00A02E8B" w:rsidRPr="00C63B51">
              <w:rPr>
                <w:spacing w:val="-4"/>
                <w:lang w:val="en-GB"/>
              </w:rPr>
              <w:t xml:space="preserve">, </w:t>
            </w:r>
            <w:r w:rsidR="00EF39FD">
              <w:rPr>
                <w:spacing w:val="-4"/>
                <w:lang w:val="en-GB"/>
              </w:rPr>
              <w:t>which the CR largely imports from countries outside the EU</w:t>
            </w:r>
            <w:r w:rsidR="00A02E8B" w:rsidRPr="00C63B51">
              <w:rPr>
                <w:spacing w:val="-4"/>
                <w:lang w:val="en-GB"/>
              </w:rPr>
              <w:t xml:space="preserve">. Import </w:t>
            </w:r>
            <w:r w:rsidR="00EF39FD">
              <w:rPr>
                <w:spacing w:val="-4"/>
                <w:lang w:val="en-GB"/>
              </w:rPr>
              <w:t xml:space="preserve">from the European Union thus expanded in total by </w:t>
            </w:r>
            <w:r w:rsidR="00A02E8B" w:rsidRPr="00C63B51">
              <w:rPr>
                <w:spacing w:val="-4"/>
                <w:lang w:val="en-GB"/>
              </w:rPr>
              <w:t>366</w:t>
            </w:r>
            <w:r w:rsidR="00EF39FD">
              <w:rPr>
                <w:spacing w:val="-4"/>
                <w:lang w:val="en-GB"/>
              </w:rPr>
              <w:t>.</w:t>
            </w:r>
            <w:r w:rsidR="00A02E8B" w:rsidRPr="00C63B51">
              <w:rPr>
                <w:spacing w:val="-4"/>
                <w:lang w:val="en-GB"/>
              </w:rPr>
              <w:t>4</w:t>
            </w:r>
            <w:r w:rsidR="00EF39FD">
              <w:rPr>
                <w:spacing w:val="-4"/>
                <w:lang w:val="en-GB"/>
              </w:rPr>
              <w:t xml:space="preserve"> CZK bn </w:t>
            </w:r>
            <w:r w:rsidR="00A02E8B" w:rsidRPr="00C63B51">
              <w:rPr>
                <w:spacing w:val="-4"/>
                <w:lang w:val="en-GB"/>
              </w:rPr>
              <w:t>(17</w:t>
            </w:r>
            <w:r w:rsidR="00EF39FD">
              <w:rPr>
                <w:spacing w:val="-4"/>
                <w:lang w:val="en-GB"/>
              </w:rPr>
              <w:t>.</w:t>
            </w:r>
            <w:r w:rsidR="00A02E8B" w:rsidRPr="00C63B51">
              <w:rPr>
                <w:spacing w:val="-4"/>
                <w:lang w:val="en-GB"/>
              </w:rPr>
              <w:t>3%)</w:t>
            </w:r>
            <w:r w:rsidR="00EF39FD">
              <w:rPr>
                <w:spacing w:val="-4"/>
                <w:lang w:val="en-GB"/>
              </w:rPr>
              <w:t xml:space="preserve"> last year</w:t>
            </w:r>
            <w:r w:rsidR="00A02E8B" w:rsidRPr="00C63B51">
              <w:rPr>
                <w:spacing w:val="-4"/>
                <w:lang w:val="en-GB"/>
              </w:rPr>
              <w:t>,</w:t>
            </w:r>
            <w:r w:rsidR="00EF39FD">
              <w:rPr>
                <w:spacing w:val="-4"/>
                <w:lang w:val="en-GB"/>
              </w:rPr>
              <w:t xml:space="preserve"> while </w:t>
            </w:r>
            <w:r w:rsidR="007B04C6">
              <w:rPr>
                <w:spacing w:val="-4"/>
                <w:lang w:val="en-GB"/>
              </w:rPr>
              <w:t>the import f</w:t>
            </w:r>
            <w:r w:rsidR="00027EF4">
              <w:rPr>
                <w:spacing w:val="-4"/>
                <w:lang w:val="en-GB"/>
              </w:rPr>
              <w:t>ro</w:t>
            </w:r>
            <w:r w:rsidR="007B04C6">
              <w:rPr>
                <w:spacing w:val="-4"/>
                <w:lang w:val="en-GB"/>
              </w:rPr>
              <w:t xml:space="preserve">m the non-EU countries was by </w:t>
            </w:r>
            <w:r w:rsidR="00A02E8B" w:rsidRPr="00C63B51">
              <w:rPr>
                <w:spacing w:val="-4"/>
                <w:lang w:val="en-GB"/>
              </w:rPr>
              <w:t>265</w:t>
            </w:r>
            <w:r w:rsidR="007B04C6">
              <w:rPr>
                <w:spacing w:val="-4"/>
                <w:lang w:val="en-GB"/>
              </w:rPr>
              <w:t>.</w:t>
            </w:r>
            <w:r w:rsidR="00A02E8B" w:rsidRPr="00C63B51">
              <w:rPr>
                <w:spacing w:val="-4"/>
                <w:lang w:val="en-GB"/>
              </w:rPr>
              <w:t>2</w:t>
            </w:r>
            <w:r w:rsidR="007B04C6">
              <w:rPr>
                <w:spacing w:val="-4"/>
                <w:lang w:val="en-GB"/>
              </w:rPr>
              <w:t xml:space="preserve"> bn </w:t>
            </w:r>
            <w:r w:rsidR="00A02E8B" w:rsidRPr="00C63B51">
              <w:rPr>
                <w:spacing w:val="-4"/>
                <w:lang w:val="en-GB"/>
              </w:rPr>
              <w:t>(22</w:t>
            </w:r>
            <w:r w:rsidR="007B04C6">
              <w:rPr>
                <w:spacing w:val="-4"/>
                <w:lang w:val="en-GB"/>
              </w:rPr>
              <w:t>.</w:t>
            </w:r>
            <w:r w:rsidR="00A02E8B" w:rsidRPr="00C63B51">
              <w:rPr>
                <w:spacing w:val="-4"/>
                <w:lang w:val="en-GB"/>
              </w:rPr>
              <w:t>7%)</w:t>
            </w:r>
            <w:r w:rsidR="007B04C6">
              <w:rPr>
                <w:spacing w:val="-4"/>
                <w:lang w:val="en-GB"/>
              </w:rPr>
              <w:t xml:space="preserve"> higher</w:t>
            </w:r>
            <w:r w:rsidR="00A02E8B" w:rsidRPr="00C63B51">
              <w:rPr>
                <w:spacing w:val="-4"/>
                <w:lang w:val="en-GB"/>
              </w:rPr>
              <w:t xml:space="preserve">. </w:t>
            </w:r>
            <w:r w:rsidR="00B45304">
              <w:rPr>
                <w:spacing w:val="-4"/>
                <w:lang w:val="en-GB"/>
              </w:rPr>
              <w:t xml:space="preserve">Import from Germany </w:t>
            </w:r>
            <w:r w:rsidR="00A02E8B" w:rsidRPr="00C63B51">
              <w:rPr>
                <w:spacing w:val="-4"/>
                <w:lang w:val="en-GB"/>
              </w:rPr>
              <w:t>(+117</w:t>
            </w:r>
            <w:r w:rsidR="00B45304">
              <w:rPr>
                <w:spacing w:val="-4"/>
                <w:lang w:val="en-GB"/>
              </w:rPr>
              <w:t>.</w:t>
            </w:r>
            <w:r w:rsidR="00A02E8B" w:rsidRPr="00C63B51">
              <w:rPr>
                <w:spacing w:val="-4"/>
                <w:lang w:val="en-GB"/>
              </w:rPr>
              <w:t>1</w:t>
            </w:r>
            <w:r w:rsidR="00B45304">
              <w:rPr>
                <w:spacing w:val="-4"/>
                <w:lang w:val="en-GB"/>
              </w:rPr>
              <w:t xml:space="preserve"> CZK bn</w:t>
            </w:r>
            <w:r w:rsidR="00A02E8B" w:rsidRPr="00C63B51">
              <w:rPr>
                <w:spacing w:val="-4"/>
                <w:lang w:val="en-GB"/>
              </w:rPr>
              <w:t>, 14</w:t>
            </w:r>
            <w:r w:rsidR="00B45304">
              <w:rPr>
                <w:spacing w:val="-4"/>
                <w:lang w:val="en-GB"/>
              </w:rPr>
              <w:t>.</w:t>
            </w:r>
            <w:r w:rsidR="00A02E8B" w:rsidRPr="00C63B51">
              <w:rPr>
                <w:spacing w:val="-4"/>
                <w:lang w:val="en-GB"/>
              </w:rPr>
              <w:t>3%), Rus</w:t>
            </w:r>
            <w:r w:rsidR="00B45304">
              <w:rPr>
                <w:spacing w:val="-4"/>
                <w:lang w:val="en-GB"/>
              </w:rPr>
              <w:t xml:space="preserve">sia </w:t>
            </w:r>
            <w:r w:rsidR="00A02E8B" w:rsidRPr="00C63B51">
              <w:rPr>
                <w:spacing w:val="-4"/>
                <w:lang w:val="en-GB"/>
              </w:rPr>
              <w:t>(+69</w:t>
            </w:r>
            <w:r w:rsidR="00B45304">
              <w:rPr>
                <w:spacing w:val="-4"/>
                <w:lang w:val="en-GB"/>
              </w:rPr>
              <w:t>.</w:t>
            </w:r>
            <w:r w:rsidR="00A02E8B" w:rsidRPr="00C63B51">
              <w:rPr>
                <w:spacing w:val="-4"/>
                <w:lang w:val="en-GB"/>
              </w:rPr>
              <w:t>8</w:t>
            </w:r>
            <w:r w:rsidR="00B45304">
              <w:rPr>
                <w:spacing w:val="-4"/>
                <w:lang w:val="en-GB"/>
              </w:rPr>
              <w:t xml:space="preserve"> bn</w:t>
            </w:r>
            <w:r w:rsidR="00A02E8B" w:rsidRPr="00C63B51">
              <w:rPr>
                <w:spacing w:val="-4"/>
                <w:lang w:val="en-GB"/>
              </w:rPr>
              <w:t>, 103</w:t>
            </w:r>
            <w:r w:rsidR="00B45304">
              <w:rPr>
                <w:spacing w:val="-4"/>
                <w:lang w:val="en-GB"/>
              </w:rPr>
              <w:t>.</w:t>
            </w:r>
            <w:r w:rsidR="00A02E8B" w:rsidRPr="00C63B51">
              <w:rPr>
                <w:spacing w:val="-4"/>
                <w:lang w:val="en-GB"/>
              </w:rPr>
              <w:t>0%), Pol</w:t>
            </w:r>
            <w:r w:rsidR="00B45304">
              <w:rPr>
                <w:spacing w:val="-4"/>
                <w:lang w:val="en-GB"/>
              </w:rPr>
              <w:t xml:space="preserve">and </w:t>
            </w:r>
            <w:r w:rsidR="00A02E8B" w:rsidRPr="00C63B51">
              <w:rPr>
                <w:spacing w:val="-4"/>
                <w:lang w:val="en-GB"/>
              </w:rPr>
              <w:t>(+60</w:t>
            </w:r>
            <w:r w:rsidR="00B45304">
              <w:rPr>
                <w:spacing w:val="-4"/>
                <w:lang w:val="en-GB"/>
              </w:rPr>
              <w:t>.</w:t>
            </w:r>
            <w:r w:rsidR="00A02E8B" w:rsidRPr="00C63B51">
              <w:rPr>
                <w:spacing w:val="-4"/>
                <w:lang w:val="en-GB"/>
              </w:rPr>
              <w:t>8</w:t>
            </w:r>
            <w:r w:rsidR="00B45304">
              <w:rPr>
                <w:spacing w:val="-4"/>
                <w:lang w:val="en-GB"/>
              </w:rPr>
              <w:t xml:space="preserve"> bn</w:t>
            </w:r>
            <w:r w:rsidR="00A02E8B" w:rsidRPr="00C63B51">
              <w:rPr>
                <w:spacing w:val="-4"/>
                <w:lang w:val="en-GB"/>
              </w:rPr>
              <w:t>, 21</w:t>
            </w:r>
            <w:r w:rsidR="00B45304">
              <w:rPr>
                <w:spacing w:val="-4"/>
                <w:lang w:val="en-GB"/>
              </w:rPr>
              <w:t>.</w:t>
            </w:r>
            <w:r w:rsidR="00A02E8B" w:rsidRPr="00C63B51">
              <w:rPr>
                <w:spacing w:val="-4"/>
                <w:lang w:val="en-GB"/>
              </w:rPr>
              <w:t>2%) a</w:t>
            </w:r>
            <w:r w:rsidR="00B45304">
              <w:rPr>
                <w:spacing w:val="-4"/>
                <w:lang w:val="en-GB"/>
              </w:rPr>
              <w:t xml:space="preserve">nd China </w:t>
            </w:r>
            <w:r w:rsidR="00A02E8B" w:rsidRPr="00C63B51">
              <w:rPr>
                <w:spacing w:val="-4"/>
                <w:lang w:val="en-GB"/>
              </w:rPr>
              <w:t>(+60</w:t>
            </w:r>
            <w:r w:rsidR="00B45304">
              <w:rPr>
                <w:spacing w:val="-4"/>
                <w:lang w:val="en-GB"/>
              </w:rPr>
              <w:t>.</w:t>
            </w:r>
            <w:r w:rsidR="00A02E8B" w:rsidRPr="00C63B51">
              <w:rPr>
                <w:spacing w:val="-4"/>
                <w:lang w:val="en-GB"/>
              </w:rPr>
              <w:t>2</w:t>
            </w:r>
            <w:r w:rsidR="00B45304">
              <w:rPr>
                <w:spacing w:val="-4"/>
                <w:lang w:val="en-GB"/>
              </w:rPr>
              <w:t xml:space="preserve"> bn</w:t>
            </w:r>
            <w:r w:rsidR="00A02E8B" w:rsidRPr="00C63B51">
              <w:rPr>
                <w:spacing w:val="-4"/>
                <w:lang w:val="en-GB"/>
              </w:rPr>
              <w:t>, 14</w:t>
            </w:r>
            <w:r w:rsidR="00B45304">
              <w:rPr>
                <w:spacing w:val="-4"/>
                <w:lang w:val="en-GB"/>
              </w:rPr>
              <w:t>.</w:t>
            </w:r>
            <w:r w:rsidR="00A02E8B" w:rsidRPr="00C63B51">
              <w:rPr>
                <w:spacing w:val="-4"/>
                <w:lang w:val="en-GB"/>
              </w:rPr>
              <w:t>6%)</w:t>
            </w:r>
            <w:r w:rsidR="00B45304">
              <w:rPr>
                <w:spacing w:val="-4"/>
                <w:lang w:val="en-GB"/>
              </w:rPr>
              <w:t xml:space="preserve"> grew the most last year</w:t>
            </w:r>
            <w:r w:rsidR="00A02E8B" w:rsidRPr="00C63B51">
              <w:rPr>
                <w:spacing w:val="-4"/>
                <w:lang w:val="en-GB"/>
              </w:rPr>
              <w:t xml:space="preserve">. </w:t>
            </w:r>
            <w:r w:rsidR="00B45304">
              <w:rPr>
                <w:spacing w:val="-4"/>
                <w:lang w:val="en-GB"/>
              </w:rPr>
              <w:t>Increase of import from</w:t>
            </w:r>
            <w:r w:rsidR="00027EF4">
              <w:rPr>
                <w:spacing w:val="-4"/>
                <w:lang w:val="en-GB"/>
              </w:rPr>
              <w:t xml:space="preserve"> Slovakia</w:t>
            </w:r>
            <w:r w:rsidR="00B45304">
              <w:rPr>
                <w:spacing w:val="-4"/>
                <w:lang w:val="en-GB"/>
              </w:rPr>
              <w:t xml:space="preserve"> </w:t>
            </w:r>
            <w:r w:rsidR="00A02E8B" w:rsidRPr="00C63B51">
              <w:rPr>
                <w:spacing w:val="-4"/>
                <w:lang w:val="en-GB"/>
              </w:rPr>
              <w:t>(+41</w:t>
            </w:r>
            <w:r w:rsidR="007B309E">
              <w:rPr>
                <w:spacing w:val="-4"/>
                <w:lang w:val="en-GB"/>
              </w:rPr>
              <w:t>.</w:t>
            </w:r>
            <w:r w:rsidR="00A02E8B" w:rsidRPr="00C63B51">
              <w:rPr>
                <w:spacing w:val="-4"/>
                <w:lang w:val="en-GB"/>
              </w:rPr>
              <w:t>5 </w:t>
            </w:r>
            <w:r w:rsidR="007B309E">
              <w:rPr>
                <w:spacing w:val="-4"/>
                <w:lang w:val="en-GB"/>
              </w:rPr>
              <w:t>bn</w:t>
            </w:r>
            <w:r w:rsidR="00A02E8B" w:rsidRPr="00C63B51">
              <w:rPr>
                <w:spacing w:val="-4"/>
                <w:lang w:val="en-GB"/>
              </w:rPr>
              <w:t>, 25</w:t>
            </w:r>
            <w:r w:rsidR="007B309E">
              <w:rPr>
                <w:spacing w:val="-4"/>
                <w:lang w:val="en-GB"/>
              </w:rPr>
              <w:t>.</w:t>
            </w:r>
            <w:r w:rsidR="00A02E8B" w:rsidRPr="00C63B51">
              <w:rPr>
                <w:spacing w:val="-4"/>
                <w:lang w:val="en-GB"/>
              </w:rPr>
              <w:t>8%),</w:t>
            </w:r>
            <w:r w:rsidR="007B309E">
              <w:rPr>
                <w:spacing w:val="-4"/>
                <w:lang w:val="en-GB"/>
              </w:rPr>
              <w:t xml:space="preserve"> Italy </w:t>
            </w:r>
            <w:r w:rsidR="00A02E8B" w:rsidRPr="00C63B51">
              <w:rPr>
                <w:spacing w:val="-4"/>
                <w:lang w:val="en-GB"/>
              </w:rPr>
              <w:t>(+29</w:t>
            </w:r>
            <w:r w:rsidR="007B309E">
              <w:rPr>
                <w:spacing w:val="-4"/>
                <w:lang w:val="en-GB"/>
              </w:rPr>
              <w:t>.</w:t>
            </w:r>
            <w:r w:rsidR="00A02E8B" w:rsidRPr="00C63B51">
              <w:rPr>
                <w:spacing w:val="-4"/>
                <w:lang w:val="en-GB"/>
              </w:rPr>
              <w:t>0</w:t>
            </w:r>
            <w:r w:rsidR="007B309E">
              <w:rPr>
                <w:spacing w:val="-4"/>
                <w:lang w:val="en-GB"/>
              </w:rPr>
              <w:t xml:space="preserve"> bn</w:t>
            </w:r>
            <w:r w:rsidR="00A02E8B" w:rsidRPr="00C63B51">
              <w:rPr>
                <w:spacing w:val="-4"/>
                <w:lang w:val="en-GB"/>
              </w:rPr>
              <w:t>, 19</w:t>
            </w:r>
            <w:r w:rsidR="007B309E">
              <w:rPr>
                <w:spacing w:val="-4"/>
                <w:lang w:val="en-GB"/>
              </w:rPr>
              <w:t>.</w:t>
            </w:r>
            <w:r w:rsidR="00A02E8B" w:rsidRPr="00C63B51">
              <w:rPr>
                <w:spacing w:val="-4"/>
                <w:lang w:val="en-GB"/>
              </w:rPr>
              <w:t>5%),</w:t>
            </w:r>
            <w:r w:rsidR="007B309E">
              <w:rPr>
                <w:spacing w:val="-4"/>
                <w:lang w:val="en-GB"/>
              </w:rPr>
              <w:t xml:space="preserve"> Japan </w:t>
            </w:r>
            <w:r w:rsidR="00A02E8B" w:rsidRPr="00C63B51">
              <w:rPr>
                <w:spacing w:val="-4"/>
                <w:lang w:val="en-GB"/>
              </w:rPr>
              <w:t>(+23</w:t>
            </w:r>
            <w:r w:rsidR="007B309E">
              <w:rPr>
                <w:spacing w:val="-4"/>
                <w:lang w:val="en-GB"/>
              </w:rPr>
              <w:t>.</w:t>
            </w:r>
            <w:r w:rsidR="00A02E8B" w:rsidRPr="00C63B51">
              <w:rPr>
                <w:spacing w:val="-4"/>
                <w:lang w:val="en-GB"/>
              </w:rPr>
              <w:t>4</w:t>
            </w:r>
            <w:r w:rsidR="007B309E">
              <w:rPr>
                <w:spacing w:val="-4"/>
                <w:lang w:val="en-GB"/>
              </w:rPr>
              <w:t xml:space="preserve"> bn</w:t>
            </w:r>
            <w:r w:rsidR="00A02E8B" w:rsidRPr="00C63B51">
              <w:rPr>
                <w:spacing w:val="-4"/>
                <w:lang w:val="en-GB"/>
              </w:rPr>
              <w:t>, 38</w:t>
            </w:r>
            <w:r w:rsidR="007B309E">
              <w:rPr>
                <w:spacing w:val="-4"/>
                <w:lang w:val="en-GB"/>
              </w:rPr>
              <w:t>.</w:t>
            </w:r>
            <w:r w:rsidR="00A02E8B" w:rsidRPr="00C63B51">
              <w:rPr>
                <w:spacing w:val="-4"/>
                <w:lang w:val="en-GB"/>
              </w:rPr>
              <w:t>6%) a</w:t>
            </w:r>
            <w:r w:rsidR="007B309E">
              <w:rPr>
                <w:spacing w:val="-4"/>
                <w:lang w:val="en-GB"/>
              </w:rPr>
              <w:t xml:space="preserve">nd Austria </w:t>
            </w:r>
            <w:r w:rsidR="00A02E8B" w:rsidRPr="00C63B51">
              <w:rPr>
                <w:spacing w:val="-4"/>
                <w:lang w:val="en-GB"/>
              </w:rPr>
              <w:t>(+23</w:t>
            </w:r>
            <w:r w:rsidR="007B309E">
              <w:rPr>
                <w:spacing w:val="-4"/>
                <w:lang w:val="en-GB"/>
              </w:rPr>
              <w:t>.</w:t>
            </w:r>
            <w:r w:rsidR="00A02E8B" w:rsidRPr="00C63B51">
              <w:rPr>
                <w:spacing w:val="-4"/>
                <w:lang w:val="en-GB"/>
              </w:rPr>
              <w:t>1</w:t>
            </w:r>
            <w:r w:rsidR="007B309E">
              <w:rPr>
                <w:spacing w:val="-4"/>
                <w:lang w:val="en-GB"/>
              </w:rPr>
              <w:t xml:space="preserve"> bn</w:t>
            </w:r>
            <w:r w:rsidR="00A02E8B" w:rsidRPr="00C63B51">
              <w:rPr>
                <w:spacing w:val="-4"/>
                <w:lang w:val="en-GB"/>
              </w:rPr>
              <w:t>, 23</w:t>
            </w:r>
            <w:r w:rsidR="007B309E">
              <w:rPr>
                <w:spacing w:val="-4"/>
                <w:lang w:val="en-GB"/>
              </w:rPr>
              <w:t>.</w:t>
            </w:r>
            <w:r w:rsidR="00A02E8B" w:rsidRPr="00C63B51">
              <w:rPr>
                <w:spacing w:val="-4"/>
                <w:lang w:val="en-GB"/>
              </w:rPr>
              <w:t>7%)</w:t>
            </w:r>
            <w:r w:rsidR="00B45304">
              <w:rPr>
                <w:spacing w:val="-4"/>
                <w:lang w:val="en-GB"/>
              </w:rPr>
              <w:t xml:space="preserve"> was also strong</w:t>
            </w:r>
            <w:r w:rsidR="00A02E8B" w:rsidRPr="00C63B51">
              <w:rPr>
                <w:spacing w:val="-4"/>
                <w:lang w:val="en-GB"/>
              </w:rPr>
              <w:t>.</w:t>
            </w:r>
            <w:r w:rsidR="00B45304">
              <w:rPr>
                <w:spacing w:val="-4"/>
                <w:lang w:val="en-GB"/>
              </w:rPr>
              <w:t xml:space="preserve"> In Q</w:t>
            </w:r>
            <w:r w:rsidR="00A02E8B" w:rsidRPr="00C63B51">
              <w:rPr>
                <w:spacing w:val="-4"/>
                <w:lang w:val="en-GB"/>
              </w:rPr>
              <w:t>4</w:t>
            </w:r>
            <w:r w:rsidR="00B45304">
              <w:rPr>
                <w:spacing w:val="-4"/>
                <w:lang w:val="en-GB"/>
              </w:rPr>
              <w:t xml:space="preserve"> itself, the year-on-year growth of import from the countries outside the EU </w:t>
            </w:r>
            <w:r w:rsidR="00A02E8B" w:rsidRPr="00C63B51">
              <w:rPr>
                <w:spacing w:val="-4"/>
                <w:lang w:val="en-GB"/>
              </w:rPr>
              <w:t>(+75</w:t>
            </w:r>
            <w:r w:rsidR="00B45304">
              <w:rPr>
                <w:spacing w:val="-4"/>
                <w:lang w:val="en-GB"/>
              </w:rPr>
              <w:t>.</w:t>
            </w:r>
            <w:r w:rsidR="00A02E8B" w:rsidRPr="00C63B51">
              <w:rPr>
                <w:spacing w:val="-4"/>
                <w:lang w:val="en-GB"/>
              </w:rPr>
              <w:t>7</w:t>
            </w:r>
            <w:r w:rsidR="00B45304">
              <w:rPr>
                <w:spacing w:val="-4"/>
                <w:lang w:val="en-GB"/>
              </w:rPr>
              <w:t xml:space="preserve"> CZK bn</w:t>
            </w:r>
            <w:r w:rsidR="00A02E8B" w:rsidRPr="00C63B51">
              <w:rPr>
                <w:spacing w:val="-4"/>
                <w:lang w:val="en-GB"/>
              </w:rPr>
              <w:t>, 23</w:t>
            </w:r>
            <w:r w:rsidR="00B45304">
              <w:rPr>
                <w:spacing w:val="-4"/>
                <w:lang w:val="en-GB"/>
              </w:rPr>
              <w:t>.</w:t>
            </w:r>
            <w:r w:rsidR="00A02E8B" w:rsidRPr="00C63B51">
              <w:rPr>
                <w:spacing w:val="-4"/>
                <w:lang w:val="en-GB"/>
              </w:rPr>
              <w:t>0%)</w:t>
            </w:r>
            <w:r w:rsidR="007B309E">
              <w:rPr>
                <w:spacing w:val="-4"/>
                <w:lang w:val="en-GB"/>
              </w:rPr>
              <w:t xml:space="preserve"> notably exceeded the increase of import from the Union </w:t>
            </w:r>
            <w:r w:rsidR="00A02E8B" w:rsidRPr="00C63B51">
              <w:rPr>
                <w:spacing w:val="-4"/>
                <w:lang w:val="en-GB"/>
              </w:rPr>
              <w:t>(+56</w:t>
            </w:r>
            <w:r w:rsidR="007B309E">
              <w:rPr>
                <w:spacing w:val="-4"/>
                <w:lang w:val="en-GB"/>
              </w:rPr>
              <w:t>.</w:t>
            </w:r>
            <w:r w:rsidR="00A02E8B" w:rsidRPr="00C63B51">
              <w:rPr>
                <w:spacing w:val="-4"/>
                <w:lang w:val="en-GB"/>
              </w:rPr>
              <w:t>9</w:t>
            </w:r>
            <w:r w:rsidR="007B309E">
              <w:rPr>
                <w:spacing w:val="-4"/>
                <w:lang w:val="en-GB"/>
              </w:rPr>
              <w:t xml:space="preserve"> bn</w:t>
            </w:r>
            <w:r w:rsidR="00A02E8B" w:rsidRPr="00C63B51">
              <w:rPr>
                <w:spacing w:val="-4"/>
                <w:lang w:val="en-GB"/>
              </w:rPr>
              <w:t>, 9</w:t>
            </w:r>
            <w:r w:rsidR="007B309E">
              <w:rPr>
                <w:spacing w:val="-4"/>
                <w:lang w:val="en-GB"/>
              </w:rPr>
              <w:t>.</w:t>
            </w:r>
            <w:r w:rsidR="00A02E8B" w:rsidRPr="00C63B51">
              <w:rPr>
                <w:spacing w:val="-4"/>
                <w:lang w:val="en-GB"/>
              </w:rPr>
              <w:t>7%).</w:t>
            </w:r>
            <w:r w:rsidR="007B309E">
              <w:rPr>
                <w:spacing w:val="-4"/>
                <w:lang w:val="en-GB"/>
              </w:rPr>
              <w:t xml:space="preserve"> </w:t>
            </w:r>
            <w:r w:rsidR="001E509E">
              <w:rPr>
                <w:spacing w:val="-4"/>
                <w:lang w:val="en-GB"/>
              </w:rPr>
              <w:t xml:space="preserve">The dynamics of import from Russia </w:t>
            </w:r>
            <w:r w:rsidR="00A02E8B" w:rsidRPr="00C63B51">
              <w:rPr>
                <w:spacing w:val="-4"/>
                <w:lang w:val="en-GB"/>
              </w:rPr>
              <w:t>(+26</w:t>
            </w:r>
            <w:r w:rsidR="001E509E">
              <w:rPr>
                <w:spacing w:val="-4"/>
                <w:lang w:val="en-GB"/>
              </w:rPr>
              <w:t>.</w:t>
            </w:r>
            <w:r w:rsidR="00A02E8B" w:rsidRPr="00C63B51">
              <w:rPr>
                <w:spacing w:val="-4"/>
                <w:lang w:val="en-GB"/>
              </w:rPr>
              <w:t>4</w:t>
            </w:r>
            <w:r w:rsidR="001E509E">
              <w:rPr>
                <w:spacing w:val="-4"/>
                <w:lang w:val="en-GB"/>
              </w:rPr>
              <w:t xml:space="preserve"> CZK bn</w:t>
            </w:r>
            <w:r w:rsidR="00A02E8B" w:rsidRPr="00C63B51">
              <w:rPr>
                <w:spacing w:val="-4"/>
                <w:lang w:val="en-GB"/>
              </w:rPr>
              <w:t>, 136</w:t>
            </w:r>
            <w:r w:rsidR="001E509E">
              <w:rPr>
                <w:spacing w:val="-4"/>
                <w:lang w:val="en-GB"/>
              </w:rPr>
              <w:t>.</w:t>
            </w:r>
            <w:r w:rsidR="00A02E8B" w:rsidRPr="00C63B51">
              <w:rPr>
                <w:spacing w:val="-4"/>
                <w:lang w:val="en-GB"/>
              </w:rPr>
              <w:t>6%)</w:t>
            </w:r>
            <w:r w:rsidR="001E509E">
              <w:rPr>
                <w:spacing w:val="-4"/>
                <w:lang w:val="en-GB"/>
              </w:rPr>
              <w:t xml:space="preserve"> as well as China </w:t>
            </w:r>
            <w:r w:rsidR="00A02E8B" w:rsidRPr="00C63B51">
              <w:rPr>
                <w:spacing w:val="-4"/>
                <w:lang w:val="en-GB"/>
              </w:rPr>
              <w:t>(+22</w:t>
            </w:r>
            <w:r w:rsidR="001E509E">
              <w:rPr>
                <w:spacing w:val="-4"/>
                <w:lang w:val="en-GB"/>
              </w:rPr>
              <w:t>.</w:t>
            </w:r>
            <w:r w:rsidR="00A02E8B" w:rsidRPr="00C63B51">
              <w:rPr>
                <w:spacing w:val="-4"/>
                <w:lang w:val="en-GB"/>
              </w:rPr>
              <w:t>2</w:t>
            </w:r>
            <w:r w:rsidR="001E509E">
              <w:rPr>
                <w:spacing w:val="-4"/>
                <w:lang w:val="en-GB"/>
              </w:rPr>
              <w:t xml:space="preserve"> bn</w:t>
            </w:r>
            <w:r w:rsidR="00A02E8B" w:rsidRPr="00C63B51">
              <w:rPr>
                <w:spacing w:val="-4"/>
                <w:lang w:val="en-GB"/>
              </w:rPr>
              <w:t>, 18</w:t>
            </w:r>
            <w:r w:rsidR="001E509E">
              <w:rPr>
                <w:spacing w:val="-4"/>
                <w:lang w:val="en-GB"/>
              </w:rPr>
              <w:t>.</w:t>
            </w:r>
            <w:r w:rsidR="00A02E8B" w:rsidRPr="00C63B51">
              <w:rPr>
                <w:spacing w:val="-4"/>
                <w:lang w:val="en-GB"/>
              </w:rPr>
              <w:t>5%)</w:t>
            </w:r>
            <w:r w:rsidR="001E509E">
              <w:rPr>
                <w:spacing w:val="-4"/>
                <w:lang w:val="en-GB"/>
              </w:rPr>
              <w:t xml:space="preserve"> </w:t>
            </w:r>
            <w:r w:rsidR="001E509E">
              <w:rPr>
                <w:spacing w:val="-4"/>
                <w:lang w:val="en-GB"/>
              </w:rPr>
              <w:lastRenderedPageBreak/>
              <w:t>further strengthened</w:t>
            </w:r>
            <w:r w:rsidR="00A02E8B" w:rsidRPr="00C63B51">
              <w:rPr>
                <w:spacing w:val="-4"/>
                <w:lang w:val="en-GB"/>
              </w:rPr>
              <w:t>.</w:t>
            </w:r>
            <w:r w:rsidR="005508EB">
              <w:rPr>
                <w:spacing w:val="-4"/>
                <w:lang w:val="en-GB"/>
              </w:rPr>
              <w:t xml:space="preserve"> The increase was significant for Poland </w:t>
            </w:r>
            <w:r w:rsidR="00A02E8B" w:rsidRPr="00C63B51">
              <w:rPr>
                <w:spacing w:val="-4"/>
                <w:lang w:val="en-GB"/>
              </w:rPr>
              <w:t>(+12</w:t>
            </w:r>
            <w:r w:rsidR="005508EB">
              <w:rPr>
                <w:spacing w:val="-4"/>
                <w:lang w:val="en-GB"/>
              </w:rPr>
              <w:t>.</w:t>
            </w:r>
            <w:r w:rsidR="00A02E8B" w:rsidRPr="00C63B51">
              <w:rPr>
                <w:spacing w:val="-4"/>
                <w:lang w:val="en-GB"/>
              </w:rPr>
              <w:t>9</w:t>
            </w:r>
            <w:r w:rsidR="005508EB">
              <w:rPr>
                <w:spacing w:val="-4"/>
                <w:lang w:val="en-GB"/>
              </w:rPr>
              <w:t xml:space="preserve"> CZK bn</w:t>
            </w:r>
            <w:r w:rsidR="00A02E8B" w:rsidRPr="00C63B51">
              <w:rPr>
                <w:spacing w:val="-4"/>
                <w:lang w:val="en-GB"/>
              </w:rPr>
              <w:t>, 16</w:t>
            </w:r>
            <w:r w:rsidR="005508EB">
              <w:rPr>
                <w:spacing w:val="-4"/>
                <w:lang w:val="en-GB"/>
              </w:rPr>
              <w:t>.</w:t>
            </w:r>
            <w:r w:rsidR="00A02E8B" w:rsidRPr="00C63B51">
              <w:rPr>
                <w:spacing w:val="-4"/>
                <w:lang w:val="en-GB"/>
              </w:rPr>
              <w:t>2%),</w:t>
            </w:r>
            <w:r w:rsidR="005508EB">
              <w:rPr>
                <w:spacing w:val="-4"/>
                <w:lang w:val="en-GB"/>
              </w:rPr>
              <w:t xml:space="preserve"> Germany </w:t>
            </w:r>
            <w:r w:rsidR="00A02E8B" w:rsidRPr="00C63B51">
              <w:rPr>
                <w:spacing w:val="-4"/>
                <w:lang w:val="en-GB"/>
              </w:rPr>
              <w:t>(+10</w:t>
            </w:r>
            <w:r w:rsidR="005508EB">
              <w:rPr>
                <w:spacing w:val="-4"/>
                <w:lang w:val="en-GB"/>
              </w:rPr>
              <w:t>.</w:t>
            </w:r>
            <w:r w:rsidR="00A02E8B" w:rsidRPr="00C63B51">
              <w:rPr>
                <w:spacing w:val="-4"/>
                <w:lang w:val="en-GB"/>
              </w:rPr>
              <w:t>9</w:t>
            </w:r>
            <w:r w:rsidR="005508EB">
              <w:rPr>
                <w:spacing w:val="-4"/>
                <w:lang w:val="en-GB"/>
              </w:rPr>
              <w:t xml:space="preserve"> bn</w:t>
            </w:r>
            <w:r w:rsidR="00A02E8B" w:rsidRPr="00C63B51">
              <w:rPr>
                <w:spacing w:val="-4"/>
                <w:lang w:val="en-GB"/>
              </w:rPr>
              <w:t>, 4</w:t>
            </w:r>
            <w:r w:rsidR="005508EB">
              <w:rPr>
                <w:spacing w:val="-4"/>
                <w:lang w:val="en-GB"/>
              </w:rPr>
              <w:t>.</w:t>
            </w:r>
            <w:r w:rsidR="00A02E8B" w:rsidRPr="00C63B51">
              <w:rPr>
                <w:spacing w:val="-4"/>
                <w:lang w:val="en-GB"/>
              </w:rPr>
              <w:t>8%), Slov</w:t>
            </w:r>
            <w:r w:rsidR="005508EB">
              <w:rPr>
                <w:spacing w:val="-4"/>
                <w:lang w:val="en-GB"/>
              </w:rPr>
              <w:t xml:space="preserve">akia </w:t>
            </w:r>
            <w:r w:rsidR="00A02E8B" w:rsidRPr="00C63B51">
              <w:rPr>
                <w:spacing w:val="-4"/>
                <w:lang w:val="en-GB"/>
              </w:rPr>
              <w:t>(+9</w:t>
            </w:r>
            <w:r w:rsidR="005508EB">
              <w:rPr>
                <w:spacing w:val="-4"/>
                <w:lang w:val="en-GB"/>
              </w:rPr>
              <w:t>.</w:t>
            </w:r>
            <w:r w:rsidR="00A02E8B" w:rsidRPr="00C63B51">
              <w:rPr>
                <w:spacing w:val="-4"/>
                <w:lang w:val="en-GB"/>
              </w:rPr>
              <w:t>6</w:t>
            </w:r>
            <w:r w:rsidR="005508EB">
              <w:rPr>
                <w:spacing w:val="-4"/>
                <w:lang w:val="en-GB"/>
              </w:rPr>
              <w:t xml:space="preserve"> bn</w:t>
            </w:r>
            <w:r w:rsidR="00A02E8B" w:rsidRPr="00C63B51">
              <w:rPr>
                <w:spacing w:val="-4"/>
                <w:lang w:val="en-GB"/>
              </w:rPr>
              <w:t>, 20</w:t>
            </w:r>
            <w:r w:rsidR="005508EB">
              <w:rPr>
                <w:spacing w:val="-4"/>
                <w:lang w:val="en-GB"/>
              </w:rPr>
              <w:t>.</w:t>
            </w:r>
            <w:r w:rsidR="00A02E8B" w:rsidRPr="00C63B51">
              <w:rPr>
                <w:spacing w:val="-4"/>
                <w:lang w:val="en-GB"/>
              </w:rPr>
              <w:t>9%), It</w:t>
            </w:r>
            <w:r w:rsidR="005508EB">
              <w:rPr>
                <w:spacing w:val="-4"/>
                <w:lang w:val="en-GB"/>
              </w:rPr>
              <w:t xml:space="preserve">aly </w:t>
            </w:r>
            <w:r w:rsidR="00A02E8B" w:rsidRPr="00C63B51">
              <w:rPr>
                <w:spacing w:val="-4"/>
                <w:lang w:val="en-GB"/>
              </w:rPr>
              <w:t>(+6</w:t>
            </w:r>
            <w:r w:rsidR="005508EB">
              <w:rPr>
                <w:spacing w:val="-4"/>
                <w:lang w:val="en-GB"/>
              </w:rPr>
              <w:t>.</w:t>
            </w:r>
            <w:r w:rsidR="00A02E8B" w:rsidRPr="00C63B51">
              <w:rPr>
                <w:spacing w:val="-4"/>
                <w:lang w:val="en-GB"/>
              </w:rPr>
              <w:t>3</w:t>
            </w:r>
            <w:r w:rsidR="005508EB">
              <w:rPr>
                <w:spacing w:val="-4"/>
                <w:lang w:val="en-GB"/>
              </w:rPr>
              <w:t xml:space="preserve"> bn</w:t>
            </w:r>
            <w:r w:rsidR="00A02E8B" w:rsidRPr="00C63B51">
              <w:rPr>
                <w:spacing w:val="-4"/>
                <w:lang w:val="en-GB"/>
              </w:rPr>
              <w:t>, 15</w:t>
            </w:r>
            <w:r w:rsidR="005508EB">
              <w:rPr>
                <w:spacing w:val="-4"/>
                <w:lang w:val="en-GB"/>
              </w:rPr>
              <w:t>.</w:t>
            </w:r>
            <w:r w:rsidR="00A02E8B" w:rsidRPr="00C63B51">
              <w:rPr>
                <w:spacing w:val="-4"/>
                <w:lang w:val="en-GB"/>
              </w:rPr>
              <w:t>6%)</w:t>
            </w:r>
            <w:r w:rsidR="005508EB">
              <w:rPr>
                <w:spacing w:val="-4"/>
                <w:lang w:val="en-GB"/>
              </w:rPr>
              <w:t xml:space="preserve"> or Austria </w:t>
            </w:r>
            <w:r w:rsidR="00A02E8B" w:rsidRPr="00C63B51">
              <w:rPr>
                <w:spacing w:val="-4"/>
                <w:lang w:val="en-GB"/>
              </w:rPr>
              <w:t>(+6</w:t>
            </w:r>
            <w:r w:rsidR="005508EB">
              <w:rPr>
                <w:spacing w:val="-4"/>
                <w:lang w:val="en-GB"/>
              </w:rPr>
              <w:t>.</w:t>
            </w:r>
            <w:r w:rsidR="00A02E8B" w:rsidRPr="00C63B51">
              <w:rPr>
                <w:spacing w:val="-4"/>
                <w:lang w:val="en-GB"/>
              </w:rPr>
              <w:t>2</w:t>
            </w:r>
            <w:r w:rsidR="005508EB">
              <w:rPr>
                <w:spacing w:val="-4"/>
                <w:lang w:val="en-GB"/>
              </w:rPr>
              <w:t xml:space="preserve"> bn</w:t>
            </w:r>
            <w:r w:rsidR="00A02E8B" w:rsidRPr="00C63B51">
              <w:rPr>
                <w:spacing w:val="-4"/>
                <w:lang w:val="en-GB"/>
              </w:rPr>
              <w:t>, 23</w:t>
            </w:r>
            <w:r w:rsidR="005508EB">
              <w:rPr>
                <w:spacing w:val="-4"/>
                <w:lang w:val="en-GB"/>
              </w:rPr>
              <w:t>.</w:t>
            </w:r>
            <w:r w:rsidR="00A02E8B" w:rsidRPr="00C63B51">
              <w:rPr>
                <w:spacing w:val="-4"/>
                <w:lang w:val="en-GB"/>
              </w:rPr>
              <w:t xml:space="preserve">6%). </w:t>
            </w:r>
            <w:r w:rsidR="00795C29">
              <w:rPr>
                <w:spacing w:val="-4"/>
                <w:lang w:val="en-GB"/>
              </w:rPr>
              <w:t xml:space="preserve">The import was falling the most from South Korea </w:t>
            </w:r>
            <w:r w:rsidR="00A02E8B" w:rsidRPr="00C63B51">
              <w:rPr>
                <w:spacing w:val="-4"/>
                <w:lang w:val="en-GB"/>
              </w:rPr>
              <w:t>(–2</w:t>
            </w:r>
            <w:r w:rsidR="00795C29">
              <w:rPr>
                <w:spacing w:val="-4"/>
                <w:lang w:val="en-GB"/>
              </w:rPr>
              <w:t>.</w:t>
            </w:r>
            <w:r w:rsidR="00A02E8B" w:rsidRPr="00C63B51">
              <w:rPr>
                <w:spacing w:val="-4"/>
                <w:lang w:val="en-GB"/>
              </w:rPr>
              <w:t>6</w:t>
            </w:r>
            <w:r w:rsidR="00795C29">
              <w:rPr>
                <w:spacing w:val="-4"/>
                <w:lang w:val="en-GB"/>
              </w:rPr>
              <w:t xml:space="preserve"> CZK bn</w:t>
            </w:r>
            <w:r w:rsidR="00A02E8B" w:rsidRPr="00C63B51">
              <w:rPr>
                <w:spacing w:val="-4"/>
                <w:lang w:val="en-GB"/>
              </w:rPr>
              <w:t>,</w:t>
            </w:r>
            <w:r w:rsidR="00795C29">
              <w:rPr>
                <w:spacing w:val="-4"/>
                <w:lang w:val="en-GB"/>
              </w:rPr>
              <w:t xml:space="preserve"> </w:t>
            </w:r>
            <w:r w:rsidR="00A02E8B" w:rsidRPr="00C63B51">
              <w:rPr>
                <w:spacing w:val="-4"/>
                <w:lang w:val="en-GB"/>
              </w:rPr>
              <w:t>–11</w:t>
            </w:r>
            <w:r w:rsidR="00795C29">
              <w:rPr>
                <w:spacing w:val="-4"/>
                <w:lang w:val="en-GB"/>
              </w:rPr>
              <w:t>.</w:t>
            </w:r>
            <w:r w:rsidR="00A02E8B" w:rsidRPr="00C63B51">
              <w:rPr>
                <w:spacing w:val="-4"/>
                <w:lang w:val="en-GB"/>
              </w:rPr>
              <w:t>2%)</w:t>
            </w:r>
            <w:r w:rsidR="00795C29">
              <w:rPr>
                <w:spacing w:val="-4"/>
                <w:lang w:val="en-GB"/>
              </w:rPr>
              <w:t xml:space="preserve"> and Hungary </w:t>
            </w:r>
            <w:r w:rsidR="00A02E8B" w:rsidRPr="00C63B51">
              <w:rPr>
                <w:spacing w:val="-4"/>
                <w:lang w:val="en-GB"/>
              </w:rPr>
              <w:t>(–2</w:t>
            </w:r>
            <w:r w:rsidR="00795C29">
              <w:rPr>
                <w:spacing w:val="-4"/>
                <w:lang w:val="en-GB"/>
              </w:rPr>
              <w:t>.</w:t>
            </w:r>
            <w:r w:rsidR="00A02E8B" w:rsidRPr="00C63B51">
              <w:rPr>
                <w:spacing w:val="-4"/>
                <w:lang w:val="en-GB"/>
              </w:rPr>
              <w:t>1</w:t>
            </w:r>
            <w:r w:rsidR="00795C29">
              <w:rPr>
                <w:spacing w:val="-4"/>
                <w:lang w:val="en-GB"/>
              </w:rPr>
              <w:t xml:space="preserve"> bn</w:t>
            </w:r>
            <w:r w:rsidR="00A02E8B" w:rsidRPr="00C63B51">
              <w:rPr>
                <w:spacing w:val="-4"/>
                <w:lang w:val="en-GB"/>
              </w:rPr>
              <w:t>, –7</w:t>
            </w:r>
            <w:r w:rsidR="00795C29">
              <w:rPr>
                <w:spacing w:val="-4"/>
                <w:lang w:val="en-GB"/>
              </w:rPr>
              <w:t>.</w:t>
            </w:r>
            <w:r w:rsidR="00A02E8B" w:rsidRPr="00C63B51">
              <w:rPr>
                <w:spacing w:val="-4"/>
                <w:lang w:val="en-GB"/>
              </w:rPr>
              <w:t>4%)</w:t>
            </w:r>
            <w:r w:rsidR="00795C29">
              <w:rPr>
                <w:spacing w:val="-4"/>
                <w:lang w:val="en-GB"/>
              </w:rPr>
              <w:t xml:space="preserve"> in Q4 year-on-year</w:t>
            </w:r>
            <w:r w:rsidR="00A02E8B" w:rsidRPr="00C63B51">
              <w:rPr>
                <w:spacing w:val="-4"/>
                <w:lang w:val="en-GB"/>
              </w:rPr>
              <w:t>.</w:t>
            </w:r>
          </w:p>
        </w:tc>
      </w:tr>
      <w:tr w:rsidR="00A02E8B" w:rsidRPr="009110F7" w14:paraId="1B5BF0E1" w14:textId="77777777" w:rsidTr="008E039E">
        <w:trPr>
          <w:trHeight w:val="145"/>
        </w:trPr>
        <w:tc>
          <w:tcPr>
            <w:tcW w:w="1760" w:type="dxa"/>
            <w:shd w:val="clear" w:color="auto" w:fill="auto"/>
            <w:tcMar>
              <w:left w:w="0" w:type="dxa"/>
            </w:tcMar>
          </w:tcPr>
          <w:p w14:paraId="7F953739" w14:textId="685CC90E" w:rsidR="00A02E8B" w:rsidRPr="005508EB" w:rsidRDefault="007168F1" w:rsidP="008E039E">
            <w:pPr>
              <w:pStyle w:val="Marginlie"/>
              <w:rPr>
                <w:lang w:val="en-GB"/>
              </w:rPr>
            </w:pPr>
            <w:r>
              <w:rPr>
                <w:lang w:val="en-GB"/>
              </w:rPr>
              <w:lastRenderedPageBreak/>
              <w:t xml:space="preserve">Growth of import </w:t>
            </w:r>
            <w:proofErr w:type="gramStart"/>
            <w:r>
              <w:rPr>
                <w:lang w:val="en-GB"/>
              </w:rPr>
              <w:t>was mostly affected</w:t>
            </w:r>
            <w:proofErr w:type="gramEnd"/>
            <w:r>
              <w:rPr>
                <w:lang w:val="en-GB"/>
              </w:rPr>
              <w:t xml:space="preserve"> by the increase of prices of some materials last year. </w:t>
            </w:r>
          </w:p>
        </w:tc>
        <w:tc>
          <w:tcPr>
            <w:tcW w:w="223" w:type="dxa"/>
            <w:shd w:val="clear" w:color="auto" w:fill="auto"/>
            <w:tcMar>
              <w:left w:w="0" w:type="dxa"/>
            </w:tcMar>
          </w:tcPr>
          <w:p w14:paraId="1A748AC9" w14:textId="77777777" w:rsidR="00A02E8B" w:rsidRPr="005508EB" w:rsidRDefault="00A02E8B" w:rsidP="008E039E">
            <w:pPr>
              <w:pStyle w:val="Textpoznpodarou"/>
              <w:jc w:val="both"/>
              <w:rPr>
                <w:spacing w:val="-4"/>
                <w:lang w:val="en-GB"/>
              </w:rPr>
            </w:pPr>
          </w:p>
        </w:tc>
        <w:tc>
          <w:tcPr>
            <w:tcW w:w="7656" w:type="dxa"/>
            <w:shd w:val="clear" w:color="auto" w:fill="auto"/>
            <w:tcMar>
              <w:left w:w="0" w:type="dxa"/>
            </w:tcMar>
          </w:tcPr>
          <w:p w14:paraId="03FCFBFE" w14:textId="15BE1C14" w:rsidR="00A02E8B" w:rsidRPr="005508EB" w:rsidRDefault="00DE277A" w:rsidP="008E039E">
            <w:pPr>
              <w:spacing w:after="180"/>
              <w:rPr>
                <w:spacing w:val="-4"/>
                <w:lang w:val="en-GB"/>
              </w:rPr>
            </w:pPr>
            <w:r>
              <w:rPr>
                <w:spacing w:val="-4"/>
                <w:lang w:val="en-GB"/>
              </w:rPr>
              <w:t xml:space="preserve">Sharp growth of import </w:t>
            </w:r>
            <w:proofErr w:type="gramStart"/>
            <w:r>
              <w:rPr>
                <w:spacing w:val="-4"/>
                <w:lang w:val="en-GB"/>
              </w:rPr>
              <w:t>was recorded</w:t>
            </w:r>
            <w:proofErr w:type="gramEnd"/>
            <w:r>
              <w:rPr>
                <w:spacing w:val="-4"/>
                <w:lang w:val="en-GB"/>
              </w:rPr>
              <w:t xml:space="preserve"> for a number of articles last year.</w:t>
            </w:r>
            <w:r w:rsidR="00F31B27">
              <w:rPr>
                <w:spacing w:val="-4"/>
                <w:lang w:val="en-GB"/>
              </w:rPr>
              <w:t xml:space="preserve"> Import of basic metals </w:t>
            </w:r>
            <w:r w:rsidR="00A02E8B" w:rsidRPr="005508EB">
              <w:rPr>
                <w:spacing w:val="-4"/>
                <w:lang w:val="en-GB"/>
              </w:rPr>
              <w:t>(+103</w:t>
            </w:r>
            <w:r w:rsidR="00F31B27">
              <w:rPr>
                <w:spacing w:val="-4"/>
                <w:lang w:val="en-GB"/>
              </w:rPr>
              <w:t>.</w:t>
            </w:r>
            <w:r w:rsidR="00A02E8B" w:rsidRPr="005508EB">
              <w:rPr>
                <w:spacing w:val="-4"/>
                <w:lang w:val="en-GB"/>
              </w:rPr>
              <w:t>1</w:t>
            </w:r>
            <w:r w:rsidR="00F31B27">
              <w:rPr>
                <w:spacing w:val="-4"/>
                <w:lang w:val="en-GB"/>
              </w:rPr>
              <w:t xml:space="preserve"> CZK bn</w:t>
            </w:r>
            <w:r w:rsidR="00A02E8B" w:rsidRPr="005508EB">
              <w:rPr>
                <w:spacing w:val="-4"/>
                <w:lang w:val="en-GB"/>
              </w:rPr>
              <w:t>, 45</w:t>
            </w:r>
            <w:r w:rsidR="00F31B27">
              <w:rPr>
                <w:spacing w:val="-4"/>
                <w:lang w:val="en-GB"/>
              </w:rPr>
              <w:t>.</w:t>
            </w:r>
            <w:r w:rsidR="00A02E8B" w:rsidRPr="005508EB">
              <w:rPr>
                <w:spacing w:val="-4"/>
                <w:lang w:val="en-GB"/>
              </w:rPr>
              <w:t>6%),</w:t>
            </w:r>
            <w:r w:rsidR="00F31B27">
              <w:rPr>
                <w:spacing w:val="-4"/>
                <w:lang w:val="en-GB"/>
              </w:rPr>
              <w:t xml:space="preserve"> oil and natural gas </w:t>
            </w:r>
            <w:r w:rsidR="00A02E8B" w:rsidRPr="005508EB">
              <w:rPr>
                <w:spacing w:val="-4"/>
                <w:lang w:val="en-GB"/>
              </w:rPr>
              <w:t>(+80</w:t>
            </w:r>
            <w:r w:rsidR="00F31B27">
              <w:rPr>
                <w:spacing w:val="-4"/>
                <w:lang w:val="en-GB"/>
              </w:rPr>
              <w:t>.</w:t>
            </w:r>
            <w:r w:rsidR="00A02E8B" w:rsidRPr="005508EB">
              <w:rPr>
                <w:spacing w:val="-4"/>
                <w:lang w:val="en-GB"/>
              </w:rPr>
              <w:t>5</w:t>
            </w:r>
            <w:r w:rsidR="00F31B27">
              <w:rPr>
                <w:spacing w:val="-4"/>
                <w:lang w:val="en-GB"/>
              </w:rPr>
              <w:t xml:space="preserve"> bn</w:t>
            </w:r>
            <w:r w:rsidR="00A02E8B" w:rsidRPr="005508EB">
              <w:rPr>
                <w:spacing w:val="-4"/>
                <w:lang w:val="en-GB"/>
              </w:rPr>
              <w:t>, 109</w:t>
            </w:r>
            <w:r w:rsidR="00F31B27">
              <w:rPr>
                <w:spacing w:val="-4"/>
                <w:lang w:val="en-GB"/>
              </w:rPr>
              <w:t>.</w:t>
            </w:r>
            <w:r w:rsidR="00A02E8B" w:rsidRPr="005508EB">
              <w:rPr>
                <w:spacing w:val="-4"/>
                <w:lang w:val="en-GB"/>
              </w:rPr>
              <w:t>0%)</w:t>
            </w:r>
            <w:r w:rsidR="00F31B27">
              <w:rPr>
                <w:spacing w:val="-4"/>
                <w:lang w:val="en-GB"/>
              </w:rPr>
              <w:t xml:space="preserve"> and chemical substances and products </w:t>
            </w:r>
            <w:r w:rsidR="00A02E8B" w:rsidRPr="005508EB">
              <w:rPr>
                <w:spacing w:val="-4"/>
                <w:lang w:val="en-GB"/>
              </w:rPr>
              <w:t>(+73</w:t>
            </w:r>
            <w:r w:rsidR="00F31B27">
              <w:rPr>
                <w:spacing w:val="-4"/>
                <w:lang w:val="en-GB"/>
              </w:rPr>
              <w:t>.</w:t>
            </w:r>
            <w:r w:rsidR="00A02E8B" w:rsidRPr="005508EB">
              <w:rPr>
                <w:spacing w:val="-4"/>
                <w:lang w:val="en-GB"/>
              </w:rPr>
              <w:t>9</w:t>
            </w:r>
            <w:r w:rsidR="00F31B27">
              <w:rPr>
                <w:spacing w:val="-4"/>
                <w:lang w:val="en-GB"/>
              </w:rPr>
              <w:t xml:space="preserve"> bn</w:t>
            </w:r>
            <w:r w:rsidR="00A02E8B" w:rsidRPr="005508EB">
              <w:rPr>
                <w:spacing w:val="-4"/>
                <w:lang w:val="en-GB"/>
              </w:rPr>
              <w:t>, 27</w:t>
            </w:r>
            <w:r w:rsidR="00F31B27">
              <w:rPr>
                <w:spacing w:val="-4"/>
                <w:lang w:val="en-GB"/>
              </w:rPr>
              <w:t>.</w:t>
            </w:r>
            <w:r w:rsidR="00A02E8B" w:rsidRPr="005508EB">
              <w:rPr>
                <w:spacing w:val="-4"/>
                <w:lang w:val="en-GB"/>
              </w:rPr>
              <w:t>3%)</w:t>
            </w:r>
            <w:r w:rsidR="00F31B27">
              <w:rPr>
                <w:spacing w:val="-4"/>
                <w:lang w:val="en-GB"/>
              </w:rPr>
              <w:t xml:space="preserve"> recorded the largest increase</w:t>
            </w:r>
            <w:r w:rsidR="00A02E8B" w:rsidRPr="005508EB">
              <w:rPr>
                <w:spacing w:val="-4"/>
                <w:lang w:val="en-GB"/>
              </w:rPr>
              <w:t>.</w:t>
            </w:r>
            <w:r w:rsidR="001C4A56">
              <w:rPr>
                <w:spacing w:val="-4"/>
                <w:lang w:val="en-GB"/>
              </w:rPr>
              <w:t xml:space="preserve"> The increase of import of electrical appliances </w:t>
            </w:r>
            <w:r w:rsidR="00A02E8B" w:rsidRPr="005508EB">
              <w:rPr>
                <w:spacing w:val="-4"/>
                <w:lang w:val="en-GB"/>
              </w:rPr>
              <w:t>(+70</w:t>
            </w:r>
            <w:r w:rsidR="001C4A56">
              <w:rPr>
                <w:spacing w:val="-4"/>
                <w:lang w:val="en-GB"/>
              </w:rPr>
              <w:t>.</w:t>
            </w:r>
            <w:r w:rsidR="00A02E8B" w:rsidRPr="005508EB">
              <w:rPr>
                <w:spacing w:val="-4"/>
                <w:lang w:val="en-GB"/>
              </w:rPr>
              <w:t>8</w:t>
            </w:r>
            <w:r w:rsidR="001C4A56">
              <w:rPr>
                <w:spacing w:val="-4"/>
                <w:lang w:val="en-GB"/>
              </w:rPr>
              <w:t xml:space="preserve"> CZK bn</w:t>
            </w:r>
            <w:r w:rsidR="00A02E8B" w:rsidRPr="005508EB">
              <w:rPr>
                <w:spacing w:val="-4"/>
                <w:lang w:val="en-GB"/>
              </w:rPr>
              <w:t>, 25</w:t>
            </w:r>
            <w:r w:rsidR="001C4A56">
              <w:rPr>
                <w:spacing w:val="-4"/>
                <w:lang w:val="en-GB"/>
              </w:rPr>
              <w:t>.</w:t>
            </w:r>
            <w:r w:rsidR="00A02E8B" w:rsidRPr="005508EB">
              <w:rPr>
                <w:spacing w:val="-4"/>
                <w:lang w:val="en-GB"/>
              </w:rPr>
              <w:t>1%),</w:t>
            </w:r>
            <w:r w:rsidR="001C4A56">
              <w:rPr>
                <w:spacing w:val="-4"/>
                <w:lang w:val="en-GB"/>
              </w:rPr>
              <w:t xml:space="preserve"> machinery and appliances </w:t>
            </w:r>
            <w:r w:rsidR="00A02E8B" w:rsidRPr="005508EB">
              <w:rPr>
                <w:spacing w:val="-4"/>
                <w:lang w:val="en-GB"/>
              </w:rPr>
              <w:t>(+44</w:t>
            </w:r>
            <w:r w:rsidR="001C4A56">
              <w:rPr>
                <w:spacing w:val="-4"/>
                <w:lang w:val="en-GB"/>
              </w:rPr>
              <w:t>.</w:t>
            </w:r>
            <w:r w:rsidR="00A02E8B" w:rsidRPr="005508EB">
              <w:rPr>
                <w:spacing w:val="-4"/>
                <w:lang w:val="en-GB"/>
              </w:rPr>
              <w:t>0</w:t>
            </w:r>
            <w:r w:rsidR="001C4A56">
              <w:rPr>
                <w:spacing w:val="-4"/>
                <w:lang w:val="en-GB"/>
              </w:rPr>
              <w:t xml:space="preserve"> bn</w:t>
            </w:r>
            <w:r w:rsidR="00A02E8B" w:rsidRPr="005508EB">
              <w:rPr>
                <w:spacing w:val="-4"/>
                <w:lang w:val="en-GB"/>
              </w:rPr>
              <w:t>, 13</w:t>
            </w:r>
            <w:r w:rsidR="001C4A56">
              <w:rPr>
                <w:spacing w:val="-4"/>
                <w:lang w:val="en-GB"/>
              </w:rPr>
              <w:t>.</w:t>
            </w:r>
            <w:r w:rsidR="00A02E8B" w:rsidRPr="005508EB">
              <w:rPr>
                <w:spacing w:val="-4"/>
                <w:lang w:val="en-GB"/>
              </w:rPr>
              <w:t>8%) a</w:t>
            </w:r>
            <w:r w:rsidR="001C4A56">
              <w:rPr>
                <w:spacing w:val="-4"/>
                <w:lang w:val="en-GB"/>
              </w:rPr>
              <w:t xml:space="preserve">nd motor vehicles </w:t>
            </w:r>
            <w:r w:rsidR="00A02E8B" w:rsidRPr="005508EB">
              <w:rPr>
                <w:spacing w:val="-4"/>
                <w:lang w:val="en-GB"/>
              </w:rPr>
              <w:t>(41</w:t>
            </w:r>
            <w:r w:rsidR="001C4A56">
              <w:rPr>
                <w:spacing w:val="-4"/>
                <w:lang w:val="en-GB"/>
              </w:rPr>
              <w:t>.</w:t>
            </w:r>
            <w:r w:rsidR="00A02E8B" w:rsidRPr="005508EB">
              <w:rPr>
                <w:spacing w:val="-4"/>
                <w:lang w:val="en-GB"/>
              </w:rPr>
              <w:t>8</w:t>
            </w:r>
            <w:r w:rsidR="001C4A56">
              <w:rPr>
                <w:spacing w:val="-4"/>
                <w:lang w:val="en-GB"/>
              </w:rPr>
              <w:t xml:space="preserve"> bn</w:t>
            </w:r>
            <w:r w:rsidR="00A02E8B" w:rsidRPr="005508EB">
              <w:rPr>
                <w:spacing w:val="-4"/>
                <w:lang w:val="en-GB"/>
              </w:rPr>
              <w:t>, 8</w:t>
            </w:r>
            <w:r w:rsidR="001C4A56">
              <w:rPr>
                <w:spacing w:val="-4"/>
                <w:lang w:val="en-GB"/>
              </w:rPr>
              <w:t>.</w:t>
            </w:r>
            <w:r w:rsidR="00A02E8B" w:rsidRPr="005508EB">
              <w:rPr>
                <w:spacing w:val="-4"/>
                <w:lang w:val="en-GB"/>
              </w:rPr>
              <w:t>6%)</w:t>
            </w:r>
            <w:r w:rsidR="001C4A56">
              <w:rPr>
                <w:spacing w:val="-4"/>
                <w:lang w:val="en-GB"/>
              </w:rPr>
              <w:t xml:space="preserve"> </w:t>
            </w:r>
            <w:proofErr w:type="gramStart"/>
            <w:r w:rsidR="001C4A56">
              <w:rPr>
                <w:spacing w:val="-4"/>
                <w:lang w:val="en-GB"/>
              </w:rPr>
              <w:t>was also</w:t>
            </w:r>
            <w:proofErr w:type="gramEnd"/>
            <w:r w:rsidR="001C4A56">
              <w:rPr>
                <w:spacing w:val="-4"/>
                <w:lang w:val="en-GB"/>
              </w:rPr>
              <w:t xml:space="preserve"> very strong</w:t>
            </w:r>
            <w:r w:rsidR="00A02E8B" w:rsidRPr="005508EB">
              <w:rPr>
                <w:spacing w:val="-4"/>
                <w:lang w:val="en-GB"/>
              </w:rPr>
              <w:t xml:space="preserve">. </w:t>
            </w:r>
            <w:proofErr w:type="gramStart"/>
            <w:r w:rsidR="001C4A56">
              <w:rPr>
                <w:spacing w:val="-4"/>
                <w:lang w:val="en-GB"/>
              </w:rPr>
              <w:t xml:space="preserve">Further, growth of import of rubber and plastic products </w:t>
            </w:r>
            <w:r w:rsidR="00A02E8B" w:rsidRPr="005508EB">
              <w:rPr>
                <w:spacing w:val="-4"/>
                <w:lang w:val="en-GB"/>
              </w:rPr>
              <w:t>(+26</w:t>
            </w:r>
            <w:r w:rsidR="001C4A56">
              <w:rPr>
                <w:spacing w:val="-4"/>
                <w:lang w:val="en-GB"/>
              </w:rPr>
              <w:t>.</w:t>
            </w:r>
            <w:r w:rsidR="00A02E8B" w:rsidRPr="005508EB">
              <w:rPr>
                <w:spacing w:val="-4"/>
                <w:lang w:val="en-GB"/>
              </w:rPr>
              <w:t>1</w:t>
            </w:r>
            <w:r w:rsidR="001C4A56">
              <w:rPr>
                <w:spacing w:val="-4"/>
                <w:lang w:val="en-GB"/>
              </w:rPr>
              <w:t xml:space="preserve"> CZK bn</w:t>
            </w:r>
            <w:r w:rsidR="00A02E8B" w:rsidRPr="005508EB">
              <w:rPr>
                <w:spacing w:val="-4"/>
                <w:lang w:val="en-GB"/>
              </w:rPr>
              <w:t>, 14</w:t>
            </w:r>
            <w:r w:rsidR="001C4A56">
              <w:rPr>
                <w:spacing w:val="-4"/>
                <w:lang w:val="en-GB"/>
              </w:rPr>
              <w:t>.</w:t>
            </w:r>
            <w:r w:rsidR="00A02E8B" w:rsidRPr="005508EB">
              <w:rPr>
                <w:spacing w:val="-4"/>
                <w:lang w:val="en-GB"/>
              </w:rPr>
              <w:t>8%),</w:t>
            </w:r>
            <w:r w:rsidR="001C4A56">
              <w:rPr>
                <w:spacing w:val="-4"/>
                <w:lang w:val="en-GB"/>
              </w:rPr>
              <w:t xml:space="preserve"> coke and refined oil products </w:t>
            </w:r>
            <w:r w:rsidR="00A02E8B" w:rsidRPr="005508EB">
              <w:rPr>
                <w:spacing w:val="-4"/>
                <w:lang w:val="en-GB"/>
              </w:rPr>
              <w:t>(+23</w:t>
            </w:r>
            <w:r w:rsidR="001C4A56">
              <w:rPr>
                <w:spacing w:val="-4"/>
                <w:lang w:val="en-GB"/>
              </w:rPr>
              <w:t>.</w:t>
            </w:r>
            <w:r w:rsidR="00A02E8B" w:rsidRPr="005508EB">
              <w:rPr>
                <w:spacing w:val="-4"/>
                <w:lang w:val="en-GB"/>
              </w:rPr>
              <w:t>5 </w:t>
            </w:r>
            <w:r w:rsidR="001C4A56">
              <w:rPr>
                <w:spacing w:val="-4"/>
                <w:lang w:val="en-GB"/>
              </w:rPr>
              <w:t>bn</w:t>
            </w:r>
            <w:r w:rsidR="00A02E8B" w:rsidRPr="005508EB">
              <w:rPr>
                <w:spacing w:val="-4"/>
                <w:lang w:val="en-GB"/>
              </w:rPr>
              <w:t>, 51</w:t>
            </w:r>
            <w:r w:rsidR="001C4A56">
              <w:rPr>
                <w:spacing w:val="-4"/>
                <w:lang w:val="en-GB"/>
              </w:rPr>
              <w:t>.</w:t>
            </w:r>
            <w:r w:rsidR="00A02E8B" w:rsidRPr="005508EB">
              <w:rPr>
                <w:spacing w:val="-4"/>
                <w:lang w:val="en-GB"/>
              </w:rPr>
              <w:t>3%),</w:t>
            </w:r>
            <w:r w:rsidR="001C4A56">
              <w:rPr>
                <w:spacing w:val="-4"/>
                <w:lang w:val="en-GB"/>
              </w:rPr>
              <w:t xml:space="preserve"> computer, electronic and optical appliances </w:t>
            </w:r>
            <w:r w:rsidR="00A02E8B" w:rsidRPr="005508EB">
              <w:rPr>
                <w:spacing w:val="-4"/>
                <w:lang w:val="en-GB"/>
              </w:rPr>
              <w:t>(+22</w:t>
            </w:r>
            <w:r w:rsidR="001C4A56">
              <w:rPr>
                <w:spacing w:val="-4"/>
                <w:lang w:val="en-GB"/>
              </w:rPr>
              <w:t>.</w:t>
            </w:r>
            <w:r w:rsidR="00A02E8B" w:rsidRPr="005508EB">
              <w:rPr>
                <w:spacing w:val="-4"/>
                <w:lang w:val="en-GB"/>
              </w:rPr>
              <w:t>4</w:t>
            </w:r>
            <w:r w:rsidR="001C4A56">
              <w:rPr>
                <w:spacing w:val="-4"/>
                <w:lang w:val="en-GB"/>
              </w:rPr>
              <w:t xml:space="preserve"> bn</w:t>
            </w:r>
            <w:r w:rsidR="00A02E8B" w:rsidRPr="005508EB">
              <w:rPr>
                <w:spacing w:val="-4"/>
                <w:lang w:val="en-GB"/>
              </w:rPr>
              <w:t>, 5</w:t>
            </w:r>
            <w:r w:rsidR="001C4A56">
              <w:rPr>
                <w:spacing w:val="-4"/>
                <w:lang w:val="en-GB"/>
              </w:rPr>
              <w:t>.</w:t>
            </w:r>
            <w:r w:rsidR="00A02E8B" w:rsidRPr="005508EB">
              <w:rPr>
                <w:spacing w:val="-4"/>
                <w:lang w:val="en-GB"/>
              </w:rPr>
              <w:t>3%),</w:t>
            </w:r>
            <w:r w:rsidR="001C4A56">
              <w:rPr>
                <w:spacing w:val="-4"/>
                <w:lang w:val="en-GB"/>
              </w:rPr>
              <w:t xml:space="preserve"> metal products </w:t>
            </w:r>
            <w:r w:rsidR="00A02E8B" w:rsidRPr="005508EB">
              <w:rPr>
                <w:spacing w:val="-4"/>
                <w:lang w:val="en-GB"/>
              </w:rPr>
              <w:t>(+20</w:t>
            </w:r>
            <w:r w:rsidR="001C4A56">
              <w:rPr>
                <w:spacing w:val="-4"/>
                <w:lang w:val="en-GB"/>
              </w:rPr>
              <w:t>.</w:t>
            </w:r>
            <w:r w:rsidR="00A02E8B" w:rsidRPr="005508EB">
              <w:rPr>
                <w:spacing w:val="-4"/>
                <w:lang w:val="en-GB"/>
              </w:rPr>
              <w:t>1</w:t>
            </w:r>
            <w:r w:rsidR="001C4A56">
              <w:rPr>
                <w:spacing w:val="-4"/>
                <w:lang w:val="en-GB"/>
              </w:rPr>
              <w:t xml:space="preserve"> bn</w:t>
            </w:r>
            <w:r w:rsidR="00A02E8B" w:rsidRPr="005508EB">
              <w:rPr>
                <w:spacing w:val="-4"/>
                <w:lang w:val="en-GB"/>
              </w:rPr>
              <w:t>, 12</w:t>
            </w:r>
            <w:r w:rsidR="001C4A56">
              <w:rPr>
                <w:spacing w:val="-4"/>
                <w:lang w:val="en-GB"/>
              </w:rPr>
              <w:t>.</w:t>
            </w:r>
            <w:r w:rsidR="00A02E8B" w:rsidRPr="005508EB">
              <w:rPr>
                <w:spacing w:val="-4"/>
                <w:lang w:val="en-GB"/>
              </w:rPr>
              <w:t>5%),</w:t>
            </w:r>
            <w:r w:rsidR="001C4A56">
              <w:rPr>
                <w:spacing w:val="-4"/>
                <w:lang w:val="en-GB"/>
              </w:rPr>
              <w:t xml:space="preserve"> basic pharmaceutical products </w:t>
            </w:r>
            <w:r w:rsidR="00A02E8B" w:rsidRPr="005508EB">
              <w:rPr>
                <w:spacing w:val="-4"/>
                <w:lang w:val="en-GB"/>
              </w:rPr>
              <w:t>(+17</w:t>
            </w:r>
            <w:r w:rsidR="001C4A56">
              <w:rPr>
                <w:spacing w:val="-4"/>
                <w:lang w:val="en-GB"/>
              </w:rPr>
              <w:t>.</w:t>
            </w:r>
            <w:r w:rsidR="00A02E8B" w:rsidRPr="005508EB">
              <w:rPr>
                <w:spacing w:val="-4"/>
                <w:lang w:val="en-GB"/>
              </w:rPr>
              <w:t>6</w:t>
            </w:r>
            <w:r w:rsidR="001C4A56">
              <w:rPr>
                <w:spacing w:val="-4"/>
                <w:lang w:val="en-GB"/>
              </w:rPr>
              <w:t xml:space="preserve"> bn</w:t>
            </w:r>
            <w:r w:rsidR="00A02E8B" w:rsidRPr="005508EB">
              <w:rPr>
                <w:spacing w:val="-4"/>
                <w:lang w:val="en-GB"/>
              </w:rPr>
              <w:t>, 15</w:t>
            </w:r>
            <w:r w:rsidR="001C4A56">
              <w:rPr>
                <w:spacing w:val="-4"/>
                <w:lang w:val="en-GB"/>
              </w:rPr>
              <w:t>.</w:t>
            </w:r>
            <w:r w:rsidR="00A02E8B" w:rsidRPr="005508EB">
              <w:rPr>
                <w:spacing w:val="-4"/>
                <w:lang w:val="en-GB"/>
              </w:rPr>
              <w:t>5%),</w:t>
            </w:r>
            <w:r w:rsidR="001C4A56">
              <w:rPr>
                <w:spacing w:val="-4"/>
                <w:lang w:val="en-GB"/>
              </w:rPr>
              <w:t xml:space="preserve"> other products of manufacturing </w:t>
            </w:r>
            <w:r w:rsidR="00A02E8B" w:rsidRPr="005508EB">
              <w:rPr>
                <w:spacing w:val="-4"/>
                <w:lang w:val="en-GB"/>
              </w:rPr>
              <w:t>(+15</w:t>
            </w:r>
            <w:r w:rsidR="001C4A56">
              <w:rPr>
                <w:spacing w:val="-4"/>
                <w:lang w:val="en-GB"/>
              </w:rPr>
              <w:t>.</w:t>
            </w:r>
            <w:r w:rsidR="00A02E8B" w:rsidRPr="005508EB">
              <w:rPr>
                <w:spacing w:val="-4"/>
                <w:lang w:val="en-GB"/>
              </w:rPr>
              <w:t>3</w:t>
            </w:r>
            <w:r w:rsidR="001C4A56">
              <w:rPr>
                <w:spacing w:val="-4"/>
                <w:lang w:val="en-GB"/>
              </w:rPr>
              <w:t xml:space="preserve"> bn</w:t>
            </w:r>
            <w:r w:rsidR="00A02E8B" w:rsidRPr="005508EB">
              <w:rPr>
                <w:spacing w:val="-4"/>
                <w:lang w:val="en-GB"/>
              </w:rPr>
              <w:t>, 20</w:t>
            </w:r>
            <w:r w:rsidR="001C4A56">
              <w:rPr>
                <w:spacing w:val="-4"/>
                <w:lang w:val="en-GB"/>
              </w:rPr>
              <w:t>.</w:t>
            </w:r>
            <w:r w:rsidR="00A02E8B" w:rsidRPr="005508EB">
              <w:rPr>
                <w:spacing w:val="-4"/>
                <w:lang w:val="en-GB"/>
              </w:rPr>
              <w:t>7%), ele</w:t>
            </w:r>
            <w:r w:rsidR="001C4A56">
              <w:rPr>
                <w:spacing w:val="-4"/>
                <w:lang w:val="en-GB"/>
              </w:rPr>
              <w:t xml:space="preserve">ctricity, gas, steam and air conditioning supply </w:t>
            </w:r>
            <w:r w:rsidR="00A02E8B" w:rsidRPr="005508EB">
              <w:rPr>
                <w:spacing w:val="-4"/>
                <w:lang w:val="en-GB"/>
              </w:rPr>
              <w:t>(+12</w:t>
            </w:r>
            <w:r w:rsidR="001C4A56">
              <w:rPr>
                <w:spacing w:val="-4"/>
                <w:lang w:val="en-GB"/>
              </w:rPr>
              <w:t>.</w:t>
            </w:r>
            <w:r w:rsidR="00A02E8B" w:rsidRPr="005508EB">
              <w:rPr>
                <w:spacing w:val="-4"/>
                <w:lang w:val="en-GB"/>
              </w:rPr>
              <w:t>7</w:t>
            </w:r>
            <w:r w:rsidR="001C4A56">
              <w:rPr>
                <w:spacing w:val="-4"/>
                <w:lang w:val="en-GB"/>
              </w:rPr>
              <w:t xml:space="preserve"> bn</w:t>
            </w:r>
            <w:r w:rsidR="00A02E8B" w:rsidRPr="005508EB">
              <w:rPr>
                <w:spacing w:val="-4"/>
                <w:lang w:val="en-GB"/>
              </w:rPr>
              <w:t>, 107</w:t>
            </w:r>
            <w:r w:rsidR="001C4A56">
              <w:rPr>
                <w:spacing w:val="-4"/>
                <w:lang w:val="en-GB"/>
              </w:rPr>
              <w:t>.</w:t>
            </w:r>
            <w:r w:rsidR="00A02E8B" w:rsidRPr="005508EB">
              <w:rPr>
                <w:spacing w:val="-4"/>
                <w:lang w:val="en-GB"/>
              </w:rPr>
              <w:t>8%),</w:t>
            </w:r>
            <w:r w:rsidR="001C4A56">
              <w:rPr>
                <w:spacing w:val="-4"/>
                <w:lang w:val="en-GB"/>
              </w:rPr>
              <w:t xml:space="preserve"> food products </w:t>
            </w:r>
            <w:r w:rsidR="00A02E8B" w:rsidRPr="005508EB">
              <w:rPr>
                <w:spacing w:val="-4"/>
                <w:lang w:val="en-GB"/>
              </w:rPr>
              <w:t>(+10</w:t>
            </w:r>
            <w:r w:rsidR="001C4A56">
              <w:rPr>
                <w:spacing w:val="-4"/>
                <w:lang w:val="en-GB"/>
              </w:rPr>
              <w:t>.</w:t>
            </w:r>
            <w:r w:rsidR="00A02E8B" w:rsidRPr="005508EB">
              <w:rPr>
                <w:spacing w:val="-4"/>
                <w:lang w:val="en-GB"/>
              </w:rPr>
              <w:t>6</w:t>
            </w:r>
            <w:r w:rsidR="001C4A56">
              <w:rPr>
                <w:spacing w:val="-4"/>
                <w:lang w:val="en-GB"/>
              </w:rPr>
              <w:t xml:space="preserve"> bn</w:t>
            </w:r>
            <w:r w:rsidR="00A02E8B" w:rsidRPr="005508EB">
              <w:rPr>
                <w:spacing w:val="-4"/>
                <w:lang w:val="en-GB"/>
              </w:rPr>
              <w:t>, 6</w:t>
            </w:r>
            <w:r w:rsidR="001C4A56">
              <w:rPr>
                <w:spacing w:val="-4"/>
                <w:lang w:val="en-GB"/>
              </w:rPr>
              <w:t>.</w:t>
            </w:r>
            <w:r w:rsidR="00A02E8B" w:rsidRPr="005508EB">
              <w:rPr>
                <w:spacing w:val="-4"/>
                <w:lang w:val="en-GB"/>
              </w:rPr>
              <w:t>6%)</w:t>
            </w:r>
            <w:r w:rsidR="001C4A56">
              <w:rPr>
                <w:spacing w:val="-4"/>
                <w:lang w:val="en-GB"/>
              </w:rPr>
              <w:t xml:space="preserve"> or ores </w:t>
            </w:r>
            <w:r w:rsidR="00A02E8B" w:rsidRPr="005508EB">
              <w:rPr>
                <w:spacing w:val="-4"/>
                <w:lang w:val="en-GB"/>
              </w:rPr>
              <w:t>(+10</w:t>
            </w:r>
            <w:r w:rsidR="001C4A56">
              <w:rPr>
                <w:spacing w:val="-4"/>
                <w:lang w:val="en-GB"/>
              </w:rPr>
              <w:t>.</w:t>
            </w:r>
            <w:r w:rsidR="00A02E8B" w:rsidRPr="005508EB">
              <w:rPr>
                <w:spacing w:val="-4"/>
                <w:lang w:val="en-GB"/>
              </w:rPr>
              <w:t>0</w:t>
            </w:r>
            <w:r w:rsidR="001C4A56">
              <w:rPr>
                <w:spacing w:val="-4"/>
                <w:lang w:val="en-GB"/>
              </w:rPr>
              <w:t xml:space="preserve"> bn</w:t>
            </w:r>
            <w:r w:rsidR="00A02E8B" w:rsidRPr="005508EB">
              <w:rPr>
                <w:spacing w:val="-4"/>
                <w:lang w:val="en-GB"/>
              </w:rPr>
              <w:t>, 70</w:t>
            </w:r>
            <w:r w:rsidR="001C4A56">
              <w:rPr>
                <w:spacing w:val="-4"/>
                <w:lang w:val="en-GB"/>
              </w:rPr>
              <w:t>.</w:t>
            </w:r>
            <w:r w:rsidR="00A02E8B" w:rsidRPr="005508EB">
              <w:rPr>
                <w:spacing w:val="-4"/>
                <w:lang w:val="en-GB"/>
              </w:rPr>
              <w:t>1%)</w:t>
            </w:r>
            <w:r w:rsidR="001C4A56">
              <w:rPr>
                <w:spacing w:val="-4"/>
                <w:lang w:val="en-GB"/>
              </w:rPr>
              <w:t xml:space="preserve"> was very strong</w:t>
            </w:r>
            <w:r w:rsidR="00A02E8B" w:rsidRPr="005508EB">
              <w:rPr>
                <w:spacing w:val="-4"/>
                <w:lang w:val="en-GB"/>
              </w:rPr>
              <w:t>.</w:t>
            </w:r>
            <w:proofErr w:type="gramEnd"/>
            <w:r w:rsidR="00A02E8B" w:rsidRPr="005508EB">
              <w:rPr>
                <w:spacing w:val="-4"/>
                <w:lang w:val="en-GB"/>
              </w:rPr>
              <w:t xml:space="preserve"> </w:t>
            </w:r>
            <w:r w:rsidR="001B63A8">
              <w:rPr>
                <w:spacing w:val="-4"/>
                <w:lang w:val="en-GB"/>
              </w:rPr>
              <w:t xml:space="preserve">Only import </w:t>
            </w:r>
            <w:r w:rsidR="00C21382">
              <w:rPr>
                <w:spacing w:val="-4"/>
                <w:lang w:val="en-GB"/>
              </w:rPr>
              <w:t>of textiles</w:t>
            </w:r>
            <w:r w:rsidR="001B63A8">
              <w:rPr>
                <w:spacing w:val="-4"/>
                <w:lang w:val="en-GB"/>
              </w:rPr>
              <w:t xml:space="preserve"> </w:t>
            </w:r>
            <w:r w:rsidR="00A02E8B" w:rsidRPr="005508EB">
              <w:rPr>
                <w:spacing w:val="-4"/>
                <w:lang w:val="en-GB"/>
              </w:rPr>
              <w:t>(–5</w:t>
            </w:r>
            <w:r w:rsidR="001B63A8">
              <w:rPr>
                <w:spacing w:val="-4"/>
                <w:lang w:val="en-GB"/>
              </w:rPr>
              <w:t>.</w:t>
            </w:r>
            <w:r w:rsidR="00A02E8B" w:rsidRPr="005508EB">
              <w:rPr>
                <w:spacing w:val="-4"/>
                <w:lang w:val="en-GB"/>
              </w:rPr>
              <w:t>3</w:t>
            </w:r>
            <w:r w:rsidR="001B63A8">
              <w:rPr>
                <w:spacing w:val="-4"/>
                <w:lang w:val="en-GB"/>
              </w:rPr>
              <w:t xml:space="preserve"> CZK bn</w:t>
            </w:r>
            <w:r w:rsidR="00A02E8B" w:rsidRPr="005508EB">
              <w:rPr>
                <w:spacing w:val="-4"/>
                <w:lang w:val="en-GB"/>
              </w:rPr>
              <w:t>, –9</w:t>
            </w:r>
            <w:r w:rsidR="001B63A8">
              <w:rPr>
                <w:spacing w:val="-4"/>
                <w:lang w:val="en-GB"/>
              </w:rPr>
              <w:t>.</w:t>
            </w:r>
            <w:r w:rsidR="00A02E8B" w:rsidRPr="005508EB">
              <w:rPr>
                <w:spacing w:val="-4"/>
                <w:lang w:val="en-GB"/>
              </w:rPr>
              <w:t>1%)</w:t>
            </w:r>
            <w:r w:rsidR="001B63A8">
              <w:rPr>
                <w:spacing w:val="-4"/>
                <w:lang w:val="en-GB"/>
              </w:rPr>
              <w:t xml:space="preserve"> and motion pictures, video production and sound recording activities </w:t>
            </w:r>
            <w:r w:rsidR="00A02E8B" w:rsidRPr="005508EB">
              <w:rPr>
                <w:spacing w:val="-4"/>
                <w:lang w:val="en-GB"/>
              </w:rPr>
              <w:t>(–1</w:t>
            </w:r>
            <w:r w:rsidR="001B63A8">
              <w:rPr>
                <w:spacing w:val="-4"/>
                <w:lang w:val="en-GB"/>
              </w:rPr>
              <w:t>.</w:t>
            </w:r>
            <w:r w:rsidR="00A02E8B" w:rsidRPr="005508EB">
              <w:rPr>
                <w:spacing w:val="-4"/>
                <w:lang w:val="en-GB"/>
              </w:rPr>
              <w:t>0</w:t>
            </w:r>
            <w:r w:rsidR="001B63A8">
              <w:rPr>
                <w:spacing w:val="-4"/>
                <w:lang w:val="en-GB"/>
              </w:rPr>
              <w:t xml:space="preserve"> bn</w:t>
            </w:r>
            <w:r w:rsidR="00A02E8B" w:rsidRPr="005508EB">
              <w:rPr>
                <w:spacing w:val="-4"/>
                <w:lang w:val="en-GB"/>
              </w:rPr>
              <w:t>, –18</w:t>
            </w:r>
            <w:r w:rsidR="001B63A8">
              <w:rPr>
                <w:spacing w:val="-4"/>
                <w:lang w:val="en-GB"/>
              </w:rPr>
              <w:t>.</w:t>
            </w:r>
            <w:r w:rsidR="00A02E8B" w:rsidRPr="005508EB">
              <w:rPr>
                <w:spacing w:val="-4"/>
                <w:lang w:val="en-GB"/>
              </w:rPr>
              <w:t>6%)</w:t>
            </w:r>
            <w:r w:rsidR="001B63A8">
              <w:rPr>
                <w:spacing w:val="-4"/>
                <w:lang w:val="en-GB"/>
              </w:rPr>
              <w:t xml:space="preserve"> experienced a more notable decrease</w:t>
            </w:r>
            <w:r w:rsidR="00A02E8B" w:rsidRPr="005508EB">
              <w:rPr>
                <w:spacing w:val="-4"/>
                <w:lang w:val="en-GB"/>
              </w:rPr>
              <w:t>.</w:t>
            </w:r>
          </w:p>
        </w:tc>
      </w:tr>
      <w:tr w:rsidR="00A02E8B" w:rsidRPr="009110F7" w14:paraId="075BB53A" w14:textId="77777777" w:rsidTr="008E039E">
        <w:trPr>
          <w:trHeight w:val="145"/>
        </w:trPr>
        <w:tc>
          <w:tcPr>
            <w:tcW w:w="1760" w:type="dxa"/>
            <w:shd w:val="clear" w:color="auto" w:fill="auto"/>
            <w:tcMar>
              <w:left w:w="0" w:type="dxa"/>
            </w:tcMar>
          </w:tcPr>
          <w:p w14:paraId="3134A4A8" w14:textId="5E1ABFB3" w:rsidR="00A02E8B" w:rsidRPr="007168F1" w:rsidRDefault="007168F1" w:rsidP="008E039E">
            <w:pPr>
              <w:pStyle w:val="Marginlie"/>
              <w:rPr>
                <w:lang w:val="en-GB"/>
              </w:rPr>
            </w:pPr>
            <w:r>
              <w:rPr>
                <w:lang w:val="en-GB"/>
              </w:rPr>
              <w:t>In Q</w:t>
            </w:r>
            <w:r w:rsidR="00A02E8B" w:rsidRPr="007168F1">
              <w:rPr>
                <w:lang w:val="en-GB"/>
              </w:rPr>
              <w:t>4</w:t>
            </w:r>
            <w:r>
              <w:rPr>
                <w:lang w:val="en-GB"/>
              </w:rPr>
              <w:t xml:space="preserve">, only import of motor vehicles was strongly falling year-on-year. </w:t>
            </w:r>
          </w:p>
        </w:tc>
        <w:tc>
          <w:tcPr>
            <w:tcW w:w="223" w:type="dxa"/>
            <w:shd w:val="clear" w:color="auto" w:fill="auto"/>
            <w:tcMar>
              <w:left w:w="0" w:type="dxa"/>
            </w:tcMar>
          </w:tcPr>
          <w:p w14:paraId="4B9D8E5B" w14:textId="77777777" w:rsidR="00A02E8B" w:rsidRPr="007168F1" w:rsidRDefault="00A02E8B" w:rsidP="008E039E">
            <w:pPr>
              <w:pStyle w:val="Textpoznpodarou"/>
              <w:jc w:val="both"/>
              <w:rPr>
                <w:spacing w:val="-4"/>
                <w:lang w:val="en-GB"/>
              </w:rPr>
            </w:pPr>
          </w:p>
        </w:tc>
        <w:tc>
          <w:tcPr>
            <w:tcW w:w="7656" w:type="dxa"/>
            <w:shd w:val="clear" w:color="auto" w:fill="auto"/>
            <w:tcMar>
              <w:left w:w="0" w:type="dxa"/>
            </w:tcMar>
          </w:tcPr>
          <w:p w14:paraId="766B2447" w14:textId="1B756EF3" w:rsidR="00A02E8B" w:rsidRPr="007168F1" w:rsidRDefault="00F31B27" w:rsidP="008E039E">
            <w:pPr>
              <w:spacing w:after="180"/>
              <w:rPr>
                <w:spacing w:val="-4"/>
                <w:lang w:val="en-GB"/>
              </w:rPr>
            </w:pPr>
            <w:r>
              <w:rPr>
                <w:spacing w:val="-4"/>
                <w:lang w:val="en-GB"/>
              </w:rPr>
              <w:t xml:space="preserve">In Q4 </w:t>
            </w:r>
            <w:r w:rsidR="00A02E8B" w:rsidRPr="007168F1">
              <w:rPr>
                <w:spacing w:val="-4"/>
                <w:lang w:val="en-GB"/>
              </w:rPr>
              <w:t>2021</w:t>
            </w:r>
            <w:r>
              <w:rPr>
                <w:spacing w:val="-4"/>
                <w:lang w:val="en-GB"/>
              </w:rPr>
              <w:t xml:space="preserve"> itself, only import of motor vehicles strongly fell year-on-year </w:t>
            </w:r>
            <w:r w:rsidR="00A02E8B" w:rsidRPr="007168F1">
              <w:rPr>
                <w:spacing w:val="-4"/>
                <w:lang w:val="en-GB"/>
              </w:rPr>
              <w:t>(–25</w:t>
            </w:r>
            <w:r>
              <w:rPr>
                <w:spacing w:val="-4"/>
                <w:lang w:val="en-GB"/>
              </w:rPr>
              <w:t>.</w:t>
            </w:r>
            <w:r w:rsidR="00A02E8B" w:rsidRPr="007168F1">
              <w:rPr>
                <w:spacing w:val="-4"/>
                <w:lang w:val="en-GB"/>
              </w:rPr>
              <w:t>0</w:t>
            </w:r>
            <w:r>
              <w:rPr>
                <w:spacing w:val="-4"/>
                <w:lang w:val="en-GB"/>
              </w:rPr>
              <w:t xml:space="preserve"> CZK bn</w:t>
            </w:r>
            <w:r w:rsidR="00A02E8B" w:rsidRPr="007168F1">
              <w:rPr>
                <w:spacing w:val="-4"/>
                <w:lang w:val="en-GB"/>
              </w:rPr>
              <w:t>, –16</w:t>
            </w:r>
            <w:r>
              <w:rPr>
                <w:spacing w:val="-4"/>
                <w:lang w:val="en-GB"/>
              </w:rPr>
              <w:t>.</w:t>
            </w:r>
            <w:r w:rsidR="00A02E8B" w:rsidRPr="007168F1">
              <w:rPr>
                <w:spacing w:val="-4"/>
                <w:lang w:val="en-GB"/>
              </w:rPr>
              <w:t>4%),</w:t>
            </w:r>
            <w:r>
              <w:rPr>
                <w:spacing w:val="-4"/>
                <w:lang w:val="en-GB"/>
              </w:rPr>
              <w:t xml:space="preserve"> import of other goods was generally growing. </w:t>
            </w:r>
            <w:proofErr w:type="gramStart"/>
            <w:r w:rsidR="005F2463">
              <w:rPr>
                <w:spacing w:val="-4"/>
                <w:lang w:val="en-GB"/>
              </w:rPr>
              <w:t>Again</w:t>
            </w:r>
            <w:proofErr w:type="gramEnd"/>
            <w:r w:rsidR="005F2463">
              <w:rPr>
                <w:spacing w:val="-4"/>
                <w:lang w:val="en-GB"/>
              </w:rPr>
              <w:t xml:space="preserve"> the value of import of materials was rising the most – oil and natural gas </w:t>
            </w:r>
            <w:r w:rsidR="00A02E8B" w:rsidRPr="007168F1">
              <w:rPr>
                <w:spacing w:val="-4"/>
                <w:lang w:val="en-GB"/>
              </w:rPr>
              <w:t>(+35</w:t>
            </w:r>
            <w:r w:rsidR="005F2463">
              <w:rPr>
                <w:spacing w:val="-4"/>
                <w:lang w:val="en-GB"/>
              </w:rPr>
              <w:t>.</w:t>
            </w:r>
            <w:r w:rsidR="00A02E8B" w:rsidRPr="007168F1">
              <w:rPr>
                <w:spacing w:val="-4"/>
                <w:lang w:val="en-GB"/>
              </w:rPr>
              <w:t>6</w:t>
            </w:r>
            <w:r w:rsidR="005F2463">
              <w:rPr>
                <w:spacing w:val="-4"/>
                <w:lang w:val="en-GB"/>
              </w:rPr>
              <w:t xml:space="preserve"> CZK bn</w:t>
            </w:r>
            <w:r w:rsidR="00A02E8B" w:rsidRPr="007168F1">
              <w:rPr>
                <w:spacing w:val="-4"/>
                <w:lang w:val="en-GB"/>
              </w:rPr>
              <w:t>, 184</w:t>
            </w:r>
            <w:r w:rsidR="005F2463">
              <w:rPr>
                <w:spacing w:val="-4"/>
                <w:lang w:val="en-GB"/>
              </w:rPr>
              <w:t>.</w:t>
            </w:r>
            <w:r w:rsidR="00A02E8B" w:rsidRPr="007168F1">
              <w:rPr>
                <w:spacing w:val="-4"/>
                <w:lang w:val="en-GB"/>
              </w:rPr>
              <w:t>6%) a</w:t>
            </w:r>
            <w:r w:rsidR="005F2463">
              <w:rPr>
                <w:spacing w:val="-4"/>
                <w:lang w:val="en-GB"/>
              </w:rPr>
              <w:t xml:space="preserve">nd basic metals </w:t>
            </w:r>
            <w:r w:rsidR="00A02E8B" w:rsidRPr="007168F1">
              <w:rPr>
                <w:spacing w:val="-4"/>
                <w:lang w:val="en-GB"/>
              </w:rPr>
              <w:t>(+28</w:t>
            </w:r>
            <w:r w:rsidR="005F2463">
              <w:rPr>
                <w:spacing w:val="-4"/>
                <w:lang w:val="en-GB"/>
              </w:rPr>
              <w:t>.</w:t>
            </w:r>
            <w:r w:rsidR="00A02E8B" w:rsidRPr="007168F1">
              <w:rPr>
                <w:spacing w:val="-4"/>
                <w:lang w:val="en-GB"/>
              </w:rPr>
              <w:t>4</w:t>
            </w:r>
            <w:r w:rsidR="005F2463">
              <w:rPr>
                <w:spacing w:val="-4"/>
                <w:lang w:val="en-GB"/>
              </w:rPr>
              <w:t xml:space="preserve"> bn</w:t>
            </w:r>
            <w:r w:rsidR="00A02E8B" w:rsidRPr="007168F1">
              <w:rPr>
                <w:spacing w:val="-4"/>
                <w:lang w:val="en-GB"/>
              </w:rPr>
              <w:t>, 46</w:t>
            </w:r>
            <w:r w:rsidR="005F2463">
              <w:rPr>
                <w:spacing w:val="-4"/>
                <w:lang w:val="en-GB"/>
              </w:rPr>
              <w:t>.</w:t>
            </w:r>
            <w:r w:rsidR="00A02E8B" w:rsidRPr="007168F1">
              <w:rPr>
                <w:spacing w:val="-4"/>
                <w:lang w:val="en-GB"/>
              </w:rPr>
              <w:t>7%).</w:t>
            </w:r>
            <w:r w:rsidR="005F2463">
              <w:rPr>
                <w:spacing w:val="-4"/>
                <w:lang w:val="en-GB"/>
              </w:rPr>
              <w:t xml:space="preserve"> </w:t>
            </w:r>
            <w:r w:rsidR="009805C9">
              <w:rPr>
                <w:spacing w:val="-4"/>
                <w:lang w:val="en-GB"/>
              </w:rPr>
              <w:t xml:space="preserve">The increase of import of chemical substances and products </w:t>
            </w:r>
            <w:r w:rsidR="00A02E8B" w:rsidRPr="007168F1">
              <w:rPr>
                <w:spacing w:val="-4"/>
                <w:lang w:val="en-GB"/>
              </w:rPr>
              <w:t>(+15</w:t>
            </w:r>
            <w:r w:rsidR="009805C9">
              <w:rPr>
                <w:spacing w:val="-4"/>
                <w:lang w:val="en-GB"/>
              </w:rPr>
              <w:t>.</w:t>
            </w:r>
            <w:r w:rsidR="00A02E8B" w:rsidRPr="007168F1">
              <w:rPr>
                <w:spacing w:val="-4"/>
                <w:lang w:val="en-GB"/>
              </w:rPr>
              <w:t>9</w:t>
            </w:r>
            <w:r w:rsidR="009805C9">
              <w:rPr>
                <w:spacing w:val="-4"/>
                <w:lang w:val="en-GB"/>
              </w:rPr>
              <w:t xml:space="preserve"> bn</w:t>
            </w:r>
            <w:r w:rsidR="00A02E8B" w:rsidRPr="007168F1">
              <w:rPr>
                <w:spacing w:val="-4"/>
                <w:lang w:val="en-GB"/>
              </w:rPr>
              <w:t>, 21</w:t>
            </w:r>
            <w:r w:rsidR="009805C9">
              <w:rPr>
                <w:spacing w:val="-4"/>
                <w:lang w:val="en-GB"/>
              </w:rPr>
              <w:t>.</w:t>
            </w:r>
            <w:r w:rsidR="00A02E8B" w:rsidRPr="007168F1">
              <w:rPr>
                <w:spacing w:val="-4"/>
                <w:lang w:val="en-GB"/>
              </w:rPr>
              <w:t>3%),</w:t>
            </w:r>
            <w:r w:rsidR="009805C9">
              <w:rPr>
                <w:spacing w:val="-4"/>
                <w:lang w:val="en-GB"/>
              </w:rPr>
              <w:t xml:space="preserve"> coke and refined oil products </w:t>
            </w:r>
            <w:r w:rsidR="00A02E8B" w:rsidRPr="007168F1">
              <w:rPr>
                <w:spacing w:val="-4"/>
                <w:lang w:val="en-GB"/>
              </w:rPr>
              <w:t>(+10</w:t>
            </w:r>
            <w:r w:rsidR="009805C9">
              <w:rPr>
                <w:spacing w:val="-4"/>
                <w:lang w:val="en-GB"/>
              </w:rPr>
              <w:t>.</w:t>
            </w:r>
            <w:r w:rsidR="00A02E8B" w:rsidRPr="007168F1">
              <w:rPr>
                <w:spacing w:val="-4"/>
                <w:lang w:val="en-GB"/>
              </w:rPr>
              <w:t>3</w:t>
            </w:r>
            <w:r w:rsidR="009805C9">
              <w:rPr>
                <w:spacing w:val="-4"/>
                <w:lang w:val="en-GB"/>
              </w:rPr>
              <w:t xml:space="preserve"> bn</w:t>
            </w:r>
            <w:r w:rsidR="00A02E8B" w:rsidRPr="007168F1">
              <w:rPr>
                <w:spacing w:val="-4"/>
                <w:lang w:val="en-GB"/>
              </w:rPr>
              <w:t>, 98</w:t>
            </w:r>
            <w:r w:rsidR="009805C9">
              <w:rPr>
                <w:spacing w:val="-4"/>
                <w:lang w:val="en-GB"/>
              </w:rPr>
              <w:t>.</w:t>
            </w:r>
            <w:r w:rsidR="00A02E8B" w:rsidRPr="007168F1">
              <w:rPr>
                <w:spacing w:val="-4"/>
                <w:lang w:val="en-GB"/>
              </w:rPr>
              <w:t>0%) a</w:t>
            </w:r>
            <w:r w:rsidR="009805C9">
              <w:rPr>
                <w:spacing w:val="-4"/>
                <w:lang w:val="en-GB"/>
              </w:rPr>
              <w:t xml:space="preserve">nd electricity, gas, steam and </w:t>
            </w:r>
            <w:proofErr w:type="gramStart"/>
            <w:r w:rsidR="009805C9">
              <w:rPr>
                <w:spacing w:val="-4"/>
                <w:lang w:val="en-GB"/>
              </w:rPr>
              <w:t>air conditioning</w:t>
            </w:r>
            <w:proofErr w:type="gramEnd"/>
            <w:r w:rsidR="009805C9">
              <w:rPr>
                <w:spacing w:val="-4"/>
                <w:lang w:val="en-GB"/>
              </w:rPr>
              <w:t xml:space="preserve"> supply </w:t>
            </w:r>
            <w:r w:rsidR="00A02E8B" w:rsidRPr="007168F1">
              <w:rPr>
                <w:spacing w:val="-4"/>
                <w:lang w:val="en-GB"/>
              </w:rPr>
              <w:t>(+6</w:t>
            </w:r>
            <w:r w:rsidR="009805C9">
              <w:rPr>
                <w:spacing w:val="-4"/>
                <w:lang w:val="en-GB"/>
              </w:rPr>
              <w:t>.</w:t>
            </w:r>
            <w:r w:rsidR="00A02E8B" w:rsidRPr="007168F1">
              <w:rPr>
                <w:spacing w:val="-4"/>
                <w:lang w:val="en-GB"/>
              </w:rPr>
              <w:t>3</w:t>
            </w:r>
            <w:r w:rsidR="009805C9">
              <w:rPr>
                <w:spacing w:val="-4"/>
                <w:lang w:val="en-GB"/>
              </w:rPr>
              <w:t xml:space="preserve"> bn</w:t>
            </w:r>
            <w:r w:rsidR="00A02E8B" w:rsidRPr="007168F1">
              <w:rPr>
                <w:spacing w:val="-4"/>
                <w:lang w:val="en-GB"/>
              </w:rPr>
              <w:t>, 187</w:t>
            </w:r>
            <w:r w:rsidR="009805C9">
              <w:rPr>
                <w:spacing w:val="-4"/>
                <w:lang w:val="en-GB"/>
              </w:rPr>
              <w:t>.</w:t>
            </w:r>
            <w:r w:rsidR="00A02E8B" w:rsidRPr="007168F1">
              <w:rPr>
                <w:spacing w:val="-4"/>
                <w:lang w:val="en-GB"/>
              </w:rPr>
              <w:t>4%)</w:t>
            </w:r>
            <w:r w:rsidR="009805C9">
              <w:rPr>
                <w:spacing w:val="-4"/>
                <w:lang w:val="en-GB"/>
              </w:rPr>
              <w:t xml:space="preserve"> can also be associated with the increase of prices</w:t>
            </w:r>
            <w:r w:rsidR="00A02E8B" w:rsidRPr="007168F1">
              <w:rPr>
                <w:spacing w:val="-4"/>
                <w:lang w:val="en-GB"/>
              </w:rPr>
              <w:t xml:space="preserve">. </w:t>
            </w:r>
            <w:r w:rsidR="009805C9">
              <w:rPr>
                <w:spacing w:val="-4"/>
                <w:lang w:val="en-GB"/>
              </w:rPr>
              <w:t xml:space="preserve">The import of machinery and equipment </w:t>
            </w:r>
            <w:r w:rsidR="00A02E8B" w:rsidRPr="007168F1">
              <w:rPr>
                <w:spacing w:val="-4"/>
                <w:lang w:val="en-GB"/>
              </w:rPr>
              <w:t>(+7</w:t>
            </w:r>
            <w:r w:rsidR="009805C9">
              <w:rPr>
                <w:spacing w:val="-4"/>
                <w:lang w:val="en-GB"/>
              </w:rPr>
              <w:t>.</w:t>
            </w:r>
            <w:r w:rsidR="00A02E8B" w:rsidRPr="007168F1">
              <w:rPr>
                <w:spacing w:val="-4"/>
                <w:lang w:val="en-GB"/>
              </w:rPr>
              <w:t>2</w:t>
            </w:r>
            <w:r w:rsidR="009805C9">
              <w:rPr>
                <w:spacing w:val="-4"/>
                <w:lang w:val="en-GB"/>
              </w:rPr>
              <w:t xml:space="preserve"> bn</w:t>
            </w:r>
            <w:r w:rsidR="00A02E8B" w:rsidRPr="007168F1">
              <w:rPr>
                <w:spacing w:val="-4"/>
                <w:lang w:val="en-GB"/>
              </w:rPr>
              <w:t>, 8</w:t>
            </w:r>
            <w:r w:rsidR="009805C9">
              <w:rPr>
                <w:spacing w:val="-4"/>
                <w:lang w:val="en-GB"/>
              </w:rPr>
              <w:t>.</w:t>
            </w:r>
            <w:r w:rsidR="00A02E8B" w:rsidRPr="007168F1">
              <w:rPr>
                <w:spacing w:val="-4"/>
                <w:lang w:val="en-GB"/>
              </w:rPr>
              <w:t>4%), ele</w:t>
            </w:r>
            <w:r w:rsidR="009805C9">
              <w:rPr>
                <w:spacing w:val="-4"/>
                <w:lang w:val="en-GB"/>
              </w:rPr>
              <w:t xml:space="preserve">ctrical appliances </w:t>
            </w:r>
            <w:r w:rsidR="00A02E8B" w:rsidRPr="007168F1">
              <w:rPr>
                <w:spacing w:val="-4"/>
                <w:lang w:val="en-GB"/>
              </w:rPr>
              <w:t>(+6</w:t>
            </w:r>
            <w:r w:rsidR="009805C9">
              <w:rPr>
                <w:spacing w:val="-4"/>
                <w:lang w:val="en-GB"/>
              </w:rPr>
              <w:t>.</w:t>
            </w:r>
            <w:r w:rsidR="00A02E8B" w:rsidRPr="007168F1">
              <w:rPr>
                <w:spacing w:val="-4"/>
                <w:lang w:val="en-GB"/>
              </w:rPr>
              <w:t>9</w:t>
            </w:r>
            <w:r w:rsidR="009805C9">
              <w:rPr>
                <w:spacing w:val="-4"/>
                <w:lang w:val="en-GB"/>
              </w:rPr>
              <w:t xml:space="preserve"> CZK bn</w:t>
            </w:r>
            <w:r w:rsidR="00A02E8B" w:rsidRPr="007168F1">
              <w:rPr>
                <w:spacing w:val="-4"/>
                <w:lang w:val="en-GB"/>
              </w:rPr>
              <w:t>, 8</w:t>
            </w:r>
            <w:r w:rsidR="009805C9">
              <w:rPr>
                <w:spacing w:val="-4"/>
                <w:lang w:val="en-GB"/>
              </w:rPr>
              <w:t>.</w:t>
            </w:r>
            <w:r w:rsidR="00A02E8B" w:rsidRPr="007168F1">
              <w:rPr>
                <w:spacing w:val="-4"/>
                <w:lang w:val="en-GB"/>
              </w:rPr>
              <w:t>3%), o</w:t>
            </w:r>
            <w:r w:rsidR="009805C9">
              <w:rPr>
                <w:spacing w:val="-4"/>
                <w:lang w:val="en-GB"/>
              </w:rPr>
              <w:t xml:space="preserve">ther manufacturing products </w:t>
            </w:r>
            <w:r w:rsidR="00A02E8B" w:rsidRPr="007168F1">
              <w:rPr>
                <w:spacing w:val="-4"/>
                <w:lang w:val="en-GB"/>
              </w:rPr>
              <w:t>(+5</w:t>
            </w:r>
            <w:r w:rsidR="009805C9">
              <w:rPr>
                <w:spacing w:val="-4"/>
                <w:lang w:val="en-GB"/>
              </w:rPr>
              <w:t>.</w:t>
            </w:r>
            <w:r w:rsidR="00A02E8B" w:rsidRPr="007168F1">
              <w:rPr>
                <w:spacing w:val="-4"/>
                <w:lang w:val="en-GB"/>
              </w:rPr>
              <w:t>6</w:t>
            </w:r>
            <w:r w:rsidR="009805C9">
              <w:rPr>
                <w:spacing w:val="-4"/>
                <w:lang w:val="en-GB"/>
              </w:rPr>
              <w:t xml:space="preserve"> bn</w:t>
            </w:r>
            <w:r w:rsidR="00A02E8B" w:rsidRPr="007168F1">
              <w:rPr>
                <w:spacing w:val="-4"/>
                <w:lang w:val="en-GB"/>
              </w:rPr>
              <w:t>, 26</w:t>
            </w:r>
            <w:r w:rsidR="009805C9">
              <w:rPr>
                <w:spacing w:val="-4"/>
                <w:lang w:val="en-GB"/>
              </w:rPr>
              <w:t>.</w:t>
            </w:r>
            <w:r w:rsidR="00A02E8B" w:rsidRPr="007168F1">
              <w:rPr>
                <w:spacing w:val="-4"/>
                <w:lang w:val="en-GB"/>
              </w:rPr>
              <w:t>8%)</w:t>
            </w:r>
            <w:r w:rsidR="009805C9">
              <w:rPr>
                <w:spacing w:val="-4"/>
                <w:lang w:val="en-GB"/>
              </w:rPr>
              <w:t xml:space="preserve"> or food products </w:t>
            </w:r>
            <w:r w:rsidR="00A02E8B" w:rsidRPr="007168F1">
              <w:rPr>
                <w:spacing w:val="-4"/>
                <w:lang w:val="en-GB"/>
              </w:rPr>
              <w:t>(+5</w:t>
            </w:r>
            <w:r w:rsidR="009805C9">
              <w:rPr>
                <w:spacing w:val="-4"/>
                <w:lang w:val="en-GB"/>
              </w:rPr>
              <w:t>.</w:t>
            </w:r>
            <w:r w:rsidR="00A02E8B" w:rsidRPr="007168F1">
              <w:rPr>
                <w:spacing w:val="-4"/>
                <w:lang w:val="en-GB"/>
              </w:rPr>
              <w:t>7</w:t>
            </w:r>
            <w:r w:rsidR="009805C9">
              <w:rPr>
                <w:spacing w:val="-4"/>
                <w:lang w:val="en-GB"/>
              </w:rPr>
              <w:t xml:space="preserve"> bn</w:t>
            </w:r>
            <w:r w:rsidR="00A02E8B" w:rsidRPr="007168F1">
              <w:rPr>
                <w:spacing w:val="-4"/>
                <w:lang w:val="en-GB"/>
              </w:rPr>
              <w:t>, 13</w:t>
            </w:r>
            <w:r w:rsidR="009805C9">
              <w:rPr>
                <w:spacing w:val="-4"/>
                <w:lang w:val="en-GB"/>
              </w:rPr>
              <w:t>.</w:t>
            </w:r>
            <w:r w:rsidR="00A02E8B" w:rsidRPr="007168F1">
              <w:rPr>
                <w:spacing w:val="-4"/>
                <w:lang w:val="en-GB"/>
              </w:rPr>
              <w:t>7%)</w:t>
            </w:r>
            <w:r w:rsidR="009805C9">
              <w:rPr>
                <w:spacing w:val="-4"/>
                <w:lang w:val="en-GB"/>
              </w:rPr>
              <w:t xml:space="preserve"> was also higher</w:t>
            </w:r>
            <w:r w:rsidR="00A02E8B" w:rsidRPr="007168F1">
              <w:rPr>
                <w:spacing w:val="-4"/>
                <w:lang w:val="en-GB"/>
              </w:rPr>
              <w:t>.</w:t>
            </w:r>
          </w:p>
        </w:tc>
      </w:tr>
      <w:tr w:rsidR="00A02E8B" w:rsidRPr="009110F7" w14:paraId="01F69EA3" w14:textId="77777777" w:rsidTr="008E039E">
        <w:trPr>
          <w:trHeight w:val="145"/>
        </w:trPr>
        <w:tc>
          <w:tcPr>
            <w:tcW w:w="1760" w:type="dxa"/>
            <w:shd w:val="clear" w:color="auto" w:fill="auto"/>
            <w:tcMar>
              <w:left w:w="0" w:type="dxa"/>
            </w:tcMar>
          </w:tcPr>
          <w:p w14:paraId="6444283E" w14:textId="6D74FD6D" w:rsidR="00A02E8B" w:rsidRPr="00F31B27" w:rsidRDefault="00F31B27" w:rsidP="008E039E">
            <w:pPr>
              <w:pStyle w:val="Marginlie"/>
              <w:rPr>
                <w:lang w:val="en-GB"/>
              </w:rPr>
            </w:pPr>
            <w:r w:rsidRPr="00F31B27">
              <w:rPr>
                <w:lang w:val="en-GB"/>
              </w:rPr>
              <w:t xml:space="preserve">The foreign trade balance with goods ended in deficit for the first time since year </w:t>
            </w:r>
            <w:r w:rsidR="00A02E8B" w:rsidRPr="00F31B27">
              <w:rPr>
                <w:lang w:val="en-GB"/>
              </w:rPr>
              <w:t>2010</w:t>
            </w:r>
            <w:r w:rsidRPr="00F31B27">
              <w:rPr>
                <w:lang w:val="en-GB"/>
              </w:rPr>
              <w:t xml:space="preserve">. </w:t>
            </w:r>
          </w:p>
        </w:tc>
        <w:tc>
          <w:tcPr>
            <w:tcW w:w="223" w:type="dxa"/>
            <w:shd w:val="clear" w:color="auto" w:fill="auto"/>
            <w:tcMar>
              <w:left w:w="0" w:type="dxa"/>
            </w:tcMar>
          </w:tcPr>
          <w:p w14:paraId="25C8B8E1" w14:textId="77777777" w:rsidR="00A02E8B" w:rsidRDefault="00A02E8B" w:rsidP="008E039E">
            <w:pPr>
              <w:pStyle w:val="Textpoznpodarou"/>
              <w:jc w:val="both"/>
              <w:rPr>
                <w:spacing w:val="-4"/>
              </w:rPr>
            </w:pPr>
          </w:p>
        </w:tc>
        <w:tc>
          <w:tcPr>
            <w:tcW w:w="7656" w:type="dxa"/>
            <w:shd w:val="clear" w:color="auto" w:fill="auto"/>
            <w:tcMar>
              <w:left w:w="0" w:type="dxa"/>
            </w:tcMar>
          </w:tcPr>
          <w:p w14:paraId="206947DD" w14:textId="42EC6E8D" w:rsidR="00A02E8B" w:rsidRPr="001B63A8" w:rsidRDefault="00573343" w:rsidP="00C21382">
            <w:pPr>
              <w:spacing w:after="180"/>
              <w:rPr>
                <w:spacing w:val="-4"/>
                <w:lang w:val="en-GB"/>
              </w:rPr>
            </w:pPr>
            <w:r>
              <w:rPr>
                <w:spacing w:val="-4"/>
                <w:lang w:val="en-GB"/>
              </w:rPr>
              <w:t xml:space="preserve">Balance of the foreign trade with goods feel into the deficit of 3.9 CZK bn in year </w:t>
            </w:r>
            <w:r w:rsidR="00A02E8B" w:rsidRPr="001B63A8">
              <w:rPr>
                <w:spacing w:val="-4"/>
                <w:lang w:val="en-GB"/>
              </w:rPr>
              <w:t>2021</w:t>
            </w:r>
            <w:r>
              <w:rPr>
                <w:spacing w:val="-4"/>
                <w:lang w:val="en-GB"/>
              </w:rPr>
              <w:t xml:space="preserve">. It represents the first deficit since year </w:t>
            </w:r>
            <w:r w:rsidR="00A02E8B" w:rsidRPr="001B63A8">
              <w:rPr>
                <w:spacing w:val="-4"/>
                <w:lang w:val="en-GB"/>
              </w:rPr>
              <w:t>2010.</w:t>
            </w:r>
            <w:r>
              <w:rPr>
                <w:spacing w:val="-4"/>
                <w:lang w:val="en-GB"/>
              </w:rPr>
              <w:t xml:space="preserve"> The balance thus dropped by </w:t>
            </w:r>
            <w:r w:rsidR="00A02E8B" w:rsidRPr="001B63A8">
              <w:rPr>
                <w:spacing w:val="-4"/>
                <w:lang w:val="en-GB"/>
              </w:rPr>
              <w:t>183</w:t>
            </w:r>
            <w:r>
              <w:rPr>
                <w:spacing w:val="-4"/>
                <w:lang w:val="en-GB"/>
              </w:rPr>
              <w:t>.</w:t>
            </w:r>
            <w:r w:rsidR="00A02E8B" w:rsidRPr="001B63A8">
              <w:rPr>
                <w:spacing w:val="-4"/>
                <w:lang w:val="en-GB"/>
              </w:rPr>
              <w:t>8</w:t>
            </w:r>
            <w:r>
              <w:rPr>
                <w:spacing w:val="-4"/>
                <w:lang w:val="en-GB"/>
              </w:rPr>
              <w:t xml:space="preserve"> CZK bn year-on-year</w:t>
            </w:r>
            <w:r w:rsidR="00A02E8B" w:rsidRPr="001B63A8">
              <w:rPr>
                <w:spacing w:val="-4"/>
                <w:lang w:val="en-GB"/>
              </w:rPr>
              <w:t>.</w:t>
            </w:r>
            <w:r w:rsidR="00B27BDF">
              <w:rPr>
                <w:spacing w:val="-4"/>
                <w:lang w:val="en-GB"/>
              </w:rPr>
              <w:t xml:space="preserve"> Especially the development in the second half of the year contributed to the deterioration, when the difficulties with the supplies of components in manufacturing of motor vehicles became fully evident</w:t>
            </w:r>
            <w:r w:rsidR="000838A0">
              <w:rPr>
                <w:spacing w:val="-4"/>
                <w:lang w:val="en-GB"/>
              </w:rPr>
              <w:t xml:space="preserve"> and </w:t>
            </w:r>
            <w:proofErr w:type="gramStart"/>
            <w:r w:rsidR="000838A0">
              <w:rPr>
                <w:spacing w:val="-4"/>
                <w:lang w:val="en-GB"/>
              </w:rPr>
              <w:t>were also</w:t>
            </w:r>
            <w:proofErr w:type="gramEnd"/>
            <w:r w:rsidR="000838A0">
              <w:rPr>
                <w:spacing w:val="-4"/>
                <w:lang w:val="en-GB"/>
              </w:rPr>
              <w:t xml:space="preserve"> joined by the worsening of balance resulting from the growth of prices of materials</w:t>
            </w:r>
            <w:r w:rsidR="000838A0" w:rsidRPr="000838A0">
              <w:rPr>
                <w:spacing w:val="-4"/>
                <w:lang w:val="en-GB"/>
              </w:rPr>
              <w:t>. Last year</w:t>
            </w:r>
            <w:r w:rsidR="000838A0">
              <w:rPr>
                <w:spacing w:val="-4"/>
                <w:lang w:val="en-US"/>
              </w:rPr>
              <w:t>’</w:t>
            </w:r>
            <w:r w:rsidR="000838A0" w:rsidRPr="000838A0">
              <w:rPr>
                <w:spacing w:val="-4"/>
                <w:lang w:val="en-GB"/>
              </w:rPr>
              <w:t xml:space="preserve">s drop of foreign trade balance with goods </w:t>
            </w:r>
            <w:proofErr w:type="gramStart"/>
            <w:r w:rsidR="000838A0" w:rsidRPr="000838A0">
              <w:rPr>
                <w:spacing w:val="-4"/>
                <w:lang w:val="en-GB"/>
              </w:rPr>
              <w:t>can be fully ascribed</w:t>
            </w:r>
            <w:proofErr w:type="gramEnd"/>
            <w:r w:rsidR="000838A0" w:rsidRPr="000838A0">
              <w:rPr>
                <w:spacing w:val="-4"/>
                <w:lang w:val="en-GB"/>
              </w:rPr>
              <w:t xml:space="preserve"> to the trade with countries outside the EU </w:t>
            </w:r>
            <w:r w:rsidR="00A02E8B" w:rsidRPr="000838A0">
              <w:rPr>
                <w:spacing w:val="-4"/>
                <w:lang w:val="en-GB"/>
              </w:rPr>
              <w:t>(</w:t>
            </w:r>
            <w:r w:rsidRPr="000838A0">
              <w:rPr>
                <w:spacing w:val="-4"/>
                <w:lang w:val="en-GB"/>
              </w:rPr>
              <w:t xml:space="preserve">deepening of deficit by </w:t>
            </w:r>
            <w:r w:rsidR="00A02E8B" w:rsidRPr="000838A0">
              <w:rPr>
                <w:spacing w:val="-4"/>
                <w:lang w:val="en-GB"/>
              </w:rPr>
              <w:t>–210</w:t>
            </w:r>
            <w:r w:rsidRPr="000838A0">
              <w:rPr>
                <w:spacing w:val="-4"/>
                <w:lang w:val="en-GB"/>
              </w:rPr>
              <w:t>.</w:t>
            </w:r>
            <w:r w:rsidR="00A02E8B" w:rsidRPr="000838A0">
              <w:rPr>
                <w:spacing w:val="-4"/>
                <w:lang w:val="en-GB"/>
              </w:rPr>
              <w:t>9</w:t>
            </w:r>
            <w:r w:rsidRPr="000838A0">
              <w:rPr>
                <w:spacing w:val="-4"/>
                <w:lang w:val="en-GB"/>
              </w:rPr>
              <w:t xml:space="preserve"> CZK bn</w:t>
            </w:r>
            <w:r w:rsidR="00A02E8B" w:rsidRPr="000838A0">
              <w:rPr>
                <w:spacing w:val="-4"/>
                <w:lang w:val="en-GB"/>
              </w:rPr>
              <w:t>).</w:t>
            </w:r>
            <w:r w:rsidRPr="000838A0">
              <w:rPr>
                <w:spacing w:val="-4"/>
                <w:lang w:val="en-GB"/>
              </w:rPr>
              <w:t xml:space="preserve"> In contrast the surplus of trade with the EU countries improved by </w:t>
            </w:r>
            <w:r w:rsidR="00A02E8B" w:rsidRPr="000838A0">
              <w:rPr>
                <w:spacing w:val="-4"/>
                <w:lang w:val="en-GB"/>
              </w:rPr>
              <w:t>32</w:t>
            </w:r>
            <w:r w:rsidRPr="000838A0">
              <w:rPr>
                <w:spacing w:val="-4"/>
                <w:lang w:val="en-GB"/>
              </w:rPr>
              <w:t>.</w:t>
            </w:r>
            <w:r w:rsidR="00A02E8B" w:rsidRPr="000838A0">
              <w:rPr>
                <w:spacing w:val="-4"/>
                <w:lang w:val="en-GB"/>
              </w:rPr>
              <w:t>0</w:t>
            </w:r>
            <w:r w:rsidRPr="000838A0">
              <w:rPr>
                <w:spacing w:val="-4"/>
                <w:lang w:val="en-GB"/>
              </w:rPr>
              <w:t xml:space="preserve"> CZK bn</w:t>
            </w:r>
            <w:r w:rsidR="00A02E8B" w:rsidRPr="000838A0">
              <w:rPr>
                <w:spacing w:val="-4"/>
                <w:lang w:val="en-GB"/>
              </w:rPr>
              <w:t xml:space="preserve">. </w:t>
            </w:r>
            <w:r w:rsidR="000221DD">
              <w:rPr>
                <w:spacing w:val="-4"/>
                <w:lang w:val="en-GB"/>
              </w:rPr>
              <w:t xml:space="preserve">The trade with Russia </w:t>
            </w:r>
            <w:r w:rsidR="00A02E8B" w:rsidRPr="000838A0">
              <w:rPr>
                <w:spacing w:val="-4"/>
                <w:lang w:val="en-GB"/>
              </w:rPr>
              <w:t>(–74</w:t>
            </w:r>
            <w:r w:rsidR="000221DD">
              <w:rPr>
                <w:spacing w:val="-4"/>
                <w:lang w:val="en-GB"/>
              </w:rPr>
              <w:t>.</w:t>
            </w:r>
            <w:r w:rsidR="00A02E8B" w:rsidRPr="000838A0">
              <w:rPr>
                <w:spacing w:val="-4"/>
                <w:lang w:val="en-GB"/>
              </w:rPr>
              <w:t>4</w:t>
            </w:r>
            <w:r w:rsidR="000221DD">
              <w:rPr>
                <w:spacing w:val="-4"/>
                <w:lang w:val="en-GB"/>
              </w:rPr>
              <w:t xml:space="preserve"> CZK bn</w:t>
            </w:r>
            <w:r w:rsidR="00A02E8B" w:rsidRPr="000838A0">
              <w:rPr>
                <w:spacing w:val="-4"/>
                <w:lang w:val="en-GB"/>
              </w:rPr>
              <w:t xml:space="preserve">), </w:t>
            </w:r>
            <w:r w:rsidR="000221DD">
              <w:rPr>
                <w:spacing w:val="-4"/>
                <w:lang w:val="en-GB"/>
              </w:rPr>
              <w:t xml:space="preserve">China </w:t>
            </w:r>
            <w:r w:rsidR="00A02E8B" w:rsidRPr="000838A0">
              <w:rPr>
                <w:spacing w:val="-4"/>
                <w:lang w:val="en-GB"/>
              </w:rPr>
              <w:t>(–58</w:t>
            </w:r>
            <w:r w:rsidR="000221DD">
              <w:rPr>
                <w:spacing w:val="-4"/>
                <w:lang w:val="en-GB"/>
              </w:rPr>
              <w:t>.</w:t>
            </w:r>
            <w:r w:rsidR="00A02E8B" w:rsidRPr="000838A0">
              <w:rPr>
                <w:spacing w:val="-4"/>
                <w:lang w:val="en-GB"/>
              </w:rPr>
              <w:t>2</w:t>
            </w:r>
            <w:r w:rsidR="000221DD">
              <w:rPr>
                <w:spacing w:val="-4"/>
                <w:lang w:val="en-GB"/>
              </w:rPr>
              <w:t xml:space="preserve"> bn</w:t>
            </w:r>
            <w:r w:rsidR="00A02E8B" w:rsidRPr="000838A0">
              <w:rPr>
                <w:spacing w:val="-4"/>
                <w:lang w:val="en-GB"/>
              </w:rPr>
              <w:t>), Jap</w:t>
            </w:r>
            <w:r w:rsidR="000221DD">
              <w:rPr>
                <w:spacing w:val="-4"/>
                <w:lang w:val="en-GB"/>
              </w:rPr>
              <w:t xml:space="preserve">an </w:t>
            </w:r>
            <w:r w:rsidR="00A02E8B" w:rsidRPr="000838A0">
              <w:rPr>
                <w:spacing w:val="-4"/>
                <w:lang w:val="en-GB"/>
              </w:rPr>
              <w:t>(–21</w:t>
            </w:r>
            <w:r w:rsidR="000221DD">
              <w:rPr>
                <w:spacing w:val="-4"/>
                <w:lang w:val="en-GB"/>
              </w:rPr>
              <w:t>.</w:t>
            </w:r>
            <w:r w:rsidR="00A02E8B" w:rsidRPr="000838A0">
              <w:rPr>
                <w:spacing w:val="-4"/>
                <w:lang w:val="en-GB"/>
              </w:rPr>
              <w:t>9</w:t>
            </w:r>
            <w:r w:rsidR="000221DD">
              <w:rPr>
                <w:spacing w:val="-4"/>
                <w:lang w:val="en-GB"/>
              </w:rPr>
              <w:t xml:space="preserve"> bn</w:t>
            </w:r>
            <w:r w:rsidR="00A02E8B" w:rsidRPr="000838A0">
              <w:rPr>
                <w:spacing w:val="-4"/>
                <w:lang w:val="en-GB"/>
              </w:rPr>
              <w:t>), Tur</w:t>
            </w:r>
            <w:r w:rsidR="000221DD">
              <w:rPr>
                <w:spacing w:val="-4"/>
                <w:lang w:val="en-GB"/>
              </w:rPr>
              <w:t xml:space="preserve">key </w:t>
            </w:r>
            <w:r w:rsidR="00A02E8B" w:rsidRPr="000838A0">
              <w:rPr>
                <w:spacing w:val="-4"/>
                <w:lang w:val="en-GB"/>
              </w:rPr>
              <w:t>(–14</w:t>
            </w:r>
            <w:r w:rsidR="000221DD">
              <w:rPr>
                <w:spacing w:val="-4"/>
                <w:lang w:val="en-GB"/>
              </w:rPr>
              <w:t>.</w:t>
            </w:r>
            <w:r w:rsidR="00A02E8B" w:rsidRPr="000838A0">
              <w:rPr>
                <w:spacing w:val="-4"/>
                <w:lang w:val="en-GB"/>
              </w:rPr>
              <w:t>0</w:t>
            </w:r>
            <w:r w:rsidR="000221DD">
              <w:rPr>
                <w:spacing w:val="-4"/>
                <w:lang w:val="en-GB"/>
              </w:rPr>
              <w:t xml:space="preserve"> bn</w:t>
            </w:r>
            <w:r w:rsidR="00A02E8B" w:rsidRPr="000838A0">
              <w:rPr>
                <w:spacing w:val="-4"/>
                <w:lang w:val="en-GB"/>
              </w:rPr>
              <w:t>)</w:t>
            </w:r>
            <w:r w:rsidR="00937017" w:rsidRPr="000838A0">
              <w:rPr>
                <w:spacing w:val="-4"/>
                <w:lang w:val="en-GB"/>
              </w:rPr>
              <w:t>, Ukra</w:t>
            </w:r>
            <w:r w:rsidR="000221DD">
              <w:rPr>
                <w:spacing w:val="-4"/>
                <w:lang w:val="en-GB"/>
              </w:rPr>
              <w:t xml:space="preserve">ine </w:t>
            </w:r>
            <w:r w:rsidR="00937017" w:rsidRPr="000838A0">
              <w:rPr>
                <w:spacing w:val="-4"/>
                <w:lang w:val="en-GB"/>
              </w:rPr>
              <w:t>(-13</w:t>
            </w:r>
            <w:r w:rsidR="000221DD">
              <w:rPr>
                <w:spacing w:val="-4"/>
                <w:lang w:val="en-GB"/>
              </w:rPr>
              <w:t>.</w:t>
            </w:r>
            <w:r w:rsidR="00937017" w:rsidRPr="000221DD">
              <w:rPr>
                <w:spacing w:val="-4"/>
                <w:lang w:val="en-GB"/>
              </w:rPr>
              <w:t>5</w:t>
            </w:r>
            <w:r w:rsidR="000221DD" w:rsidRPr="000221DD">
              <w:rPr>
                <w:spacing w:val="-4"/>
                <w:lang w:val="en-GB"/>
              </w:rPr>
              <w:t xml:space="preserve"> bn</w:t>
            </w:r>
            <w:r w:rsidR="00937017" w:rsidRPr="000221DD">
              <w:rPr>
                <w:spacing w:val="-4"/>
                <w:lang w:val="en-GB"/>
              </w:rPr>
              <w:t xml:space="preserve">), </w:t>
            </w:r>
            <w:r w:rsidR="000221DD" w:rsidRPr="000221DD">
              <w:rPr>
                <w:spacing w:val="-4"/>
                <w:lang w:val="en-GB"/>
              </w:rPr>
              <w:t xml:space="preserve">Kazakhstan </w:t>
            </w:r>
            <w:r w:rsidR="00937017" w:rsidRPr="000221DD">
              <w:rPr>
                <w:spacing w:val="-4"/>
                <w:lang w:val="en-GB"/>
              </w:rPr>
              <w:t>(-13</w:t>
            </w:r>
            <w:r w:rsidR="000221DD" w:rsidRPr="000221DD">
              <w:rPr>
                <w:spacing w:val="-4"/>
                <w:lang w:val="en-GB"/>
              </w:rPr>
              <w:t>.</w:t>
            </w:r>
            <w:r w:rsidR="00937017" w:rsidRPr="000221DD">
              <w:rPr>
                <w:spacing w:val="-4"/>
                <w:lang w:val="en-GB"/>
              </w:rPr>
              <w:t>0</w:t>
            </w:r>
            <w:r w:rsidR="000221DD" w:rsidRPr="000221DD">
              <w:rPr>
                <w:spacing w:val="-4"/>
                <w:lang w:val="en-GB"/>
              </w:rPr>
              <w:t xml:space="preserve"> bn</w:t>
            </w:r>
            <w:r w:rsidR="00937017" w:rsidRPr="000221DD">
              <w:rPr>
                <w:spacing w:val="-4"/>
                <w:lang w:val="en-GB"/>
              </w:rPr>
              <w:t>)</w:t>
            </w:r>
            <w:r w:rsidR="00A02E8B" w:rsidRPr="000221DD">
              <w:rPr>
                <w:spacing w:val="-4"/>
                <w:lang w:val="en-GB"/>
              </w:rPr>
              <w:t xml:space="preserve"> a</w:t>
            </w:r>
            <w:r w:rsidR="000221DD" w:rsidRPr="000221DD">
              <w:rPr>
                <w:spacing w:val="-4"/>
                <w:lang w:val="en-GB"/>
              </w:rPr>
              <w:t xml:space="preserve">nd Poland </w:t>
            </w:r>
            <w:r w:rsidR="00A02E8B" w:rsidRPr="000221DD">
              <w:rPr>
                <w:spacing w:val="-4"/>
                <w:lang w:val="en-GB"/>
              </w:rPr>
              <w:t>(–9</w:t>
            </w:r>
            <w:r w:rsidR="000221DD" w:rsidRPr="000221DD">
              <w:rPr>
                <w:spacing w:val="-4"/>
                <w:lang w:val="en-GB"/>
              </w:rPr>
              <w:t>.</w:t>
            </w:r>
            <w:r w:rsidR="00A02E8B" w:rsidRPr="000221DD">
              <w:rPr>
                <w:spacing w:val="-4"/>
                <w:lang w:val="en-GB"/>
              </w:rPr>
              <w:t>3</w:t>
            </w:r>
            <w:r w:rsidR="000221DD" w:rsidRPr="000221DD">
              <w:rPr>
                <w:spacing w:val="-4"/>
                <w:lang w:val="en-GB"/>
              </w:rPr>
              <w:t xml:space="preserve"> bn</w:t>
            </w:r>
            <w:r w:rsidR="00A02E8B" w:rsidRPr="000221DD">
              <w:rPr>
                <w:spacing w:val="-4"/>
                <w:lang w:val="en-GB"/>
              </w:rPr>
              <w:t>)</w:t>
            </w:r>
            <w:r w:rsidR="000221DD" w:rsidRPr="000221DD">
              <w:rPr>
                <w:spacing w:val="-4"/>
                <w:lang w:val="en-GB"/>
              </w:rPr>
              <w:t xml:space="preserve"> worked the most in the direction of balance worsening</w:t>
            </w:r>
            <w:r w:rsidR="00A02E8B" w:rsidRPr="000221DD">
              <w:rPr>
                <w:spacing w:val="-4"/>
                <w:lang w:val="en-GB"/>
              </w:rPr>
              <w:t xml:space="preserve">. </w:t>
            </w:r>
            <w:r w:rsidR="000221DD">
              <w:rPr>
                <w:spacing w:val="-4"/>
                <w:lang w:val="en-GB"/>
              </w:rPr>
              <w:t xml:space="preserve">The balance of trade with the South Korea </w:t>
            </w:r>
            <w:r w:rsidR="00A02E8B" w:rsidRPr="000221DD">
              <w:rPr>
                <w:spacing w:val="-4"/>
                <w:lang w:val="en-GB"/>
              </w:rPr>
              <w:t>(–7</w:t>
            </w:r>
            <w:r w:rsidR="000221DD">
              <w:rPr>
                <w:spacing w:val="-4"/>
                <w:lang w:val="en-GB"/>
              </w:rPr>
              <w:t>.</w:t>
            </w:r>
            <w:r w:rsidR="00A02E8B" w:rsidRPr="000221DD">
              <w:rPr>
                <w:spacing w:val="-4"/>
                <w:lang w:val="en-GB"/>
              </w:rPr>
              <w:t>5</w:t>
            </w:r>
            <w:r w:rsidR="000221DD">
              <w:rPr>
                <w:spacing w:val="-4"/>
                <w:lang w:val="en-GB"/>
              </w:rPr>
              <w:t xml:space="preserve"> CZK bn</w:t>
            </w:r>
            <w:r w:rsidR="00A02E8B" w:rsidRPr="000221DD">
              <w:rPr>
                <w:spacing w:val="-4"/>
                <w:lang w:val="en-GB"/>
              </w:rPr>
              <w:t>),</w:t>
            </w:r>
            <w:r w:rsidR="000221DD">
              <w:rPr>
                <w:spacing w:val="-4"/>
                <w:lang w:val="en-GB"/>
              </w:rPr>
              <w:t xml:space="preserve"> the Netherlands </w:t>
            </w:r>
            <w:r w:rsidR="00A02E8B" w:rsidRPr="000221DD">
              <w:rPr>
                <w:spacing w:val="-4"/>
                <w:lang w:val="en-GB"/>
              </w:rPr>
              <w:t>(–6</w:t>
            </w:r>
            <w:r w:rsidR="000221DD">
              <w:rPr>
                <w:spacing w:val="-4"/>
                <w:lang w:val="en-GB"/>
              </w:rPr>
              <w:t>.</w:t>
            </w:r>
            <w:r w:rsidR="00A02E8B" w:rsidRPr="000221DD">
              <w:rPr>
                <w:spacing w:val="-4"/>
                <w:lang w:val="en-GB"/>
              </w:rPr>
              <w:t>2</w:t>
            </w:r>
            <w:r w:rsidR="000221DD">
              <w:rPr>
                <w:spacing w:val="-4"/>
                <w:lang w:val="en-GB"/>
              </w:rPr>
              <w:t xml:space="preserve"> bn</w:t>
            </w:r>
            <w:r w:rsidR="00A02E8B" w:rsidRPr="000221DD">
              <w:rPr>
                <w:spacing w:val="-4"/>
                <w:lang w:val="en-GB"/>
              </w:rPr>
              <w:t>), It</w:t>
            </w:r>
            <w:r w:rsidR="000221DD">
              <w:rPr>
                <w:spacing w:val="-4"/>
                <w:lang w:val="en-GB"/>
              </w:rPr>
              <w:t xml:space="preserve">aly </w:t>
            </w:r>
            <w:r w:rsidR="00A02E8B" w:rsidRPr="000221DD">
              <w:rPr>
                <w:spacing w:val="-4"/>
                <w:lang w:val="en-GB"/>
              </w:rPr>
              <w:t>(–5</w:t>
            </w:r>
            <w:r w:rsidR="000221DD">
              <w:rPr>
                <w:spacing w:val="-4"/>
                <w:lang w:val="en-GB"/>
              </w:rPr>
              <w:t>.</w:t>
            </w:r>
            <w:r w:rsidR="00A02E8B" w:rsidRPr="000221DD">
              <w:rPr>
                <w:spacing w:val="-4"/>
                <w:lang w:val="en-GB"/>
              </w:rPr>
              <w:t>5</w:t>
            </w:r>
            <w:r w:rsidR="000221DD">
              <w:rPr>
                <w:spacing w:val="-4"/>
                <w:lang w:val="en-GB"/>
              </w:rPr>
              <w:t xml:space="preserve"> bn</w:t>
            </w:r>
            <w:r w:rsidR="00A02E8B" w:rsidRPr="000221DD">
              <w:rPr>
                <w:spacing w:val="-4"/>
                <w:lang w:val="en-GB"/>
              </w:rPr>
              <w:t>),</w:t>
            </w:r>
            <w:r w:rsidR="000221DD">
              <w:rPr>
                <w:spacing w:val="-4"/>
                <w:lang w:val="en-GB"/>
              </w:rPr>
              <w:t xml:space="preserve"> the United States </w:t>
            </w:r>
            <w:r w:rsidR="00A02E8B" w:rsidRPr="000221DD">
              <w:rPr>
                <w:spacing w:val="-4"/>
                <w:lang w:val="en-GB"/>
              </w:rPr>
              <w:t>(–3</w:t>
            </w:r>
            <w:r w:rsidR="000221DD">
              <w:rPr>
                <w:spacing w:val="-4"/>
                <w:lang w:val="en-GB"/>
              </w:rPr>
              <w:t>.</w:t>
            </w:r>
            <w:r w:rsidR="00A02E8B" w:rsidRPr="000221DD">
              <w:rPr>
                <w:spacing w:val="-4"/>
                <w:lang w:val="en-GB"/>
              </w:rPr>
              <w:t>0</w:t>
            </w:r>
            <w:r w:rsidR="000221DD">
              <w:rPr>
                <w:spacing w:val="-4"/>
                <w:lang w:val="en-GB"/>
              </w:rPr>
              <w:t xml:space="preserve"> bn</w:t>
            </w:r>
            <w:r w:rsidR="00A02E8B" w:rsidRPr="000221DD">
              <w:rPr>
                <w:spacing w:val="-4"/>
                <w:lang w:val="en-GB"/>
              </w:rPr>
              <w:t>), R</w:t>
            </w:r>
            <w:r w:rsidR="000221DD">
              <w:rPr>
                <w:spacing w:val="-4"/>
                <w:lang w:val="en-GB"/>
              </w:rPr>
              <w:t xml:space="preserve">omania </w:t>
            </w:r>
            <w:r w:rsidR="00A02E8B" w:rsidRPr="000221DD">
              <w:rPr>
                <w:spacing w:val="-4"/>
                <w:lang w:val="en-GB"/>
              </w:rPr>
              <w:t>(–2</w:t>
            </w:r>
            <w:r w:rsidR="000221DD">
              <w:rPr>
                <w:spacing w:val="-4"/>
                <w:lang w:val="en-GB"/>
              </w:rPr>
              <w:t>.</w:t>
            </w:r>
            <w:r w:rsidR="00A02E8B" w:rsidRPr="000221DD">
              <w:rPr>
                <w:spacing w:val="-4"/>
                <w:lang w:val="en-GB"/>
              </w:rPr>
              <w:t>7</w:t>
            </w:r>
            <w:r w:rsidR="000221DD">
              <w:rPr>
                <w:spacing w:val="-4"/>
                <w:lang w:val="en-GB"/>
              </w:rPr>
              <w:t xml:space="preserve"> bn</w:t>
            </w:r>
            <w:r w:rsidR="00A02E8B" w:rsidRPr="000221DD">
              <w:rPr>
                <w:spacing w:val="-4"/>
                <w:lang w:val="en-GB"/>
              </w:rPr>
              <w:t>)</w:t>
            </w:r>
            <w:r w:rsidR="000221DD">
              <w:rPr>
                <w:spacing w:val="-4"/>
                <w:lang w:val="en-GB"/>
              </w:rPr>
              <w:t xml:space="preserve"> or Belgium </w:t>
            </w:r>
            <w:r w:rsidR="00A02E8B" w:rsidRPr="000221DD">
              <w:rPr>
                <w:spacing w:val="-4"/>
                <w:lang w:val="en-GB"/>
              </w:rPr>
              <w:t>(–2</w:t>
            </w:r>
            <w:r w:rsidR="000221DD">
              <w:rPr>
                <w:spacing w:val="-4"/>
                <w:lang w:val="en-GB"/>
              </w:rPr>
              <w:t>.</w:t>
            </w:r>
            <w:r w:rsidR="00A02E8B" w:rsidRPr="000221DD">
              <w:rPr>
                <w:spacing w:val="-4"/>
                <w:lang w:val="en-GB"/>
              </w:rPr>
              <w:t>5</w:t>
            </w:r>
            <w:r w:rsidR="000221DD">
              <w:rPr>
                <w:spacing w:val="-4"/>
                <w:lang w:val="en-GB"/>
              </w:rPr>
              <w:t xml:space="preserve"> bn</w:t>
            </w:r>
            <w:r w:rsidR="00A02E8B" w:rsidRPr="000221DD">
              <w:rPr>
                <w:spacing w:val="-4"/>
                <w:lang w:val="en-GB"/>
              </w:rPr>
              <w:t>)</w:t>
            </w:r>
            <w:r w:rsidR="000221DD">
              <w:rPr>
                <w:spacing w:val="-4"/>
                <w:lang w:val="en-GB"/>
              </w:rPr>
              <w:t xml:space="preserve"> also worsened</w:t>
            </w:r>
            <w:r w:rsidR="00A02E8B" w:rsidRPr="000221DD">
              <w:rPr>
                <w:spacing w:val="-4"/>
                <w:lang w:val="en-GB"/>
              </w:rPr>
              <w:t>.</w:t>
            </w:r>
            <w:r w:rsidR="000221DD">
              <w:rPr>
                <w:spacing w:val="-4"/>
                <w:lang w:val="en-GB"/>
              </w:rPr>
              <w:t xml:space="preserve"> On the contrary, the trade with Slovakia </w:t>
            </w:r>
            <w:r w:rsidR="00A02E8B" w:rsidRPr="000221DD">
              <w:rPr>
                <w:spacing w:val="-4"/>
                <w:lang w:val="en-GB"/>
              </w:rPr>
              <w:t>(+16</w:t>
            </w:r>
            <w:r w:rsidR="000221DD">
              <w:rPr>
                <w:spacing w:val="-4"/>
                <w:lang w:val="en-GB"/>
              </w:rPr>
              <w:t>.0 CZK bn</w:t>
            </w:r>
            <w:r w:rsidR="00A02E8B" w:rsidRPr="000221DD">
              <w:rPr>
                <w:spacing w:val="-4"/>
                <w:lang w:val="en-GB"/>
              </w:rPr>
              <w:t>),</w:t>
            </w:r>
            <w:r w:rsidR="000221DD">
              <w:rPr>
                <w:spacing w:val="-4"/>
                <w:lang w:val="en-GB"/>
              </w:rPr>
              <w:t xml:space="preserve"> Austria </w:t>
            </w:r>
            <w:r w:rsidR="00A02E8B" w:rsidRPr="000221DD">
              <w:rPr>
                <w:spacing w:val="-4"/>
                <w:lang w:val="en-GB"/>
              </w:rPr>
              <w:t>(+13</w:t>
            </w:r>
            <w:r w:rsidR="000221DD">
              <w:rPr>
                <w:spacing w:val="-4"/>
                <w:lang w:val="en-GB"/>
              </w:rPr>
              <w:t>.</w:t>
            </w:r>
            <w:r w:rsidR="00A02E8B" w:rsidRPr="000221DD">
              <w:rPr>
                <w:spacing w:val="-4"/>
                <w:lang w:val="en-GB"/>
              </w:rPr>
              <w:t>4</w:t>
            </w:r>
            <w:r w:rsidR="000221DD">
              <w:rPr>
                <w:spacing w:val="-4"/>
                <w:lang w:val="en-GB"/>
              </w:rPr>
              <w:t xml:space="preserve"> bn</w:t>
            </w:r>
            <w:r w:rsidR="00A02E8B" w:rsidRPr="000221DD">
              <w:rPr>
                <w:spacing w:val="-4"/>
                <w:lang w:val="en-GB"/>
              </w:rPr>
              <w:t>) a</w:t>
            </w:r>
            <w:r w:rsidR="000221DD">
              <w:rPr>
                <w:spacing w:val="-4"/>
                <w:lang w:val="en-GB"/>
              </w:rPr>
              <w:t xml:space="preserve">nd Germany </w:t>
            </w:r>
            <w:r w:rsidR="00A02E8B" w:rsidRPr="000221DD">
              <w:rPr>
                <w:spacing w:val="-4"/>
                <w:lang w:val="en-GB"/>
              </w:rPr>
              <w:t>(+8</w:t>
            </w:r>
            <w:r w:rsidR="000221DD">
              <w:rPr>
                <w:spacing w:val="-4"/>
                <w:lang w:val="en-GB"/>
              </w:rPr>
              <w:t>.</w:t>
            </w:r>
            <w:r w:rsidR="00A02E8B" w:rsidRPr="000221DD">
              <w:rPr>
                <w:spacing w:val="-4"/>
                <w:lang w:val="en-GB"/>
              </w:rPr>
              <w:t>8</w:t>
            </w:r>
            <w:r w:rsidR="000221DD">
              <w:rPr>
                <w:spacing w:val="-4"/>
                <w:lang w:val="en-GB"/>
              </w:rPr>
              <w:t xml:space="preserve"> bn</w:t>
            </w:r>
            <w:r w:rsidR="00A02E8B" w:rsidRPr="000221DD">
              <w:rPr>
                <w:spacing w:val="-4"/>
                <w:lang w:val="en-GB"/>
              </w:rPr>
              <w:t>)</w:t>
            </w:r>
            <w:r w:rsidR="000221DD">
              <w:rPr>
                <w:spacing w:val="-4"/>
                <w:lang w:val="en-GB"/>
              </w:rPr>
              <w:t xml:space="preserve"> had significantly favourable effect and the balance with Sweden </w:t>
            </w:r>
            <w:r w:rsidR="00A02E8B" w:rsidRPr="000221DD">
              <w:rPr>
                <w:spacing w:val="-4"/>
                <w:lang w:val="en-GB"/>
              </w:rPr>
              <w:t>(+4</w:t>
            </w:r>
            <w:r w:rsidR="000221DD">
              <w:rPr>
                <w:spacing w:val="-4"/>
                <w:lang w:val="en-GB"/>
              </w:rPr>
              <w:t>.</w:t>
            </w:r>
            <w:r w:rsidR="00A02E8B" w:rsidRPr="000221DD">
              <w:rPr>
                <w:spacing w:val="-4"/>
                <w:lang w:val="en-GB"/>
              </w:rPr>
              <w:t>8</w:t>
            </w:r>
            <w:r w:rsidR="000221DD">
              <w:rPr>
                <w:spacing w:val="-4"/>
                <w:lang w:val="en-GB"/>
              </w:rPr>
              <w:t xml:space="preserve"> bn</w:t>
            </w:r>
            <w:r w:rsidR="00A02E8B" w:rsidRPr="000221DD">
              <w:rPr>
                <w:spacing w:val="-4"/>
                <w:lang w:val="en-GB"/>
              </w:rPr>
              <w:t>), Franc</w:t>
            </w:r>
            <w:r w:rsidR="000221DD">
              <w:rPr>
                <w:spacing w:val="-4"/>
                <w:lang w:val="en-GB"/>
              </w:rPr>
              <w:t xml:space="preserve">e </w:t>
            </w:r>
            <w:r w:rsidR="00A02E8B" w:rsidRPr="000221DD">
              <w:rPr>
                <w:spacing w:val="-4"/>
                <w:lang w:val="en-GB"/>
              </w:rPr>
              <w:t>(+3</w:t>
            </w:r>
            <w:r w:rsidR="000221DD">
              <w:rPr>
                <w:spacing w:val="-4"/>
                <w:lang w:val="en-GB"/>
              </w:rPr>
              <w:t>.</w:t>
            </w:r>
            <w:r w:rsidR="00A02E8B" w:rsidRPr="000221DD">
              <w:rPr>
                <w:spacing w:val="-4"/>
                <w:lang w:val="en-GB"/>
              </w:rPr>
              <w:t>6</w:t>
            </w:r>
            <w:r w:rsidR="000221DD">
              <w:rPr>
                <w:spacing w:val="-4"/>
                <w:lang w:val="en-GB"/>
              </w:rPr>
              <w:t xml:space="preserve"> bn</w:t>
            </w:r>
            <w:r w:rsidR="00A02E8B" w:rsidRPr="000221DD">
              <w:rPr>
                <w:spacing w:val="-4"/>
                <w:lang w:val="en-GB"/>
              </w:rPr>
              <w:t xml:space="preserve">), </w:t>
            </w:r>
            <w:r w:rsidR="000221DD">
              <w:rPr>
                <w:spacing w:val="-4"/>
                <w:lang w:val="en-GB"/>
              </w:rPr>
              <w:t xml:space="preserve">Spain </w:t>
            </w:r>
            <w:r w:rsidR="00A02E8B" w:rsidRPr="000221DD">
              <w:rPr>
                <w:spacing w:val="-4"/>
                <w:lang w:val="en-GB"/>
              </w:rPr>
              <w:t>(+3</w:t>
            </w:r>
            <w:r w:rsidR="000221DD">
              <w:rPr>
                <w:spacing w:val="-4"/>
                <w:lang w:val="en-GB"/>
              </w:rPr>
              <w:t>.</w:t>
            </w:r>
            <w:r w:rsidR="00A02E8B" w:rsidRPr="000221DD">
              <w:rPr>
                <w:spacing w:val="-4"/>
                <w:lang w:val="en-GB"/>
              </w:rPr>
              <w:t>0</w:t>
            </w:r>
            <w:r w:rsidR="000221DD">
              <w:rPr>
                <w:spacing w:val="-4"/>
                <w:lang w:val="en-GB"/>
              </w:rPr>
              <w:t xml:space="preserve"> bn</w:t>
            </w:r>
            <w:r w:rsidR="00A02E8B" w:rsidRPr="000221DD">
              <w:rPr>
                <w:spacing w:val="-4"/>
                <w:lang w:val="en-GB"/>
              </w:rPr>
              <w:t>)</w:t>
            </w:r>
            <w:r w:rsidR="000221DD">
              <w:rPr>
                <w:spacing w:val="-4"/>
                <w:lang w:val="en-GB"/>
              </w:rPr>
              <w:t xml:space="preserve"> or the Great Britain </w:t>
            </w:r>
            <w:r w:rsidR="00A02E8B" w:rsidRPr="000221DD">
              <w:rPr>
                <w:spacing w:val="-4"/>
                <w:lang w:val="en-GB"/>
              </w:rPr>
              <w:t>(+2</w:t>
            </w:r>
            <w:r w:rsidR="000221DD">
              <w:rPr>
                <w:spacing w:val="-4"/>
                <w:lang w:val="en-GB"/>
              </w:rPr>
              <w:t>.</w:t>
            </w:r>
            <w:r w:rsidR="00A02E8B" w:rsidRPr="000221DD">
              <w:rPr>
                <w:spacing w:val="-4"/>
                <w:lang w:val="en-GB"/>
              </w:rPr>
              <w:t>4</w:t>
            </w:r>
            <w:r w:rsidR="000221DD">
              <w:rPr>
                <w:spacing w:val="-4"/>
                <w:lang w:val="en-GB"/>
              </w:rPr>
              <w:t xml:space="preserve"> bn</w:t>
            </w:r>
            <w:r w:rsidR="00A02E8B" w:rsidRPr="000221DD">
              <w:rPr>
                <w:spacing w:val="-4"/>
                <w:lang w:val="en-GB"/>
              </w:rPr>
              <w:t>)</w:t>
            </w:r>
            <w:r w:rsidR="000221DD">
              <w:rPr>
                <w:spacing w:val="-4"/>
                <w:lang w:val="en-GB"/>
              </w:rPr>
              <w:t xml:space="preserve"> also improved</w:t>
            </w:r>
            <w:r w:rsidR="00A02E8B" w:rsidRPr="000221DD">
              <w:rPr>
                <w:spacing w:val="-4"/>
                <w:lang w:val="en-GB"/>
              </w:rPr>
              <w:t>.</w:t>
            </w:r>
          </w:p>
        </w:tc>
      </w:tr>
      <w:tr w:rsidR="00A02E8B" w:rsidRPr="009110F7" w14:paraId="5EC71F5D" w14:textId="77777777" w:rsidTr="008E039E">
        <w:trPr>
          <w:trHeight w:val="145"/>
        </w:trPr>
        <w:tc>
          <w:tcPr>
            <w:tcW w:w="1760" w:type="dxa"/>
            <w:shd w:val="clear" w:color="auto" w:fill="auto"/>
            <w:tcMar>
              <w:left w:w="0" w:type="dxa"/>
            </w:tcMar>
          </w:tcPr>
          <w:p w14:paraId="6D309347" w14:textId="71522864" w:rsidR="00A02E8B" w:rsidRPr="00573343" w:rsidRDefault="00A02E8B" w:rsidP="008E039E">
            <w:pPr>
              <w:pStyle w:val="Marginlie"/>
              <w:rPr>
                <w:lang w:val="en-GB"/>
              </w:rPr>
            </w:pPr>
            <w:r w:rsidRPr="00573343">
              <w:rPr>
                <w:lang w:val="en-GB"/>
              </w:rPr>
              <w:t xml:space="preserve">Deficit </w:t>
            </w:r>
            <w:r w:rsidR="00736BB4">
              <w:rPr>
                <w:lang w:val="en-GB"/>
              </w:rPr>
              <w:t>balance was in Q4 the worst since year 2</w:t>
            </w:r>
            <w:r w:rsidRPr="00573343">
              <w:rPr>
                <w:lang w:val="en-GB"/>
              </w:rPr>
              <w:t>008.</w:t>
            </w:r>
          </w:p>
        </w:tc>
        <w:tc>
          <w:tcPr>
            <w:tcW w:w="223" w:type="dxa"/>
            <w:shd w:val="clear" w:color="auto" w:fill="auto"/>
            <w:tcMar>
              <w:left w:w="0" w:type="dxa"/>
            </w:tcMar>
          </w:tcPr>
          <w:p w14:paraId="7B8EF03F" w14:textId="77777777" w:rsidR="00A02E8B" w:rsidRPr="00573343" w:rsidRDefault="00A02E8B" w:rsidP="008E039E">
            <w:pPr>
              <w:pStyle w:val="Textpoznpodarou"/>
              <w:jc w:val="both"/>
              <w:rPr>
                <w:spacing w:val="-4"/>
                <w:lang w:val="en-GB"/>
              </w:rPr>
            </w:pPr>
          </w:p>
        </w:tc>
        <w:tc>
          <w:tcPr>
            <w:tcW w:w="7656" w:type="dxa"/>
            <w:shd w:val="clear" w:color="auto" w:fill="auto"/>
            <w:tcMar>
              <w:left w:w="0" w:type="dxa"/>
            </w:tcMar>
          </w:tcPr>
          <w:p w14:paraId="35A38F8F" w14:textId="0D139DF5" w:rsidR="00A02E8B" w:rsidRPr="00573343" w:rsidRDefault="00736BB4" w:rsidP="008E039E">
            <w:pPr>
              <w:spacing w:after="180"/>
              <w:rPr>
                <w:spacing w:val="-4"/>
                <w:lang w:val="en-GB"/>
              </w:rPr>
            </w:pPr>
            <w:r>
              <w:rPr>
                <w:spacing w:val="-4"/>
                <w:lang w:val="en-GB"/>
              </w:rPr>
              <w:t>In Q</w:t>
            </w:r>
            <w:r w:rsidR="00A02E8B" w:rsidRPr="00573343">
              <w:rPr>
                <w:spacing w:val="-4"/>
                <w:lang w:val="en-GB"/>
              </w:rPr>
              <w:t>4</w:t>
            </w:r>
            <w:r>
              <w:rPr>
                <w:spacing w:val="-4"/>
                <w:lang w:val="en-GB"/>
              </w:rPr>
              <w:t xml:space="preserve">, the balance deficit amounted to </w:t>
            </w:r>
            <w:r w:rsidR="00A02E8B" w:rsidRPr="00573343">
              <w:rPr>
                <w:spacing w:val="-4"/>
                <w:lang w:val="en-GB"/>
              </w:rPr>
              <w:t>27</w:t>
            </w:r>
            <w:r>
              <w:rPr>
                <w:spacing w:val="-4"/>
                <w:lang w:val="en-GB"/>
              </w:rPr>
              <w:t>.</w:t>
            </w:r>
            <w:r w:rsidR="00A02E8B" w:rsidRPr="00573343">
              <w:rPr>
                <w:spacing w:val="-4"/>
                <w:lang w:val="en-GB"/>
              </w:rPr>
              <w:t>4</w:t>
            </w:r>
            <w:r>
              <w:rPr>
                <w:spacing w:val="-4"/>
                <w:lang w:val="en-GB"/>
              </w:rPr>
              <w:t xml:space="preserve"> CZK bn</w:t>
            </w:r>
            <w:r w:rsidR="00A02E8B" w:rsidRPr="00573343">
              <w:rPr>
                <w:spacing w:val="-4"/>
                <w:lang w:val="en-GB"/>
              </w:rPr>
              <w:t>.</w:t>
            </w:r>
            <w:r>
              <w:rPr>
                <w:spacing w:val="-4"/>
                <w:lang w:val="en-GB"/>
              </w:rPr>
              <w:t xml:space="preserve"> It represented the worst result since year </w:t>
            </w:r>
            <w:r w:rsidR="00A02E8B" w:rsidRPr="00573343">
              <w:rPr>
                <w:spacing w:val="-4"/>
                <w:lang w:val="en-GB"/>
              </w:rPr>
              <w:t>2008</w:t>
            </w:r>
            <w:r>
              <w:rPr>
                <w:spacing w:val="-4"/>
                <w:lang w:val="en-GB"/>
              </w:rPr>
              <w:t xml:space="preserve"> and the first deficit in this period since year </w:t>
            </w:r>
            <w:r w:rsidR="00A02E8B" w:rsidRPr="00573343">
              <w:rPr>
                <w:spacing w:val="-4"/>
                <w:lang w:val="en-GB"/>
              </w:rPr>
              <w:t>2010</w:t>
            </w:r>
            <w:r w:rsidR="00A02E8B" w:rsidRPr="00573343">
              <w:rPr>
                <w:rStyle w:val="Znakapoznpodarou"/>
                <w:spacing w:val="-4"/>
                <w:lang w:val="en-GB"/>
              </w:rPr>
              <w:footnoteReference w:id="48"/>
            </w:r>
            <w:r w:rsidR="00A02E8B" w:rsidRPr="00573343">
              <w:rPr>
                <w:spacing w:val="-4"/>
                <w:lang w:val="en-GB"/>
              </w:rPr>
              <w:t>.</w:t>
            </w:r>
            <w:r>
              <w:rPr>
                <w:spacing w:val="-4"/>
                <w:lang w:val="en-GB"/>
              </w:rPr>
              <w:t xml:space="preserve"> Compared to Q</w:t>
            </w:r>
            <w:r w:rsidR="00A02E8B" w:rsidRPr="00573343">
              <w:rPr>
                <w:spacing w:val="-4"/>
                <w:lang w:val="en-GB"/>
              </w:rPr>
              <w:t>4</w:t>
            </w:r>
            <w:r>
              <w:rPr>
                <w:spacing w:val="-4"/>
                <w:lang w:val="en-GB"/>
              </w:rPr>
              <w:t xml:space="preserve"> </w:t>
            </w:r>
            <w:r w:rsidR="00A02E8B" w:rsidRPr="00573343">
              <w:rPr>
                <w:spacing w:val="-4"/>
                <w:lang w:val="en-GB"/>
              </w:rPr>
              <w:t>2020</w:t>
            </w:r>
            <w:r>
              <w:rPr>
                <w:spacing w:val="-4"/>
                <w:lang w:val="en-GB"/>
              </w:rPr>
              <w:t xml:space="preserve">, the balanced deteriorated by </w:t>
            </w:r>
            <w:r w:rsidR="00A02E8B" w:rsidRPr="00573343">
              <w:rPr>
                <w:spacing w:val="-4"/>
                <w:lang w:val="en-GB"/>
              </w:rPr>
              <w:t>106</w:t>
            </w:r>
            <w:r>
              <w:rPr>
                <w:spacing w:val="-4"/>
                <w:lang w:val="en-GB"/>
              </w:rPr>
              <w:t>.</w:t>
            </w:r>
            <w:r w:rsidR="00A02E8B" w:rsidRPr="00573343">
              <w:rPr>
                <w:spacing w:val="-4"/>
                <w:lang w:val="en-GB"/>
              </w:rPr>
              <w:t>4</w:t>
            </w:r>
            <w:r>
              <w:rPr>
                <w:spacing w:val="-4"/>
                <w:lang w:val="en-GB"/>
              </w:rPr>
              <w:t xml:space="preserve"> CZK bn</w:t>
            </w:r>
            <w:r w:rsidR="00A02E8B" w:rsidRPr="00573343">
              <w:rPr>
                <w:rStyle w:val="Znakapoznpodarou"/>
                <w:spacing w:val="-4"/>
                <w:lang w:val="en-GB"/>
              </w:rPr>
              <w:footnoteReference w:id="49"/>
            </w:r>
            <w:r w:rsidR="00A02E8B" w:rsidRPr="00573343">
              <w:rPr>
                <w:spacing w:val="-4"/>
                <w:lang w:val="en-GB"/>
              </w:rPr>
              <w:t>.</w:t>
            </w:r>
            <w:r>
              <w:rPr>
                <w:spacing w:val="-4"/>
                <w:lang w:val="en-GB"/>
              </w:rPr>
              <w:t xml:space="preserve"> </w:t>
            </w:r>
            <w:r w:rsidR="00B70E48">
              <w:rPr>
                <w:spacing w:val="-4"/>
                <w:lang w:val="en-GB"/>
              </w:rPr>
              <w:t xml:space="preserve">Trade with the majority of monitored countries worked in the direction of deficit. The surplus of trade with the EU sank by </w:t>
            </w:r>
            <w:r w:rsidR="00A02E8B" w:rsidRPr="00573343">
              <w:rPr>
                <w:spacing w:val="-4"/>
                <w:lang w:val="en-GB"/>
              </w:rPr>
              <w:t>26</w:t>
            </w:r>
            <w:r w:rsidR="00B70E48">
              <w:rPr>
                <w:spacing w:val="-4"/>
                <w:lang w:val="en-GB"/>
              </w:rPr>
              <w:t>.</w:t>
            </w:r>
            <w:r w:rsidR="00A02E8B" w:rsidRPr="00573343">
              <w:rPr>
                <w:spacing w:val="-4"/>
                <w:lang w:val="en-GB"/>
              </w:rPr>
              <w:t>9</w:t>
            </w:r>
            <w:r w:rsidR="00B70E48">
              <w:rPr>
                <w:spacing w:val="-4"/>
                <w:lang w:val="en-GB"/>
              </w:rPr>
              <w:t xml:space="preserve"> CZK bn year-on-year and the deficit with countries outside the EU deepened by </w:t>
            </w:r>
            <w:r w:rsidR="00A02E8B" w:rsidRPr="00573343">
              <w:rPr>
                <w:spacing w:val="-4"/>
                <w:lang w:val="en-GB"/>
              </w:rPr>
              <w:t>78</w:t>
            </w:r>
            <w:r w:rsidR="00B70E48">
              <w:rPr>
                <w:spacing w:val="-4"/>
                <w:lang w:val="en-GB"/>
              </w:rPr>
              <w:t>.</w:t>
            </w:r>
            <w:r w:rsidR="00A02E8B" w:rsidRPr="00573343">
              <w:rPr>
                <w:spacing w:val="-4"/>
                <w:lang w:val="en-GB"/>
              </w:rPr>
              <w:t>5</w:t>
            </w:r>
            <w:r w:rsidR="00B70E48">
              <w:rPr>
                <w:spacing w:val="-4"/>
                <w:lang w:val="en-GB"/>
              </w:rPr>
              <w:t xml:space="preserve"> bn</w:t>
            </w:r>
            <w:r w:rsidR="00A02E8B" w:rsidRPr="00573343">
              <w:rPr>
                <w:spacing w:val="-4"/>
                <w:lang w:val="en-GB"/>
              </w:rPr>
              <w:t xml:space="preserve">. </w:t>
            </w:r>
            <w:r w:rsidR="00B70E48">
              <w:rPr>
                <w:spacing w:val="-4"/>
                <w:lang w:val="en-GB"/>
              </w:rPr>
              <w:t xml:space="preserve">The trade with Russia </w:t>
            </w:r>
            <w:r w:rsidR="00A02E8B" w:rsidRPr="00573343">
              <w:rPr>
                <w:spacing w:val="-4"/>
                <w:lang w:val="en-GB"/>
              </w:rPr>
              <w:t>(–32</w:t>
            </w:r>
            <w:r w:rsidR="00B70E48">
              <w:rPr>
                <w:spacing w:val="-4"/>
                <w:lang w:val="en-GB"/>
              </w:rPr>
              <w:t>.</w:t>
            </w:r>
            <w:r w:rsidR="00A02E8B" w:rsidRPr="00573343">
              <w:rPr>
                <w:spacing w:val="-4"/>
                <w:lang w:val="en-GB"/>
              </w:rPr>
              <w:t>5</w:t>
            </w:r>
            <w:r w:rsidR="00B70E48">
              <w:rPr>
                <w:spacing w:val="-4"/>
                <w:lang w:val="en-GB"/>
              </w:rPr>
              <w:t xml:space="preserve"> CZK bn</w:t>
            </w:r>
            <w:r w:rsidR="00A02E8B" w:rsidRPr="00573343">
              <w:rPr>
                <w:spacing w:val="-4"/>
                <w:lang w:val="en-GB"/>
              </w:rPr>
              <w:t>) a</w:t>
            </w:r>
            <w:r w:rsidR="00B70E48">
              <w:rPr>
                <w:spacing w:val="-4"/>
                <w:lang w:val="en-GB"/>
              </w:rPr>
              <w:t xml:space="preserve">nd China </w:t>
            </w:r>
            <w:r w:rsidR="00A02E8B" w:rsidRPr="00573343">
              <w:rPr>
                <w:spacing w:val="-4"/>
                <w:lang w:val="en-GB"/>
              </w:rPr>
              <w:t>(–21</w:t>
            </w:r>
            <w:r w:rsidR="00B70E48">
              <w:rPr>
                <w:spacing w:val="-4"/>
                <w:lang w:val="en-GB"/>
              </w:rPr>
              <w:t>.</w:t>
            </w:r>
            <w:r w:rsidR="00A02E8B" w:rsidRPr="00573343">
              <w:rPr>
                <w:spacing w:val="-4"/>
                <w:lang w:val="en-GB"/>
              </w:rPr>
              <w:t>8</w:t>
            </w:r>
            <w:r w:rsidR="00B70E48">
              <w:rPr>
                <w:spacing w:val="-4"/>
                <w:lang w:val="en-GB"/>
              </w:rPr>
              <w:t xml:space="preserve"> bn</w:t>
            </w:r>
            <w:r w:rsidR="00A02E8B" w:rsidRPr="00573343">
              <w:rPr>
                <w:spacing w:val="-4"/>
                <w:lang w:val="en-GB"/>
              </w:rPr>
              <w:t>)</w:t>
            </w:r>
            <w:r w:rsidR="00B70E48">
              <w:rPr>
                <w:spacing w:val="-4"/>
                <w:lang w:val="en-GB"/>
              </w:rPr>
              <w:t xml:space="preserve"> pushed in the direction of deficit the most</w:t>
            </w:r>
            <w:r w:rsidR="00A02E8B" w:rsidRPr="00573343">
              <w:rPr>
                <w:spacing w:val="-4"/>
                <w:lang w:val="en-GB"/>
              </w:rPr>
              <w:t xml:space="preserve">. </w:t>
            </w:r>
            <w:r w:rsidR="00B70E48">
              <w:rPr>
                <w:spacing w:val="-4"/>
                <w:lang w:val="en-GB"/>
              </w:rPr>
              <w:lastRenderedPageBreak/>
              <w:t xml:space="preserve">Balance of foreign trade with France </w:t>
            </w:r>
            <w:r w:rsidR="00A02E8B" w:rsidRPr="00573343">
              <w:rPr>
                <w:spacing w:val="-4"/>
                <w:lang w:val="en-GB"/>
              </w:rPr>
              <w:t>(–10</w:t>
            </w:r>
            <w:r w:rsidR="00B70E48">
              <w:rPr>
                <w:spacing w:val="-4"/>
                <w:lang w:val="en-GB"/>
              </w:rPr>
              <w:t>.</w:t>
            </w:r>
            <w:r w:rsidR="00A02E8B" w:rsidRPr="00573343">
              <w:rPr>
                <w:spacing w:val="-4"/>
                <w:lang w:val="en-GB"/>
              </w:rPr>
              <w:t>2</w:t>
            </w:r>
            <w:r w:rsidR="00B70E48">
              <w:rPr>
                <w:spacing w:val="-4"/>
                <w:lang w:val="en-GB"/>
              </w:rPr>
              <w:t xml:space="preserve"> CZK bn</w:t>
            </w:r>
            <w:r w:rsidR="00A02E8B" w:rsidRPr="00573343">
              <w:rPr>
                <w:spacing w:val="-4"/>
                <w:lang w:val="en-GB"/>
              </w:rPr>
              <w:t>),</w:t>
            </w:r>
            <w:r w:rsidR="00B70E48">
              <w:rPr>
                <w:spacing w:val="-4"/>
                <w:lang w:val="en-GB"/>
              </w:rPr>
              <w:t xml:space="preserve"> Germany </w:t>
            </w:r>
            <w:r w:rsidR="00A02E8B" w:rsidRPr="00573343">
              <w:rPr>
                <w:spacing w:val="-4"/>
                <w:lang w:val="en-GB"/>
              </w:rPr>
              <w:t>(–6</w:t>
            </w:r>
            <w:r w:rsidR="00B70E48">
              <w:rPr>
                <w:spacing w:val="-4"/>
                <w:lang w:val="en-GB"/>
              </w:rPr>
              <w:t>.</w:t>
            </w:r>
            <w:r w:rsidR="00A02E8B" w:rsidRPr="00573343">
              <w:rPr>
                <w:spacing w:val="-4"/>
                <w:lang w:val="en-GB"/>
              </w:rPr>
              <w:t>8</w:t>
            </w:r>
            <w:r w:rsidR="00B70E48">
              <w:rPr>
                <w:spacing w:val="-4"/>
                <w:lang w:val="en-GB"/>
              </w:rPr>
              <w:t xml:space="preserve"> bn</w:t>
            </w:r>
            <w:r w:rsidR="00A02E8B" w:rsidRPr="00573343">
              <w:rPr>
                <w:spacing w:val="-4"/>
                <w:lang w:val="en-GB"/>
              </w:rPr>
              <w:t>), Pol</w:t>
            </w:r>
            <w:r w:rsidR="00B70E48">
              <w:rPr>
                <w:spacing w:val="-4"/>
                <w:lang w:val="en-GB"/>
              </w:rPr>
              <w:t xml:space="preserve">and </w:t>
            </w:r>
            <w:r w:rsidR="00A02E8B" w:rsidRPr="00573343">
              <w:rPr>
                <w:spacing w:val="-4"/>
                <w:lang w:val="en-GB"/>
              </w:rPr>
              <w:t>(–5</w:t>
            </w:r>
            <w:r w:rsidR="00B70E48">
              <w:rPr>
                <w:spacing w:val="-4"/>
                <w:lang w:val="en-GB"/>
              </w:rPr>
              <w:t>.</w:t>
            </w:r>
            <w:r w:rsidR="00A02E8B" w:rsidRPr="00573343">
              <w:rPr>
                <w:spacing w:val="-4"/>
                <w:lang w:val="en-GB"/>
              </w:rPr>
              <w:t>2 </w:t>
            </w:r>
            <w:r w:rsidR="00B70E48">
              <w:rPr>
                <w:spacing w:val="-4"/>
                <w:lang w:val="en-GB"/>
              </w:rPr>
              <w:t>bn</w:t>
            </w:r>
            <w:r w:rsidR="00A02E8B" w:rsidRPr="00573343">
              <w:rPr>
                <w:spacing w:val="-4"/>
                <w:lang w:val="en-GB"/>
              </w:rPr>
              <w:t>), It</w:t>
            </w:r>
            <w:r w:rsidR="00B70E48">
              <w:rPr>
                <w:spacing w:val="-4"/>
                <w:lang w:val="en-GB"/>
              </w:rPr>
              <w:t xml:space="preserve">aly </w:t>
            </w:r>
            <w:r w:rsidR="00A02E8B" w:rsidRPr="00573343">
              <w:rPr>
                <w:spacing w:val="-4"/>
                <w:lang w:val="en-GB"/>
              </w:rPr>
              <w:t>(–5</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 Tur</w:t>
            </w:r>
            <w:r w:rsidR="00B70E48">
              <w:rPr>
                <w:spacing w:val="-4"/>
                <w:lang w:val="en-GB"/>
              </w:rPr>
              <w:t xml:space="preserve">key </w:t>
            </w:r>
            <w:r w:rsidR="00A02E8B" w:rsidRPr="00573343">
              <w:rPr>
                <w:spacing w:val="-4"/>
                <w:lang w:val="en-GB"/>
              </w:rPr>
              <w:t>(–4</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w:t>
            </w:r>
            <w:r w:rsidR="00B70E48">
              <w:rPr>
                <w:spacing w:val="-4"/>
                <w:lang w:val="en-GB"/>
              </w:rPr>
              <w:t xml:space="preserve"> or Spain </w:t>
            </w:r>
            <w:r w:rsidR="00A02E8B" w:rsidRPr="00573343">
              <w:rPr>
                <w:spacing w:val="-4"/>
                <w:lang w:val="en-GB"/>
              </w:rPr>
              <w:t>(–4</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w:t>
            </w:r>
            <w:r w:rsidR="00B70E48">
              <w:rPr>
                <w:spacing w:val="-4"/>
                <w:lang w:val="en-GB"/>
              </w:rPr>
              <w:t xml:space="preserve"> was also significantly worse</w:t>
            </w:r>
            <w:r w:rsidR="00A02E8B" w:rsidRPr="00573343">
              <w:rPr>
                <w:spacing w:val="-4"/>
                <w:lang w:val="en-GB"/>
              </w:rPr>
              <w:t xml:space="preserve">. </w:t>
            </w:r>
            <w:r w:rsidR="00B70E48">
              <w:rPr>
                <w:spacing w:val="-4"/>
                <w:lang w:val="en-GB"/>
              </w:rPr>
              <w:t xml:space="preserve">In contrast, the </w:t>
            </w:r>
            <w:r w:rsidR="009D7BFB">
              <w:rPr>
                <w:spacing w:val="-4"/>
                <w:lang w:val="en-GB"/>
              </w:rPr>
              <w:t xml:space="preserve">balance of trade with Slovakia </w:t>
            </w:r>
            <w:r w:rsidR="00A02E8B" w:rsidRPr="00573343">
              <w:rPr>
                <w:spacing w:val="-4"/>
                <w:lang w:val="en-GB"/>
              </w:rPr>
              <w:t>(+9</w:t>
            </w:r>
            <w:r w:rsidR="009D7BFB">
              <w:rPr>
                <w:spacing w:val="-4"/>
                <w:lang w:val="en-GB"/>
              </w:rPr>
              <w:t>.</w:t>
            </w:r>
            <w:r w:rsidR="00A02E8B" w:rsidRPr="00573343">
              <w:rPr>
                <w:spacing w:val="-4"/>
                <w:lang w:val="en-GB"/>
              </w:rPr>
              <w:t>2</w:t>
            </w:r>
            <w:r w:rsidR="009D7BFB">
              <w:rPr>
                <w:spacing w:val="-4"/>
                <w:lang w:val="en-GB"/>
              </w:rPr>
              <w:t xml:space="preserve"> CZK bn</w:t>
            </w:r>
            <w:r w:rsidR="00A02E8B" w:rsidRPr="00573343">
              <w:rPr>
                <w:spacing w:val="-4"/>
                <w:lang w:val="en-GB"/>
              </w:rPr>
              <w:t>),</w:t>
            </w:r>
            <w:r w:rsidR="009D7BFB">
              <w:rPr>
                <w:spacing w:val="-4"/>
                <w:lang w:val="en-GB"/>
              </w:rPr>
              <w:t xml:space="preserve"> Austria </w:t>
            </w:r>
            <w:r w:rsidR="00A02E8B" w:rsidRPr="00573343">
              <w:rPr>
                <w:spacing w:val="-4"/>
                <w:lang w:val="en-GB"/>
              </w:rPr>
              <w:t>(+2</w:t>
            </w:r>
            <w:r w:rsidR="009D7BFB">
              <w:rPr>
                <w:spacing w:val="-4"/>
                <w:lang w:val="en-GB"/>
              </w:rPr>
              <w:t>.</w:t>
            </w:r>
            <w:r w:rsidR="00A02E8B" w:rsidRPr="00573343">
              <w:rPr>
                <w:spacing w:val="-4"/>
                <w:lang w:val="en-GB"/>
              </w:rPr>
              <w:t>1</w:t>
            </w:r>
            <w:r w:rsidR="009D7BFB">
              <w:rPr>
                <w:spacing w:val="-4"/>
                <w:lang w:val="en-GB"/>
              </w:rPr>
              <w:t xml:space="preserve"> bn</w:t>
            </w:r>
            <w:r w:rsidR="00A02E8B" w:rsidRPr="00573343">
              <w:rPr>
                <w:spacing w:val="-4"/>
                <w:lang w:val="en-GB"/>
              </w:rPr>
              <w:t xml:space="preserve">), </w:t>
            </w:r>
            <w:r w:rsidR="009D7BFB">
              <w:rPr>
                <w:spacing w:val="-4"/>
                <w:lang w:val="en-GB"/>
              </w:rPr>
              <w:t xml:space="preserve">South Korea </w:t>
            </w:r>
            <w:r w:rsidR="00A02E8B" w:rsidRPr="00573343">
              <w:rPr>
                <w:spacing w:val="-4"/>
                <w:lang w:val="en-GB"/>
              </w:rPr>
              <w:t>(+1</w:t>
            </w:r>
            <w:r w:rsidR="009D7BFB">
              <w:rPr>
                <w:spacing w:val="-4"/>
                <w:lang w:val="en-GB"/>
              </w:rPr>
              <w:t>.</w:t>
            </w:r>
            <w:r w:rsidR="00A02E8B" w:rsidRPr="00573343">
              <w:rPr>
                <w:spacing w:val="-4"/>
                <w:lang w:val="en-GB"/>
              </w:rPr>
              <w:t>7</w:t>
            </w:r>
            <w:r w:rsidR="009D7BFB">
              <w:rPr>
                <w:spacing w:val="-4"/>
                <w:lang w:val="en-GB"/>
              </w:rPr>
              <w:t xml:space="preserve"> bn</w:t>
            </w:r>
            <w:r w:rsidR="00A02E8B" w:rsidRPr="00573343">
              <w:rPr>
                <w:spacing w:val="-4"/>
                <w:lang w:val="en-GB"/>
              </w:rPr>
              <w:t>)</w:t>
            </w:r>
            <w:r w:rsidR="009D7BFB">
              <w:rPr>
                <w:spacing w:val="-4"/>
                <w:lang w:val="en-GB"/>
              </w:rPr>
              <w:t xml:space="preserve"> or Hungary </w:t>
            </w:r>
            <w:r w:rsidR="00A02E8B" w:rsidRPr="00573343">
              <w:rPr>
                <w:spacing w:val="-4"/>
                <w:lang w:val="en-GB"/>
              </w:rPr>
              <w:t>(+0</w:t>
            </w:r>
            <w:r w:rsidR="009D7BFB">
              <w:rPr>
                <w:spacing w:val="-4"/>
                <w:lang w:val="en-GB"/>
              </w:rPr>
              <w:t>.</w:t>
            </w:r>
            <w:r w:rsidR="00A02E8B" w:rsidRPr="00573343">
              <w:rPr>
                <w:spacing w:val="-4"/>
                <w:lang w:val="en-GB"/>
              </w:rPr>
              <w:t>9</w:t>
            </w:r>
            <w:r w:rsidR="009D7BFB">
              <w:rPr>
                <w:spacing w:val="-4"/>
                <w:lang w:val="en-GB"/>
              </w:rPr>
              <w:t xml:space="preserve"> bn</w:t>
            </w:r>
            <w:r w:rsidR="00A02E8B" w:rsidRPr="00573343">
              <w:rPr>
                <w:spacing w:val="-4"/>
                <w:lang w:val="en-GB"/>
              </w:rPr>
              <w:t>)</w:t>
            </w:r>
            <w:r w:rsidR="009D7BFB">
              <w:rPr>
                <w:spacing w:val="-4"/>
                <w:lang w:val="en-GB"/>
              </w:rPr>
              <w:t xml:space="preserve"> improved</w:t>
            </w:r>
            <w:r w:rsidR="00A02E8B" w:rsidRPr="00573343">
              <w:rPr>
                <w:spacing w:val="-4"/>
                <w:lang w:val="en-GB"/>
              </w:rPr>
              <w:t>.</w:t>
            </w:r>
          </w:p>
        </w:tc>
      </w:tr>
      <w:tr w:rsidR="00A02E8B" w:rsidRPr="009110F7" w14:paraId="5DEEAAB5" w14:textId="77777777" w:rsidTr="008E039E">
        <w:trPr>
          <w:trHeight w:val="145"/>
        </w:trPr>
        <w:tc>
          <w:tcPr>
            <w:tcW w:w="1760" w:type="dxa"/>
            <w:shd w:val="clear" w:color="auto" w:fill="auto"/>
            <w:tcMar>
              <w:left w:w="0" w:type="dxa"/>
            </w:tcMar>
          </w:tcPr>
          <w:p w14:paraId="180B1864" w14:textId="26FFC2DA" w:rsidR="00A02E8B" w:rsidRPr="009D7BFB" w:rsidRDefault="004D5ACB" w:rsidP="008E039E">
            <w:pPr>
              <w:pStyle w:val="Marginlie"/>
              <w:rPr>
                <w:lang w:val="en-GB"/>
              </w:rPr>
            </w:pPr>
            <w:r>
              <w:rPr>
                <w:lang w:val="en-GB"/>
              </w:rPr>
              <w:lastRenderedPageBreak/>
              <w:t>Trade with oil and natural gas contributed the most to the balance decrease last year</w:t>
            </w:r>
            <w:r w:rsidR="00A02E8B" w:rsidRPr="009D7BFB">
              <w:rPr>
                <w:lang w:val="en-GB"/>
              </w:rPr>
              <w:t>.</w:t>
            </w:r>
          </w:p>
        </w:tc>
        <w:tc>
          <w:tcPr>
            <w:tcW w:w="223" w:type="dxa"/>
            <w:shd w:val="clear" w:color="auto" w:fill="auto"/>
            <w:tcMar>
              <w:left w:w="0" w:type="dxa"/>
            </w:tcMar>
          </w:tcPr>
          <w:p w14:paraId="7CB3737D" w14:textId="77777777" w:rsidR="00A02E8B" w:rsidRPr="009D7BFB" w:rsidRDefault="00A02E8B" w:rsidP="008E039E">
            <w:pPr>
              <w:pStyle w:val="Textpoznpodarou"/>
              <w:jc w:val="both"/>
              <w:rPr>
                <w:spacing w:val="-4"/>
                <w:lang w:val="en-GB"/>
              </w:rPr>
            </w:pPr>
          </w:p>
        </w:tc>
        <w:tc>
          <w:tcPr>
            <w:tcW w:w="7656" w:type="dxa"/>
            <w:shd w:val="clear" w:color="auto" w:fill="auto"/>
            <w:tcMar>
              <w:left w:w="0" w:type="dxa"/>
            </w:tcMar>
          </w:tcPr>
          <w:p w14:paraId="0B628756" w14:textId="536FC166" w:rsidR="00A02E8B" w:rsidRPr="009D7BFB" w:rsidRDefault="004E36CA" w:rsidP="008E039E">
            <w:pPr>
              <w:spacing w:after="180"/>
              <w:rPr>
                <w:spacing w:val="-4"/>
                <w:lang w:val="en-GB"/>
              </w:rPr>
            </w:pPr>
            <w:r>
              <w:rPr>
                <w:spacing w:val="-4"/>
                <w:lang w:val="en-GB"/>
              </w:rPr>
              <w:t xml:space="preserve">Given the structure of goods, the trade with oil and natural gas </w:t>
            </w:r>
            <w:r w:rsidR="00A02E8B" w:rsidRPr="009D7BFB">
              <w:rPr>
                <w:spacing w:val="-4"/>
                <w:lang w:val="en-GB"/>
              </w:rPr>
              <w:t>(–83</w:t>
            </w:r>
            <w:r>
              <w:rPr>
                <w:spacing w:val="-4"/>
                <w:lang w:val="en-GB"/>
              </w:rPr>
              <w:t>.</w:t>
            </w:r>
            <w:r w:rsidR="00A02E8B" w:rsidRPr="009D7BFB">
              <w:rPr>
                <w:spacing w:val="-4"/>
                <w:lang w:val="en-GB"/>
              </w:rPr>
              <w:t>4</w:t>
            </w:r>
            <w:r>
              <w:rPr>
                <w:spacing w:val="-4"/>
                <w:lang w:val="en-GB"/>
              </w:rPr>
              <w:t xml:space="preserve"> CZK bn</w:t>
            </w:r>
            <w:r w:rsidR="00A02E8B" w:rsidRPr="009D7BFB">
              <w:rPr>
                <w:spacing w:val="-4"/>
                <w:lang w:val="en-GB"/>
              </w:rPr>
              <w:t>),</w:t>
            </w:r>
            <w:r>
              <w:rPr>
                <w:spacing w:val="-4"/>
                <w:lang w:val="en-GB"/>
              </w:rPr>
              <w:t xml:space="preserve"> basic metals </w:t>
            </w:r>
            <w:r w:rsidR="00A02E8B" w:rsidRPr="009D7BFB">
              <w:rPr>
                <w:spacing w:val="-4"/>
                <w:lang w:val="en-GB"/>
              </w:rPr>
              <w:t>(–56</w:t>
            </w:r>
            <w:r>
              <w:rPr>
                <w:spacing w:val="-4"/>
                <w:lang w:val="en-GB"/>
              </w:rPr>
              <w:t>.</w:t>
            </w:r>
            <w:r w:rsidR="00A02E8B" w:rsidRPr="009D7BFB">
              <w:rPr>
                <w:spacing w:val="-4"/>
                <w:lang w:val="en-GB"/>
              </w:rPr>
              <w:t>4</w:t>
            </w:r>
            <w:r>
              <w:rPr>
                <w:spacing w:val="-4"/>
                <w:lang w:val="en-GB"/>
              </w:rPr>
              <w:t xml:space="preserve"> bn</w:t>
            </w:r>
            <w:r w:rsidR="00A02E8B" w:rsidRPr="009D7BFB">
              <w:rPr>
                <w:spacing w:val="-4"/>
                <w:lang w:val="en-GB"/>
              </w:rPr>
              <w:t>) a</w:t>
            </w:r>
            <w:r>
              <w:rPr>
                <w:spacing w:val="-4"/>
                <w:lang w:val="en-GB"/>
              </w:rPr>
              <w:t xml:space="preserve">nd chemical substances and products </w:t>
            </w:r>
            <w:r w:rsidR="00A02E8B" w:rsidRPr="009D7BFB">
              <w:rPr>
                <w:spacing w:val="-4"/>
                <w:lang w:val="en-GB"/>
              </w:rPr>
              <w:t>(–25</w:t>
            </w:r>
            <w:r>
              <w:rPr>
                <w:spacing w:val="-4"/>
                <w:lang w:val="en-GB"/>
              </w:rPr>
              <w:t>.</w:t>
            </w:r>
            <w:r w:rsidR="00A02E8B" w:rsidRPr="009D7BFB">
              <w:rPr>
                <w:spacing w:val="-4"/>
                <w:lang w:val="en-GB"/>
              </w:rPr>
              <w:t>5</w:t>
            </w:r>
            <w:r>
              <w:rPr>
                <w:spacing w:val="-4"/>
                <w:lang w:val="en-GB"/>
              </w:rPr>
              <w:t xml:space="preserve"> bn</w:t>
            </w:r>
            <w:r w:rsidR="00A02E8B" w:rsidRPr="009D7BFB">
              <w:rPr>
                <w:spacing w:val="-4"/>
                <w:lang w:val="en-GB"/>
              </w:rPr>
              <w:t>)</w:t>
            </w:r>
            <w:r>
              <w:rPr>
                <w:spacing w:val="-4"/>
                <w:lang w:val="en-GB"/>
              </w:rPr>
              <w:t xml:space="preserve"> held the largest share on the last year’s </w:t>
            </w:r>
            <w:r>
              <w:rPr>
                <w:spacing w:val="-4"/>
              </w:rPr>
              <w:t xml:space="preserve">balance </w:t>
            </w:r>
            <w:r w:rsidRPr="004E36CA">
              <w:rPr>
                <w:spacing w:val="-4"/>
                <w:lang w:val="en-GB"/>
              </w:rPr>
              <w:t>deterioration</w:t>
            </w:r>
            <w:r w:rsidR="00A02E8B" w:rsidRPr="004E36CA">
              <w:rPr>
                <w:spacing w:val="-4"/>
                <w:lang w:val="en-GB"/>
              </w:rPr>
              <w:t xml:space="preserve">. </w:t>
            </w:r>
            <w:r w:rsidR="004F3D93">
              <w:rPr>
                <w:spacing w:val="-4"/>
                <w:lang w:val="en-GB"/>
              </w:rPr>
              <w:t xml:space="preserve">Balance of trade with electrical equipment </w:t>
            </w:r>
            <w:r w:rsidR="00A02E8B" w:rsidRPr="004E36CA">
              <w:rPr>
                <w:spacing w:val="-4"/>
                <w:lang w:val="en-GB"/>
              </w:rPr>
              <w:t>(–19</w:t>
            </w:r>
            <w:r w:rsidR="004F3D93">
              <w:rPr>
                <w:spacing w:val="-4"/>
                <w:lang w:val="en-GB"/>
              </w:rPr>
              <w:t>.</w:t>
            </w:r>
            <w:r w:rsidR="00A02E8B" w:rsidRPr="004E36CA">
              <w:rPr>
                <w:spacing w:val="-4"/>
                <w:lang w:val="en-GB"/>
              </w:rPr>
              <w:t>7</w:t>
            </w:r>
            <w:r w:rsidR="004F3D93">
              <w:rPr>
                <w:spacing w:val="-4"/>
                <w:lang w:val="en-GB"/>
              </w:rPr>
              <w:t xml:space="preserve"> CZK bn</w:t>
            </w:r>
            <w:r w:rsidR="00A02E8B" w:rsidRPr="004E36CA">
              <w:rPr>
                <w:spacing w:val="-4"/>
                <w:lang w:val="en-GB"/>
              </w:rPr>
              <w:t>),</w:t>
            </w:r>
            <w:r w:rsidR="004F3D93">
              <w:rPr>
                <w:spacing w:val="-4"/>
                <w:lang w:val="en-GB"/>
              </w:rPr>
              <w:t xml:space="preserve"> basic pharmaceutical products </w:t>
            </w:r>
            <w:r w:rsidR="00A02E8B" w:rsidRPr="004E36CA">
              <w:rPr>
                <w:spacing w:val="-4"/>
                <w:lang w:val="en-GB"/>
              </w:rPr>
              <w:t>(–13</w:t>
            </w:r>
            <w:r w:rsidR="004F3D93">
              <w:rPr>
                <w:spacing w:val="-4"/>
                <w:lang w:val="en-GB"/>
              </w:rPr>
              <w:t>.</w:t>
            </w:r>
            <w:r w:rsidR="00A02E8B" w:rsidRPr="004E36CA">
              <w:rPr>
                <w:spacing w:val="-4"/>
                <w:lang w:val="en-GB"/>
              </w:rPr>
              <w:t>8</w:t>
            </w:r>
            <w:r w:rsidR="004F3D93">
              <w:rPr>
                <w:spacing w:val="-4"/>
                <w:lang w:val="en-GB"/>
              </w:rPr>
              <w:t xml:space="preserve"> bn</w:t>
            </w:r>
            <w:r w:rsidR="00A02E8B" w:rsidRPr="004E36CA">
              <w:rPr>
                <w:spacing w:val="-4"/>
                <w:lang w:val="en-GB"/>
              </w:rPr>
              <w:t xml:space="preserve">), </w:t>
            </w:r>
            <w:r w:rsidR="004F3D93">
              <w:rPr>
                <w:spacing w:val="-4"/>
                <w:lang w:val="en-GB"/>
              </w:rPr>
              <w:t xml:space="preserve">computers, electronic and optical appliances </w:t>
            </w:r>
            <w:r w:rsidR="00A02E8B" w:rsidRPr="004E36CA">
              <w:rPr>
                <w:spacing w:val="-4"/>
                <w:lang w:val="en-GB"/>
              </w:rPr>
              <w:t>(–13</w:t>
            </w:r>
            <w:r w:rsidR="004F3D93">
              <w:rPr>
                <w:spacing w:val="-4"/>
                <w:lang w:val="en-GB"/>
              </w:rPr>
              <w:t>.</w:t>
            </w:r>
            <w:r w:rsidR="00A02E8B" w:rsidRPr="004E36CA">
              <w:rPr>
                <w:spacing w:val="-4"/>
                <w:lang w:val="en-GB"/>
              </w:rPr>
              <w:t>7</w:t>
            </w:r>
            <w:r w:rsidR="004F3D93">
              <w:rPr>
                <w:spacing w:val="-4"/>
                <w:lang w:val="en-GB"/>
              </w:rPr>
              <w:t xml:space="preserve"> bn</w:t>
            </w:r>
            <w:r w:rsidR="00A02E8B" w:rsidRPr="004E36CA">
              <w:rPr>
                <w:spacing w:val="-4"/>
                <w:lang w:val="en-GB"/>
              </w:rPr>
              <w:t>)</w:t>
            </w:r>
            <w:r w:rsidR="004F3D93">
              <w:rPr>
                <w:spacing w:val="-4"/>
                <w:lang w:val="en-GB"/>
              </w:rPr>
              <w:t xml:space="preserve"> and ores </w:t>
            </w:r>
            <w:r w:rsidR="00A02E8B" w:rsidRPr="004E36CA">
              <w:rPr>
                <w:spacing w:val="-4"/>
                <w:lang w:val="en-GB"/>
              </w:rPr>
              <w:t>(–10</w:t>
            </w:r>
            <w:r w:rsidR="004F3D93">
              <w:rPr>
                <w:spacing w:val="-4"/>
                <w:lang w:val="en-GB"/>
              </w:rPr>
              <w:t>.</w:t>
            </w:r>
            <w:r w:rsidR="00A02E8B" w:rsidRPr="004E36CA">
              <w:rPr>
                <w:spacing w:val="-4"/>
                <w:lang w:val="en-GB"/>
              </w:rPr>
              <w:t>0</w:t>
            </w:r>
            <w:r w:rsidR="004F3D93">
              <w:rPr>
                <w:spacing w:val="-4"/>
                <w:lang w:val="en-GB"/>
              </w:rPr>
              <w:t xml:space="preserve"> bn</w:t>
            </w:r>
            <w:r w:rsidR="00A02E8B" w:rsidRPr="004E36CA">
              <w:rPr>
                <w:spacing w:val="-4"/>
                <w:lang w:val="en-GB"/>
              </w:rPr>
              <w:t>)</w:t>
            </w:r>
            <w:r w:rsidR="004F3D93">
              <w:rPr>
                <w:spacing w:val="-4"/>
                <w:lang w:val="en-GB"/>
              </w:rPr>
              <w:t xml:space="preserve"> also strongly worsened last year</w:t>
            </w:r>
            <w:r w:rsidR="00A02E8B" w:rsidRPr="004E36CA">
              <w:rPr>
                <w:spacing w:val="-4"/>
                <w:lang w:val="en-GB"/>
              </w:rPr>
              <w:t>.</w:t>
            </w:r>
            <w:r w:rsidR="004F3D93">
              <w:rPr>
                <w:spacing w:val="-4"/>
                <w:lang w:val="en-GB"/>
              </w:rPr>
              <w:t xml:space="preserve"> </w:t>
            </w:r>
            <w:r w:rsidR="008952FE">
              <w:rPr>
                <w:spacing w:val="-4"/>
                <w:lang w:val="en-GB"/>
              </w:rPr>
              <w:t xml:space="preserve">The balance of trade with other products of manufacturing </w:t>
            </w:r>
            <w:r w:rsidR="00A02E8B" w:rsidRPr="004E36CA">
              <w:rPr>
                <w:spacing w:val="-4"/>
                <w:lang w:val="en-GB"/>
              </w:rPr>
              <w:t>(–7</w:t>
            </w:r>
            <w:r w:rsidR="008952FE">
              <w:rPr>
                <w:spacing w:val="-4"/>
                <w:lang w:val="en-GB"/>
              </w:rPr>
              <w:t>.</w:t>
            </w:r>
            <w:r w:rsidR="00A02E8B" w:rsidRPr="004E36CA">
              <w:rPr>
                <w:spacing w:val="-4"/>
                <w:lang w:val="en-GB"/>
              </w:rPr>
              <w:t>5</w:t>
            </w:r>
            <w:r w:rsidR="008952FE">
              <w:rPr>
                <w:spacing w:val="-4"/>
                <w:lang w:val="en-GB"/>
              </w:rPr>
              <w:t xml:space="preserve"> CZK bn</w:t>
            </w:r>
            <w:r w:rsidR="00A02E8B" w:rsidRPr="004E36CA">
              <w:rPr>
                <w:spacing w:val="-4"/>
                <w:lang w:val="en-GB"/>
              </w:rPr>
              <w:t>),</w:t>
            </w:r>
            <w:r w:rsidR="008952FE">
              <w:rPr>
                <w:spacing w:val="-4"/>
                <w:lang w:val="en-GB"/>
              </w:rPr>
              <w:t xml:space="preserve"> coke and refined oil products </w:t>
            </w:r>
            <w:r w:rsidR="00A02E8B" w:rsidRPr="004E36CA">
              <w:rPr>
                <w:spacing w:val="-4"/>
                <w:lang w:val="en-GB"/>
              </w:rPr>
              <w:t>(–6</w:t>
            </w:r>
            <w:r w:rsidR="008952FE">
              <w:rPr>
                <w:spacing w:val="-4"/>
                <w:lang w:val="en-GB"/>
              </w:rPr>
              <w:t>.</w:t>
            </w:r>
            <w:r w:rsidR="00A02E8B" w:rsidRPr="004E36CA">
              <w:rPr>
                <w:spacing w:val="-4"/>
                <w:lang w:val="en-GB"/>
              </w:rPr>
              <w:t>2</w:t>
            </w:r>
            <w:r w:rsidR="008952FE">
              <w:rPr>
                <w:spacing w:val="-4"/>
                <w:lang w:val="en-GB"/>
              </w:rPr>
              <w:t xml:space="preserve"> bn</w:t>
            </w:r>
            <w:r w:rsidR="00A02E8B" w:rsidRPr="004E36CA">
              <w:rPr>
                <w:spacing w:val="-4"/>
                <w:lang w:val="en-GB"/>
              </w:rPr>
              <w:t>),</w:t>
            </w:r>
            <w:r w:rsidR="008952FE">
              <w:rPr>
                <w:spacing w:val="-4"/>
                <w:lang w:val="en-GB"/>
              </w:rPr>
              <w:t xml:space="preserve"> other transportation equipment </w:t>
            </w:r>
            <w:r w:rsidR="00A02E8B" w:rsidRPr="004E36CA">
              <w:rPr>
                <w:spacing w:val="-4"/>
                <w:lang w:val="en-GB"/>
              </w:rPr>
              <w:t>(–5</w:t>
            </w:r>
            <w:r w:rsidR="008952FE">
              <w:rPr>
                <w:spacing w:val="-4"/>
                <w:lang w:val="en-GB"/>
              </w:rPr>
              <w:t>.</w:t>
            </w:r>
            <w:r w:rsidR="00A02E8B" w:rsidRPr="004E36CA">
              <w:rPr>
                <w:spacing w:val="-4"/>
                <w:lang w:val="en-GB"/>
              </w:rPr>
              <w:t>0</w:t>
            </w:r>
            <w:r w:rsidR="008952FE">
              <w:rPr>
                <w:spacing w:val="-4"/>
                <w:lang w:val="en-GB"/>
              </w:rPr>
              <w:t xml:space="preserve"> bn</w:t>
            </w:r>
            <w:r w:rsidR="00A02E8B" w:rsidRPr="004E36CA">
              <w:rPr>
                <w:spacing w:val="-4"/>
                <w:lang w:val="en-GB"/>
              </w:rPr>
              <w:t>)</w:t>
            </w:r>
            <w:r w:rsidR="008952FE">
              <w:rPr>
                <w:spacing w:val="-4"/>
                <w:lang w:val="en-GB"/>
              </w:rPr>
              <w:t xml:space="preserve"> or machinery and equipment </w:t>
            </w:r>
            <w:r w:rsidR="00A02E8B" w:rsidRPr="004E36CA">
              <w:rPr>
                <w:spacing w:val="-4"/>
                <w:lang w:val="en-GB"/>
              </w:rPr>
              <w:t>(–4</w:t>
            </w:r>
            <w:r w:rsidR="008952FE">
              <w:rPr>
                <w:spacing w:val="-4"/>
                <w:lang w:val="en-GB"/>
              </w:rPr>
              <w:t>.</w:t>
            </w:r>
            <w:r w:rsidR="00A02E8B" w:rsidRPr="004E36CA">
              <w:rPr>
                <w:spacing w:val="-4"/>
                <w:lang w:val="en-GB"/>
              </w:rPr>
              <w:t>7</w:t>
            </w:r>
            <w:r w:rsidR="008952FE">
              <w:rPr>
                <w:spacing w:val="-4"/>
                <w:lang w:val="en-GB"/>
              </w:rPr>
              <w:t xml:space="preserve"> bn</w:t>
            </w:r>
            <w:r w:rsidR="00A02E8B" w:rsidRPr="004E36CA">
              <w:rPr>
                <w:spacing w:val="-4"/>
                <w:lang w:val="en-GB"/>
              </w:rPr>
              <w:t>)</w:t>
            </w:r>
            <w:r w:rsidR="008952FE">
              <w:rPr>
                <w:spacing w:val="-4"/>
                <w:lang w:val="en-GB"/>
              </w:rPr>
              <w:t xml:space="preserve"> was also worse</w:t>
            </w:r>
            <w:r w:rsidR="00A02E8B" w:rsidRPr="004E36CA">
              <w:rPr>
                <w:spacing w:val="-4"/>
                <w:lang w:val="en-GB"/>
              </w:rPr>
              <w:t>.</w:t>
            </w:r>
            <w:r w:rsidR="008952FE">
              <w:rPr>
                <w:spacing w:val="-4"/>
                <w:lang w:val="en-GB"/>
              </w:rPr>
              <w:t xml:space="preserve"> </w:t>
            </w:r>
            <w:r w:rsidR="00A02E8B" w:rsidRPr="004E36CA">
              <w:rPr>
                <w:spacing w:val="-4"/>
                <w:lang w:val="en-GB"/>
              </w:rPr>
              <w:t xml:space="preserve"> </w:t>
            </w:r>
            <w:r w:rsidR="005C431E">
              <w:rPr>
                <w:spacing w:val="-4"/>
                <w:lang w:val="en-GB"/>
              </w:rPr>
              <w:t xml:space="preserve">On the contrary, the trade </w:t>
            </w:r>
            <w:r w:rsidR="008A1F51">
              <w:rPr>
                <w:spacing w:val="-4"/>
                <w:lang w:val="en-GB"/>
              </w:rPr>
              <w:t xml:space="preserve">with electricity, gas, steam and air conditioning supply </w:t>
            </w:r>
            <w:r w:rsidR="00A02E8B" w:rsidRPr="004E36CA">
              <w:rPr>
                <w:spacing w:val="-4"/>
                <w:lang w:val="en-GB"/>
              </w:rPr>
              <w:t>(+27</w:t>
            </w:r>
            <w:r w:rsidR="008A1F51">
              <w:rPr>
                <w:spacing w:val="-4"/>
                <w:lang w:val="en-GB"/>
              </w:rPr>
              <w:t>.</w:t>
            </w:r>
            <w:r w:rsidR="00A02E8B" w:rsidRPr="004E36CA">
              <w:rPr>
                <w:spacing w:val="-4"/>
                <w:lang w:val="en-GB"/>
              </w:rPr>
              <w:t>0</w:t>
            </w:r>
            <w:r w:rsidR="008A1F51">
              <w:rPr>
                <w:spacing w:val="-4"/>
                <w:lang w:val="en-GB"/>
              </w:rPr>
              <w:t xml:space="preserve"> CZK bn</w:t>
            </w:r>
            <w:r w:rsidR="00A02E8B" w:rsidRPr="004E36CA">
              <w:rPr>
                <w:spacing w:val="-4"/>
                <w:lang w:val="en-GB"/>
              </w:rPr>
              <w:t>), produ</w:t>
            </w:r>
            <w:r w:rsidR="008A1F51">
              <w:rPr>
                <w:spacing w:val="-4"/>
                <w:lang w:val="en-GB"/>
              </w:rPr>
              <w:t xml:space="preserve">cts connected to waste </w:t>
            </w:r>
            <w:r w:rsidR="00A02E8B" w:rsidRPr="004E36CA">
              <w:rPr>
                <w:spacing w:val="-4"/>
                <w:lang w:val="en-GB"/>
              </w:rPr>
              <w:t>(+14</w:t>
            </w:r>
            <w:r w:rsidR="008A1F51">
              <w:rPr>
                <w:spacing w:val="-4"/>
                <w:lang w:val="en-GB"/>
              </w:rPr>
              <w:t>.</w:t>
            </w:r>
            <w:r w:rsidR="00A02E8B" w:rsidRPr="004E36CA">
              <w:rPr>
                <w:spacing w:val="-4"/>
                <w:lang w:val="en-GB"/>
              </w:rPr>
              <w:t>0</w:t>
            </w:r>
            <w:r w:rsidR="008A1F51">
              <w:rPr>
                <w:spacing w:val="-4"/>
                <w:lang w:val="en-GB"/>
              </w:rPr>
              <w:t xml:space="preserve"> bn</w:t>
            </w:r>
            <w:r w:rsidR="00A02E8B" w:rsidRPr="004E36CA">
              <w:rPr>
                <w:spacing w:val="-4"/>
                <w:lang w:val="en-GB"/>
              </w:rPr>
              <w:t>),</w:t>
            </w:r>
            <w:r w:rsidR="008A1F51">
              <w:rPr>
                <w:spacing w:val="-4"/>
                <w:lang w:val="en-GB"/>
              </w:rPr>
              <w:t xml:space="preserve"> metal products </w:t>
            </w:r>
            <w:r w:rsidR="00A02E8B" w:rsidRPr="004E36CA">
              <w:rPr>
                <w:spacing w:val="-4"/>
                <w:lang w:val="en-GB"/>
              </w:rPr>
              <w:t>(+11</w:t>
            </w:r>
            <w:r w:rsidR="008A1F51">
              <w:rPr>
                <w:spacing w:val="-4"/>
                <w:lang w:val="en-GB"/>
              </w:rPr>
              <w:t>.</w:t>
            </w:r>
            <w:r w:rsidR="00A02E8B" w:rsidRPr="004E36CA">
              <w:rPr>
                <w:spacing w:val="-4"/>
                <w:lang w:val="en-GB"/>
              </w:rPr>
              <w:t>5</w:t>
            </w:r>
            <w:r w:rsidR="008A1F51">
              <w:rPr>
                <w:spacing w:val="-4"/>
                <w:lang w:val="en-GB"/>
              </w:rPr>
              <w:t xml:space="preserve"> bn</w:t>
            </w:r>
            <w:r w:rsidR="00A02E8B" w:rsidRPr="004E36CA">
              <w:rPr>
                <w:spacing w:val="-4"/>
                <w:lang w:val="en-GB"/>
              </w:rPr>
              <w:t xml:space="preserve">), </w:t>
            </w:r>
            <w:r w:rsidR="008A1F51">
              <w:rPr>
                <w:spacing w:val="-4"/>
                <w:lang w:val="en-GB"/>
              </w:rPr>
              <w:t xml:space="preserve">wood and wood products </w:t>
            </w:r>
            <w:r w:rsidR="00A02E8B" w:rsidRPr="004E36CA">
              <w:rPr>
                <w:spacing w:val="-4"/>
                <w:lang w:val="en-GB"/>
              </w:rPr>
              <w:t>(+8</w:t>
            </w:r>
            <w:r w:rsidR="008A1F51">
              <w:rPr>
                <w:spacing w:val="-4"/>
                <w:lang w:val="en-GB"/>
              </w:rPr>
              <w:t>.</w:t>
            </w:r>
            <w:r w:rsidR="00A02E8B" w:rsidRPr="004E36CA">
              <w:rPr>
                <w:spacing w:val="-4"/>
                <w:lang w:val="en-GB"/>
              </w:rPr>
              <w:t>7</w:t>
            </w:r>
            <w:r w:rsidR="008A1F51">
              <w:rPr>
                <w:spacing w:val="-4"/>
                <w:lang w:val="en-GB"/>
              </w:rPr>
              <w:t xml:space="preserve"> bn</w:t>
            </w:r>
            <w:r w:rsidR="00A02E8B" w:rsidRPr="004E36CA">
              <w:rPr>
                <w:spacing w:val="-4"/>
                <w:lang w:val="en-GB"/>
              </w:rPr>
              <w:t>), textil</w:t>
            </w:r>
            <w:r w:rsidR="008A1F51">
              <w:rPr>
                <w:spacing w:val="-4"/>
                <w:lang w:val="en-GB"/>
              </w:rPr>
              <w:t xml:space="preserve">es </w:t>
            </w:r>
            <w:r w:rsidR="00A02E8B" w:rsidRPr="004E36CA">
              <w:rPr>
                <w:spacing w:val="-4"/>
                <w:lang w:val="en-GB"/>
              </w:rPr>
              <w:t>(+7</w:t>
            </w:r>
            <w:r w:rsidR="008A1F51">
              <w:rPr>
                <w:spacing w:val="-4"/>
                <w:lang w:val="en-GB"/>
              </w:rPr>
              <w:t>.</w:t>
            </w:r>
            <w:r w:rsidR="00A02E8B" w:rsidRPr="004E36CA">
              <w:rPr>
                <w:spacing w:val="-4"/>
                <w:lang w:val="en-GB"/>
              </w:rPr>
              <w:t>0</w:t>
            </w:r>
            <w:r w:rsidR="008A1F51">
              <w:rPr>
                <w:spacing w:val="-4"/>
                <w:lang w:val="en-GB"/>
              </w:rPr>
              <w:t xml:space="preserve"> bn</w:t>
            </w:r>
            <w:r w:rsidR="00A02E8B" w:rsidRPr="004E36CA">
              <w:rPr>
                <w:spacing w:val="-4"/>
                <w:lang w:val="en-GB"/>
              </w:rPr>
              <w:t>) a</w:t>
            </w:r>
            <w:r w:rsidR="008A1F51">
              <w:rPr>
                <w:spacing w:val="-4"/>
                <w:lang w:val="en-GB"/>
              </w:rPr>
              <w:t xml:space="preserve">nd motor vehicles </w:t>
            </w:r>
            <w:r w:rsidR="00A02E8B" w:rsidRPr="004E36CA">
              <w:rPr>
                <w:spacing w:val="-4"/>
                <w:lang w:val="en-GB"/>
              </w:rPr>
              <w:t>(+5</w:t>
            </w:r>
            <w:r w:rsidR="008A1F51">
              <w:rPr>
                <w:spacing w:val="-4"/>
                <w:lang w:val="en-GB"/>
              </w:rPr>
              <w:t>.</w:t>
            </w:r>
            <w:r w:rsidR="00A02E8B" w:rsidRPr="004E36CA">
              <w:rPr>
                <w:spacing w:val="-4"/>
                <w:lang w:val="en-GB"/>
              </w:rPr>
              <w:t>6</w:t>
            </w:r>
            <w:r w:rsidR="008A1F51">
              <w:rPr>
                <w:spacing w:val="-4"/>
                <w:lang w:val="en-GB"/>
              </w:rPr>
              <w:t xml:space="preserve"> bn</w:t>
            </w:r>
            <w:r w:rsidR="00A02E8B" w:rsidRPr="004E36CA">
              <w:rPr>
                <w:spacing w:val="-4"/>
                <w:lang w:val="en-GB"/>
              </w:rPr>
              <w:t>)</w:t>
            </w:r>
            <w:r w:rsidR="005C431E">
              <w:rPr>
                <w:spacing w:val="-4"/>
                <w:lang w:val="en-GB"/>
              </w:rPr>
              <w:t xml:space="preserve"> had a strong effect in the direction of balance improvement</w:t>
            </w:r>
            <w:r w:rsidR="00A02E8B" w:rsidRPr="004E36CA">
              <w:rPr>
                <w:spacing w:val="-4"/>
                <w:lang w:val="en-GB"/>
              </w:rPr>
              <w:t>.</w:t>
            </w:r>
          </w:p>
        </w:tc>
      </w:tr>
      <w:tr w:rsidR="00A02E8B" w:rsidRPr="009110F7" w14:paraId="419C5232" w14:textId="77777777" w:rsidTr="008E039E">
        <w:trPr>
          <w:trHeight w:val="145"/>
        </w:trPr>
        <w:tc>
          <w:tcPr>
            <w:tcW w:w="1760" w:type="dxa"/>
            <w:shd w:val="clear" w:color="auto" w:fill="auto"/>
            <w:tcMar>
              <w:left w:w="0" w:type="dxa"/>
            </w:tcMar>
          </w:tcPr>
          <w:p w14:paraId="2817D200" w14:textId="4F9D0741" w:rsidR="00A02E8B" w:rsidRPr="004D5ACB" w:rsidRDefault="004D5ACB" w:rsidP="008E039E">
            <w:pPr>
              <w:pStyle w:val="Marginlie"/>
              <w:rPr>
                <w:lang w:val="en-GB"/>
              </w:rPr>
            </w:pPr>
            <w:r>
              <w:rPr>
                <w:lang w:val="en-GB"/>
              </w:rPr>
              <w:t>In Q</w:t>
            </w:r>
            <w:r w:rsidR="00A02E8B" w:rsidRPr="004D5ACB">
              <w:rPr>
                <w:lang w:val="en-GB"/>
              </w:rPr>
              <w:t>4</w:t>
            </w:r>
            <w:r>
              <w:rPr>
                <w:lang w:val="en-GB"/>
              </w:rPr>
              <w:t xml:space="preserve">, the balance deteriorated across the majority of types of goods year-on-year. </w:t>
            </w:r>
          </w:p>
        </w:tc>
        <w:tc>
          <w:tcPr>
            <w:tcW w:w="223" w:type="dxa"/>
            <w:shd w:val="clear" w:color="auto" w:fill="auto"/>
            <w:tcMar>
              <w:left w:w="0" w:type="dxa"/>
            </w:tcMar>
          </w:tcPr>
          <w:p w14:paraId="34E00139" w14:textId="77777777" w:rsidR="00A02E8B" w:rsidRDefault="00A02E8B" w:rsidP="008E039E">
            <w:pPr>
              <w:pStyle w:val="Textpoznpodarou"/>
              <w:jc w:val="both"/>
              <w:rPr>
                <w:spacing w:val="-4"/>
              </w:rPr>
            </w:pPr>
          </w:p>
        </w:tc>
        <w:tc>
          <w:tcPr>
            <w:tcW w:w="7656" w:type="dxa"/>
            <w:shd w:val="clear" w:color="auto" w:fill="auto"/>
            <w:tcMar>
              <w:left w:w="0" w:type="dxa"/>
            </w:tcMar>
          </w:tcPr>
          <w:p w14:paraId="109BBC87" w14:textId="10F86357" w:rsidR="00A02E8B" w:rsidRPr="008A1F51" w:rsidRDefault="00B96AC3" w:rsidP="00C21382">
            <w:pPr>
              <w:spacing w:after="180"/>
              <w:rPr>
                <w:spacing w:val="-4"/>
                <w:lang w:val="en-GB"/>
              </w:rPr>
            </w:pPr>
            <w:r>
              <w:rPr>
                <w:spacing w:val="-4"/>
                <w:lang w:val="en-GB"/>
              </w:rPr>
              <w:t>Trade with the majority of good</w:t>
            </w:r>
            <w:r w:rsidR="00A74C60">
              <w:rPr>
                <w:spacing w:val="-4"/>
                <w:lang w:val="en-GB"/>
              </w:rPr>
              <w:t>s</w:t>
            </w:r>
            <w:r>
              <w:rPr>
                <w:spacing w:val="-4"/>
                <w:lang w:val="en-GB"/>
              </w:rPr>
              <w:t xml:space="preserve"> types worked in the direction of deficit in Q</w:t>
            </w:r>
            <w:r w:rsidR="00A02E8B" w:rsidRPr="008A1F51">
              <w:rPr>
                <w:spacing w:val="-4"/>
                <w:lang w:val="en-GB"/>
              </w:rPr>
              <w:t>4</w:t>
            </w:r>
            <w:r>
              <w:rPr>
                <w:spacing w:val="-4"/>
                <w:lang w:val="en-GB"/>
              </w:rPr>
              <w:t xml:space="preserve"> </w:t>
            </w:r>
            <w:r w:rsidR="00A02E8B" w:rsidRPr="008A1F51">
              <w:rPr>
                <w:spacing w:val="-4"/>
                <w:lang w:val="en-GB"/>
              </w:rPr>
              <w:t>2021</w:t>
            </w:r>
            <w:r>
              <w:rPr>
                <w:spacing w:val="-4"/>
                <w:lang w:val="en-GB"/>
              </w:rPr>
              <w:t xml:space="preserve">. Only balance of trade with electricity, gas, seam and air conditioning supply </w:t>
            </w:r>
            <w:r w:rsidR="00A02E8B" w:rsidRPr="008A1F51">
              <w:rPr>
                <w:spacing w:val="-4"/>
                <w:lang w:val="en-GB"/>
              </w:rPr>
              <w:t>(+21</w:t>
            </w:r>
            <w:r>
              <w:rPr>
                <w:spacing w:val="-4"/>
                <w:lang w:val="en-GB"/>
              </w:rPr>
              <w:t>.</w:t>
            </w:r>
            <w:r w:rsidR="00A02E8B" w:rsidRPr="008A1F51">
              <w:rPr>
                <w:spacing w:val="-4"/>
                <w:lang w:val="en-GB"/>
              </w:rPr>
              <w:t>0</w:t>
            </w:r>
            <w:r>
              <w:rPr>
                <w:spacing w:val="-4"/>
                <w:lang w:val="en-GB"/>
              </w:rPr>
              <w:t xml:space="preserve"> CZK bn</w:t>
            </w:r>
            <w:r w:rsidR="00A02E8B" w:rsidRPr="008A1F51">
              <w:rPr>
                <w:spacing w:val="-4"/>
                <w:lang w:val="en-GB"/>
              </w:rPr>
              <w:t>),</w:t>
            </w:r>
            <w:r>
              <w:rPr>
                <w:spacing w:val="-4"/>
                <w:lang w:val="en-GB"/>
              </w:rPr>
              <w:t xml:space="preserve"> products associated with waste </w:t>
            </w:r>
            <w:r w:rsidR="00A02E8B" w:rsidRPr="008A1F51">
              <w:rPr>
                <w:spacing w:val="-4"/>
                <w:lang w:val="en-GB"/>
              </w:rPr>
              <w:t>(+2</w:t>
            </w:r>
            <w:r>
              <w:rPr>
                <w:spacing w:val="-4"/>
                <w:lang w:val="en-GB"/>
              </w:rPr>
              <w:t>.</w:t>
            </w:r>
            <w:r w:rsidR="00A02E8B" w:rsidRPr="008A1F51">
              <w:rPr>
                <w:spacing w:val="-4"/>
                <w:lang w:val="en-GB"/>
              </w:rPr>
              <w:t>9</w:t>
            </w:r>
            <w:r>
              <w:rPr>
                <w:spacing w:val="-4"/>
                <w:lang w:val="en-GB"/>
              </w:rPr>
              <w:t xml:space="preserve"> bn</w:t>
            </w:r>
            <w:r w:rsidR="00A02E8B" w:rsidRPr="008A1F51">
              <w:rPr>
                <w:spacing w:val="-4"/>
                <w:lang w:val="en-GB"/>
              </w:rPr>
              <w:t>),</w:t>
            </w:r>
            <w:r>
              <w:rPr>
                <w:spacing w:val="-4"/>
                <w:lang w:val="en-GB"/>
              </w:rPr>
              <w:t xml:space="preserve"> metal products </w:t>
            </w:r>
            <w:r w:rsidR="00A02E8B" w:rsidRPr="008A1F51">
              <w:rPr>
                <w:spacing w:val="-4"/>
                <w:lang w:val="en-GB"/>
              </w:rPr>
              <w:t>(+1</w:t>
            </w:r>
            <w:r>
              <w:rPr>
                <w:spacing w:val="-4"/>
                <w:lang w:val="en-GB"/>
              </w:rPr>
              <w:t>.</w:t>
            </w:r>
            <w:r w:rsidR="00A02E8B" w:rsidRPr="008A1F51">
              <w:rPr>
                <w:spacing w:val="-4"/>
                <w:lang w:val="en-GB"/>
              </w:rPr>
              <w:t>9</w:t>
            </w:r>
            <w:r>
              <w:rPr>
                <w:spacing w:val="-4"/>
                <w:lang w:val="en-GB"/>
              </w:rPr>
              <w:t xml:space="preserve"> bn</w:t>
            </w:r>
            <w:r w:rsidR="00A02E8B" w:rsidRPr="008A1F51">
              <w:rPr>
                <w:spacing w:val="-4"/>
                <w:lang w:val="en-GB"/>
              </w:rPr>
              <w:t>), text</w:t>
            </w:r>
            <w:r>
              <w:rPr>
                <w:spacing w:val="-4"/>
                <w:lang w:val="en-GB"/>
              </w:rPr>
              <w:t xml:space="preserve">iles </w:t>
            </w:r>
            <w:r w:rsidR="00A02E8B" w:rsidRPr="008A1F51">
              <w:rPr>
                <w:spacing w:val="-4"/>
                <w:lang w:val="en-GB"/>
              </w:rPr>
              <w:t>(+1</w:t>
            </w:r>
            <w:r>
              <w:rPr>
                <w:spacing w:val="-4"/>
                <w:lang w:val="en-GB"/>
              </w:rPr>
              <w:t>.</w:t>
            </w:r>
            <w:r w:rsidR="00A02E8B" w:rsidRPr="008A1F51">
              <w:rPr>
                <w:spacing w:val="-4"/>
                <w:lang w:val="en-GB"/>
              </w:rPr>
              <w:t>7</w:t>
            </w:r>
            <w:r>
              <w:rPr>
                <w:spacing w:val="-4"/>
                <w:lang w:val="en-GB"/>
              </w:rPr>
              <w:t xml:space="preserve"> bn</w:t>
            </w:r>
            <w:r w:rsidR="00A02E8B" w:rsidRPr="008A1F51">
              <w:rPr>
                <w:spacing w:val="-4"/>
                <w:lang w:val="en-GB"/>
              </w:rPr>
              <w:t>)</w:t>
            </w:r>
            <w:r>
              <w:rPr>
                <w:spacing w:val="-4"/>
                <w:lang w:val="en-GB"/>
              </w:rPr>
              <w:t xml:space="preserve"> and wood and wood products </w:t>
            </w:r>
            <w:r w:rsidR="00A02E8B" w:rsidRPr="008A1F51">
              <w:rPr>
                <w:spacing w:val="-4"/>
                <w:lang w:val="en-GB"/>
              </w:rPr>
              <w:t>(+1</w:t>
            </w:r>
            <w:r>
              <w:rPr>
                <w:spacing w:val="-4"/>
                <w:lang w:val="en-GB"/>
              </w:rPr>
              <w:t>.</w:t>
            </w:r>
            <w:r w:rsidR="00A02E8B" w:rsidRPr="008A1F51">
              <w:rPr>
                <w:spacing w:val="-4"/>
                <w:lang w:val="en-GB"/>
              </w:rPr>
              <w:t>3</w:t>
            </w:r>
            <w:r>
              <w:rPr>
                <w:spacing w:val="-4"/>
                <w:lang w:val="en-GB"/>
              </w:rPr>
              <w:t xml:space="preserve"> bn</w:t>
            </w:r>
            <w:r w:rsidR="00A02E8B" w:rsidRPr="008A1F51">
              <w:rPr>
                <w:spacing w:val="-4"/>
                <w:lang w:val="en-GB"/>
              </w:rPr>
              <w:t>)</w:t>
            </w:r>
            <w:r>
              <w:rPr>
                <w:spacing w:val="-4"/>
                <w:lang w:val="en-GB"/>
              </w:rPr>
              <w:t xml:space="preserve"> developed favourably year-on-year</w:t>
            </w:r>
            <w:r w:rsidR="00A02E8B" w:rsidRPr="008A1F51">
              <w:rPr>
                <w:spacing w:val="-4"/>
                <w:lang w:val="en-GB"/>
              </w:rPr>
              <w:t>.</w:t>
            </w:r>
            <w:r w:rsidR="000B5C9C">
              <w:rPr>
                <w:spacing w:val="-4"/>
                <w:lang w:val="en-GB"/>
              </w:rPr>
              <w:t xml:space="preserve"> Deficit of trade with oil and natural gas </w:t>
            </w:r>
            <w:r w:rsidR="00A02E8B" w:rsidRPr="008A1F51">
              <w:rPr>
                <w:spacing w:val="-4"/>
                <w:lang w:val="en-GB"/>
              </w:rPr>
              <w:t>(–35</w:t>
            </w:r>
            <w:r w:rsidR="000B5C9C">
              <w:rPr>
                <w:spacing w:val="-4"/>
                <w:lang w:val="en-GB"/>
              </w:rPr>
              <w:t>.</w:t>
            </w:r>
            <w:r w:rsidR="00A02E8B" w:rsidRPr="008A1F51">
              <w:rPr>
                <w:spacing w:val="-4"/>
                <w:lang w:val="en-GB"/>
              </w:rPr>
              <w:t>4</w:t>
            </w:r>
            <w:r w:rsidR="000B5C9C">
              <w:rPr>
                <w:spacing w:val="-4"/>
                <w:lang w:val="en-GB"/>
              </w:rPr>
              <w:t xml:space="preserve"> CZK bn</w:t>
            </w:r>
            <w:r w:rsidR="00A02E8B" w:rsidRPr="008A1F51">
              <w:rPr>
                <w:spacing w:val="-4"/>
                <w:lang w:val="en-GB"/>
              </w:rPr>
              <w:t>),</w:t>
            </w:r>
            <w:r w:rsidR="000B5C9C">
              <w:rPr>
                <w:spacing w:val="-4"/>
                <w:lang w:val="en-GB"/>
              </w:rPr>
              <w:t xml:space="preserve"> basic metals </w:t>
            </w:r>
            <w:r w:rsidR="00A02E8B" w:rsidRPr="008A1F51">
              <w:rPr>
                <w:spacing w:val="-4"/>
                <w:lang w:val="en-GB"/>
              </w:rPr>
              <w:t>(–15</w:t>
            </w:r>
            <w:r w:rsidR="000B5C9C">
              <w:rPr>
                <w:spacing w:val="-4"/>
                <w:lang w:val="en-GB"/>
              </w:rPr>
              <w:t>.</w:t>
            </w:r>
            <w:r w:rsidR="00A02E8B" w:rsidRPr="008A1F51">
              <w:rPr>
                <w:spacing w:val="-4"/>
                <w:lang w:val="en-GB"/>
              </w:rPr>
              <w:t>2</w:t>
            </w:r>
            <w:r w:rsidR="000B5C9C">
              <w:rPr>
                <w:spacing w:val="-4"/>
                <w:lang w:val="en-GB"/>
              </w:rPr>
              <w:t xml:space="preserve"> bn</w:t>
            </w:r>
            <w:r w:rsidR="00A02E8B" w:rsidRPr="008A1F51">
              <w:rPr>
                <w:spacing w:val="-4"/>
                <w:lang w:val="en-GB"/>
              </w:rPr>
              <w:t>) a</w:t>
            </w:r>
            <w:r w:rsidR="000B5C9C">
              <w:rPr>
                <w:spacing w:val="-4"/>
                <w:lang w:val="en-GB"/>
              </w:rPr>
              <w:t xml:space="preserve">nd computers, electronic and optical appliances </w:t>
            </w:r>
            <w:r w:rsidR="00A02E8B" w:rsidRPr="008A1F51">
              <w:rPr>
                <w:spacing w:val="-4"/>
                <w:lang w:val="en-GB"/>
              </w:rPr>
              <w:t>(–14</w:t>
            </w:r>
            <w:r w:rsidR="000B5C9C">
              <w:rPr>
                <w:spacing w:val="-4"/>
                <w:lang w:val="en-GB"/>
              </w:rPr>
              <w:t>.</w:t>
            </w:r>
            <w:r w:rsidR="00A02E8B" w:rsidRPr="008A1F51">
              <w:rPr>
                <w:spacing w:val="-4"/>
                <w:lang w:val="en-GB"/>
              </w:rPr>
              <w:t>4</w:t>
            </w:r>
            <w:r w:rsidR="000B5C9C">
              <w:rPr>
                <w:spacing w:val="-4"/>
                <w:lang w:val="en-GB"/>
              </w:rPr>
              <w:t xml:space="preserve"> bn</w:t>
            </w:r>
            <w:r w:rsidR="00A02E8B" w:rsidRPr="008A1F51">
              <w:rPr>
                <w:spacing w:val="-4"/>
                <w:lang w:val="en-GB"/>
              </w:rPr>
              <w:t>)</w:t>
            </w:r>
            <w:r w:rsidR="000B5C9C">
              <w:rPr>
                <w:spacing w:val="-4"/>
                <w:lang w:val="en-GB"/>
              </w:rPr>
              <w:t xml:space="preserve"> deepened strongly further year-on-year</w:t>
            </w:r>
            <w:r w:rsidR="00A02E8B" w:rsidRPr="008A1F51">
              <w:rPr>
                <w:spacing w:val="-4"/>
                <w:lang w:val="en-GB"/>
              </w:rPr>
              <w:t xml:space="preserve">. </w:t>
            </w:r>
            <w:r w:rsidR="00AC3B41">
              <w:rPr>
                <w:spacing w:val="-4"/>
                <w:lang w:val="en-GB"/>
              </w:rPr>
              <w:t xml:space="preserve">Surplus of trade with motor vehicles fell steep </w:t>
            </w:r>
            <w:r w:rsidR="00A02E8B" w:rsidRPr="008A1F51">
              <w:rPr>
                <w:spacing w:val="-4"/>
                <w:lang w:val="en-GB"/>
              </w:rPr>
              <w:t>(–25</w:t>
            </w:r>
            <w:r w:rsidR="00AC3B41">
              <w:rPr>
                <w:spacing w:val="-4"/>
                <w:lang w:val="en-GB"/>
              </w:rPr>
              <w:t>.</w:t>
            </w:r>
            <w:r w:rsidR="00A02E8B" w:rsidRPr="008A1F51">
              <w:rPr>
                <w:spacing w:val="-4"/>
                <w:lang w:val="en-GB"/>
              </w:rPr>
              <w:t>0</w:t>
            </w:r>
            <w:r w:rsidR="00AC3B41">
              <w:rPr>
                <w:spacing w:val="-4"/>
                <w:lang w:val="en-GB"/>
              </w:rPr>
              <w:t xml:space="preserve"> CZK bn</w:t>
            </w:r>
            <w:r w:rsidR="00A02E8B" w:rsidRPr="008A1F51">
              <w:rPr>
                <w:spacing w:val="-4"/>
                <w:lang w:val="en-GB"/>
              </w:rPr>
              <w:t>).</w:t>
            </w:r>
            <w:r w:rsidR="00AC3B41">
              <w:rPr>
                <w:spacing w:val="-4"/>
                <w:lang w:val="en-GB"/>
              </w:rPr>
              <w:t xml:space="preserve"> Balance of trade with machinery and equipment further worsened </w:t>
            </w:r>
            <w:r w:rsidR="00A02E8B" w:rsidRPr="008A1F51">
              <w:rPr>
                <w:spacing w:val="-4"/>
                <w:lang w:val="en-GB"/>
              </w:rPr>
              <w:t>(–7</w:t>
            </w:r>
            <w:r w:rsidR="00AC3B41">
              <w:rPr>
                <w:spacing w:val="-4"/>
                <w:lang w:val="en-GB"/>
              </w:rPr>
              <w:t>.</w:t>
            </w:r>
            <w:r w:rsidR="00A02E8B" w:rsidRPr="008A1F51">
              <w:rPr>
                <w:spacing w:val="-4"/>
                <w:lang w:val="en-GB"/>
              </w:rPr>
              <w:t>9</w:t>
            </w:r>
            <w:r w:rsidR="00AC3B41">
              <w:rPr>
                <w:spacing w:val="-4"/>
                <w:lang w:val="en-GB"/>
              </w:rPr>
              <w:t xml:space="preserve"> CZK bn</w:t>
            </w:r>
            <w:r w:rsidR="00A02E8B" w:rsidRPr="008A1F51">
              <w:rPr>
                <w:spacing w:val="-4"/>
                <w:lang w:val="en-GB"/>
              </w:rPr>
              <w:t>),</w:t>
            </w:r>
            <w:r w:rsidR="00AC3B41">
              <w:rPr>
                <w:spacing w:val="-4"/>
                <w:lang w:val="en-GB"/>
              </w:rPr>
              <w:t xml:space="preserve"> chemical substances and products </w:t>
            </w:r>
            <w:r w:rsidR="00A02E8B" w:rsidRPr="008A1F51">
              <w:rPr>
                <w:spacing w:val="-4"/>
                <w:lang w:val="en-GB"/>
              </w:rPr>
              <w:t>(–4</w:t>
            </w:r>
            <w:r w:rsidR="00AC3B41">
              <w:rPr>
                <w:spacing w:val="-4"/>
                <w:lang w:val="en-GB"/>
              </w:rPr>
              <w:t>.</w:t>
            </w:r>
            <w:r w:rsidR="00A02E8B" w:rsidRPr="008A1F51">
              <w:rPr>
                <w:spacing w:val="-4"/>
                <w:lang w:val="en-GB"/>
              </w:rPr>
              <w:t>8</w:t>
            </w:r>
            <w:r w:rsidR="00AC3B41">
              <w:rPr>
                <w:spacing w:val="-4"/>
                <w:lang w:val="en-GB"/>
              </w:rPr>
              <w:t xml:space="preserve"> bn</w:t>
            </w:r>
            <w:r w:rsidR="00A02E8B" w:rsidRPr="008A1F51">
              <w:rPr>
                <w:spacing w:val="-4"/>
                <w:lang w:val="en-GB"/>
              </w:rPr>
              <w:t>),</w:t>
            </w:r>
            <w:r w:rsidR="00AC3B41">
              <w:rPr>
                <w:spacing w:val="-4"/>
                <w:lang w:val="en-GB"/>
              </w:rPr>
              <w:t xml:space="preserve"> coke and refined oil products </w:t>
            </w:r>
            <w:r w:rsidR="00A02E8B" w:rsidRPr="008A1F51">
              <w:rPr>
                <w:spacing w:val="-4"/>
                <w:lang w:val="en-GB"/>
              </w:rPr>
              <w:t>(–4</w:t>
            </w:r>
            <w:r w:rsidR="00AC3B41">
              <w:rPr>
                <w:spacing w:val="-4"/>
                <w:lang w:val="en-GB"/>
              </w:rPr>
              <w:t>.</w:t>
            </w:r>
            <w:r w:rsidR="00A02E8B" w:rsidRPr="008A1F51">
              <w:rPr>
                <w:spacing w:val="-4"/>
                <w:lang w:val="en-GB"/>
              </w:rPr>
              <w:t>2</w:t>
            </w:r>
            <w:r w:rsidR="00AC3B41">
              <w:rPr>
                <w:spacing w:val="-4"/>
                <w:lang w:val="en-GB"/>
              </w:rPr>
              <w:t xml:space="preserve"> bn</w:t>
            </w:r>
            <w:r w:rsidR="00A02E8B" w:rsidRPr="008A1F51">
              <w:rPr>
                <w:spacing w:val="-4"/>
                <w:lang w:val="en-GB"/>
              </w:rPr>
              <w:t>),</w:t>
            </w:r>
            <w:r w:rsidR="00AC3B41">
              <w:rPr>
                <w:spacing w:val="-4"/>
                <w:lang w:val="en-GB"/>
              </w:rPr>
              <w:t xml:space="preserve"> other products of manufacturing </w:t>
            </w:r>
            <w:r w:rsidR="00A02E8B" w:rsidRPr="008A1F51">
              <w:rPr>
                <w:spacing w:val="-4"/>
                <w:lang w:val="en-GB"/>
              </w:rPr>
              <w:t>(–4</w:t>
            </w:r>
            <w:r w:rsidR="00AC3B41">
              <w:rPr>
                <w:spacing w:val="-4"/>
                <w:lang w:val="en-GB"/>
              </w:rPr>
              <w:t>.</w:t>
            </w:r>
            <w:r w:rsidR="00A02E8B" w:rsidRPr="008A1F51">
              <w:rPr>
                <w:spacing w:val="-4"/>
                <w:lang w:val="en-GB"/>
              </w:rPr>
              <w:t>1</w:t>
            </w:r>
            <w:r w:rsidR="00AC3B41">
              <w:rPr>
                <w:spacing w:val="-4"/>
                <w:lang w:val="en-GB"/>
              </w:rPr>
              <w:t xml:space="preserve"> bn</w:t>
            </w:r>
            <w:r w:rsidR="00A02E8B" w:rsidRPr="008A1F51">
              <w:rPr>
                <w:spacing w:val="-4"/>
                <w:lang w:val="en-GB"/>
              </w:rPr>
              <w:t>),</w:t>
            </w:r>
            <w:r w:rsidR="00AC3B41">
              <w:rPr>
                <w:spacing w:val="-4"/>
                <w:lang w:val="en-GB"/>
              </w:rPr>
              <w:t xml:space="preserve"> electrical equipment </w:t>
            </w:r>
            <w:r w:rsidR="00A02E8B" w:rsidRPr="008A1F51">
              <w:rPr>
                <w:spacing w:val="-4"/>
                <w:lang w:val="en-GB"/>
              </w:rPr>
              <w:t>(–3</w:t>
            </w:r>
            <w:r w:rsidR="00AC3B41">
              <w:rPr>
                <w:spacing w:val="-4"/>
                <w:lang w:val="en-GB"/>
              </w:rPr>
              <w:t>.</w:t>
            </w:r>
            <w:r w:rsidR="00A02E8B" w:rsidRPr="008A1F51">
              <w:rPr>
                <w:spacing w:val="-4"/>
                <w:lang w:val="en-GB"/>
              </w:rPr>
              <w:t>8</w:t>
            </w:r>
            <w:r w:rsidR="00AC3B41">
              <w:rPr>
                <w:spacing w:val="-4"/>
                <w:lang w:val="en-GB"/>
              </w:rPr>
              <w:t xml:space="preserve"> bn</w:t>
            </w:r>
            <w:r w:rsidR="00A02E8B" w:rsidRPr="008A1F51">
              <w:rPr>
                <w:spacing w:val="-4"/>
                <w:lang w:val="en-GB"/>
              </w:rPr>
              <w:t>)</w:t>
            </w:r>
            <w:r w:rsidR="00AC3B41">
              <w:rPr>
                <w:spacing w:val="-4"/>
                <w:lang w:val="en-GB"/>
              </w:rPr>
              <w:t xml:space="preserve"> or basic pharmaceutical products </w:t>
            </w:r>
            <w:r w:rsidR="00A02E8B" w:rsidRPr="008A1F51">
              <w:rPr>
                <w:spacing w:val="-4"/>
                <w:lang w:val="en-GB"/>
              </w:rPr>
              <w:t>(–3</w:t>
            </w:r>
            <w:r w:rsidR="00AC3B41">
              <w:rPr>
                <w:spacing w:val="-4"/>
                <w:lang w:val="en-GB"/>
              </w:rPr>
              <w:t>.</w:t>
            </w:r>
            <w:r w:rsidR="00A02E8B" w:rsidRPr="008A1F51">
              <w:rPr>
                <w:spacing w:val="-4"/>
                <w:lang w:val="en-GB"/>
              </w:rPr>
              <w:t>5</w:t>
            </w:r>
            <w:r w:rsidR="00AC3B41">
              <w:rPr>
                <w:spacing w:val="-4"/>
                <w:lang w:val="en-GB"/>
              </w:rPr>
              <w:t xml:space="preserve"> bn</w:t>
            </w:r>
            <w:r w:rsidR="00A02E8B" w:rsidRPr="008A1F51">
              <w:rPr>
                <w:spacing w:val="-4"/>
                <w:lang w:val="en-GB"/>
              </w:rPr>
              <w:t>).</w:t>
            </w:r>
          </w:p>
        </w:tc>
      </w:tr>
      <w:tr w:rsidR="00A02E8B" w:rsidRPr="009110F7" w14:paraId="461570E2" w14:textId="77777777" w:rsidTr="008E039E">
        <w:trPr>
          <w:trHeight w:val="106"/>
        </w:trPr>
        <w:tc>
          <w:tcPr>
            <w:tcW w:w="1760" w:type="dxa"/>
            <w:vMerge w:val="restart"/>
            <w:shd w:val="clear" w:color="auto" w:fill="auto"/>
            <w:tcMar>
              <w:left w:w="0" w:type="dxa"/>
            </w:tcMar>
          </w:tcPr>
          <w:p w14:paraId="250A2920" w14:textId="77777777" w:rsidR="00A02E8B" w:rsidRDefault="00A02E8B" w:rsidP="008E039E">
            <w:pPr>
              <w:pStyle w:val="Marginlie"/>
            </w:pPr>
          </w:p>
        </w:tc>
        <w:tc>
          <w:tcPr>
            <w:tcW w:w="223" w:type="dxa"/>
            <w:vMerge w:val="restart"/>
            <w:shd w:val="clear" w:color="auto" w:fill="auto"/>
            <w:tcMar>
              <w:left w:w="0" w:type="dxa"/>
            </w:tcMar>
          </w:tcPr>
          <w:p w14:paraId="11D865C1" w14:textId="77777777" w:rsidR="00A02E8B" w:rsidRDefault="00A02E8B" w:rsidP="008E039E">
            <w:pPr>
              <w:pStyle w:val="Textpoznpodarou"/>
              <w:jc w:val="both"/>
              <w:rPr>
                <w:spacing w:val="-4"/>
              </w:rPr>
            </w:pPr>
          </w:p>
        </w:tc>
        <w:tc>
          <w:tcPr>
            <w:tcW w:w="7656" w:type="dxa"/>
            <w:shd w:val="clear" w:color="auto" w:fill="auto"/>
            <w:tcMar>
              <w:left w:w="0" w:type="dxa"/>
            </w:tcMar>
          </w:tcPr>
          <w:p w14:paraId="35C44846" w14:textId="44AD68E1" w:rsidR="00A02E8B" w:rsidRPr="00D75AC1" w:rsidRDefault="009D3FA4" w:rsidP="00A02E8B">
            <w:pPr>
              <w:spacing w:after="0"/>
              <w:rPr>
                <w:spacing w:val="-4"/>
                <w:szCs w:val="20"/>
              </w:rPr>
            </w:pPr>
            <w:r>
              <w:rPr>
                <w:rFonts w:cs="Arial"/>
                <w:b/>
                <w:bCs/>
                <w:color w:val="000000"/>
                <w:szCs w:val="20"/>
              </w:rPr>
              <w:t xml:space="preserve">Chart </w:t>
            </w:r>
            <w:r w:rsidR="00A02E8B">
              <w:rPr>
                <w:rFonts w:cs="Arial"/>
                <w:b/>
                <w:bCs/>
                <w:color w:val="000000"/>
                <w:szCs w:val="20"/>
              </w:rPr>
              <w:t xml:space="preserve">10 </w:t>
            </w:r>
            <w:r w:rsidR="00A02E8B" w:rsidRPr="00D75AC1">
              <w:rPr>
                <w:rFonts w:cs="Arial"/>
                <w:b/>
                <w:bCs/>
                <w:color w:val="000000"/>
                <w:szCs w:val="20"/>
              </w:rPr>
              <w:t xml:space="preserve"> </w:t>
            </w:r>
            <w:r w:rsidR="00932097" w:rsidRPr="000A5DBC">
              <w:rPr>
                <w:b/>
                <w:sz w:val="18"/>
                <w:szCs w:val="18"/>
                <w:lang w:val="en-GB"/>
              </w:rPr>
              <w:t xml:space="preserve">Balance of foreign trade in foreign trade statistics </w:t>
            </w:r>
            <w:r w:rsidR="00932097" w:rsidRPr="00932097">
              <w:rPr>
                <w:bCs/>
                <w:sz w:val="18"/>
                <w:szCs w:val="18"/>
                <w:lang w:val="en-GB"/>
              </w:rPr>
              <w:t>(cumulation of year 2021, in CZK bn, selected divisions of the CPA classification)</w:t>
            </w:r>
            <w:r w:rsidR="00932097" w:rsidRPr="000A5DBC">
              <w:rPr>
                <w:b/>
                <w:sz w:val="18"/>
                <w:szCs w:val="18"/>
                <w:lang w:val="en-GB"/>
              </w:rPr>
              <w:t xml:space="preserve">  </w:t>
            </w:r>
          </w:p>
        </w:tc>
      </w:tr>
      <w:tr w:rsidR="00A02E8B" w:rsidRPr="009110F7" w14:paraId="08947230" w14:textId="77777777" w:rsidTr="00D2240D">
        <w:tblPrEx>
          <w:tblCellMar>
            <w:left w:w="70" w:type="dxa"/>
            <w:right w:w="70" w:type="dxa"/>
          </w:tblCellMar>
        </w:tblPrEx>
        <w:trPr>
          <w:trHeight w:val="106"/>
        </w:trPr>
        <w:tc>
          <w:tcPr>
            <w:tcW w:w="1760" w:type="dxa"/>
            <w:vMerge/>
            <w:shd w:val="clear" w:color="auto" w:fill="auto"/>
          </w:tcPr>
          <w:p w14:paraId="3F986492" w14:textId="77777777" w:rsidR="00A02E8B" w:rsidRDefault="00A02E8B" w:rsidP="008E039E">
            <w:pPr>
              <w:pStyle w:val="Marginlie"/>
            </w:pPr>
          </w:p>
        </w:tc>
        <w:tc>
          <w:tcPr>
            <w:tcW w:w="223" w:type="dxa"/>
            <w:vMerge/>
            <w:shd w:val="clear" w:color="auto" w:fill="auto"/>
          </w:tcPr>
          <w:p w14:paraId="5457000B" w14:textId="77777777" w:rsidR="00A02E8B" w:rsidRDefault="00A02E8B" w:rsidP="008E039E">
            <w:pPr>
              <w:pStyle w:val="Textpoznpodarou"/>
              <w:jc w:val="both"/>
              <w:rPr>
                <w:spacing w:val="-4"/>
              </w:rPr>
            </w:pPr>
          </w:p>
        </w:tc>
        <w:tc>
          <w:tcPr>
            <w:tcW w:w="7656" w:type="dxa"/>
            <w:shd w:val="clear" w:color="auto" w:fill="auto"/>
          </w:tcPr>
          <w:p w14:paraId="28A97905" w14:textId="70D78025" w:rsidR="00A02E8B" w:rsidRPr="00AF6F98" w:rsidRDefault="00D2240D" w:rsidP="008E039E">
            <w:pPr>
              <w:spacing w:after="0"/>
              <w:rPr>
                <w:spacing w:val="-4"/>
              </w:rPr>
            </w:pPr>
            <w:r>
              <w:rPr>
                <w:noProof/>
              </w:rPr>
              <w:drawing>
                <wp:inline distT="0" distB="0" distL="0" distR="0" wp14:anchorId="165C025B" wp14:editId="1EB55FE1">
                  <wp:extent cx="4737600" cy="3553200"/>
                  <wp:effectExtent l="0" t="0" r="6350" b="0"/>
                  <wp:docPr id="25" name="Graf 2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02E8B" w:rsidRPr="009110F7" w14:paraId="7942ADA2" w14:textId="77777777" w:rsidTr="008E039E">
        <w:trPr>
          <w:trHeight w:val="106"/>
        </w:trPr>
        <w:tc>
          <w:tcPr>
            <w:tcW w:w="1760" w:type="dxa"/>
            <w:vMerge/>
            <w:shd w:val="clear" w:color="auto" w:fill="auto"/>
            <w:tcMar>
              <w:left w:w="0" w:type="dxa"/>
            </w:tcMar>
          </w:tcPr>
          <w:p w14:paraId="41ED45D9" w14:textId="77777777" w:rsidR="00A02E8B" w:rsidRDefault="00A02E8B" w:rsidP="008E039E">
            <w:pPr>
              <w:pStyle w:val="Marginlie"/>
            </w:pPr>
          </w:p>
        </w:tc>
        <w:tc>
          <w:tcPr>
            <w:tcW w:w="223" w:type="dxa"/>
            <w:vMerge/>
            <w:shd w:val="clear" w:color="auto" w:fill="auto"/>
            <w:tcMar>
              <w:left w:w="0" w:type="dxa"/>
            </w:tcMar>
          </w:tcPr>
          <w:p w14:paraId="469D6854" w14:textId="77777777" w:rsidR="00A02E8B" w:rsidRDefault="00A02E8B" w:rsidP="008E039E">
            <w:pPr>
              <w:pStyle w:val="Textpoznpodarou"/>
              <w:jc w:val="both"/>
              <w:rPr>
                <w:spacing w:val="-4"/>
              </w:rPr>
            </w:pPr>
          </w:p>
        </w:tc>
        <w:tc>
          <w:tcPr>
            <w:tcW w:w="7656" w:type="dxa"/>
            <w:shd w:val="clear" w:color="auto" w:fill="auto"/>
            <w:tcMar>
              <w:left w:w="0" w:type="dxa"/>
            </w:tcMar>
          </w:tcPr>
          <w:p w14:paraId="1FB837D5" w14:textId="5F05A079" w:rsidR="00111B33" w:rsidRPr="000B5C9C" w:rsidRDefault="000B5C9C" w:rsidP="00D2240D">
            <w:pPr>
              <w:spacing w:after="0"/>
              <w:rPr>
                <w:b/>
                <w:bCs/>
                <w:spacing w:val="-4"/>
                <w:sz w:val="16"/>
                <w:szCs w:val="16"/>
              </w:rPr>
            </w:pPr>
            <w:r>
              <w:rPr>
                <w:sz w:val="14"/>
                <w:szCs w:val="14"/>
              </w:rPr>
              <w:t>Source</w:t>
            </w:r>
            <w:r w:rsidR="00A02E8B">
              <w:rPr>
                <w:sz w:val="14"/>
                <w:szCs w:val="14"/>
              </w:rPr>
              <w:t xml:space="preserve">: </w:t>
            </w:r>
            <w:r>
              <w:rPr>
                <w:sz w:val="14"/>
                <w:szCs w:val="14"/>
              </w:rPr>
              <w:t>CZSO</w:t>
            </w:r>
          </w:p>
        </w:tc>
      </w:tr>
    </w:tbl>
    <w:p w14:paraId="7CEEB718" w14:textId="78F6A285" w:rsidR="009B553D" w:rsidRPr="006347C6" w:rsidRDefault="009B553D" w:rsidP="009B553D">
      <w:pPr>
        <w:pStyle w:val="Nadpis11"/>
        <w:rPr>
          <w:lang w:val="en-GB"/>
        </w:rPr>
      </w:pPr>
      <w:bookmarkStart w:id="33" w:name="_Toc101437435"/>
      <w:bookmarkEnd w:id="29"/>
      <w:bookmarkEnd w:id="30"/>
      <w:bookmarkEnd w:id="31"/>
      <w:r w:rsidRPr="009110F7">
        <w:lastRenderedPageBreak/>
        <w:t>5</w:t>
      </w:r>
      <w:r>
        <w:t>. </w:t>
      </w:r>
      <w:r w:rsidR="000B5C9C" w:rsidRPr="006347C6">
        <w:rPr>
          <w:lang w:val="en-GB"/>
        </w:rPr>
        <w:t>Prices</w:t>
      </w:r>
      <w:bookmarkEnd w:id="19"/>
      <w:bookmarkEnd w:id="33"/>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B553D" w:rsidRPr="006347C6" w14:paraId="5E9509D1" w14:textId="77777777" w:rsidTr="00913237">
        <w:trPr>
          <w:trHeight w:val="145"/>
        </w:trPr>
        <w:tc>
          <w:tcPr>
            <w:tcW w:w="1805" w:type="dxa"/>
            <w:shd w:val="clear" w:color="auto" w:fill="auto"/>
            <w:tcMar>
              <w:left w:w="0" w:type="dxa"/>
            </w:tcMar>
          </w:tcPr>
          <w:p w14:paraId="6CF3200F" w14:textId="767F6AC8" w:rsidR="009B553D" w:rsidRPr="006347C6" w:rsidRDefault="006347C6" w:rsidP="00913237">
            <w:pPr>
              <w:pStyle w:val="Marginlie"/>
              <w:rPr>
                <w:spacing w:val="0"/>
                <w:lang w:val="en-GB"/>
              </w:rPr>
            </w:pPr>
            <w:r>
              <w:rPr>
                <w:spacing w:val="0"/>
                <w:lang w:val="en-GB"/>
              </w:rPr>
              <w:t xml:space="preserve">Total price level in the economy was markedly higher year-on-year. </w:t>
            </w:r>
          </w:p>
        </w:tc>
        <w:tc>
          <w:tcPr>
            <w:tcW w:w="224" w:type="dxa"/>
            <w:shd w:val="clear" w:color="auto" w:fill="auto"/>
            <w:tcMar>
              <w:left w:w="0" w:type="dxa"/>
            </w:tcMar>
          </w:tcPr>
          <w:p w14:paraId="4621C188" w14:textId="77777777" w:rsidR="009B553D" w:rsidRPr="006347C6" w:rsidRDefault="009B553D" w:rsidP="00913237">
            <w:pPr>
              <w:pStyle w:val="Textpoznpodarou1"/>
              <w:jc w:val="both"/>
              <w:rPr>
                <w:lang w:val="en-GB"/>
              </w:rPr>
            </w:pPr>
          </w:p>
        </w:tc>
        <w:tc>
          <w:tcPr>
            <w:tcW w:w="7610" w:type="dxa"/>
            <w:shd w:val="clear" w:color="auto" w:fill="auto"/>
            <w:tcMar>
              <w:left w:w="0" w:type="dxa"/>
            </w:tcMar>
          </w:tcPr>
          <w:p w14:paraId="180A4F68" w14:textId="7B8D739B" w:rsidR="009B553D" w:rsidRPr="006347C6" w:rsidRDefault="006347C6" w:rsidP="00913237">
            <w:pPr>
              <w:rPr>
                <w:szCs w:val="20"/>
                <w:lang w:val="en-GB"/>
              </w:rPr>
            </w:pPr>
            <w:r>
              <w:rPr>
                <w:szCs w:val="20"/>
                <w:lang w:val="en-GB"/>
              </w:rPr>
              <w:t xml:space="preserve">Total growth of the price level in the domestic economy according to the GDP deflator reached 4.1% in </w:t>
            </w:r>
            <w:r w:rsidR="009B553D" w:rsidRPr="006347C6">
              <w:rPr>
                <w:szCs w:val="20"/>
                <w:lang w:val="en-GB"/>
              </w:rPr>
              <w:t>2021</w:t>
            </w:r>
            <w:r>
              <w:rPr>
                <w:szCs w:val="20"/>
                <w:lang w:val="en-GB"/>
              </w:rPr>
              <w:t xml:space="preserve">. The price level of both consumption </w:t>
            </w:r>
            <w:r w:rsidR="009B553D" w:rsidRPr="006347C6">
              <w:rPr>
                <w:szCs w:val="20"/>
                <w:lang w:val="en-GB"/>
              </w:rPr>
              <w:t>(3</w:t>
            </w:r>
            <w:r>
              <w:rPr>
                <w:szCs w:val="20"/>
                <w:lang w:val="en-GB"/>
              </w:rPr>
              <w:t>.</w:t>
            </w:r>
            <w:r w:rsidR="009B553D" w:rsidRPr="006347C6">
              <w:rPr>
                <w:szCs w:val="20"/>
                <w:lang w:val="en-GB"/>
              </w:rPr>
              <w:t>4%)</w:t>
            </w:r>
            <w:r>
              <w:rPr>
                <w:szCs w:val="20"/>
                <w:lang w:val="en-GB"/>
              </w:rPr>
              <w:t xml:space="preserve"> and capital goods </w:t>
            </w:r>
            <w:r w:rsidR="009B553D" w:rsidRPr="006347C6">
              <w:rPr>
                <w:szCs w:val="20"/>
                <w:lang w:val="en-GB"/>
              </w:rPr>
              <w:t>(5</w:t>
            </w:r>
            <w:r>
              <w:rPr>
                <w:szCs w:val="20"/>
                <w:lang w:val="en-GB"/>
              </w:rPr>
              <w:t>.</w:t>
            </w:r>
            <w:r w:rsidR="009B553D" w:rsidRPr="006347C6">
              <w:rPr>
                <w:szCs w:val="20"/>
                <w:lang w:val="en-GB"/>
              </w:rPr>
              <w:t>6%)</w:t>
            </w:r>
            <w:r>
              <w:rPr>
                <w:szCs w:val="20"/>
                <w:lang w:val="en-GB"/>
              </w:rPr>
              <w:t xml:space="preserve"> grew</w:t>
            </w:r>
            <w:r w:rsidR="009B553D" w:rsidRPr="006347C6">
              <w:rPr>
                <w:szCs w:val="20"/>
                <w:lang w:val="en-GB"/>
              </w:rPr>
              <w:t>.</w:t>
            </w:r>
            <w:r>
              <w:rPr>
                <w:szCs w:val="20"/>
                <w:lang w:val="en-GB"/>
              </w:rPr>
              <w:t xml:space="preserve"> The terms of trade of the foreign trade achieved </w:t>
            </w:r>
            <w:r w:rsidR="009B553D" w:rsidRPr="006347C6">
              <w:rPr>
                <w:szCs w:val="20"/>
                <w:lang w:val="en-GB"/>
              </w:rPr>
              <w:t>100</w:t>
            </w:r>
            <w:r>
              <w:rPr>
                <w:szCs w:val="20"/>
                <w:lang w:val="en-GB"/>
              </w:rPr>
              <w:t>.</w:t>
            </w:r>
            <w:r w:rsidR="009B553D" w:rsidRPr="006347C6">
              <w:rPr>
                <w:szCs w:val="20"/>
                <w:lang w:val="en-GB"/>
              </w:rPr>
              <w:t>1%</w:t>
            </w:r>
            <w:r>
              <w:rPr>
                <w:szCs w:val="20"/>
                <w:lang w:val="en-GB"/>
              </w:rPr>
              <w:t xml:space="preserve"> last year</w:t>
            </w:r>
            <w:r w:rsidR="009B553D" w:rsidRPr="006347C6">
              <w:rPr>
                <w:szCs w:val="20"/>
                <w:lang w:val="en-GB"/>
              </w:rPr>
              <w:t xml:space="preserve">. </w:t>
            </w:r>
            <w:r w:rsidR="005C016A">
              <w:rPr>
                <w:szCs w:val="20"/>
                <w:lang w:val="en-GB"/>
              </w:rPr>
              <w:t xml:space="preserve">Year-on-year growth of the price level in total rose to </w:t>
            </w:r>
            <w:r w:rsidR="009B553D" w:rsidRPr="006347C6">
              <w:rPr>
                <w:szCs w:val="20"/>
                <w:lang w:val="en-GB"/>
              </w:rPr>
              <w:t>3</w:t>
            </w:r>
            <w:r w:rsidR="005C016A">
              <w:rPr>
                <w:szCs w:val="20"/>
                <w:lang w:val="en-GB"/>
              </w:rPr>
              <w:t>.</w:t>
            </w:r>
            <w:r w:rsidR="009B553D" w:rsidRPr="006347C6">
              <w:rPr>
                <w:szCs w:val="20"/>
                <w:lang w:val="en-GB"/>
              </w:rPr>
              <w:t>3%</w:t>
            </w:r>
            <w:r w:rsidR="005C016A">
              <w:rPr>
                <w:szCs w:val="20"/>
                <w:lang w:val="en-GB"/>
              </w:rPr>
              <w:t xml:space="preserve"> in Q4 2021</w:t>
            </w:r>
            <w:r w:rsidR="009B553D" w:rsidRPr="006347C6">
              <w:rPr>
                <w:szCs w:val="20"/>
                <w:lang w:val="en-GB"/>
              </w:rPr>
              <w:t xml:space="preserve">. </w:t>
            </w:r>
            <w:r w:rsidR="005C016A">
              <w:rPr>
                <w:szCs w:val="20"/>
                <w:lang w:val="en-GB"/>
              </w:rPr>
              <w:t xml:space="preserve">In that, the prices of consumer goods </w:t>
            </w:r>
            <w:proofErr w:type="gramStart"/>
            <w:r w:rsidR="005C016A">
              <w:rPr>
                <w:szCs w:val="20"/>
                <w:lang w:val="en-GB"/>
              </w:rPr>
              <w:t>were raised</w:t>
            </w:r>
            <w:proofErr w:type="gramEnd"/>
            <w:r w:rsidR="005C016A">
              <w:rPr>
                <w:szCs w:val="20"/>
                <w:lang w:val="en-GB"/>
              </w:rPr>
              <w:t xml:space="preserve"> by </w:t>
            </w:r>
            <w:r w:rsidR="009B553D" w:rsidRPr="006347C6">
              <w:rPr>
                <w:szCs w:val="20"/>
                <w:lang w:val="en-GB"/>
              </w:rPr>
              <w:t>4</w:t>
            </w:r>
            <w:r w:rsidR="005C016A">
              <w:rPr>
                <w:szCs w:val="20"/>
                <w:lang w:val="en-GB"/>
              </w:rPr>
              <w:t>.</w:t>
            </w:r>
            <w:r w:rsidR="009B553D" w:rsidRPr="006347C6">
              <w:rPr>
                <w:szCs w:val="20"/>
                <w:lang w:val="en-GB"/>
              </w:rPr>
              <w:t>0%,</w:t>
            </w:r>
            <w:r w:rsidR="005C016A">
              <w:rPr>
                <w:szCs w:val="20"/>
                <w:lang w:val="en-GB"/>
              </w:rPr>
              <w:t xml:space="preserve"> mainly due to the strengthening dynamics of the prices of household consumption </w:t>
            </w:r>
            <w:r w:rsidR="009B553D" w:rsidRPr="006347C6">
              <w:rPr>
                <w:szCs w:val="20"/>
                <w:lang w:val="en-GB"/>
              </w:rPr>
              <w:t>(4</w:t>
            </w:r>
            <w:r w:rsidR="005C016A">
              <w:rPr>
                <w:szCs w:val="20"/>
                <w:lang w:val="en-GB"/>
              </w:rPr>
              <w:t>.</w:t>
            </w:r>
            <w:r w:rsidR="009B553D" w:rsidRPr="006347C6">
              <w:rPr>
                <w:szCs w:val="20"/>
                <w:lang w:val="en-GB"/>
              </w:rPr>
              <w:t xml:space="preserve">7%). </w:t>
            </w:r>
            <w:r w:rsidR="005C016A">
              <w:rPr>
                <w:szCs w:val="20"/>
                <w:lang w:val="en-GB"/>
              </w:rPr>
              <w:t xml:space="preserve">Prices of capital goods increased by </w:t>
            </w:r>
            <w:r w:rsidR="009B553D" w:rsidRPr="006347C6">
              <w:rPr>
                <w:szCs w:val="20"/>
                <w:lang w:val="en-GB"/>
              </w:rPr>
              <w:t>6</w:t>
            </w:r>
            <w:r w:rsidR="005C016A">
              <w:rPr>
                <w:szCs w:val="20"/>
                <w:lang w:val="en-GB"/>
              </w:rPr>
              <w:t>.</w:t>
            </w:r>
            <w:r w:rsidR="009B553D" w:rsidRPr="006347C6">
              <w:rPr>
                <w:szCs w:val="20"/>
                <w:lang w:val="en-GB"/>
              </w:rPr>
              <w:t>0%</w:t>
            </w:r>
            <w:r w:rsidR="005C016A">
              <w:rPr>
                <w:szCs w:val="20"/>
                <w:lang w:val="en-GB"/>
              </w:rPr>
              <w:t xml:space="preserve">. The terms of trade were negative </w:t>
            </w:r>
            <w:r w:rsidR="009B553D" w:rsidRPr="006347C6">
              <w:rPr>
                <w:szCs w:val="20"/>
                <w:lang w:val="en-GB"/>
              </w:rPr>
              <w:t>(98</w:t>
            </w:r>
            <w:r w:rsidR="005C016A">
              <w:rPr>
                <w:szCs w:val="20"/>
                <w:lang w:val="en-GB"/>
              </w:rPr>
              <w:t>.</w:t>
            </w:r>
            <w:r w:rsidR="009B553D" w:rsidRPr="006347C6">
              <w:rPr>
                <w:szCs w:val="20"/>
                <w:lang w:val="en-GB"/>
              </w:rPr>
              <w:t>0%),</w:t>
            </w:r>
            <w:r w:rsidR="005C016A">
              <w:rPr>
                <w:szCs w:val="20"/>
                <w:lang w:val="en-GB"/>
              </w:rPr>
              <w:t xml:space="preserve"> especially due to the trade with goods </w:t>
            </w:r>
            <w:r w:rsidR="009B553D" w:rsidRPr="006347C6">
              <w:rPr>
                <w:szCs w:val="20"/>
                <w:lang w:val="en-GB"/>
              </w:rPr>
              <w:t>(97</w:t>
            </w:r>
            <w:r w:rsidR="005C016A">
              <w:rPr>
                <w:szCs w:val="20"/>
                <w:lang w:val="en-GB"/>
              </w:rPr>
              <w:t>.</w:t>
            </w:r>
            <w:r w:rsidR="009B553D" w:rsidRPr="006347C6">
              <w:rPr>
                <w:szCs w:val="20"/>
                <w:lang w:val="en-GB"/>
              </w:rPr>
              <w:t>7%),</w:t>
            </w:r>
            <w:r w:rsidR="005C016A">
              <w:rPr>
                <w:szCs w:val="20"/>
                <w:lang w:val="en-GB"/>
              </w:rPr>
              <w:t xml:space="preserve"> where </w:t>
            </w:r>
            <w:r w:rsidR="0088220D">
              <w:rPr>
                <w:szCs w:val="20"/>
                <w:lang w:val="en-GB"/>
              </w:rPr>
              <w:t>the sharp growth of import prices had an effect. The price leve</w:t>
            </w:r>
            <w:r w:rsidR="008407EA">
              <w:rPr>
                <w:szCs w:val="20"/>
                <w:lang w:val="en-GB"/>
              </w:rPr>
              <w:t>l</w:t>
            </w:r>
            <w:r w:rsidR="0088220D">
              <w:rPr>
                <w:szCs w:val="20"/>
                <w:lang w:val="en-GB"/>
              </w:rPr>
              <w:t xml:space="preserve"> decreased by </w:t>
            </w:r>
            <w:r w:rsidR="009B553D" w:rsidRPr="006347C6">
              <w:rPr>
                <w:szCs w:val="20"/>
                <w:lang w:val="en-GB"/>
              </w:rPr>
              <w:t>0</w:t>
            </w:r>
            <w:r w:rsidR="0088220D">
              <w:rPr>
                <w:szCs w:val="20"/>
                <w:lang w:val="en-GB"/>
              </w:rPr>
              <w:t>.</w:t>
            </w:r>
            <w:r w:rsidR="009B553D" w:rsidRPr="006347C6">
              <w:rPr>
                <w:szCs w:val="20"/>
                <w:lang w:val="en-GB"/>
              </w:rPr>
              <w:t>6%</w:t>
            </w:r>
            <w:r w:rsidR="0088220D">
              <w:rPr>
                <w:szCs w:val="20"/>
                <w:lang w:val="en-GB"/>
              </w:rPr>
              <w:t xml:space="preserve"> compared to Q3 2021</w:t>
            </w:r>
            <w:r w:rsidR="009B553D" w:rsidRPr="006347C6">
              <w:rPr>
                <w:szCs w:val="20"/>
                <w:lang w:val="en-GB"/>
              </w:rPr>
              <w:t xml:space="preserve">. </w:t>
            </w:r>
            <w:r w:rsidR="0088220D">
              <w:rPr>
                <w:szCs w:val="20"/>
                <w:lang w:val="en-GB"/>
              </w:rPr>
              <w:t xml:space="preserve">Prices of consumption grew by 1.0% quarter-on-quarter, but prices of the capital goods went down by </w:t>
            </w:r>
            <w:r w:rsidR="009B553D" w:rsidRPr="006347C6">
              <w:rPr>
                <w:szCs w:val="20"/>
                <w:lang w:val="en-GB"/>
              </w:rPr>
              <w:t>0</w:t>
            </w:r>
            <w:r w:rsidR="0088220D">
              <w:rPr>
                <w:szCs w:val="20"/>
                <w:lang w:val="en-GB"/>
              </w:rPr>
              <w:t>.</w:t>
            </w:r>
            <w:r w:rsidR="009B553D" w:rsidRPr="006347C6">
              <w:rPr>
                <w:szCs w:val="20"/>
                <w:lang w:val="en-GB"/>
              </w:rPr>
              <w:t>1%</w:t>
            </w:r>
            <w:r w:rsidR="0088220D">
              <w:rPr>
                <w:szCs w:val="20"/>
                <w:lang w:val="en-GB"/>
              </w:rPr>
              <w:t xml:space="preserve"> and the terms of trade were negative </w:t>
            </w:r>
            <w:r w:rsidR="009B553D" w:rsidRPr="006347C6">
              <w:rPr>
                <w:szCs w:val="20"/>
                <w:lang w:val="en-GB"/>
              </w:rPr>
              <w:t>(98</w:t>
            </w:r>
            <w:r w:rsidR="0088220D">
              <w:rPr>
                <w:szCs w:val="20"/>
                <w:lang w:val="en-GB"/>
              </w:rPr>
              <w:t>.</w:t>
            </w:r>
            <w:r w:rsidR="009B553D" w:rsidRPr="006347C6">
              <w:rPr>
                <w:szCs w:val="20"/>
                <w:lang w:val="en-GB"/>
              </w:rPr>
              <w:t>2%).</w:t>
            </w:r>
          </w:p>
        </w:tc>
      </w:tr>
      <w:tr w:rsidR="009B553D" w:rsidRPr="009110F7" w14:paraId="0F686B8E" w14:textId="77777777" w:rsidTr="00913237">
        <w:trPr>
          <w:trHeight w:val="145"/>
        </w:trPr>
        <w:tc>
          <w:tcPr>
            <w:tcW w:w="1805" w:type="dxa"/>
            <w:shd w:val="clear" w:color="auto" w:fill="auto"/>
            <w:tcMar>
              <w:left w:w="0" w:type="dxa"/>
            </w:tcMar>
          </w:tcPr>
          <w:p w14:paraId="16A68A3E" w14:textId="68E1358D" w:rsidR="009B553D" w:rsidRPr="0088220D" w:rsidRDefault="006347C6" w:rsidP="00913237">
            <w:pPr>
              <w:pStyle w:val="Marginlie"/>
              <w:rPr>
                <w:spacing w:val="0"/>
                <w:lang w:val="en-GB"/>
              </w:rPr>
            </w:pPr>
            <w:r w:rsidRPr="0088220D">
              <w:rPr>
                <w:spacing w:val="0"/>
                <w:lang w:val="en-GB"/>
              </w:rPr>
              <w:t xml:space="preserve">Consumer prices increased the strongest since year 2008 last year. </w:t>
            </w:r>
          </w:p>
          <w:p w14:paraId="0E1234E8" w14:textId="77777777" w:rsidR="009B553D" w:rsidRPr="0088220D" w:rsidRDefault="009B553D" w:rsidP="00913237">
            <w:pPr>
              <w:pStyle w:val="Marginlie"/>
              <w:rPr>
                <w:spacing w:val="0"/>
                <w:lang w:val="en-GB"/>
              </w:rPr>
            </w:pPr>
          </w:p>
          <w:p w14:paraId="6B846D96" w14:textId="77777777" w:rsidR="009B553D" w:rsidRPr="0088220D" w:rsidRDefault="009B553D" w:rsidP="00913237">
            <w:pPr>
              <w:pStyle w:val="Marginlie"/>
              <w:rPr>
                <w:spacing w:val="0"/>
                <w:lang w:val="en-GB"/>
              </w:rPr>
            </w:pPr>
          </w:p>
          <w:p w14:paraId="526D145E" w14:textId="77777777" w:rsidR="009B553D" w:rsidRPr="0088220D" w:rsidRDefault="009B553D" w:rsidP="00913237">
            <w:pPr>
              <w:pStyle w:val="Marginlie"/>
              <w:rPr>
                <w:spacing w:val="0"/>
                <w:lang w:val="en-GB"/>
              </w:rPr>
            </w:pPr>
          </w:p>
          <w:p w14:paraId="3DB3442C" w14:textId="77777777" w:rsidR="009B553D" w:rsidRPr="0088220D" w:rsidRDefault="009B553D" w:rsidP="00913237">
            <w:pPr>
              <w:pStyle w:val="Marginlie"/>
              <w:rPr>
                <w:spacing w:val="0"/>
                <w:lang w:val="en-GB"/>
              </w:rPr>
            </w:pPr>
          </w:p>
          <w:p w14:paraId="214B26A6" w14:textId="77777777" w:rsidR="009B553D" w:rsidRPr="0088220D" w:rsidRDefault="009B553D" w:rsidP="00913237">
            <w:pPr>
              <w:pStyle w:val="Marginlie"/>
              <w:rPr>
                <w:spacing w:val="0"/>
                <w:lang w:val="en-GB"/>
              </w:rPr>
            </w:pPr>
          </w:p>
          <w:p w14:paraId="5B167FE6" w14:textId="77777777" w:rsidR="009B553D" w:rsidRPr="0088220D" w:rsidRDefault="009B553D" w:rsidP="00913237">
            <w:pPr>
              <w:pStyle w:val="Marginlie"/>
              <w:rPr>
                <w:spacing w:val="0"/>
                <w:lang w:val="en-GB"/>
              </w:rPr>
            </w:pPr>
          </w:p>
          <w:p w14:paraId="09359358" w14:textId="77777777" w:rsidR="009B553D" w:rsidRPr="0088220D" w:rsidRDefault="009B553D" w:rsidP="00913237">
            <w:pPr>
              <w:pStyle w:val="Marginlie"/>
              <w:rPr>
                <w:spacing w:val="0"/>
                <w:lang w:val="en-GB"/>
              </w:rPr>
            </w:pPr>
          </w:p>
          <w:p w14:paraId="676242F3" w14:textId="6C75B761" w:rsidR="009B553D" w:rsidRPr="0088220D" w:rsidRDefault="00D96515" w:rsidP="00913237">
            <w:pPr>
              <w:pStyle w:val="Marginlie"/>
              <w:rPr>
                <w:spacing w:val="0"/>
                <w:lang w:val="en-GB"/>
              </w:rPr>
            </w:pPr>
            <w:r>
              <w:rPr>
                <w:spacing w:val="0"/>
                <w:lang w:val="en-GB"/>
              </w:rPr>
              <w:t xml:space="preserve">Year-on-year growth of the consumer prices accelerated during the year. </w:t>
            </w:r>
          </w:p>
        </w:tc>
        <w:tc>
          <w:tcPr>
            <w:tcW w:w="224" w:type="dxa"/>
            <w:shd w:val="clear" w:color="auto" w:fill="auto"/>
            <w:tcMar>
              <w:left w:w="0" w:type="dxa"/>
            </w:tcMar>
          </w:tcPr>
          <w:p w14:paraId="3FAF5605" w14:textId="77777777" w:rsidR="009B553D" w:rsidRPr="0088220D" w:rsidRDefault="009B553D" w:rsidP="00913237">
            <w:pPr>
              <w:pStyle w:val="Textpoznpodarou1"/>
              <w:jc w:val="both"/>
              <w:rPr>
                <w:highlight w:val="yellow"/>
                <w:lang w:val="en-GB"/>
              </w:rPr>
            </w:pPr>
          </w:p>
        </w:tc>
        <w:tc>
          <w:tcPr>
            <w:tcW w:w="7610" w:type="dxa"/>
            <w:shd w:val="clear" w:color="auto" w:fill="auto"/>
            <w:tcMar>
              <w:left w:w="0" w:type="dxa"/>
            </w:tcMar>
          </w:tcPr>
          <w:p w14:paraId="4483CD51" w14:textId="7C98FFDC" w:rsidR="009B553D" w:rsidRPr="0088220D" w:rsidRDefault="00D96515" w:rsidP="00FF0989">
            <w:pPr>
              <w:rPr>
                <w:lang w:val="en-GB"/>
              </w:rPr>
            </w:pPr>
            <w:r>
              <w:rPr>
                <w:lang w:val="en-GB"/>
              </w:rPr>
              <w:t xml:space="preserve">Consumer price index increased by </w:t>
            </w:r>
            <w:r w:rsidR="009B553D" w:rsidRPr="0088220D">
              <w:rPr>
                <w:lang w:val="en-GB"/>
              </w:rPr>
              <w:t>3</w:t>
            </w:r>
            <w:r>
              <w:rPr>
                <w:lang w:val="en-GB"/>
              </w:rPr>
              <w:t>.</w:t>
            </w:r>
            <w:r w:rsidR="009B553D" w:rsidRPr="0088220D">
              <w:rPr>
                <w:lang w:val="en-GB"/>
              </w:rPr>
              <w:t>8%</w:t>
            </w:r>
            <w:r>
              <w:rPr>
                <w:lang w:val="en-GB"/>
              </w:rPr>
              <w:t xml:space="preserve"> in total compared to year 2020</w:t>
            </w:r>
            <w:r w:rsidR="009B553D" w:rsidRPr="0088220D">
              <w:rPr>
                <w:lang w:val="en-GB"/>
              </w:rPr>
              <w:t>.</w:t>
            </w:r>
            <w:r>
              <w:rPr>
                <w:lang w:val="en-GB"/>
              </w:rPr>
              <w:t xml:space="preserve"> It represented the largest increase since year </w:t>
            </w:r>
            <w:r w:rsidR="009B553D" w:rsidRPr="0088220D">
              <w:rPr>
                <w:lang w:val="en-GB"/>
              </w:rPr>
              <w:t>2008.</w:t>
            </w:r>
            <w:r>
              <w:rPr>
                <w:lang w:val="en-GB"/>
              </w:rPr>
              <w:t xml:space="preserve"> The development of prices of transportation, alcoholic beverages and tobacco and housing, water, energies and fuels (further housing and energies) contributed the most to this increase. </w:t>
            </w:r>
            <w:r w:rsidR="005E30A8">
              <w:rPr>
                <w:lang w:val="en-GB"/>
              </w:rPr>
              <w:t xml:space="preserve">The prices were however higher in nearly all divisions </w:t>
            </w:r>
            <w:r w:rsidR="008407EA">
              <w:rPr>
                <w:lang w:val="en-GB"/>
              </w:rPr>
              <w:t>o</w:t>
            </w:r>
            <w:r w:rsidR="005E30A8">
              <w:rPr>
                <w:lang w:val="en-GB"/>
              </w:rPr>
              <w:t xml:space="preserve">f the consumer basket (except for prices of post offices and telecommunication). The development of prices of clothing and </w:t>
            </w:r>
            <w:r w:rsidR="00497FD4">
              <w:rPr>
                <w:lang w:val="en-GB"/>
              </w:rPr>
              <w:t>footwear</w:t>
            </w:r>
            <w:r w:rsidR="005E30A8">
              <w:rPr>
                <w:lang w:val="en-GB"/>
              </w:rPr>
              <w:t xml:space="preserve"> or household equipment </w:t>
            </w:r>
            <w:r w:rsidR="00497FD4">
              <w:rPr>
                <w:lang w:val="en-GB"/>
              </w:rPr>
              <w:t>and appliances, which were items affected by the counter pandemic measures in retail and at the same time by disruption of the international supplier chains, were reflected in the price growth more than usually especially in Q</w:t>
            </w:r>
            <w:r w:rsidR="009B553D" w:rsidRPr="0088220D">
              <w:rPr>
                <w:lang w:val="en-GB"/>
              </w:rPr>
              <w:t>2</w:t>
            </w:r>
            <w:r w:rsidR="00497FD4">
              <w:rPr>
                <w:lang w:val="en-GB"/>
              </w:rPr>
              <w:t xml:space="preserve">. </w:t>
            </w:r>
            <w:r w:rsidR="005E30A8">
              <w:rPr>
                <w:lang w:val="en-GB"/>
              </w:rPr>
              <w:t xml:space="preserve">The growth of prices of some services also accelerated. The year-on-year growth of the consumer prices gained pace during the whole year </w:t>
            </w:r>
            <w:r w:rsidR="009B553D" w:rsidRPr="0088220D">
              <w:rPr>
                <w:lang w:val="en-GB"/>
              </w:rPr>
              <w:t>2021</w:t>
            </w:r>
            <w:r w:rsidR="005E30A8">
              <w:rPr>
                <w:lang w:val="en-GB"/>
              </w:rPr>
              <w:t xml:space="preserve"> and it reached </w:t>
            </w:r>
            <w:r w:rsidR="009B553D" w:rsidRPr="0088220D">
              <w:rPr>
                <w:lang w:val="en-GB"/>
              </w:rPr>
              <w:t>6</w:t>
            </w:r>
            <w:r w:rsidR="005E30A8">
              <w:rPr>
                <w:lang w:val="en-GB"/>
              </w:rPr>
              <w:t>.</w:t>
            </w:r>
            <w:r w:rsidR="009B553D" w:rsidRPr="0088220D">
              <w:rPr>
                <w:lang w:val="en-GB"/>
              </w:rPr>
              <w:t>1%</w:t>
            </w:r>
            <w:r w:rsidR="005E30A8">
              <w:rPr>
                <w:lang w:val="en-GB"/>
              </w:rPr>
              <w:t xml:space="preserve"> in Q4</w:t>
            </w:r>
            <w:r w:rsidR="009B553D" w:rsidRPr="0088220D">
              <w:rPr>
                <w:lang w:val="en-GB"/>
              </w:rPr>
              <w:t xml:space="preserve"> (</w:t>
            </w:r>
            <w:r w:rsidR="005E30A8">
              <w:rPr>
                <w:lang w:val="en-GB"/>
              </w:rPr>
              <w:t xml:space="preserve">the most since Q3 </w:t>
            </w:r>
            <w:r w:rsidR="009B553D" w:rsidRPr="0088220D">
              <w:rPr>
                <w:lang w:val="en-GB"/>
              </w:rPr>
              <w:t>2008).</w:t>
            </w:r>
            <w:r w:rsidR="00CF1183">
              <w:rPr>
                <w:lang w:val="en-GB"/>
              </w:rPr>
              <w:t xml:space="preserve"> Increase of prices of transportation, housing and energies and alcoholic beverages and tobacco contributed the most. Housing and transportation were also the main factors in the sharp acceleration of the total year-on-year dynamics. </w:t>
            </w:r>
            <w:r w:rsidR="001843D0">
              <w:rPr>
                <w:lang w:val="en-GB"/>
              </w:rPr>
              <w:t>The contribution of prices of clothing and footwear, recreation and culture, food and non-alcoholic beverages and food service and accommodation was however also very significant. Prices increased by 1.6% compared to Q</w:t>
            </w:r>
            <w:r w:rsidR="009B553D" w:rsidRPr="0088220D">
              <w:rPr>
                <w:lang w:val="en-GB"/>
              </w:rPr>
              <w:t>3.</w:t>
            </w:r>
          </w:p>
        </w:tc>
      </w:tr>
      <w:tr w:rsidR="009B553D" w:rsidRPr="00D75AC1" w14:paraId="52D9EA72" w14:textId="77777777" w:rsidTr="00913237">
        <w:trPr>
          <w:trHeight w:val="170"/>
        </w:trPr>
        <w:tc>
          <w:tcPr>
            <w:tcW w:w="1805" w:type="dxa"/>
            <w:vMerge w:val="restart"/>
            <w:shd w:val="clear" w:color="auto" w:fill="auto"/>
            <w:tcMar>
              <w:left w:w="0" w:type="dxa"/>
            </w:tcMar>
          </w:tcPr>
          <w:p w14:paraId="33F2D2DF" w14:textId="77777777" w:rsidR="009B553D" w:rsidRDefault="009B553D" w:rsidP="00913237">
            <w:pPr>
              <w:pStyle w:val="Marginlie"/>
              <w:rPr>
                <w:spacing w:val="0"/>
              </w:rPr>
            </w:pPr>
          </w:p>
        </w:tc>
        <w:tc>
          <w:tcPr>
            <w:tcW w:w="224" w:type="dxa"/>
            <w:vMerge w:val="restart"/>
            <w:shd w:val="clear" w:color="auto" w:fill="auto"/>
            <w:tcMar>
              <w:left w:w="0" w:type="dxa"/>
            </w:tcMar>
          </w:tcPr>
          <w:p w14:paraId="059075E7"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1207DDF0" w14:textId="0320C2D9" w:rsidR="009B553D" w:rsidRPr="00D75AC1" w:rsidRDefault="0088220D" w:rsidP="00913237">
            <w:pPr>
              <w:spacing w:after="0"/>
              <w:rPr>
                <w:b/>
                <w:szCs w:val="20"/>
              </w:rPr>
            </w:pPr>
            <w:r>
              <w:rPr>
                <w:rFonts w:cs="Arial"/>
                <w:b/>
                <w:bCs/>
                <w:color w:val="000000"/>
                <w:sz w:val="18"/>
                <w:szCs w:val="18"/>
              </w:rPr>
              <w:t xml:space="preserve">Chart </w:t>
            </w:r>
            <w:r w:rsidR="00A02E8B">
              <w:rPr>
                <w:rFonts w:cs="Arial"/>
                <w:b/>
                <w:bCs/>
                <w:color w:val="000000"/>
                <w:sz w:val="18"/>
                <w:szCs w:val="18"/>
              </w:rPr>
              <w:t>11</w:t>
            </w:r>
            <w:r w:rsidR="009B553D">
              <w:rPr>
                <w:rFonts w:cs="Arial"/>
                <w:b/>
                <w:bCs/>
                <w:color w:val="000000"/>
                <w:sz w:val="18"/>
                <w:szCs w:val="18"/>
              </w:rPr>
              <w:t xml:space="preserve"> </w:t>
            </w:r>
            <w:r w:rsidR="009B553D" w:rsidRPr="00793D78">
              <w:rPr>
                <w:rFonts w:cs="Arial"/>
                <w:b/>
                <w:bCs/>
                <w:color w:val="000000"/>
                <w:sz w:val="18"/>
                <w:szCs w:val="18"/>
              </w:rPr>
              <w:t xml:space="preserve"> </w:t>
            </w:r>
            <w:r w:rsidR="008407EA" w:rsidRPr="000A5DBC">
              <w:rPr>
                <w:rFonts w:cs="Arial"/>
                <w:b/>
                <w:bCs/>
                <w:color w:val="000000"/>
                <w:sz w:val="18"/>
                <w:szCs w:val="18"/>
                <w:lang w:val="en-GB"/>
              </w:rPr>
              <w:t xml:space="preserve">Prices in the selected divisions of the consumer price index </w:t>
            </w:r>
            <w:r w:rsidR="008407EA" w:rsidRPr="000A5DBC">
              <w:rPr>
                <w:rFonts w:cs="Arial"/>
                <w:color w:val="000000"/>
                <w:sz w:val="18"/>
                <w:szCs w:val="18"/>
                <w:lang w:val="en-GB"/>
              </w:rPr>
              <w:t>(year-on-year in %)</w:t>
            </w:r>
          </w:p>
        </w:tc>
      </w:tr>
      <w:tr w:rsidR="009B553D" w:rsidRPr="009110F7" w14:paraId="0046282E" w14:textId="77777777" w:rsidTr="00005613">
        <w:tblPrEx>
          <w:tblCellMar>
            <w:left w:w="70" w:type="dxa"/>
            <w:right w:w="70" w:type="dxa"/>
          </w:tblCellMar>
        </w:tblPrEx>
        <w:trPr>
          <w:trHeight w:val="170"/>
        </w:trPr>
        <w:tc>
          <w:tcPr>
            <w:tcW w:w="1805" w:type="dxa"/>
            <w:vMerge/>
            <w:shd w:val="clear" w:color="auto" w:fill="auto"/>
          </w:tcPr>
          <w:p w14:paraId="0D040257" w14:textId="77777777" w:rsidR="009B553D" w:rsidRPr="00793D78" w:rsidRDefault="009B553D" w:rsidP="00913237">
            <w:pPr>
              <w:pStyle w:val="Marginlie"/>
              <w:rPr>
                <w:spacing w:val="0"/>
              </w:rPr>
            </w:pPr>
          </w:p>
        </w:tc>
        <w:tc>
          <w:tcPr>
            <w:tcW w:w="224" w:type="dxa"/>
            <w:vMerge/>
            <w:shd w:val="clear" w:color="auto" w:fill="auto"/>
          </w:tcPr>
          <w:p w14:paraId="6DDA7ECC" w14:textId="77777777" w:rsidR="009B553D" w:rsidRPr="00793D78" w:rsidRDefault="009B553D" w:rsidP="00913237">
            <w:pPr>
              <w:pStyle w:val="Textpoznpodarou"/>
              <w:jc w:val="both"/>
            </w:pPr>
          </w:p>
        </w:tc>
        <w:tc>
          <w:tcPr>
            <w:tcW w:w="7610" w:type="dxa"/>
            <w:shd w:val="clear" w:color="auto" w:fill="auto"/>
          </w:tcPr>
          <w:p w14:paraId="723F44FA" w14:textId="0B1469CB" w:rsidR="009B553D" w:rsidRPr="00793D78" w:rsidRDefault="00005613" w:rsidP="00913237">
            <w:pPr>
              <w:spacing w:after="0"/>
            </w:pPr>
            <w:r>
              <w:rPr>
                <w:noProof/>
              </w:rPr>
              <w:drawing>
                <wp:inline distT="0" distB="0" distL="0" distR="0" wp14:anchorId="292B37A3" wp14:editId="1FDD608C">
                  <wp:extent cx="4737600" cy="3420000"/>
                  <wp:effectExtent l="0" t="0" r="6350" b="0"/>
                  <wp:docPr id="43" name="Graf 4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B553D" w:rsidRPr="009110F7" w14:paraId="124117F3" w14:textId="77777777" w:rsidTr="00913237">
        <w:trPr>
          <w:trHeight w:val="170"/>
        </w:trPr>
        <w:tc>
          <w:tcPr>
            <w:tcW w:w="1805" w:type="dxa"/>
            <w:vMerge/>
            <w:shd w:val="clear" w:color="auto" w:fill="auto"/>
            <w:tcMar>
              <w:left w:w="0" w:type="dxa"/>
            </w:tcMar>
          </w:tcPr>
          <w:p w14:paraId="1E801BD8" w14:textId="77777777" w:rsidR="009B553D" w:rsidRPr="00793D78" w:rsidRDefault="009B553D" w:rsidP="00913237">
            <w:pPr>
              <w:pStyle w:val="Marginlie"/>
              <w:rPr>
                <w:spacing w:val="0"/>
              </w:rPr>
            </w:pPr>
          </w:p>
        </w:tc>
        <w:tc>
          <w:tcPr>
            <w:tcW w:w="224" w:type="dxa"/>
            <w:vMerge/>
            <w:shd w:val="clear" w:color="auto" w:fill="auto"/>
            <w:tcMar>
              <w:left w:w="0" w:type="dxa"/>
            </w:tcMar>
          </w:tcPr>
          <w:p w14:paraId="33B8EA9D" w14:textId="77777777" w:rsidR="009B553D" w:rsidRPr="00793D78" w:rsidRDefault="009B553D" w:rsidP="00913237">
            <w:pPr>
              <w:pStyle w:val="Textpoznpodarou"/>
              <w:jc w:val="both"/>
            </w:pPr>
          </w:p>
        </w:tc>
        <w:tc>
          <w:tcPr>
            <w:tcW w:w="7610" w:type="dxa"/>
            <w:shd w:val="clear" w:color="auto" w:fill="auto"/>
            <w:tcMar>
              <w:left w:w="0" w:type="dxa"/>
            </w:tcMar>
          </w:tcPr>
          <w:p w14:paraId="580D534A" w14:textId="1EC7401B" w:rsidR="00EB3882" w:rsidRPr="008407EA" w:rsidRDefault="00CF1183" w:rsidP="009B0A5E">
            <w:pPr>
              <w:spacing w:after="0"/>
              <w:rPr>
                <w:b/>
                <w:bCs/>
                <w:sz w:val="16"/>
                <w:szCs w:val="16"/>
              </w:rPr>
            </w:pPr>
            <w:r>
              <w:rPr>
                <w:sz w:val="14"/>
                <w:szCs w:val="14"/>
              </w:rPr>
              <w:t>Source</w:t>
            </w:r>
            <w:r w:rsidR="009B553D" w:rsidRPr="00793D78">
              <w:rPr>
                <w:sz w:val="14"/>
                <w:szCs w:val="14"/>
              </w:rPr>
              <w:t xml:space="preserve">: </w:t>
            </w:r>
            <w:r>
              <w:rPr>
                <w:sz w:val="14"/>
                <w:szCs w:val="14"/>
              </w:rPr>
              <w:t>CZSO</w:t>
            </w:r>
          </w:p>
        </w:tc>
      </w:tr>
      <w:tr w:rsidR="009B553D" w:rsidRPr="009110F7" w14:paraId="7786A1D6" w14:textId="77777777" w:rsidTr="00913237">
        <w:trPr>
          <w:trHeight w:val="145"/>
        </w:trPr>
        <w:tc>
          <w:tcPr>
            <w:tcW w:w="1805" w:type="dxa"/>
            <w:shd w:val="clear" w:color="auto" w:fill="auto"/>
            <w:tcMar>
              <w:left w:w="0" w:type="dxa"/>
            </w:tcMar>
          </w:tcPr>
          <w:p w14:paraId="6640857D" w14:textId="256B08C1" w:rsidR="009B553D" w:rsidRPr="001843D0" w:rsidRDefault="00B10DFD" w:rsidP="00913237">
            <w:pPr>
              <w:pStyle w:val="Marginlie"/>
              <w:rPr>
                <w:spacing w:val="0"/>
                <w:lang w:val="en-GB"/>
              </w:rPr>
            </w:pPr>
            <w:r>
              <w:rPr>
                <w:spacing w:val="0"/>
                <w:lang w:val="en-GB"/>
              </w:rPr>
              <w:lastRenderedPageBreak/>
              <w:t xml:space="preserve">Especially the imputed rent stood behind the significant increase of prices of housing and energies. </w:t>
            </w:r>
          </w:p>
        </w:tc>
        <w:tc>
          <w:tcPr>
            <w:tcW w:w="224" w:type="dxa"/>
            <w:shd w:val="clear" w:color="auto" w:fill="auto"/>
            <w:tcMar>
              <w:left w:w="0" w:type="dxa"/>
            </w:tcMar>
          </w:tcPr>
          <w:p w14:paraId="544DFFCC" w14:textId="77777777" w:rsidR="009B553D" w:rsidRPr="001843D0" w:rsidRDefault="009B553D" w:rsidP="00913237">
            <w:pPr>
              <w:pStyle w:val="Textpoznpodarou1"/>
              <w:jc w:val="both"/>
              <w:rPr>
                <w:lang w:val="en-GB"/>
              </w:rPr>
            </w:pPr>
          </w:p>
        </w:tc>
        <w:tc>
          <w:tcPr>
            <w:tcW w:w="7610" w:type="dxa"/>
            <w:shd w:val="clear" w:color="auto" w:fill="auto"/>
            <w:tcMar>
              <w:left w:w="0" w:type="dxa"/>
            </w:tcMar>
          </w:tcPr>
          <w:p w14:paraId="4F5B2AD2" w14:textId="7A395B25" w:rsidR="009B553D" w:rsidRPr="001843D0" w:rsidRDefault="00B10DFD" w:rsidP="00683EB8">
            <w:pPr>
              <w:rPr>
                <w:lang w:val="en-GB"/>
              </w:rPr>
            </w:pPr>
            <w:r>
              <w:rPr>
                <w:lang w:val="en-GB"/>
              </w:rPr>
              <w:t xml:space="preserve">Prices of housing and energies increased by </w:t>
            </w:r>
            <w:r w:rsidR="009B553D" w:rsidRPr="001843D0">
              <w:rPr>
                <w:lang w:val="en-GB"/>
              </w:rPr>
              <w:t>2</w:t>
            </w:r>
            <w:r>
              <w:rPr>
                <w:lang w:val="en-GB"/>
              </w:rPr>
              <w:t>.</w:t>
            </w:r>
            <w:r w:rsidR="009B553D" w:rsidRPr="001843D0">
              <w:rPr>
                <w:lang w:val="en-GB"/>
              </w:rPr>
              <w:t>8%</w:t>
            </w:r>
            <w:r>
              <w:rPr>
                <w:lang w:val="en-GB"/>
              </w:rPr>
              <w:t xml:space="preserve"> in year 2021</w:t>
            </w:r>
            <w:r w:rsidR="009B553D" w:rsidRPr="001843D0">
              <w:rPr>
                <w:lang w:val="en-GB"/>
              </w:rPr>
              <w:t xml:space="preserve">. </w:t>
            </w:r>
            <w:r w:rsidR="00E371BE">
              <w:rPr>
                <w:lang w:val="en-GB"/>
              </w:rPr>
              <w:t>Items of imputed rent</w:t>
            </w:r>
            <w:r w:rsidR="00683EB8">
              <w:rPr>
                <w:lang w:val="en-GB"/>
              </w:rPr>
              <w:t>al</w:t>
            </w:r>
            <w:r w:rsidR="00E371BE">
              <w:rPr>
                <w:lang w:val="en-GB"/>
              </w:rPr>
              <w:t>s</w:t>
            </w:r>
            <w:r w:rsidR="009B553D" w:rsidRPr="001843D0">
              <w:rPr>
                <w:rStyle w:val="Znakapoznpodarou"/>
                <w:lang w:val="en-GB"/>
              </w:rPr>
              <w:footnoteReference w:id="50"/>
            </w:r>
            <w:r w:rsidR="009B553D" w:rsidRPr="001843D0">
              <w:rPr>
                <w:lang w:val="en-GB"/>
              </w:rPr>
              <w:t xml:space="preserve"> (7</w:t>
            </w:r>
            <w:r w:rsidR="00E371BE">
              <w:rPr>
                <w:lang w:val="en-GB"/>
              </w:rPr>
              <w:t>.</w:t>
            </w:r>
            <w:r w:rsidR="009B553D" w:rsidRPr="001843D0">
              <w:rPr>
                <w:lang w:val="en-GB"/>
              </w:rPr>
              <w:t xml:space="preserve">0%), </w:t>
            </w:r>
            <w:r w:rsidR="00E371BE">
              <w:rPr>
                <w:lang w:val="en-GB"/>
              </w:rPr>
              <w:t xml:space="preserve">prices of common maintenance and small repairs </w:t>
            </w:r>
            <w:r w:rsidR="009B553D" w:rsidRPr="001843D0">
              <w:rPr>
                <w:lang w:val="en-GB"/>
              </w:rPr>
              <w:t>(5</w:t>
            </w:r>
            <w:r w:rsidR="00E371BE">
              <w:rPr>
                <w:lang w:val="en-GB"/>
              </w:rPr>
              <w:t>.</w:t>
            </w:r>
            <w:r w:rsidR="009B553D" w:rsidRPr="001843D0">
              <w:rPr>
                <w:lang w:val="en-GB"/>
              </w:rPr>
              <w:t>6%)</w:t>
            </w:r>
            <w:r w:rsidR="00E371BE">
              <w:rPr>
                <w:lang w:val="en-GB"/>
              </w:rPr>
              <w:t xml:space="preserve"> and other services associated with housing </w:t>
            </w:r>
            <w:r w:rsidR="009B553D" w:rsidRPr="001843D0">
              <w:rPr>
                <w:lang w:val="en-GB"/>
              </w:rPr>
              <w:t>(4</w:t>
            </w:r>
            <w:r w:rsidR="00E371BE">
              <w:rPr>
                <w:lang w:val="en-GB"/>
              </w:rPr>
              <w:t>.</w:t>
            </w:r>
            <w:r w:rsidR="009B553D" w:rsidRPr="001843D0">
              <w:rPr>
                <w:lang w:val="en-GB"/>
              </w:rPr>
              <w:t>0%)</w:t>
            </w:r>
            <w:r>
              <w:rPr>
                <w:lang w:val="en-GB"/>
              </w:rPr>
              <w:t xml:space="preserve"> grew the most</w:t>
            </w:r>
            <w:r w:rsidR="009B553D" w:rsidRPr="001843D0">
              <w:rPr>
                <w:lang w:val="en-GB"/>
              </w:rPr>
              <w:t>.</w:t>
            </w:r>
            <w:r w:rsidR="00E371BE">
              <w:rPr>
                <w:lang w:val="en-GB"/>
              </w:rPr>
              <w:t xml:space="preserve"> Then rent</w:t>
            </w:r>
            <w:r w:rsidR="00683EB8">
              <w:rPr>
                <w:lang w:val="en-GB"/>
              </w:rPr>
              <w:t>al</w:t>
            </w:r>
            <w:r w:rsidR="00E371BE">
              <w:rPr>
                <w:lang w:val="en-GB"/>
              </w:rPr>
              <w:t xml:space="preserve">s </w:t>
            </w:r>
            <w:r w:rsidR="00683EB8">
              <w:rPr>
                <w:lang w:val="en-GB"/>
              </w:rPr>
              <w:t>paid for the flat</w:t>
            </w:r>
            <w:r w:rsidR="00E371BE">
              <w:rPr>
                <w:lang w:val="en-GB"/>
              </w:rPr>
              <w:t xml:space="preserve"> </w:t>
            </w:r>
            <w:proofErr w:type="gramStart"/>
            <w:r w:rsidR="00E371BE">
              <w:rPr>
                <w:lang w:val="en-GB"/>
              </w:rPr>
              <w:t>were raised</w:t>
            </w:r>
            <w:proofErr w:type="gramEnd"/>
            <w:r w:rsidR="00E371BE">
              <w:rPr>
                <w:lang w:val="en-GB"/>
              </w:rPr>
              <w:t xml:space="preserve"> by </w:t>
            </w:r>
            <w:r w:rsidR="009B553D" w:rsidRPr="001843D0">
              <w:rPr>
                <w:lang w:val="en-GB"/>
              </w:rPr>
              <w:t>2</w:t>
            </w:r>
            <w:r w:rsidR="00E371BE">
              <w:rPr>
                <w:lang w:val="en-GB"/>
              </w:rPr>
              <w:t>.</w:t>
            </w:r>
            <w:r w:rsidR="009B553D" w:rsidRPr="001843D0">
              <w:rPr>
                <w:lang w:val="en-GB"/>
              </w:rPr>
              <w:t>4%</w:t>
            </w:r>
            <w:r w:rsidR="00E371BE">
              <w:rPr>
                <w:lang w:val="en-GB"/>
              </w:rPr>
              <w:t xml:space="preserve"> last year</w:t>
            </w:r>
            <w:r w:rsidR="009B553D" w:rsidRPr="001843D0">
              <w:rPr>
                <w:lang w:val="en-GB"/>
              </w:rPr>
              <w:t xml:space="preserve">. </w:t>
            </w:r>
            <w:r w:rsidR="00E371BE">
              <w:rPr>
                <w:lang w:val="en-GB"/>
              </w:rPr>
              <w:t xml:space="preserve">By contrast the prices of electricity, gas and fuels dropped by </w:t>
            </w:r>
            <w:r w:rsidR="009B553D" w:rsidRPr="001843D0">
              <w:rPr>
                <w:lang w:val="en-GB"/>
              </w:rPr>
              <w:t>3</w:t>
            </w:r>
            <w:r w:rsidR="00E371BE">
              <w:rPr>
                <w:lang w:val="en-GB"/>
              </w:rPr>
              <w:t>.</w:t>
            </w:r>
            <w:r w:rsidR="009B553D" w:rsidRPr="001843D0">
              <w:rPr>
                <w:lang w:val="en-GB"/>
              </w:rPr>
              <w:t>2%</w:t>
            </w:r>
            <w:r w:rsidR="00E371BE">
              <w:rPr>
                <w:lang w:val="en-GB"/>
              </w:rPr>
              <w:t xml:space="preserve"> last year</w:t>
            </w:r>
            <w:r w:rsidR="009B553D" w:rsidRPr="001843D0">
              <w:rPr>
                <w:lang w:val="en-GB"/>
              </w:rPr>
              <w:t>.</w:t>
            </w:r>
            <w:r w:rsidR="00E371BE">
              <w:rPr>
                <w:lang w:val="en-GB"/>
              </w:rPr>
              <w:t xml:space="preserve"> </w:t>
            </w:r>
            <w:r w:rsidR="00757A01">
              <w:rPr>
                <w:lang w:val="en-GB"/>
              </w:rPr>
              <w:t xml:space="preserve">This was partially also assisted by the temporary waiver of VAT on energies, which was put in place towards the end of the year as a reaction on the sharp </w:t>
            </w:r>
            <w:r w:rsidR="008E3174">
              <w:rPr>
                <w:lang w:val="en-GB"/>
              </w:rPr>
              <w:t>hike of prices of electricity on the world markets. In Q</w:t>
            </w:r>
            <w:r w:rsidR="009B553D" w:rsidRPr="001843D0">
              <w:rPr>
                <w:lang w:val="en-GB"/>
              </w:rPr>
              <w:t>4</w:t>
            </w:r>
            <w:r w:rsidR="008E3174">
              <w:rPr>
                <w:lang w:val="en-GB"/>
              </w:rPr>
              <w:t xml:space="preserve"> itself, the prices of housing and energies increased by </w:t>
            </w:r>
            <w:r w:rsidR="009B553D" w:rsidRPr="001843D0">
              <w:rPr>
                <w:lang w:val="en-GB"/>
              </w:rPr>
              <w:t>5</w:t>
            </w:r>
            <w:r w:rsidR="008E3174">
              <w:rPr>
                <w:lang w:val="en-GB"/>
              </w:rPr>
              <w:t>.</w:t>
            </w:r>
            <w:r w:rsidR="009B553D" w:rsidRPr="001843D0">
              <w:rPr>
                <w:lang w:val="en-GB"/>
              </w:rPr>
              <w:t>6%</w:t>
            </w:r>
            <w:r w:rsidR="008E3174">
              <w:rPr>
                <w:lang w:val="en-GB"/>
              </w:rPr>
              <w:t xml:space="preserve"> year-on-year and their growth swiftly accelerated compared to the preceding quarter. </w:t>
            </w:r>
            <w:r w:rsidR="00050CD8">
              <w:rPr>
                <w:lang w:val="en-GB"/>
              </w:rPr>
              <w:t>It mainly resulted from the sharp rise of imputed rent</w:t>
            </w:r>
            <w:r w:rsidR="00683EB8">
              <w:rPr>
                <w:lang w:val="en-GB"/>
              </w:rPr>
              <w:t>als</w:t>
            </w:r>
            <w:r w:rsidR="00050CD8">
              <w:rPr>
                <w:lang w:val="en-GB"/>
              </w:rPr>
              <w:t xml:space="preserve"> </w:t>
            </w:r>
            <w:r w:rsidR="009B553D" w:rsidRPr="001843D0">
              <w:rPr>
                <w:lang w:val="en-GB"/>
              </w:rPr>
              <w:t>(13</w:t>
            </w:r>
            <w:r w:rsidR="00050CD8">
              <w:rPr>
                <w:lang w:val="en-GB"/>
              </w:rPr>
              <w:t>.</w:t>
            </w:r>
            <w:r w:rsidR="009B553D" w:rsidRPr="001843D0">
              <w:rPr>
                <w:lang w:val="en-GB"/>
              </w:rPr>
              <w:t>9%).</w:t>
            </w:r>
            <w:r w:rsidR="00050CD8">
              <w:rPr>
                <w:lang w:val="en-GB"/>
              </w:rPr>
              <w:t xml:space="preserve"> Prices of common maintenance and repairs were by </w:t>
            </w:r>
            <w:r w:rsidR="009B553D" w:rsidRPr="001843D0">
              <w:rPr>
                <w:lang w:val="en-GB"/>
              </w:rPr>
              <w:t>9</w:t>
            </w:r>
            <w:r w:rsidR="00050CD8">
              <w:rPr>
                <w:lang w:val="en-GB"/>
              </w:rPr>
              <w:t>.</w:t>
            </w:r>
            <w:r w:rsidR="009B553D" w:rsidRPr="001843D0">
              <w:rPr>
                <w:lang w:val="en-GB"/>
              </w:rPr>
              <w:t>6%</w:t>
            </w:r>
            <w:r w:rsidR="00050CD8">
              <w:rPr>
                <w:lang w:val="en-GB"/>
              </w:rPr>
              <w:t xml:space="preserve"> higher</w:t>
            </w:r>
            <w:r w:rsidR="009B553D" w:rsidRPr="001843D0">
              <w:rPr>
                <w:lang w:val="en-GB"/>
              </w:rPr>
              <w:t>,</w:t>
            </w:r>
            <w:r w:rsidR="00050CD8">
              <w:rPr>
                <w:lang w:val="en-GB"/>
              </w:rPr>
              <w:t xml:space="preserve"> other services associated with housing by </w:t>
            </w:r>
            <w:r w:rsidR="009B553D" w:rsidRPr="001843D0">
              <w:rPr>
                <w:lang w:val="en-GB"/>
              </w:rPr>
              <w:t>4</w:t>
            </w:r>
            <w:r w:rsidR="00050CD8">
              <w:rPr>
                <w:lang w:val="en-GB"/>
              </w:rPr>
              <w:t>.</w:t>
            </w:r>
            <w:r w:rsidR="009B553D" w:rsidRPr="001843D0">
              <w:rPr>
                <w:lang w:val="en-GB"/>
              </w:rPr>
              <w:t>7% a</w:t>
            </w:r>
            <w:r w:rsidR="00050CD8">
              <w:rPr>
                <w:lang w:val="en-GB"/>
              </w:rPr>
              <w:t>nd rent</w:t>
            </w:r>
            <w:r w:rsidR="00683EB8">
              <w:rPr>
                <w:lang w:val="en-GB"/>
              </w:rPr>
              <w:t>al</w:t>
            </w:r>
            <w:r w:rsidR="00050CD8">
              <w:rPr>
                <w:lang w:val="en-GB"/>
              </w:rPr>
              <w:t xml:space="preserve">s </w:t>
            </w:r>
            <w:r w:rsidR="00683EB8">
              <w:rPr>
                <w:lang w:val="en-GB"/>
              </w:rPr>
              <w:t>paid for the flat</w:t>
            </w:r>
            <w:r w:rsidR="00050CD8">
              <w:rPr>
                <w:lang w:val="en-GB"/>
              </w:rPr>
              <w:t xml:space="preserve"> by </w:t>
            </w:r>
            <w:r w:rsidR="009B553D" w:rsidRPr="001843D0">
              <w:rPr>
                <w:lang w:val="en-GB"/>
              </w:rPr>
              <w:t>3</w:t>
            </w:r>
            <w:r w:rsidR="00050CD8">
              <w:rPr>
                <w:lang w:val="en-GB"/>
              </w:rPr>
              <w:t>.</w:t>
            </w:r>
            <w:r w:rsidR="009B553D" w:rsidRPr="001843D0">
              <w:rPr>
                <w:lang w:val="en-GB"/>
              </w:rPr>
              <w:t xml:space="preserve">7%. </w:t>
            </w:r>
            <w:r w:rsidR="00050CD8">
              <w:rPr>
                <w:lang w:val="en-GB"/>
              </w:rPr>
              <w:t xml:space="preserve">Prices of electricity, gas and fuels decreased by </w:t>
            </w:r>
            <w:r w:rsidR="009B553D" w:rsidRPr="001843D0">
              <w:rPr>
                <w:lang w:val="en-GB"/>
              </w:rPr>
              <w:t>4</w:t>
            </w:r>
            <w:r w:rsidR="00050CD8">
              <w:rPr>
                <w:lang w:val="en-GB"/>
              </w:rPr>
              <w:t>.</w:t>
            </w:r>
            <w:r w:rsidR="009B553D" w:rsidRPr="001843D0">
              <w:rPr>
                <w:lang w:val="en-GB"/>
              </w:rPr>
              <w:t>9%</w:t>
            </w:r>
            <w:r w:rsidR="00050CD8">
              <w:rPr>
                <w:lang w:val="en-GB"/>
              </w:rPr>
              <w:t xml:space="preserve"> year-on-year in Q4 and their decrease deepened thanks to the </w:t>
            </w:r>
            <w:proofErr w:type="gramStart"/>
            <w:r w:rsidR="00050CD8">
              <w:rPr>
                <w:lang w:val="en-GB"/>
              </w:rPr>
              <w:t>above mentioned</w:t>
            </w:r>
            <w:proofErr w:type="gramEnd"/>
            <w:r w:rsidR="00050CD8">
              <w:rPr>
                <w:lang w:val="en-GB"/>
              </w:rPr>
              <w:t xml:space="preserve"> VAT waiver. </w:t>
            </w:r>
          </w:p>
        </w:tc>
      </w:tr>
      <w:tr w:rsidR="009B553D" w:rsidRPr="009110F7" w14:paraId="32ACFA0D" w14:textId="77777777" w:rsidTr="00913237">
        <w:trPr>
          <w:trHeight w:val="145"/>
        </w:trPr>
        <w:tc>
          <w:tcPr>
            <w:tcW w:w="1805" w:type="dxa"/>
            <w:shd w:val="clear" w:color="auto" w:fill="auto"/>
            <w:tcMar>
              <w:left w:w="0" w:type="dxa"/>
            </w:tcMar>
          </w:tcPr>
          <w:p w14:paraId="02FB8FFF" w14:textId="161E4697" w:rsidR="009B553D" w:rsidRPr="00B10DFD" w:rsidRDefault="00B10DFD" w:rsidP="00913237">
            <w:pPr>
              <w:pStyle w:val="Marginlie"/>
              <w:rPr>
                <w:spacing w:val="0"/>
                <w:lang w:val="en-GB"/>
              </w:rPr>
            </w:pPr>
            <w:r>
              <w:rPr>
                <w:spacing w:val="0"/>
                <w:lang w:val="en-GB"/>
              </w:rPr>
              <w:t xml:space="preserve">Prices of purchases </w:t>
            </w:r>
            <w:r w:rsidR="00864FA4">
              <w:rPr>
                <w:spacing w:val="0"/>
                <w:lang w:val="en-GB"/>
              </w:rPr>
              <w:t>o</w:t>
            </w:r>
            <w:r>
              <w:rPr>
                <w:spacing w:val="0"/>
                <w:lang w:val="en-GB"/>
              </w:rPr>
              <w:t xml:space="preserve">f transportation equipment as well as the cost of their operation grew strongly. </w:t>
            </w:r>
          </w:p>
        </w:tc>
        <w:tc>
          <w:tcPr>
            <w:tcW w:w="224" w:type="dxa"/>
            <w:shd w:val="clear" w:color="auto" w:fill="auto"/>
            <w:tcMar>
              <w:left w:w="0" w:type="dxa"/>
            </w:tcMar>
          </w:tcPr>
          <w:p w14:paraId="07CFE9DB" w14:textId="77777777" w:rsidR="009B553D" w:rsidRPr="00EB06EF" w:rsidRDefault="009B553D" w:rsidP="00913237">
            <w:pPr>
              <w:pStyle w:val="Textpoznpodarou1"/>
              <w:jc w:val="both"/>
            </w:pPr>
          </w:p>
        </w:tc>
        <w:tc>
          <w:tcPr>
            <w:tcW w:w="7610" w:type="dxa"/>
            <w:shd w:val="clear" w:color="auto" w:fill="auto"/>
            <w:tcMar>
              <w:left w:w="0" w:type="dxa"/>
            </w:tcMar>
          </w:tcPr>
          <w:p w14:paraId="4E4B1D39" w14:textId="08200E7B" w:rsidR="009B553D" w:rsidRPr="00050CD8" w:rsidRDefault="008C1537" w:rsidP="000743F9">
            <w:pPr>
              <w:rPr>
                <w:lang w:val="en-GB"/>
              </w:rPr>
            </w:pPr>
            <w:r>
              <w:rPr>
                <w:lang w:val="en-GB"/>
              </w:rPr>
              <w:t xml:space="preserve">Prices of transport increased by </w:t>
            </w:r>
            <w:r w:rsidR="009B553D" w:rsidRPr="00050CD8">
              <w:rPr>
                <w:lang w:val="en-GB"/>
              </w:rPr>
              <w:t>8</w:t>
            </w:r>
            <w:r>
              <w:rPr>
                <w:lang w:val="en-GB"/>
              </w:rPr>
              <w:t>.</w:t>
            </w:r>
            <w:r w:rsidR="009B553D" w:rsidRPr="00050CD8">
              <w:rPr>
                <w:lang w:val="en-GB"/>
              </w:rPr>
              <w:t>4%</w:t>
            </w:r>
            <w:r>
              <w:rPr>
                <w:lang w:val="en-GB"/>
              </w:rPr>
              <w:t xml:space="preserve"> in total in year 2021</w:t>
            </w:r>
            <w:r w:rsidR="009B553D" w:rsidRPr="00050CD8">
              <w:rPr>
                <w:lang w:val="en-GB"/>
              </w:rPr>
              <w:t>.</w:t>
            </w:r>
            <w:r w:rsidR="00E21E9A">
              <w:rPr>
                <w:lang w:val="en-GB"/>
              </w:rPr>
              <w:t xml:space="preserve"> Strong growth of cost of </w:t>
            </w:r>
            <w:r w:rsidR="00176D0A">
              <w:rPr>
                <w:lang w:val="en-GB"/>
              </w:rPr>
              <w:t xml:space="preserve">operating a personal transport </w:t>
            </w:r>
            <w:r w:rsidR="000743F9">
              <w:rPr>
                <w:lang w:val="en-GB"/>
              </w:rPr>
              <w:t>equipment</w:t>
            </w:r>
            <w:r w:rsidR="00176D0A">
              <w:rPr>
                <w:lang w:val="en-GB"/>
              </w:rPr>
              <w:t xml:space="preserve"> </w:t>
            </w:r>
            <w:r w:rsidR="009B553D" w:rsidRPr="00050CD8">
              <w:rPr>
                <w:lang w:val="en-GB"/>
              </w:rPr>
              <w:t>(11</w:t>
            </w:r>
            <w:r w:rsidR="00176D0A">
              <w:rPr>
                <w:lang w:val="en-GB"/>
              </w:rPr>
              <w:t>.</w:t>
            </w:r>
            <w:r w:rsidR="009B553D" w:rsidRPr="00050CD8">
              <w:rPr>
                <w:lang w:val="en-GB"/>
              </w:rPr>
              <w:t>2%)</w:t>
            </w:r>
            <w:r w:rsidR="00176D0A">
              <w:rPr>
                <w:lang w:val="en-GB"/>
              </w:rPr>
              <w:t xml:space="preserve"> contributed the most</w:t>
            </w:r>
            <w:r w:rsidR="009B553D" w:rsidRPr="00050CD8">
              <w:rPr>
                <w:lang w:val="en-GB"/>
              </w:rPr>
              <w:t xml:space="preserve">, </w:t>
            </w:r>
            <w:r w:rsidR="00176D0A">
              <w:rPr>
                <w:lang w:val="en-GB"/>
              </w:rPr>
              <w:t xml:space="preserve">reflecting </w:t>
            </w:r>
            <w:r w:rsidR="00E21E9A">
              <w:rPr>
                <w:lang w:val="en-GB"/>
              </w:rPr>
              <w:t xml:space="preserve">the high jump of oil prices. </w:t>
            </w:r>
            <w:r w:rsidR="00A90335">
              <w:rPr>
                <w:lang w:val="en-GB"/>
              </w:rPr>
              <w:t xml:space="preserve">Prices of </w:t>
            </w:r>
            <w:r w:rsidR="000743F9">
              <w:rPr>
                <w:lang w:val="en-GB"/>
              </w:rPr>
              <w:t>purchase of vehicles</w:t>
            </w:r>
            <w:r w:rsidR="00A90335">
              <w:rPr>
                <w:lang w:val="en-GB"/>
              </w:rPr>
              <w:t xml:space="preserve"> </w:t>
            </w:r>
            <w:r w:rsidR="009B553D" w:rsidRPr="00050CD8">
              <w:rPr>
                <w:lang w:val="en-GB"/>
              </w:rPr>
              <w:t>(7</w:t>
            </w:r>
            <w:r w:rsidR="00864FA4">
              <w:rPr>
                <w:lang w:val="en-GB"/>
              </w:rPr>
              <w:t>.</w:t>
            </w:r>
            <w:r w:rsidR="009B553D" w:rsidRPr="00050CD8">
              <w:rPr>
                <w:lang w:val="en-GB"/>
              </w:rPr>
              <w:t>5%)</w:t>
            </w:r>
            <w:r w:rsidR="00A90335">
              <w:rPr>
                <w:lang w:val="en-GB"/>
              </w:rPr>
              <w:t xml:space="preserve"> rose also significantly</w:t>
            </w:r>
            <w:r w:rsidR="009B553D" w:rsidRPr="00050CD8">
              <w:rPr>
                <w:lang w:val="en-GB"/>
              </w:rPr>
              <w:t xml:space="preserve">. </w:t>
            </w:r>
            <w:r w:rsidR="00A90335">
              <w:rPr>
                <w:lang w:val="en-GB"/>
              </w:rPr>
              <w:t xml:space="preserve">Their year-on-year increases accelerated already in year </w:t>
            </w:r>
            <w:r w:rsidR="009B553D" w:rsidRPr="00050CD8">
              <w:rPr>
                <w:lang w:val="en-GB"/>
              </w:rPr>
              <w:t>2020,</w:t>
            </w:r>
            <w:r w:rsidR="00A90335">
              <w:rPr>
                <w:lang w:val="en-GB"/>
              </w:rPr>
              <w:t xml:space="preserve"> when the temporary suspension of foreign trade and industry occurred </w:t>
            </w:r>
            <w:proofErr w:type="gramStart"/>
            <w:r w:rsidR="00A90335">
              <w:rPr>
                <w:lang w:val="en-GB"/>
              </w:rPr>
              <w:t>and also</w:t>
            </w:r>
            <w:proofErr w:type="gramEnd"/>
            <w:r w:rsidR="00A90335">
              <w:rPr>
                <w:lang w:val="en-GB"/>
              </w:rPr>
              <w:t xml:space="preserve"> the weakening of the foreign exchange specifically in the Czech case, which raised the prices of import.</w:t>
            </w:r>
            <w:r w:rsidR="00D81E79">
              <w:rPr>
                <w:lang w:val="en-GB"/>
              </w:rPr>
              <w:t xml:space="preserve"> Difficulties with shortage of components further deepened in the motor vehicle manufacturing and logistics last year, which pushed the prices of transportation equipment further up</w:t>
            </w:r>
            <w:r w:rsidR="009B553D" w:rsidRPr="00050CD8">
              <w:rPr>
                <w:lang w:val="en-GB"/>
              </w:rPr>
              <w:t xml:space="preserve">. </w:t>
            </w:r>
            <w:r w:rsidR="00D81E79">
              <w:rPr>
                <w:lang w:val="en-GB"/>
              </w:rPr>
              <w:t xml:space="preserve">Prices of transport services rose by </w:t>
            </w:r>
            <w:r w:rsidR="009B553D" w:rsidRPr="00050CD8">
              <w:rPr>
                <w:lang w:val="en-GB"/>
              </w:rPr>
              <w:t>2</w:t>
            </w:r>
            <w:r w:rsidR="00D81E79">
              <w:rPr>
                <w:lang w:val="en-GB"/>
              </w:rPr>
              <w:t>.</w:t>
            </w:r>
            <w:r w:rsidR="009B553D" w:rsidRPr="00050CD8">
              <w:rPr>
                <w:lang w:val="en-GB"/>
              </w:rPr>
              <w:t>4%</w:t>
            </w:r>
            <w:r w:rsidR="00D81E79">
              <w:rPr>
                <w:lang w:val="en-GB"/>
              </w:rPr>
              <w:t xml:space="preserve"> last year</w:t>
            </w:r>
            <w:r w:rsidR="009B553D" w:rsidRPr="00050CD8">
              <w:rPr>
                <w:lang w:val="en-GB"/>
              </w:rPr>
              <w:t>.</w:t>
            </w:r>
            <w:r w:rsidR="00D81E79">
              <w:rPr>
                <w:lang w:val="en-GB"/>
              </w:rPr>
              <w:t xml:space="preserve"> The year-on-year growth of prices of transport sharply accelerated towards the end of the year and it attained 13.1% in Q</w:t>
            </w:r>
            <w:r w:rsidR="009B553D" w:rsidRPr="00050CD8">
              <w:rPr>
                <w:lang w:val="en-GB"/>
              </w:rPr>
              <w:t>4.</w:t>
            </w:r>
            <w:r w:rsidR="00D81E79">
              <w:rPr>
                <w:lang w:val="en-GB"/>
              </w:rPr>
              <w:t xml:space="preserve"> </w:t>
            </w:r>
            <w:r w:rsidR="00F56700">
              <w:rPr>
                <w:lang w:val="en-GB"/>
              </w:rPr>
              <w:t>At the same time, the cost of operati</w:t>
            </w:r>
            <w:r w:rsidR="00F34AF4">
              <w:rPr>
                <w:lang w:val="en-GB"/>
              </w:rPr>
              <w:t>ng</w:t>
            </w:r>
            <w:r w:rsidR="00F56700">
              <w:rPr>
                <w:lang w:val="en-GB"/>
              </w:rPr>
              <w:t xml:space="preserve"> the </w:t>
            </w:r>
            <w:r w:rsidR="000743F9">
              <w:rPr>
                <w:lang w:val="en-GB"/>
              </w:rPr>
              <w:t xml:space="preserve">personal </w:t>
            </w:r>
            <w:r w:rsidR="00F56700">
              <w:rPr>
                <w:lang w:val="en-GB"/>
              </w:rPr>
              <w:t xml:space="preserve">transport </w:t>
            </w:r>
            <w:r w:rsidR="000743F9">
              <w:rPr>
                <w:lang w:val="en-GB"/>
              </w:rPr>
              <w:t>equipment</w:t>
            </w:r>
            <w:r w:rsidR="00F56700">
              <w:rPr>
                <w:lang w:val="en-GB"/>
              </w:rPr>
              <w:t xml:space="preserve"> were by 20.9% higher in Q4 and prices of </w:t>
            </w:r>
            <w:r w:rsidR="000743F9">
              <w:rPr>
                <w:lang w:val="en-GB"/>
              </w:rPr>
              <w:t xml:space="preserve">purchase of vehicles </w:t>
            </w:r>
            <w:r w:rsidR="00F56700">
              <w:rPr>
                <w:lang w:val="en-GB"/>
              </w:rPr>
              <w:t xml:space="preserve">grew by </w:t>
            </w:r>
            <w:r w:rsidR="009B553D" w:rsidRPr="00050CD8">
              <w:rPr>
                <w:lang w:val="en-GB"/>
              </w:rPr>
              <w:t>8</w:t>
            </w:r>
            <w:r w:rsidR="00F56700">
              <w:rPr>
                <w:lang w:val="en-GB"/>
              </w:rPr>
              <w:t>.</w:t>
            </w:r>
            <w:r w:rsidR="009B553D" w:rsidRPr="00050CD8">
              <w:rPr>
                <w:lang w:val="en-GB"/>
              </w:rPr>
              <w:t>2%.</w:t>
            </w:r>
            <w:r w:rsidR="00F56700">
              <w:rPr>
                <w:lang w:val="en-GB"/>
              </w:rPr>
              <w:t xml:space="preserve"> Prices of transport services expanded by </w:t>
            </w:r>
            <w:r w:rsidR="009B553D" w:rsidRPr="00050CD8">
              <w:rPr>
                <w:lang w:val="en-GB"/>
              </w:rPr>
              <w:t>5</w:t>
            </w:r>
            <w:r w:rsidR="00F56700">
              <w:rPr>
                <w:lang w:val="en-GB"/>
              </w:rPr>
              <w:t>.</w:t>
            </w:r>
            <w:r w:rsidR="009B553D" w:rsidRPr="00050CD8">
              <w:rPr>
                <w:lang w:val="en-GB"/>
              </w:rPr>
              <w:t>2%.</w:t>
            </w:r>
          </w:p>
        </w:tc>
      </w:tr>
      <w:tr w:rsidR="009B553D" w:rsidRPr="009110F7" w14:paraId="2B71579F" w14:textId="77777777" w:rsidTr="00913237">
        <w:trPr>
          <w:trHeight w:val="145"/>
        </w:trPr>
        <w:tc>
          <w:tcPr>
            <w:tcW w:w="1805" w:type="dxa"/>
            <w:shd w:val="clear" w:color="auto" w:fill="auto"/>
            <w:tcMar>
              <w:left w:w="0" w:type="dxa"/>
            </w:tcMar>
          </w:tcPr>
          <w:p w14:paraId="310193EC" w14:textId="402EB45D" w:rsidR="009B553D" w:rsidRPr="00E21E9A" w:rsidRDefault="00EF072A" w:rsidP="00913237">
            <w:pPr>
              <w:pStyle w:val="Marginlie"/>
              <w:rPr>
                <w:spacing w:val="0"/>
                <w:lang w:val="en-GB"/>
              </w:rPr>
            </w:pPr>
            <w:r>
              <w:rPr>
                <w:spacing w:val="0"/>
                <w:lang w:val="en-GB"/>
              </w:rPr>
              <w:t xml:space="preserve">Prices of tobacco further maintained a strong growth. </w:t>
            </w:r>
          </w:p>
        </w:tc>
        <w:tc>
          <w:tcPr>
            <w:tcW w:w="224" w:type="dxa"/>
            <w:shd w:val="clear" w:color="auto" w:fill="auto"/>
            <w:tcMar>
              <w:left w:w="0" w:type="dxa"/>
            </w:tcMar>
          </w:tcPr>
          <w:p w14:paraId="24949E5A" w14:textId="77777777" w:rsidR="009B553D" w:rsidRPr="00E21E9A" w:rsidRDefault="009B553D" w:rsidP="00913237">
            <w:pPr>
              <w:pStyle w:val="Textpoznpodarou1"/>
              <w:jc w:val="both"/>
              <w:rPr>
                <w:lang w:val="en-GB"/>
              </w:rPr>
            </w:pPr>
          </w:p>
        </w:tc>
        <w:tc>
          <w:tcPr>
            <w:tcW w:w="7610" w:type="dxa"/>
            <w:shd w:val="clear" w:color="auto" w:fill="auto"/>
            <w:tcMar>
              <w:left w:w="0" w:type="dxa"/>
            </w:tcMar>
          </w:tcPr>
          <w:p w14:paraId="748B9F76" w14:textId="04034DF4" w:rsidR="009B553D" w:rsidRPr="00E21E9A" w:rsidRDefault="00963D65" w:rsidP="000743F9">
            <w:pPr>
              <w:rPr>
                <w:lang w:val="en-GB"/>
              </w:rPr>
            </w:pPr>
            <w:r>
              <w:rPr>
                <w:lang w:val="en-GB"/>
              </w:rPr>
              <w:t xml:space="preserve">Prices of alcoholic beverages and tobacco were by 8.4% higher last year. The majority of this increase </w:t>
            </w:r>
            <w:proofErr w:type="gramStart"/>
            <w:r>
              <w:rPr>
                <w:lang w:val="en-GB"/>
              </w:rPr>
              <w:t>was ascribed</w:t>
            </w:r>
            <w:proofErr w:type="gramEnd"/>
            <w:r>
              <w:rPr>
                <w:lang w:val="en-GB"/>
              </w:rPr>
              <w:t xml:space="preserve"> to the prices of tobacco </w:t>
            </w:r>
            <w:r w:rsidR="009B553D" w:rsidRPr="00E21E9A">
              <w:rPr>
                <w:lang w:val="en-GB"/>
              </w:rPr>
              <w:t>(13</w:t>
            </w:r>
            <w:r>
              <w:rPr>
                <w:lang w:val="en-GB"/>
              </w:rPr>
              <w:t>.</w:t>
            </w:r>
            <w:r w:rsidR="009B553D" w:rsidRPr="00E21E9A">
              <w:rPr>
                <w:lang w:val="en-GB"/>
              </w:rPr>
              <w:t>1%),</w:t>
            </w:r>
            <w:r>
              <w:rPr>
                <w:lang w:val="en-GB"/>
              </w:rPr>
              <w:t xml:space="preserve"> while the prices of alcoholic beverages grew slower </w:t>
            </w:r>
            <w:r w:rsidR="009B553D" w:rsidRPr="00E21E9A">
              <w:rPr>
                <w:lang w:val="en-GB"/>
              </w:rPr>
              <w:t>(2</w:t>
            </w:r>
            <w:r>
              <w:rPr>
                <w:lang w:val="en-GB"/>
              </w:rPr>
              <w:t>.</w:t>
            </w:r>
            <w:r w:rsidR="009B553D" w:rsidRPr="00E21E9A">
              <w:rPr>
                <w:lang w:val="en-GB"/>
              </w:rPr>
              <w:t>3%).</w:t>
            </w:r>
            <w:r>
              <w:rPr>
                <w:lang w:val="en-GB"/>
              </w:rPr>
              <w:t xml:space="preserve"> In Q</w:t>
            </w:r>
            <w:r w:rsidR="009B553D" w:rsidRPr="00E21E9A">
              <w:rPr>
                <w:lang w:val="en-GB"/>
              </w:rPr>
              <w:t>4</w:t>
            </w:r>
            <w:r>
              <w:rPr>
                <w:lang w:val="en-GB"/>
              </w:rPr>
              <w:t xml:space="preserve">, prices of alcoholic beverages and tobacco rose by </w:t>
            </w:r>
            <w:r w:rsidR="009B553D" w:rsidRPr="00E21E9A">
              <w:rPr>
                <w:lang w:val="en-GB"/>
              </w:rPr>
              <w:t>7</w:t>
            </w:r>
            <w:r>
              <w:rPr>
                <w:lang w:val="en-GB"/>
              </w:rPr>
              <w:t>.</w:t>
            </w:r>
            <w:r w:rsidR="009B553D" w:rsidRPr="00E21E9A">
              <w:rPr>
                <w:lang w:val="en-GB"/>
              </w:rPr>
              <w:t>7%</w:t>
            </w:r>
            <w:r>
              <w:rPr>
                <w:lang w:val="en-GB"/>
              </w:rPr>
              <w:t xml:space="preserve"> year-on-year</w:t>
            </w:r>
            <w:r w:rsidR="009B553D" w:rsidRPr="00E21E9A">
              <w:rPr>
                <w:lang w:val="en-GB"/>
              </w:rPr>
              <w:t xml:space="preserve">. </w:t>
            </w:r>
            <w:r w:rsidR="00CD52EB">
              <w:rPr>
                <w:lang w:val="en-GB"/>
              </w:rPr>
              <w:t xml:space="preserve">In </w:t>
            </w:r>
            <w:proofErr w:type="gramStart"/>
            <w:r w:rsidR="00CD52EB">
              <w:rPr>
                <w:lang w:val="en-GB"/>
              </w:rPr>
              <w:t>that</w:t>
            </w:r>
            <w:proofErr w:type="gramEnd"/>
            <w:r w:rsidR="00CD52EB">
              <w:rPr>
                <w:lang w:val="en-GB"/>
              </w:rPr>
              <w:t xml:space="preserve"> the prices of tobacco were by </w:t>
            </w:r>
            <w:r w:rsidR="009B553D" w:rsidRPr="00E21E9A">
              <w:rPr>
                <w:lang w:val="en-GB"/>
              </w:rPr>
              <w:t>11</w:t>
            </w:r>
            <w:r w:rsidR="00CD52EB">
              <w:rPr>
                <w:lang w:val="en-GB"/>
              </w:rPr>
              <w:t>.</w:t>
            </w:r>
            <w:r w:rsidR="009B553D" w:rsidRPr="00E21E9A">
              <w:rPr>
                <w:lang w:val="en-GB"/>
              </w:rPr>
              <w:t>9%</w:t>
            </w:r>
            <w:r w:rsidR="00CD52EB">
              <w:rPr>
                <w:lang w:val="en-GB"/>
              </w:rPr>
              <w:t xml:space="preserve"> higher and alcohol by </w:t>
            </w:r>
            <w:r w:rsidR="009B553D" w:rsidRPr="00E21E9A">
              <w:rPr>
                <w:lang w:val="en-GB"/>
              </w:rPr>
              <w:t>1</w:t>
            </w:r>
            <w:r w:rsidR="00CD52EB">
              <w:rPr>
                <w:lang w:val="en-GB"/>
              </w:rPr>
              <w:t>.</w:t>
            </w:r>
            <w:r w:rsidR="009B553D" w:rsidRPr="00E21E9A">
              <w:rPr>
                <w:lang w:val="en-GB"/>
              </w:rPr>
              <w:t>9%.</w:t>
            </w:r>
            <w:r w:rsidR="00CD52EB">
              <w:rPr>
                <w:lang w:val="en-GB"/>
              </w:rPr>
              <w:t xml:space="preserve"> Prices of food and non-alcoholic beverages increased by </w:t>
            </w:r>
            <w:r w:rsidR="009B553D" w:rsidRPr="00E21E9A">
              <w:rPr>
                <w:lang w:val="en-GB"/>
              </w:rPr>
              <w:t>0</w:t>
            </w:r>
            <w:r w:rsidR="00CD52EB">
              <w:rPr>
                <w:lang w:val="en-GB"/>
              </w:rPr>
              <w:t>.</w:t>
            </w:r>
            <w:r w:rsidR="009B553D" w:rsidRPr="00E21E9A">
              <w:rPr>
                <w:lang w:val="en-GB"/>
              </w:rPr>
              <w:t>8%</w:t>
            </w:r>
            <w:r w:rsidR="00CD52EB">
              <w:rPr>
                <w:lang w:val="en-GB"/>
              </w:rPr>
              <w:t xml:space="preserve"> and mainly prices of oils and fats contributed to this result </w:t>
            </w:r>
            <w:r w:rsidR="009B553D" w:rsidRPr="00E21E9A">
              <w:rPr>
                <w:lang w:val="en-GB"/>
              </w:rPr>
              <w:t>(12</w:t>
            </w:r>
            <w:r w:rsidR="00CD52EB">
              <w:rPr>
                <w:lang w:val="en-GB"/>
              </w:rPr>
              <w:t>.</w:t>
            </w:r>
            <w:r w:rsidR="009B553D" w:rsidRPr="00E21E9A">
              <w:rPr>
                <w:lang w:val="en-GB"/>
              </w:rPr>
              <w:t>3%),</w:t>
            </w:r>
            <w:r w:rsidR="00CD52EB">
              <w:rPr>
                <w:lang w:val="en-GB"/>
              </w:rPr>
              <w:t xml:space="preserve"> </w:t>
            </w:r>
            <w:r w:rsidR="000743F9">
              <w:rPr>
                <w:lang w:val="en-GB"/>
              </w:rPr>
              <w:t>bread</w:t>
            </w:r>
            <w:r w:rsidR="00CD52EB">
              <w:rPr>
                <w:lang w:val="en-GB"/>
              </w:rPr>
              <w:t xml:space="preserve"> and cereals </w:t>
            </w:r>
            <w:r w:rsidR="009B553D" w:rsidRPr="00E21E9A">
              <w:rPr>
                <w:lang w:val="en-GB"/>
              </w:rPr>
              <w:t>(1</w:t>
            </w:r>
            <w:r w:rsidR="00CD52EB">
              <w:rPr>
                <w:lang w:val="en-GB"/>
              </w:rPr>
              <w:t>.</w:t>
            </w:r>
            <w:r w:rsidR="009B553D" w:rsidRPr="00E21E9A">
              <w:rPr>
                <w:lang w:val="en-GB"/>
              </w:rPr>
              <w:t>9%) a</w:t>
            </w:r>
            <w:r w:rsidR="00CD52EB">
              <w:rPr>
                <w:lang w:val="en-GB"/>
              </w:rPr>
              <w:t xml:space="preserve">nd milk, cheese and eggs </w:t>
            </w:r>
            <w:r w:rsidR="009B553D" w:rsidRPr="00E21E9A">
              <w:rPr>
                <w:lang w:val="en-GB"/>
              </w:rPr>
              <w:t>(1</w:t>
            </w:r>
            <w:r w:rsidR="00CD52EB">
              <w:rPr>
                <w:lang w:val="en-GB"/>
              </w:rPr>
              <w:t>.</w:t>
            </w:r>
            <w:r w:rsidR="009B553D" w:rsidRPr="00E21E9A">
              <w:rPr>
                <w:lang w:val="en-GB"/>
              </w:rPr>
              <w:t>1%)</w:t>
            </w:r>
            <w:r w:rsidR="00CD52EB">
              <w:rPr>
                <w:lang w:val="en-GB"/>
              </w:rPr>
              <w:t xml:space="preserve"> contributed to this result. By contrast, the prices of meat were by 1.8% lower. The growth of prices of food and non-alcoholic beverages however grew stronger towards the end of the year and it attained </w:t>
            </w:r>
            <w:r w:rsidR="009B553D" w:rsidRPr="00E21E9A">
              <w:rPr>
                <w:lang w:val="en-GB"/>
              </w:rPr>
              <w:t>2</w:t>
            </w:r>
            <w:r w:rsidR="00CD52EB">
              <w:rPr>
                <w:lang w:val="en-GB"/>
              </w:rPr>
              <w:t>.</w:t>
            </w:r>
            <w:r w:rsidR="009B553D" w:rsidRPr="00E21E9A">
              <w:rPr>
                <w:lang w:val="en-GB"/>
              </w:rPr>
              <w:t>3%</w:t>
            </w:r>
            <w:r w:rsidR="00CD52EB">
              <w:rPr>
                <w:lang w:val="en-GB"/>
              </w:rPr>
              <w:t xml:space="preserve"> in Q4</w:t>
            </w:r>
            <w:r w:rsidR="009B553D" w:rsidRPr="00E21E9A">
              <w:rPr>
                <w:lang w:val="en-GB"/>
              </w:rPr>
              <w:t>.</w:t>
            </w:r>
            <w:r w:rsidR="00CD52EB">
              <w:rPr>
                <w:lang w:val="en-GB"/>
              </w:rPr>
              <w:t xml:space="preserve"> The year-on-year increase of b</w:t>
            </w:r>
            <w:r w:rsidR="000743F9">
              <w:rPr>
                <w:lang w:val="en-GB"/>
              </w:rPr>
              <w:t>read</w:t>
            </w:r>
            <w:r w:rsidR="00CD52EB">
              <w:rPr>
                <w:lang w:val="en-GB"/>
              </w:rPr>
              <w:t xml:space="preserve"> and cereals accelerated </w:t>
            </w:r>
            <w:r w:rsidR="009B553D" w:rsidRPr="00E21E9A">
              <w:rPr>
                <w:lang w:val="en-GB"/>
              </w:rPr>
              <w:t>4</w:t>
            </w:r>
            <w:r w:rsidR="00CD52EB">
              <w:rPr>
                <w:lang w:val="en-GB"/>
              </w:rPr>
              <w:t>.</w:t>
            </w:r>
            <w:r w:rsidR="009B553D" w:rsidRPr="00E21E9A">
              <w:rPr>
                <w:lang w:val="en-GB"/>
              </w:rPr>
              <w:t xml:space="preserve">4%, </w:t>
            </w:r>
            <w:r w:rsidR="00CD52EB">
              <w:rPr>
                <w:lang w:val="en-GB"/>
              </w:rPr>
              <w:t xml:space="preserve">milk, cheese and eggs to </w:t>
            </w:r>
            <w:proofErr w:type="gramStart"/>
            <w:r w:rsidR="009B553D" w:rsidRPr="00E21E9A">
              <w:rPr>
                <w:lang w:val="en-GB"/>
              </w:rPr>
              <w:t>3</w:t>
            </w:r>
            <w:r w:rsidR="00CD52EB">
              <w:rPr>
                <w:lang w:val="en-GB"/>
              </w:rPr>
              <w:t>.</w:t>
            </w:r>
            <w:r w:rsidR="009B553D" w:rsidRPr="00E21E9A">
              <w:rPr>
                <w:lang w:val="en-GB"/>
              </w:rPr>
              <w:t>9% a</w:t>
            </w:r>
            <w:r w:rsidR="00CD52EB">
              <w:rPr>
                <w:lang w:val="en-GB"/>
              </w:rPr>
              <w:t>nd oils</w:t>
            </w:r>
            <w:proofErr w:type="gramEnd"/>
            <w:r w:rsidR="00CD52EB">
              <w:rPr>
                <w:lang w:val="en-GB"/>
              </w:rPr>
              <w:t xml:space="preserve"> and fats to </w:t>
            </w:r>
            <w:r w:rsidR="009B553D" w:rsidRPr="00E21E9A">
              <w:rPr>
                <w:lang w:val="en-GB"/>
              </w:rPr>
              <w:t>21</w:t>
            </w:r>
            <w:r w:rsidR="00CD52EB">
              <w:rPr>
                <w:lang w:val="en-GB"/>
              </w:rPr>
              <w:t>.</w:t>
            </w:r>
            <w:r w:rsidR="009B553D" w:rsidRPr="00E21E9A">
              <w:rPr>
                <w:lang w:val="en-GB"/>
              </w:rPr>
              <w:t xml:space="preserve">2%. </w:t>
            </w:r>
            <w:r w:rsidR="00CD52EB">
              <w:rPr>
                <w:lang w:val="en-GB"/>
              </w:rPr>
              <w:t xml:space="preserve">The decrease of prices of meat, which were by 1.8% lower in Q4, continued. </w:t>
            </w:r>
          </w:p>
        </w:tc>
      </w:tr>
      <w:tr w:rsidR="009B553D" w:rsidRPr="009110F7" w14:paraId="1AE7548C" w14:textId="77777777" w:rsidTr="00913237">
        <w:trPr>
          <w:trHeight w:val="145"/>
        </w:trPr>
        <w:tc>
          <w:tcPr>
            <w:tcW w:w="1805" w:type="dxa"/>
            <w:shd w:val="clear" w:color="auto" w:fill="auto"/>
            <w:tcMar>
              <w:left w:w="0" w:type="dxa"/>
            </w:tcMar>
          </w:tcPr>
          <w:p w14:paraId="363B3C04" w14:textId="2457B9A6" w:rsidR="009B553D" w:rsidRPr="00EF072A" w:rsidRDefault="0005480E" w:rsidP="00913237">
            <w:pPr>
              <w:pStyle w:val="Marginlie"/>
              <w:rPr>
                <w:spacing w:val="0"/>
                <w:lang w:val="en-GB"/>
              </w:rPr>
            </w:pPr>
            <w:r>
              <w:rPr>
                <w:spacing w:val="0"/>
                <w:lang w:val="en-GB"/>
              </w:rPr>
              <w:t>Prices in majority of consumer basket divisions were growing.</w:t>
            </w:r>
          </w:p>
        </w:tc>
        <w:tc>
          <w:tcPr>
            <w:tcW w:w="224" w:type="dxa"/>
            <w:shd w:val="clear" w:color="auto" w:fill="auto"/>
            <w:tcMar>
              <w:left w:w="0" w:type="dxa"/>
            </w:tcMar>
          </w:tcPr>
          <w:p w14:paraId="197A2359" w14:textId="77777777" w:rsidR="009B553D" w:rsidRPr="00EF072A" w:rsidRDefault="009B553D" w:rsidP="00913237">
            <w:pPr>
              <w:pStyle w:val="Textpoznpodarou1"/>
              <w:jc w:val="both"/>
              <w:rPr>
                <w:lang w:val="en-GB"/>
              </w:rPr>
            </w:pPr>
          </w:p>
        </w:tc>
        <w:tc>
          <w:tcPr>
            <w:tcW w:w="7610" w:type="dxa"/>
            <w:shd w:val="clear" w:color="auto" w:fill="auto"/>
            <w:tcMar>
              <w:left w:w="0" w:type="dxa"/>
            </w:tcMar>
          </w:tcPr>
          <w:p w14:paraId="7DAAC227" w14:textId="44E62490" w:rsidR="009B553D" w:rsidRPr="00EF072A" w:rsidRDefault="0005480E" w:rsidP="000743F9">
            <w:pPr>
              <w:rPr>
                <w:lang w:val="en-GB"/>
              </w:rPr>
            </w:pPr>
            <w:r>
              <w:rPr>
                <w:lang w:val="en-GB"/>
              </w:rPr>
              <w:t>In the majority of other divisions of the consumer basket</w:t>
            </w:r>
            <w:r w:rsidR="0038079A">
              <w:rPr>
                <w:lang w:val="en-GB"/>
              </w:rPr>
              <w:t xml:space="preserve"> the price growth strengthened last year and to the large extent it concerned goods, which were affected by the disruption of the world transportation, alternatively items, which were impacted by the counter pandemic  measures in retail and services.</w:t>
            </w:r>
            <w:r w:rsidR="00176664">
              <w:rPr>
                <w:lang w:val="en-GB"/>
              </w:rPr>
              <w:t xml:space="preserve"> </w:t>
            </w:r>
            <w:r w:rsidR="0038079A">
              <w:rPr>
                <w:lang w:val="en-GB"/>
              </w:rPr>
              <w:t xml:space="preserve">Prices of clothing and footwear were thus raised by </w:t>
            </w:r>
            <w:r w:rsidR="009B553D" w:rsidRPr="00EF072A">
              <w:rPr>
                <w:lang w:val="en-GB"/>
              </w:rPr>
              <w:t>6</w:t>
            </w:r>
            <w:r w:rsidR="0038079A">
              <w:rPr>
                <w:lang w:val="en-GB"/>
              </w:rPr>
              <w:t>.</w:t>
            </w:r>
            <w:r w:rsidR="009B553D" w:rsidRPr="00EF072A">
              <w:rPr>
                <w:lang w:val="en-GB"/>
              </w:rPr>
              <w:t xml:space="preserve">5%, </w:t>
            </w:r>
            <w:r w:rsidR="000743F9">
              <w:rPr>
                <w:lang w:val="en-GB"/>
              </w:rPr>
              <w:t xml:space="preserve">furnishings, </w:t>
            </w:r>
            <w:proofErr w:type="gramStart"/>
            <w:r w:rsidR="00176664">
              <w:rPr>
                <w:lang w:val="en-GB"/>
              </w:rPr>
              <w:t>household</w:t>
            </w:r>
            <w:r w:rsidR="000743F9">
              <w:rPr>
                <w:lang w:val="en-GB"/>
              </w:rPr>
              <w:t>s</w:t>
            </w:r>
            <w:proofErr w:type="gramEnd"/>
            <w:r w:rsidR="000743F9">
              <w:rPr>
                <w:lang w:val="en-GB"/>
              </w:rPr>
              <w:t xml:space="preserve"> </w:t>
            </w:r>
            <w:r w:rsidR="00176664">
              <w:rPr>
                <w:lang w:val="en-GB"/>
              </w:rPr>
              <w:t>equipment</w:t>
            </w:r>
            <w:r w:rsidR="000743F9">
              <w:rPr>
                <w:lang w:val="en-GB"/>
              </w:rPr>
              <w:t xml:space="preserve"> and maintenance</w:t>
            </w:r>
            <w:r w:rsidR="00176664">
              <w:rPr>
                <w:lang w:val="en-GB"/>
              </w:rPr>
              <w:t xml:space="preserve"> by </w:t>
            </w:r>
            <w:r w:rsidR="009B553D" w:rsidRPr="00EF072A">
              <w:rPr>
                <w:lang w:val="en-GB"/>
              </w:rPr>
              <w:t>3</w:t>
            </w:r>
            <w:r w:rsidR="00176664">
              <w:rPr>
                <w:lang w:val="en-GB"/>
              </w:rPr>
              <w:t>.</w:t>
            </w:r>
            <w:r w:rsidR="009B553D" w:rsidRPr="00EF072A">
              <w:rPr>
                <w:lang w:val="en-GB"/>
              </w:rPr>
              <w:t xml:space="preserve">5%, </w:t>
            </w:r>
            <w:r w:rsidR="00176664">
              <w:rPr>
                <w:lang w:val="en-GB"/>
              </w:rPr>
              <w:t xml:space="preserve">prices of recreation and culture by </w:t>
            </w:r>
            <w:r w:rsidR="009B553D" w:rsidRPr="00EF072A">
              <w:rPr>
                <w:lang w:val="en-GB"/>
              </w:rPr>
              <w:t>3</w:t>
            </w:r>
            <w:r w:rsidR="00176664">
              <w:rPr>
                <w:lang w:val="en-GB"/>
              </w:rPr>
              <w:t>.</w:t>
            </w:r>
            <w:r w:rsidR="009B553D" w:rsidRPr="00EF072A">
              <w:rPr>
                <w:lang w:val="en-GB"/>
              </w:rPr>
              <w:t xml:space="preserve">0%, </w:t>
            </w:r>
            <w:r w:rsidR="000743F9">
              <w:rPr>
                <w:lang w:val="en-GB"/>
              </w:rPr>
              <w:t>restaurants and hotels</w:t>
            </w:r>
            <w:r w:rsidR="00176664">
              <w:rPr>
                <w:lang w:val="en-GB"/>
              </w:rPr>
              <w:t xml:space="preserve"> by </w:t>
            </w:r>
            <w:r w:rsidR="009B553D" w:rsidRPr="00EF072A">
              <w:rPr>
                <w:lang w:val="en-GB"/>
              </w:rPr>
              <w:t>4</w:t>
            </w:r>
            <w:r w:rsidR="00176664">
              <w:rPr>
                <w:lang w:val="en-GB"/>
              </w:rPr>
              <w:t>.</w:t>
            </w:r>
            <w:r w:rsidR="009B553D" w:rsidRPr="00EF072A">
              <w:rPr>
                <w:lang w:val="en-GB"/>
              </w:rPr>
              <w:t>3%</w:t>
            </w:r>
            <w:r w:rsidR="00176664">
              <w:rPr>
                <w:lang w:val="en-GB"/>
              </w:rPr>
              <w:t xml:space="preserve"> and </w:t>
            </w:r>
            <w:r w:rsidR="000743F9">
              <w:rPr>
                <w:lang w:val="en-GB"/>
              </w:rPr>
              <w:t>miscellaneous</w:t>
            </w:r>
            <w:r w:rsidR="00176664">
              <w:rPr>
                <w:lang w:val="en-GB"/>
              </w:rPr>
              <w:t xml:space="preserve"> goods and services by </w:t>
            </w:r>
            <w:r w:rsidR="009B553D" w:rsidRPr="00EF072A">
              <w:rPr>
                <w:lang w:val="en-GB"/>
              </w:rPr>
              <w:t>3</w:t>
            </w:r>
            <w:r w:rsidR="00176664">
              <w:rPr>
                <w:lang w:val="en-GB"/>
              </w:rPr>
              <w:t>.</w:t>
            </w:r>
            <w:r w:rsidR="009B553D" w:rsidRPr="00EF072A">
              <w:rPr>
                <w:lang w:val="en-GB"/>
              </w:rPr>
              <w:t>5%.</w:t>
            </w:r>
            <w:r w:rsidR="00176664">
              <w:rPr>
                <w:lang w:val="en-GB"/>
              </w:rPr>
              <w:t xml:space="preserve"> At the same </w:t>
            </w:r>
            <w:proofErr w:type="gramStart"/>
            <w:r w:rsidR="00176664">
              <w:rPr>
                <w:lang w:val="en-GB"/>
              </w:rPr>
              <w:t>time</w:t>
            </w:r>
            <w:proofErr w:type="gramEnd"/>
            <w:r w:rsidR="00176664">
              <w:rPr>
                <w:lang w:val="en-GB"/>
              </w:rPr>
              <w:t xml:space="preserve"> the acceleration of the price growth for these items eventuated especially in the second half of the year. In Q</w:t>
            </w:r>
            <w:r w:rsidR="009B553D" w:rsidRPr="00EF072A">
              <w:rPr>
                <w:lang w:val="en-GB"/>
              </w:rPr>
              <w:t>4</w:t>
            </w:r>
            <w:r w:rsidR="00176664">
              <w:rPr>
                <w:lang w:val="en-GB"/>
              </w:rPr>
              <w:t xml:space="preserve">, the year-on-year increase of the prices of clothing and footwear attained </w:t>
            </w:r>
            <w:r w:rsidR="009B553D" w:rsidRPr="00EF072A">
              <w:rPr>
                <w:lang w:val="en-GB"/>
              </w:rPr>
              <w:t>12</w:t>
            </w:r>
            <w:r w:rsidR="00176664">
              <w:rPr>
                <w:lang w:val="en-GB"/>
              </w:rPr>
              <w:t>.</w:t>
            </w:r>
            <w:r w:rsidR="009B553D" w:rsidRPr="00EF072A">
              <w:rPr>
                <w:lang w:val="en-GB"/>
              </w:rPr>
              <w:t>6%,</w:t>
            </w:r>
            <w:r w:rsidR="00176664">
              <w:rPr>
                <w:lang w:val="en-GB"/>
              </w:rPr>
              <w:t xml:space="preserve"> </w:t>
            </w:r>
            <w:proofErr w:type="gramStart"/>
            <w:r w:rsidR="000743F9">
              <w:rPr>
                <w:lang w:val="en-GB"/>
              </w:rPr>
              <w:t>households</w:t>
            </w:r>
            <w:proofErr w:type="gramEnd"/>
            <w:r w:rsidR="000743F9">
              <w:rPr>
                <w:lang w:val="en-GB"/>
              </w:rPr>
              <w:t xml:space="preserve"> equipment and maintenance</w:t>
            </w:r>
            <w:r w:rsidR="00176664">
              <w:rPr>
                <w:lang w:val="en-GB"/>
              </w:rPr>
              <w:t xml:space="preserve"> </w:t>
            </w:r>
            <w:r w:rsidR="009B553D" w:rsidRPr="00EF072A">
              <w:rPr>
                <w:lang w:val="en-GB"/>
              </w:rPr>
              <w:t>6</w:t>
            </w:r>
            <w:r w:rsidR="00176664">
              <w:rPr>
                <w:lang w:val="en-GB"/>
              </w:rPr>
              <w:t>.</w:t>
            </w:r>
            <w:r w:rsidR="009B553D" w:rsidRPr="00EF072A">
              <w:rPr>
                <w:lang w:val="en-GB"/>
              </w:rPr>
              <w:t>1%, re</w:t>
            </w:r>
            <w:r w:rsidR="00176664">
              <w:rPr>
                <w:lang w:val="en-GB"/>
              </w:rPr>
              <w:t>creati</w:t>
            </w:r>
            <w:r w:rsidR="003962AB">
              <w:rPr>
                <w:lang w:val="en-GB"/>
              </w:rPr>
              <w:t>o</w:t>
            </w:r>
            <w:r w:rsidR="00176664">
              <w:rPr>
                <w:lang w:val="en-GB"/>
              </w:rPr>
              <w:t xml:space="preserve">n and culture </w:t>
            </w:r>
            <w:r w:rsidR="009B553D" w:rsidRPr="00EF072A">
              <w:rPr>
                <w:lang w:val="en-GB"/>
              </w:rPr>
              <w:t>5</w:t>
            </w:r>
            <w:r w:rsidR="00176664">
              <w:rPr>
                <w:lang w:val="en-GB"/>
              </w:rPr>
              <w:t>.</w:t>
            </w:r>
            <w:r w:rsidR="009B553D" w:rsidRPr="00EF072A">
              <w:rPr>
                <w:lang w:val="en-GB"/>
              </w:rPr>
              <w:t>3%,</w:t>
            </w:r>
            <w:r w:rsidR="00176664">
              <w:rPr>
                <w:lang w:val="en-GB"/>
              </w:rPr>
              <w:t xml:space="preserve"> </w:t>
            </w:r>
            <w:r w:rsidR="000743F9">
              <w:rPr>
                <w:lang w:val="en-GB"/>
              </w:rPr>
              <w:lastRenderedPageBreak/>
              <w:t xml:space="preserve">restaurants and hotels </w:t>
            </w:r>
            <w:r w:rsidR="009B553D" w:rsidRPr="00EF072A">
              <w:rPr>
                <w:lang w:val="en-GB"/>
              </w:rPr>
              <w:t>6</w:t>
            </w:r>
            <w:r w:rsidR="00176664">
              <w:rPr>
                <w:lang w:val="en-GB"/>
              </w:rPr>
              <w:t>.</w:t>
            </w:r>
            <w:r w:rsidR="009B553D" w:rsidRPr="00EF072A">
              <w:rPr>
                <w:lang w:val="en-GB"/>
              </w:rPr>
              <w:t>8%</w:t>
            </w:r>
            <w:r w:rsidR="00176664">
              <w:rPr>
                <w:lang w:val="en-GB"/>
              </w:rPr>
              <w:t xml:space="preserve"> and </w:t>
            </w:r>
            <w:r w:rsidR="000743F9">
              <w:rPr>
                <w:lang w:val="en-GB"/>
              </w:rPr>
              <w:t>miscellaneous</w:t>
            </w:r>
            <w:r w:rsidR="00176664">
              <w:rPr>
                <w:lang w:val="en-GB"/>
              </w:rPr>
              <w:t xml:space="preserve"> </w:t>
            </w:r>
            <w:r w:rsidR="003962AB">
              <w:rPr>
                <w:lang w:val="en-GB"/>
              </w:rPr>
              <w:t xml:space="preserve">goods and services </w:t>
            </w:r>
            <w:r w:rsidR="009B553D" w:rsidRPr="00EF072A">
              <w:rPr>
                <w:lang w:val="en-GB"/>
              </w:rPr>
              <w:t>4</w:t>
            </w:r>
            <w:r w:rsidR="003962AB">
              <w:rPr>
                <w:lang w:val="en-GB"/>
              </w:rPr>
              <w:t>.</w:t>
            </w:r>
            <w:r w:rsidR="009B553D" w:rsidRPr="00EF072A">
              <w:rPr>
                <w:lang w:val="en-GB"/>
              </w:rPr>
              <w:t xml:space="preserve">5%. </w:t>
            </w:r>
            <w:r w:rsidR="00B57FF9">
              <w:rPr>
                <w:lang w:val="en-GB"/>
              </w:rPr>
              <w:t>Only prices of post and telecommunication</w:t>
            </w:r>
            <w:r w:rsidR="001D3D68">
              <w:rPr>
                <w:lang w:val="en-GB"/>
              </w:rPr>
              <w:t xml:space="preserve"> decreased by </w:t>
            </w:r>
            <w:r w:rsidR="009B553D" w:rsidRPr="00EF072A">
              <w:rPr>
                <w:lang w:val="en-GB"/>
              </w:rPr>
              <w:t>0</w:t>
            </w:r>
            <w:r w:rsidR="001D3D68">
              <w:rPr>
                <w:lang w:val="en-GB"/>
              </w:rPr>
              <w:t>.</w:t>
            </w:r>
            <w:r w:rsidR="009B553D" w:rsidRPr="00EF072A">
              <w:rPr>
                <w:lang w:val="en-GB"/>
              </w:rPr>
              <w:t>6%</w:t>
            </w:r>
            <w:r w:rsidR="001D3D68">
              <w:rPr>
                <w:lang w:val="en-GB"/>
              </w:rPr>
              <w:t xml:space="preserve"> last year and </w:t>
            </w:r>
            <w:r w:rsidR="00701C0D">
              <w:rPr>
                <w:lang w:val="en-GB"/>
              </w:rPr>
              <w:t xml:space="preserve">were falling during the whole year </w:t>
            </w:r>
            <w:r w:rsidR="009B553D" w:rsidRPr="00EF072A">
              <w:rPr>
                <w:lang w:val="en-GB"/>
              </w:rPr>
              <w:t xml:space="preserve">– </w:t>
            </w:r>
            <w:r w:rsidR="00B57FF9">
              <w:rPr>
                <w:lang w:val="en-GB"/>
              </w:rPr>
              <w:t xml:space="preserve">in Q4 they were lower by </w:t>
            </w:r>
            <w:r w:rsidR="009B553D" w:rsidRPr="00EF072A">
              <w:rPr>
                <w:lang w:val="en-GB"/>
              </w:rPr>
              <w:t>0</w:t>
            </w:r>
            <w:r w:rsidR="00B57FF9">
              <w:rPr>
                <w:lang w:val="en-GB"/>
              </w:rPr>
              <w:t>.</w:t>
            </w:r>
            <w:r w:rsidR="009B553D" w:rsidRPr="00EF072A">
              <w:rPr>
                <w:lang w:val="en-GB"/>
              </w:rPr>
              <w:t>5%.</w:t>
            </w:r>
          </w:p>
        </w:tc>
      </w:tr>
      <w:tr w:rsidR="009B553D" w:rsidRPr="009110F7" w14:paraId="4CEB2CF5" w14:textId="77777777" w:rsidTr="00913237">
        <w:trPr>
          <w:trHeight w:val="145"/>
        </w:trPr>
        <w:tc>
          <w:tcPr>
            <w:tcW w:w="1805" w:type="dxa"/>
            <w:shd w:val="clear" w:color="auto" w:fill="auto"/>
            <w:tcMar>
              <w:left w:w="0" w:type="dxa"/>
            </w:tcMar>
          </w:tcPr>
          <w:p w14:paraId="37A3346F" w14:textId="3CD35AFE" w:rsidR="009B553D" w:rsidRPr="003962AB" w:rsidRDefault="00FB4932" w:rsidP="00913237">
            <w:pPr>
              <w:pStyle w:val="Marginlie"/>
              <w:rPr>
                <w:spacing w:val="0"/>
                <w:lang w:val="en-GB"/>
              </w:rPr>
            </w:pPr>
            <w:r>
              <w:rPr>
                <w:spacing w:val="0"/>
                <w:lang w:val="en-GB"/>
              </w:rPr>
              <w:lastRenderedPageBreak/>
              <w:t xml:space="preserve">Year-on-year growth of the consumer prices was strengthening in the EU during the last year. </w:t>
            </w:r>
          </w:p>
        </w:tc>
        <w:tc>
          <w:tcPr>
            <w:tcW w:w="224" w:type="dxa"/>
            <w:shd w:val="clear" w:color="auto" w:fill="auto"/>
            <w:tcMar>
              <w:left w:w="0" w:type="dxa"/>
            </w:tcMar>
          </w:tcPr>
          <w:p w14:paraId="0B1F5B4C" w14:textId="77777777" w:rsidR="009B553D" w:rsidRPr="003962AB" w:rsidRDefault="009B553D" w:rsidP="00913237">
            <w:pPr>
              <w:pStyle w:val="Textpoznpodarou1"/>
              <w:jc w:val="both"/>
              <w:rPr>
                <w:lang w:val="en-GB"/>
              </w:rPr>
            </w:pPr>
          </w:p>
        </w:tc>
        <w:tc>
          <w:tcPr>
            <w:tcW w:w="7610" w:type="dxa"/>
            <w:shd w:val="clear" w:color="auto" w:fill="auto"/>
            <w:tcMar>
              <w:left w:w="0" w:type="dxa"/>
            </w:tcMar>
          </w:tcPr>
          <w:p w14:paraId="4CFE2556" w14:textId="6DA7B795" w:rsidR="009B553D" w:rsidRPr="003962AB" w:rsidRDefault="00FB4932" w:rsidP="00F84123">
            <w:pPr>
              <w:rPr>
                <w:lang w:val="en-GB"/>
              </w:rPr>
            </w:pPr>
            <w:r>
              <w:rPr>
                <w:lang w:val="en-GB"/>
              </w:rPr>
              <w:t xml:space="preserve">The harmonised index of consumer prices </w:t>
            </w:r>
            <w:r w:rsidR="009B553D" w:rsidRPr="003962AB">
              <w:rPr>
                <w:lang w:val="en-GB"/>
              </w:rPr>
              <w:t>(HICP)</w:t>
            </w:r>
            <w:r w:rsidR="009B553D" w:rsidRPr="003962AB">
              <w:rPr>
                <w:rStyle w:val="Znakapoznpodarou"/>
                <w:lang w:val="en-GB"/>
              </w:rPr>
              <w:footnoteReference w:id="51"/>
            </w:r>
            <w:r w:rsidR="009B553D" w:rsidRPr="003962AB">
              <w:rPr>
                <w:lang w:val="en-GB"/>
              </w:rPr>
              <w:t xml:space="preserve"> </w:t>
            </w:r>
            <w:r>
              <w:rPr>
                <w:lang w:val="en-GB"/>
              </w:rPr>
              <w:t xml:space="preserve">increased </w:t>
            </w:r>
            <w:r w:rsidR="009B553D" w:rsidRPr="003962AB">
              <w:rPr>
                <w:lang w:val="en-GB"/>
              </w:rPr>
              <w:t>2</w:t>
            </w:r>
            <w:r>
              <w:rPr>
                <w:lang w:val="en-GB"/>
              </w:rPr>
              <w:t>.</w:t>
            </w:r>
            <w:r w:rsidR="009B553D" w:rsidRPr="003962AB">
              <w:rPr>
                <w:lang w:val="en-GB"/>
              </w:rPr>
              <w:t>9%</w:t>
            </w:r>
            <w:r>
              <w:rPr>
                <w:lang w:val="en-GB"/>
              </w:rPr>
              <w:t xml:space="preserve"> in the EU in year 2021</w:t>
            </w:r>
            <w:r w:rsidR="009B553D" w:rsidRPr="003962AB">
              <w:rPr>
                <w:lang w:val="en-GB"/>
              </w:rPr>
              <w:t>,</w:t>
            </w:r>
            <w:r>
              <w:rPr>
                <w:lang w:val="en-GB"/>
              </w:rPr>
              <w:t xml:space="preserve"> the most since year </w:t>
            </w:r>
            <w:r w:rsidR="009B553D" w:rsidRPr="003962AB">
              <w:rPr>
                <w:lang w:val="en-GB"/>
              </w:rPr>
              <w:t>2008.</w:t>
            </w:r>
            <w:r w:rsidR="00FB346E">
              <w:rPr>
                <w:lang w:val="en-GB"/>
              </w:rPr>
              <w:t xml:space="preserve"> The relatively significant increase </w:t>
            </w:r>
            <w:proofErr w:type="gramStart"/>
            <w:r w:rsidR="00FB346E">
              <w:rPr>
                <w:lang w:val="en-GB"/>
              </w:rPr>
              <w:t>was affected</w:t>
            </w:r>
            <w:proofErr w:type="gramEnd"/>
            <w:r w:rsidR="00FB346E">
              <w:rPr>
                <w:lang w:val="en-GB"/>
              </w:rPr>
              <w:t xml:space="preserve"> mainly by the strengthening of prices of transport </w:t>
            </w:r>
            <w:r w:rsidR="009B553D" w:rsidRPr="003962AB">
              <w:rPr>
                <w:lang w:val="en-GB"/>
              </w:rPr>
              <w:t>(6</w:t>
            </w:r>
            <w:r w:rsidR="00FB346E">
              <w:rPr>
                <w:lang w:val="en-GB"/>
              </w:rPr>
              <w:t>.</w:t>
            </w:r>
            <w:r w:rsidR="009B553D" w:rsidRPr="003962AB">
              <w:rPr>
                <w:lang w:val="en-GB"/>
              </w:rPr>
              <w:t>8%)</w:t>
            </w:r>
            <w:r w:rsidR="00FB346E">
              <w:rPr>
                <w:lang w:val="en-GB"/>
              </w:rPr>
              <w:t xml:space="preserve"> and housing and energies </w:t>
            </w:r>
            <w:r w:rsidR="009B553D" w:rsidRPr="003962AB">
              <w:rPr>
                <w:lang w:val="en-GB"/>
              </w:rPr>
              <w:t>(4</w:t>
            </w:r>
            <w:r w:rsidR="00FB346E">
              <w:rPr>
                <w:lang w:val="en-GB"/>
              </w:rPr>
              <w:t>.</w:t>
            </w:r>
            <w:r w:rsidR="009B553D" w:rsidRPr="003962AB">
              <w:rPr>
                <w:lang w:val="en-GB"/>
              </w:rPr>
              <w:t>8%).</w:t>
            </w:r>
            <w:r w:rsidR="00FB346E">
              <w:rPr>
                <w:lang w:val="en-GB"/>
              </w:rPr>
              <w:t xml:space="preserve"> </w:t>
            </w:r>
            <w:r w:rsidR="00AE74E0">
              <w:rPr>
                <w:lang w:val="en-GB"/>
              </w:rPr>
              <w:t xml:space="preserve">HICP rose the most in Poland </w:t>
            </w:r>
            <w:r w:rsidR="009B553D" w:rsidRPr="003962AB">
              <w:rPr>
                <w:lang w:val="en-GB"/>
              </w:rPr>
              <w:t>(5</w:t>
            </w:r>
            <w:r w:rsidR="00AE74E0">
              <w:rPr>
                <w:lang w:val="en-GB"/>
              </w:rPr>
              <w:t>.</w:t>
            </w:r>
            <w:r w:rsidR="009B553D" w:rsidRPr="003962AB">
              <w:rPr>
                <w:lang w:val="en-GB"/>
              </w:rPr>
              <w:t>2%),</w:t>
            </w:r>
            <w:r w:rsidR="00AE74E0">
              <w:rPr>
                <w:lang w:val="en-GB"/>
              </w:rPr>
              <w:t xml:space="preserve"> Hungary </w:t>
            </w:r>
            <w:r w:rsidR="009B553D" w:rsidRPr="003962AB">
              <w:rPr>
                <w:lang w:val="en-GB"/>
              </w:rPr>
              <w:t>(5</w:t>
            </w:r>
            <w:r w:rsidR="00AE74E0">
              <w:rPr>
                <w:lang w:val="en-GB"/>
              </w:rPr>
              <w:t>.</w:t>
            </w:r>
            <w:r w:rsidR="009B553D" w:rsidRPr="003962AB">
              <w:rPr>
                <w:lang w:val="en-GB"/>
              </w:rPr>
              <w:t>2%)</w:t>
            </w:r>
            <w:r w:rsidR="00AE74E0">
              <w:rPr>
                <w:lang w:val="en-GB"/>
              </w:rPr>
              <w:t xml:space="preserve"> and Lithuania </w:t>
            </w:r>
            <w:r w:rsidR="009B553D" w:rsidRPr="003962AB">
              <w:rPr>
                <w:lang w:val="en-GB"/>
              </w:rPr>
              <w:t>(4</w:t>
            </w:r>
            <w:r w:rsidR="00AE74E0">
              <w:rPr>
                <w:lang w:val="en-GB"/>
              </w:rPr>
              <w:t>.</w:t>
            </w:r>
            <w:r w:rsidR="009B553D" w:rsidRPr="003962AB">
              <w:rPr>
                <w:lang w:val="en-GB"/>
              </w:rPr>
              <w:t>6%).</w:t>
            </w:r>
            <w:r w:rsidR="00AE74E0">
              <w:rPr>
                <w:lang w:val="en-GB"/>
              </w:rPr>
              <w:t xml:space="preserve"> </w:t>
            </w:r>
            <w:r w:rsidR="009B553D" w:rsidRPr="003962AB">
              <w:rPr>
                <w:lang w:val="en-GB"/>
              </w:rPr>
              <w:t xml:space="preserve"> </w:t>
            </w:r>
            <w:r w:rsidR="001C673E">
              <w:rPr>
                <w:lang w:val="en-GB"/>
              </w:rPr>
              <w:t xml:space="preserve">Newer EU members including the CR </w:t>
            </w:r>
            <w:r w:rsidR="009B553D" w:rsidRPr="003962AB">
              <w:rPr>
                <w:lang w:val="en-GB"/>
              </w:rPr>
              <w:t>(3</w:t>
            </w:r>
            <w:r w:rsidR="001C673E">
              <w:rPr>
                <w:lang w:val="en-GB"/>
              </w:rPr>
              <w:t>.</w:t>
            </w:r>
            <w:r w:rsidR="009B553D" w:rsidRPr="003962AB">
              <w:rPr>
                <w:lang w:val="en-GB"/>
              </w:rPr>
              <w:t>3%)</w:t>
            </w:r>
            <w:r w:rsidR="001C673E">
              <w:rPr>
                <w:lang w:val="en-GB"/>
              </w:rPr>
              <w:t xml:space="preserve"> prevail in the list of countries with the above average HICP growth</w:t>
            </w:r>
            <w:r w:rsidR="009B553D" w:rsidRPr="003962AB">
              <w:rPr>
                <w:lang w:val="en-GB"/>
              </w:rPr>
              <w:t>.</w:t>
            </w:r>
            <w:r w:rsidR="001C673E">
              <w:rPr>
                <w:lang w:val="en-GB"/>
              </w:rPr>
              <w:t xml:space="preserve"> </w:t>
            </w:r>
            <w:r w:rsidR="002F311F">
              <w:rPr>
                <w:lang w:val="en-GB"/>
              </w:rPr>
              <w:t xml:space="preserve">Prices in Greece </w:t>
            </w:r>
            <w:r w:rsidR="009B553D" w:rsidRPr="003962AB">
              <w:rPr>
                <w:lang w:val="en-GB"/>
              </w:rPr>
              <w:t>(0</w:t>
            </w:r>
            <w:r w:rsidR="002F311F">
              <w:rPr>
                <w:lang w:val="en-GB"/>
              </w:rPr>
              <w:t>.</w:t>
            </w:r>
            <w:r w:rsidR="009B553D" w:rsidRPr="003962AB">
              <w:rPr>
                <w:lang w:val="en-GB"/>
              </w:rPr>
              <w:t>6%),</w:t>
            </w:r>
            <w:r w:rsidR="002F311F">
              <w:rPr>
                <w:lang w:val="en-GB"/>
              </w:rPr>
              <w:t xml:space="preserve"> Malta </w:t>
            </w:r>
            <w:r w:rsidR="009B553D" w:rsidRPr="003962AB">
              <w:rPr>
                <w:lang w:val="en-GB"/>
              </w:rPr>
              <w:t>(0</w:t>
            </w:r>
            <w:r w:rsidR="002F311F">
              <w:rPr>
                <w:lang w:val="en-GB"/>
              </w:rPr>
              <w:t>.</w:t>
            </w:r>
            <w:r w:rsidR="009B553D" w:rsidRPr="003962AB">
              <w:rPr>
                <w:lang w:val="en-GB"/>
              </w:rPr>
              <w:t>7%)</w:t>
            </w:r>
            <w:r w:rsidR="002F311F">
              <w:rPr>
                <w:lang w:val="en-GB"/>
              </w:rPr>
              <w:t xml:space="preserve"> and Portugal </w:t>
            </w:r>
            <w:r w:rsidR="009B553D" w:rsidRPr="003962AB">
              <w:rPr>
                <w:lang w:val="en-GB"/>
              </w:rPr>
              <w:t>(0</w:t>
            </w:r>
            <w:r w:rsidR="002F311F">
              <w:rPr>
                <w:lang w:val="en-GB"/>
              </w:rPr>
              <w:t>.</w:t>
            </w:r>
            <w:r w:rsidR="009B553D" w:rsidRPr="003962AB">
              <w:rPr>
                <w:lang w:val="en-GB"/>
              </w:rPr>
              <w:t>9%)</w:t>
            </w:r>
            <w:r w:rsidR="002F311F">
              <w:rPr>
                <w:lang w:val="en-GB"/>
              </w:rPr>
              <w:t xml:space="preserve"> grew the least last year</w:t>
            </w:r>
            <w:r w:rsidR="009B553D" w:rsidRPr="003962AB">
              <w:rPr>
                <w:lang w:val="en-GB"/>
              </w:rPr>
              <w:t xml:space="preserve">. </w:t>
            </w:r>
            <w:r w:rsidR="002F311F">
              <w:rPr>
                <w:lang w:val="en-GB"/>
              </w:rPr>
              <w:t>Year-on-year growth of HICP</w:t>
            </w:r>
            <w:r w:rsidR="005337A1">
              <w:rPr>
                <w:lang w:val="en-GB"/>
              </w:rPr>
              <w:t xml:space="preserve"> strengthened </w:t>
            </w:r>
            <w:r w:rsidR="00AE009C">
              <w:rPr>
                <w:lang w:val="en-GB"/>
              </w:rPr>
              <w:t xml:space="preserve">in the EU </w:t>
            </w:r>
            <w:r w:rsidR="005337A1">
              <w:rPr>
                <w:lang w:val="en-GB"/>
              </w:rPr>
              <w:t>throughout</w:t>
            </w:r>
            <w:r w:rsidR="00AE009C">
              <w:rPr>
                <w:lang w:val="en-GB"/>
              </w:rPr>
              <w:t xml:space="preserve"> the whole year 2021 and it reached </w:t>
            </w:r>
            <w:r w:rsidR="009B553D" w:rsidRPr="003962AB">
              <w:rPr>
                <w:lang w:val="en-GB"/>
              </w:rPr>
              <w:t>4</w:t>
            </w:r>
            <w:r w:rsidR="00AE009C">
              <w:rPr>
                <w:lang w:val="en-GB"/>
              </w:rPr>
              <w:t>.</w:t>
            </w:r>
            <w:r w:rsidR="009B553D" w:rsidRPr="003962AB">
              <w:rPr>
                <w:lang w:val="en-GB"/>
              </w:rPr>
              <w:t>9%</w:t>
            </w:r>
            <w:r w:rsidR="00AE009C">
              <w:rPr>
                <w:lang w:val="en-GB"/>
              </w:rPr>
              <w:t xml:space="preserve"> in Q4</w:t>
            </w:r>
            <w:r w:rsidR="009B553D" w:rsidRPr="003962AB">
              <w:rPr>
                <w:lang w:val="en-GB"/>
              </w:rPr>
              <w:t>.</w:t>
            </w:r>
            <w:r w:rsidR="0047080E">
              <w:rPr>
                <w:lang w:val="en-GB"/>
              </w:rPr>
              <w:t xml:space="preserve"> Mainly the sharply growing prices of transportat and housing and energies influenced the acceleration. </w:t>
            </w:r>
            <w:r w:rsidR="00EA0467">
              <w:rPr>
                <w:lang w:val="en-GB"/>
              </w:rPr>
              <w:t xml:space="preserve">Prices in Lithuania </w:t>
            </w:r>
            <w:r w:rsidR="009B553D" w:rsidRPr="003962AB">
              <w:rPr>
                <w:lang w:val="en-GB"/>
              </w:rPr>
              <w:t>(9</w:t>
            </w:r>
            <w:r w:rsidR="00EA0467">
              <w:rPr>
                <w:lang w:val="en-GB"/>
              </w:rPr>
              <w:t>.</w:t>
            </w:r>
            <w:r w:rsidR="009B553D" w:rsidRPr="003962AB">
              <w:rPr>
                <w:lang w:val="en-GB"/>
              </w:rPr>
              <w:t>4%), Eston</w:t>
            </w:r>
            <w:r w:rsidR="00EA0467">
              <w:rPr>
                <w:lang w:val="en-GB"/>
              </w:rPr>
              <w:t xml:space="preserve">ia </w:t>
            </w:r>
            <w:r w:rsidR="009B553D" w:rsidRPr="003962AB">
              <w:rPr>
                <w:lang w:val="en-GB"/>
              </w:rPr>
              <w:t>(9</w:t>
            </w:r>
            <w:r w:rsidR="00EA0467">
              <w:rPr>
                <w:lang w:val="en-GB"/>
              </w:rPr>
              <w:t>.</w:t>
            </w:r>
            <w:r w:rsidR="009B553D" w:rsidRPr="003962AB">
              <w:rPr>
                <w:lang w:val="en-GB"/>
              </w:rPr>
              <w:t>1%) a</w:t>
            </w:r>
            <w:r w:rsidR="00EA0467">
              <w:rPr>
                <w:lang w:val="en-GB"/>
              </w:rPr>
              <w:t>nd</w:t>
            </w:r>
            <w:r w:rsidR="009B553D" w:rsidRPr="003962AB">
              <w:rPr>
                <w:lang w:val="en-GB"/>
              </w:rPr>
              <w:t> Pol</w:t>
            </w:r>
            <w:r w:rsidR="00EA0467">
              <w:rPr>
                <w:lang w:val="en-GB"/>
              </w:rPr>
              <w:t xml:space="preserve">and </w:t>
            </w:r>
            <w:r w:rsidR="009B553D" w:rsidRPr="003962AB">
              <w:rPr>
                <w:lang w:val="en-GB"/>
              </w:rPr>
              <w:t>(7</w:t>
            </w:r>
            <w:r w:rsidR="00EA0467">
              <w:rPr>
                <w:lang w:val="en-GB"/>
              </w:rPr>
              <w:t>.</w:t>
            </w:r>
            <w:r w:rsidR="009B553D" w:rsidRPr="003962AB">
              <w:rPr>
                <w:lang w:val="en-GB"/>
              </w:rPr>
              <w:t>3%)</w:t>
            </w:r>
            <w:r w:rsidR="0047080E">
              <w:rPr>
                <w:lang w:val="en-GB"/>
              </w:rPr>
              <w:t xml:space="preserve"> went up the most</w:t>
            </w:r>
            <w:r w:rsidR="009B553D" w:rsidRPr="003962AB">
              <w:rPr>
                <w:lang w:val="en-GB"/>
              </w:rPr>
              <w:t>.</w:t>
            </w:r>
            <w:r w:rsidR="00AE74E0">
              <w:rPr>
                <w:lang w:val="en-GB"/>
              </w:rPr>
              <w:t xml:space="preserve"> Malta </w:t>
            </w:r>
            <w:r w:rsidR="009B553D" w:rsidRPr="003962AB">
              <w:rPr>
                <w:lang w:val="en-GB"/>
              </w:rPr>
              <w:t>(2</w:t>
            </w:r>
            <w:r w:rsidR="00AE74E0">
              <w:rPr>
                <w:lang w:val="en-GB"/>
              </w:rPr>
              <w:t>.</w:t>
            </w:r>
            <w:r w:rsidR="009B553D" w:rsidRPr="003962AB">
              <w:rPr>
                <w:lang w:val="en-GB"/>
              </w:rPr>
              <w:t>1%), Portugal</w:t>
            </w:r>
            <w:r w:rsidR="00AE74E0">
              <w:rPr>
                <w:lang w:val="en-GB"/>
              </w:rPr>
              <w:t xml:space="preserve"> </w:t>
            </w:r>
            <w:r w:rsidR="009B553D" w:rsidRPr="003962AB">
              <w:rPr>
                <w:lang w:val="en-GB"/>
              </w:rPr>
              <w:t>(2</w:t>
            </w:r>
            <w:r w:rsidR="00F72C90">
              <w:rPr>
                <w:lang w:val="en-GB"/>
              </w:rPr>
              <w:t>.</w:t>
            </w:r>
            <w:r w:rsidR="009B553D" w:rsidRPr="003962AB">
              <w:rPr>
                <w:lang w:val="en-GB"/>
              </w:rPr>
              <w:t>4%) a</w:t>
            </w:r>
            <w:r w:rsidR="00F72C90">
              <w:rPr>
                <w:lang w:val="en-GB"/>
              </w:rPr>
              <w:t xml:space="preserve">nd Finland </w:t>
            </w:r>
            <w:r w:rsidR="009B553D" w:rsidRPr="003962AB">
              <w:rPr>
                <w:lang w:val="en-GB"/>
              </w:rPr>
              <w:t>(3</w:t>
            </w:r>
            <w:r w:rsidR="00F72C90">
              <w:rPr>
                <w:lang w:val="en-GB"/>
              </w:rPr>
              <w:t>.</w:t>
            </w:r>
            <w:r w:rsidR="009B553D" w:rsidRPr="003962AB">
              <w:rPr>
                <w:lang w:val="en-GB"/>
              </w:rPr>
              <w:t>1%)</w:t>
            </w:r>
            <w:r w:rsidR="00AE74E0">
              <w:rPr>
                <w:lang w:val="en-GB"/>
              </w:rPr>
              <w:t xml:space="preserve"> recorded the smallest year-on-year increases in Q4</w:t>
            </w:r>
            <w:r w:rsidR="009B553D" w:rsidRPr="003962AB">
              <w:rPr>
                <w:lang w:val="en-GB"/>
              </w:rPr>
              <w:t>.</w:t>
            </w:r>
          </w:p>
        </w:tc>
      </w:tr>
      <w:tr w:rsidR="009B553D" w:rsidRPr="009110F7" w14:paraId="6D98820C" w14:textId="77777777" w:rsidTr="00913237">
        <w:trPr>
          <w:trHeight w:val="145"/>
        </w:trPr>
        <w:tc>
          <w:tcPr>
            <w:tcW w:w="1805" w:type="dxa"/>
            <w:shd w:val="clear" w:color="auto" w:fill="auto"/>
            <w:tcMar>
              <w:left w:w="0" w:type="dxa"/>
            </w:tcMar>
          </w:tcPr>
          <w:p w14:paraId="75288F3D" w14:textId="692CAC4B" w:rsidR="009B553D" w:rsidRPr="00FB4932" w:rsidRDefault="00FB4932" w:rsidP="00913237">
            <w:pPr>
              <w:pStyle w:val="Marginlie"/>
              <w:rPr>
                <w:spacing w:val="0"/>
                <w:lang w:val="en-GB"/>
              </w:rPr>
            </w:pPr>
            <w:r w:rsidRPr="00FB4932">
              <w:rPr>
                <w:spacing w:val="0"/>
                <w:lang w:val="en-GB"/>
              </w:rPr>
              <w:t xml:space="preserve">Prices of flats grew by exceptionally fast paces. </w:t>
            </w:r>
          </w:p>
        </w:tc>
        <w:tc>
          <w:tcPr>
            <w:tcW w:w="224" w:type="dxa"/>
            <w:shd w:val="clear" w:color="auto" w:fill="auto"/>
            <w:tcMar>
              <w:left w:w="0" w:type="dxa"/>
            </w:tcMar>
          </w:tcPr>
          <w:p w14:paraId="300C0801" w14:textId="77777777" w:rsidR="009B553D" w:rsidRPr="00793D78" w:rsidRDefault="009B553D" w:rsidP="00913237">
            <w:pPr>
              <w:pStyle w:val="Textpoznpodarou1"/>
              <w:jc w:val="both"/>
            </w:pPr>
          </w:p>
        </w:tc>
        <w:tc>
          <w:tcPr>
            <w:tcW w:w="7610" w:type="dxa"/>
            <w:shd w:val="clear" w:color="auto" w:fill="auto"/>
            <w:tcMar>
              <w:left w:w="0" w:type="dxa"/>
            </w:tcMar>
          </w:tcPr>
          <w:p w14:paraId="589BD71E" w14:textId="26A01896" w:rsidR="009B553D" w:rsidRPr="00FB346E" w:rsidRDefault="00927FD6" w:rsidP="00913237">
            <w:pPr>
              <w:rPr>
                <w:lang w:val="en-GB"/>
              </w:rPr>
            </w:pPr>
            <w:r>
              <w:rPr>
                <w:lang w:val="en-GB"/>
              </w:rPr>
              <w:t>Tension</w:t>
            </w:r>
            <w:r w:rsidR="005F1255">
              <w:rPr>
                <w:lang w:val="en-GB"/>
              </w:rPr>
              <w:t xml:space="preserve"> </w:t>
            </w:r>
            <w:r w:rsidR="0081335A">
              <w:rPr>
                <w:lang w:val="en-GB"/>
              </w:rPr>
              <w:t xml:space="preserve">on the real estate market deepened further and </w:t>
            </w:r>
            <w:r w:rsidR="00EB0AD5">
              <w:rPr>
                <w:lang w:val="en-GB"/>
              </w:rPr>
              <w:t xml:space="preserve">with </w:t>
            </w:r>
            <w:proofErr w:type="gramStart"/>
            <w:r w:rsidR="00EB0AD5">
              <w:rPr>
                <w:lang w:val="en-GB"/>
              </w:rPr>
              <w:t>it also</w:t>
            </w:r>
            <w:proofErr w:type="gramEnd"/>
            <w:r w:rsidR="00EB0AD5">
              <w:rPr>
                <w:lang w:val="en-GB"/>
              </w:rPr>
              <w:t xml:space="preserve"> accelerated the growth of real estate prices in the whole CR. The surplus of free cash in households as well as the pressure on the securing more advantageous financing in the anticipation of further increase of interest rates </w:t>
            </w:r>
            <w:r w:rsidR="0081335A">
              <w:rPr>
                <w:lang w:val="en-GB"/>
              </w:rPr>
              <w:t>supported</w:t>
            </w:r>
            <w:r w:rsidR="00EB0AD5">
              <w:rPr>
                <w:lang w:val="en-GB"/>
              </w:rPr>
              <w:t xml:space="preserve"> the excess demand over supply</w:t>
            </w:r>
            <w:r w:rsidR="009B553D" w:rsidRPr="00FB346E">
              <w:rPr>
                <w:lang w:val="en-GB"/>
              </w:rPr>
              <w:t>.</w:t>
            </w:r>
            <w:r w:rsidR="007A714A">
              <w:rPr>
                <w:lang w:val="en-GB"/>
              </w:rPr>
              <w:t xml:space="preserve"> Year-on-year growth of the catalogue prices of flats in the CR reached 12.4% in the CR in Q4, which was the most since Q</w:t>
            </w:r>
            <w:r w:rsidR="009B553D" w:rsidRPr="00FB346E">
              <w:rPr>
                <w:lang w:val="en-GB"/>
              </w:rPr>
              <w:t>1</w:t>
            </w:r>
            <w:r w:rsidR="007A714A">
              <w:rPr>
                <w:lang w:val="en-GB"/>
              </w:rPr>
              <w:t xml:space="preserve"> </w:t>
            </w:r>
            <w:r w:rsidR="009B553D" w:rsidRPr="00FB346E">
              <w:rPr>
                <w:lang w:val="en-GB"/>
              </w:rPr>
              <w:t xml:space="preserve">2018. </w:t>
            </w:r>
            <w:r w:rsidR="00A21647">
              <w:rPr>
                <w:lang w:val="en-GB"/>
              </w:rPr>
              <w:t xml:space="preserve">Growth of catalogue prices of flats outside Prague strengthened to </w:t>
            </w:r>
            <w:r w:rsidR="009B553D" w:rsidRPr="00FB346E">
              <w:rPr>
                <w:lang w:val="en-GB"/>
              </w:rPr>
              <w:t>16</w:t>
            </w:r>
            <w:r w:rsidR="00A21647">
              <w:rPr>
                <w:lang w:val="en-GB"/>
              </w:rPr>
              <w:t>.</w:t>
            </w:r>
            <w:r w:rsidR="009B553D" w:rsidRPr="00FB346E">
              <w:rPr>
                <w:lang w:val="en-GB"/>
              </w:rPr>
              <w:t xml:space="preserve">5%, </w:t>
            </w:r>
            <w:r w:rsidR="00A21647">
              <w:rPr>
                <w:lang w:val="en-GB"/>
              </w:rPr>
              <w:t xml:space="preserve">which was the most since the end of year </w:t>
            </w:r>
            <w:r w:rsidR="009B553D" w:rsidRPr="00FB346E">
              <w:rPr>
                <w:lang w:val="en-GB"/>
              </w:rPr>
              <w:t xml:space="preserve">2008. </w:t>
            </w:r>
            <w:r w:rsidR="000C1C5A">
              <w:rPr>
                <w:lang w:val="en-GB"/>
              </w:rPr>
              <w:t xml:space="preserve">Catalogue prices of flats grew by 9.1% </w:t>
            </w:r>
            <w:r w:rsidR="005F1255">
              <w:rPr>
                <w:lang w:val="en-GB"/>
              </w:rPr>
              <w:t>in Prague year-on-year. The realised prices of</w:t>
            </w:r>
            <w:r w:rsidR="00A21647">
              <w:rPr>
                <w:lang w:val="en-GB"/>
              </w:rPr>
              <w:t xml:space="preserve"> older flats were by 25.2% higher in the CR in Q4 year-on-year. </w:t>
            </w:r>
            <w:r>
              <w:rPr>
                <w:lang w:val="en-GB"/>
              </w:rPr>
              <w:t xml:space="preserve">In </w:t>
            </w:r>
            <w:proofErr w:type="gramStart"/>
            <w:r w:rsidR="001D386E">
              <w:rPr>
                <w:lang w:val="en-GB"/>
              </w:rPr>
              <w:t>that</w:t>
            </w:r>
            <w:proofErr w:type="gramEnd"/>
            <w:r w:rsidR="001D386E">
              <w:rPr>
                <w:lang w:val="en-GB"/>
              </w:rPr>
              <w:t xml:space="preserve"> flats</w:t>
            </w:r>
            <w:r w:rsidR="00A21647">
              <w:rPr>
                <w:lang w:val="en-GB"/>
              </w:rPr>
              <w:t xml:space="preserve"> outside Prague were by </w:t>
            </w:r>
            <w:r w:rsidR="009B553D" w:rsidRPr="00FB346E">
              <w:rPr>
                <w:lang w:val="en-GB"/>
              </w:rPr>
              <w:t>26</w:t>
            </w:r>
            <w:r w:rsidR="00A21647">
              <w:rPr>
                <w:lang w:val="en-GB"/>
              </w:rPr>
              <w:t>.</w:t>
            </w:r>
            <w:r w:rsidR="009B553D" w:rsidRPr="00FB346E">
              <w:rPr>
                <w:lang w:val="en-GB"/>
              </w:rPr>
              <w:t>7%</w:t>
            </w:r>
            <w:r w:rsidR="00A21647">
              <w:rPr>
                <w:lang w:val="en-GB"/>
              </w:rPr>
              <w:t xml:space="preserve"> more costly</w:t>
            </w:r>
            <w:r w:rsidR="009B553D" w:rsidRPr="00FB346E">
              <w:rPr>
                <w:lang w:val="en-GB"/>
              </w:rPr>
              <w:t xml:space="preserve">, </w:t>
            </w:r>
            <w:r>
              <w:rPr>
                <w:lang w:val="en-GB"/>
              </w:rPr>
              <w:t xml:space="preserve">while </w:t>
            </w:r>
            <w:r w:rsidR="000C1C5A">
              <w:rPr>
                <w:lang w:val="en-GB"/>
              </w:rPr>
              <w:t>the prices of flats</w:t>
            </w:r>
            <w:r w:rsidR="00A21647">
              <w:rPr>
                <w:lang w:val="en-GB"/>
              </w:rPr>
              <w:t xml:space="preserve"> in Prague went up by one fifth. Realised prices of new flats in Prague increased by 26.5% year-on-year in Q4.</w:t>
            </w:r>
          </w:p>
        </w:tc>
      </w:tr>
      <w:tr w:rsidR="009B553D" w:rsidRPr="009110F7" w14:paraId="5EC2F05E" w14:textId="77777777" w:rsidTr="00913237">
        <w:trPr>
          <w:trHeight w:val="170"/>
        </w:trPr>
        <w:tc>
          <w:tcPr>
            <w:tcW w:w="1805" w:type="dxa"/>
            <w:vMerge w:val="restart"/>
            <w:shd w:val="clear" w:color="auto" w:fill="auto"/>
            <w:tcMar>
              <w:left w:w="0" w:type="dxa"/>
            </w:tcMar>
          </w:tcPr>
          <w:p w14:paraId="0EC1F2A2" w14:textId="77777777" w:rsidR="009B553D" w:rsidRDefault="009B553D" w:rsidP="00913237">
            <w:pPr>
              <w:pStyle w:val="Marginlie"/>
              <w:rPr>
                <w:spacing w:val="0"/>
              </w:rPr>
            </w:pPr>
          </w:p>
        </w:tc>
        <w:tc>
          <w:tcPr>
            <w:tcW w:w="224" w:type="dxa"/>
            <w:vMerge w:val="restart"/>
            <w:shd w:val="clear" w:color="auto" w:fill="auto"/>
            <w:tcMar>
              <w:left w:w="0" w:type="dxa"/>
            </w:tcMar>
          </w:tcPr>
          <w:p w14:paraId="4185F676" w14:textId="77777777" w:rsidR="009B553D" w:rsidRPr="00793D78" w:rsidRDefault="009B553D" w:rsidP="00913237">
            <w:pPr>
              <w:pStyle w:val="Textpoznpodarou1"/>
              <w:jc w:val="both"/>
            </w:pPr>
          </w:p>
        </w:tc>
        <w:tc>
          <w:tcPr>
            <w:tcW w:w="7610" w:type="dxa"/>
            <w:shd w:val="clear" w:color="auto" w:fill="auto"/>
            <w:tcMar>
              <w:left w:w="0" w:type="dxa"/>
            </w:tcMar>
          </w:tcPr>
          <w:p w14:paraId="4B4CDCE4" w14:textId="110B13DF" w:rsidR="009B553D" w:rsidRPr="00F34AF4" w:rsidRDefault="0047080E" w:rsidP="00A02E8B">
            <w:pPr>
              <w:spacing w:after="0"/>
              <w:rPr>
                <w:lang w:val="en-GB"/>
              </w:rPr>
            </w:pPr>
            <w:r w:rsidRPr="00F34AF4">
              <w:rPr>
                <w:b/>
                <w:sz w:val="18"/>
                <w:szCs w:val="18"/>
                <w:lang w:val="en-GB" w:eastAsia="en-US"/>
              </w:rPr>
              <w:t xml:space="preserve">Chart </w:t>
            </w:r>
            <w:r w:rsidR="00F8046A" w:rsidRPr="00F34AF4">
              <w:rPr>
                <w:b/>
                <w:sz w:val="18"/>
                <w:szCs w:val="18"/>
                <w:lang w:val="en-GB" w:eastAsia="en-US"/>
              </w:rPr>
              <w:t>12 Real</w:t>
            </w:r>
            <w:r w:rsidR="00F34AF4" w:rsidRPr="00F34AF4">
              <w:rPr>
                <w:b/>
                <w:sz w:val="18"/>
                <w:szCs w:val="18"/>
                <w:lang w:val="en-GB" w:eastAsia="en-US"/>
              </w:rPr>
              <w:t xml:space="preserve"> estate prices </w:t>
            </w:r>
            <w:r w:rsidR="009B553D" w:rsidRPr="00F34AF4">
              <w:rPr>
                <w:sz w:val="18"/>
                <w:szCs w:val="18"/>
                <w:lang w:val="en-GB" w:eastAsia="en-US"/>
              </w:rPr>
              <w:t>(</w:t>
            </w:r>
            <w:r w:rsidR="00F34AF4" w:rsidRPr="00F34AF4">
              <w:rPr>
                <w:sz w:val="18"/>
                <w:szCs w:val="18"/>
                <w:lang w:val="en-GB" w:eastAsia="en-US"/>
              </w:rPr>
              <w:t xml:space="preserve">year-on-year change, in </w:t>
            </w:r>
            <w:r w:rsidR="009B553D" w:rsidRPr="00F34AF4">
              <w:rPr>
                <w:sz w:val="18"/>
                <w:szCs w:val="18"/>
                <w:lang w:val="en-GB" w:eastAsia="en-US"/>
              </w:rPr>
              <w:t>%)</w:t>
            </w:r>
          </w:p>
        </w:tc>
      </w:tr>
      <w:tr w:rsidR="009B553D" w:rsidRPr="009110F7" w14:paraId="44AF19B3" w14:textId="77777777" w:rsidTr="009B0A5E">
        <w:tblPrEx>
          <w:tblCellMar>
            <w:left w:w="70" w:type="dxa"/>
            <w:right w:w="70" w:type="dxa"/>
          </w:tblCellMar>
        </w:tblPrEx>
        <w:trPr>
          <w:trHeight w:val="170"/>
        </w:trPr>
        <w:tc>
          <w:tcPr>
            <w:tcW w:w="1805" w:type="dxa"/>
            <w:vMerge/>
            <w:shd w:val="clear" w:color="auto" w:fill="auto"/>
          </w:tcPr>
          <w:p w14:paraId="778C224F" w14:textId="77777777" w:rsidR="009B553D" w:rsidRDefault="009B553D" w:rsidP="00913237">
            <w:pPr>
              <w:pStyle w:val="Marginlie"/>
              <w:rPr>
                <w:spacing w:val="0"/>
              </w:rPr>
            </w:pPr>
          </w:p>
        </w:tc>
        <w:tc>
          <w:tcPr>
            <w:tcW w:w="224" w:type="dxa"/>
            <w:vMerge/>
            <w:shd w:val="clear" w:color="auto" w:fill="auto"/>
          </w:tcPr>
          <w:p w14:paraId="560D1A92" w14:textId="77777777" w:rsidR="009B553D" w:rsidRPr="00793D78" w:rsidRDefault="009B553D" w:rsidP="00913237">
            <w:pPr>
              <w:pStyle w:val="Textpoznpodarou1"/>
              <w:jc w:val="both"/>
            </w:pPr>
          </w:p>
        </w:tc>
        <w:tc>
          <w:tcPr>
            <w:tcW w:w="7610" w:type="dxa"/>
            <w:shd w:val="clear" w:color="auto" w:fill="auto"/>
          </w:tcPr>
          <w:p w14:paraId="4FC14634" w14:textId="38DEB436" w:rsidR="009B553D" w:rsidRDefault="009B0A5E" w:rsidP="00913237">
            <w:pPr>
              <w:spacing w:after="0"/>
            </w:pPr>
            <w:r>
              <w:rPr>
                <w:noProof/>
              </w:rPr>
              <w:drawing>
                <wp:inline distT="0" distB="0" distL="0" distR="0" wp14:anchorId="52B45AA0" wp14:editId="4285DEE0">
                  <wp:extent cx="4737600" cy="3492000"/>
                  <wp:effectExtent l="0" t="0" r="6350" b="0"/>
                  <wp:docPr id="44" name="Graf 4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B553D" w:rsidRPr="009110F7" w14:paraId="491A13AF" w14:textId="77777777" w:rsidTr="00913237">
        <w:trPr>
          <w:trHeight w:val="170"/>
        </w:trPr>
        <w:tc>
          <w:tcPr>
            <w:tcW w:w="1805" w:type="dxa"/>
            <w:vMerge/>
            <w:shd w:val="clear" w:color="auto" w:fill="auto"/>
            <w:tcMar>
              <w:left w:w="0" w:type="dxa"/>
            </w:tcMar>
          </w:tcPr>
          <w:p w14:paraId="0C79B595" w14:textId="77777777" w:rsidR="009B553D" w:rsidRDefault="009B553D" w:rsidP="00913237">
            <w:pPr>
              <w:pStyle w:val="Marginlie"/>
              <w:rPr>
                <w:spacing w:val="0"/>
              </w:rPr>
            </w:pPr>
          </w:p>
        </w:tc>
        <w:tc>
          <w:tcPr>
            <w:tcW w:w="224" w:type="dxa"/>
            <w:vMerge/>
            <w:shd w:val="clear" w:color="auto" w:fill="auto"/>
            <w:tcMar>
              <w:left w:w="0" w:type="dxa"/>
            </w:tcMar>
          </w:tcPr>
          <w:p w14:paraId="3437C888" w14:textId="77777777" w:rsidR="009B553D" w:rsidRPr="00793D78" w:rsidRDefault="009B553D" w:rsidP="00913237">
            <w:pPr>
              <w:pStyle w:val="Textpoznpodarou1"/>
              <w:jc w:val="both"/>
            </w:pPr>
          </w:p>
        </w:tc>
        <w:tc>
          <w:tcPr>
            <w:tcW w:w="7610" w:type="dxa"/>
            <w:shd w:val="clear" w:color="auto" w:fill="auto"/>
            <w:tcMar>
              <w:left w:w="0" w:type="dxa"/>
            </w:tcMar>
          </w:tcPr>
          <w:p w14:paraId="5B14D41C" w14:textId="2656FDC5" w:rsidR="00EB3882" w:rsidRPr="001D386E" w:rsidRDefault="00A21647" w:rsidP="009B0A5E">
            <w:pPr>
              <w:spacing w:after="0"/>
              <w:rPr>
                <w:b/>
                <w:bCs/>
                <w:sz w:val="16"/>
                <w:szCs w:val="16"/>
              </w:rPr>
            </w:pPr>
            <w:r>
              <w:rPr>
                <w:sz w:val="14"/>
                <w:szCs w:val="14"/>
              </w:rPr>
              <w:t>Source</w:t>
            </w:r>
            <w:r w:rsidR="009B553D" w:rsidRPr="00793D78">
              <w:rPr>
                <w:sz w:val="14"/>
                <w:szCs w:val="14"/>
              </w:rPr>
              <w:t xml:space="preserve">: </w:t>
            </w:r>
            <w:r>
              <w:rPr>
                <w:sz w:val="14"/>
                <w:szCs w:val="14"/>
              </w:rPr>
              <w:t>CZSO</w:t>
            </w:r>
          </w:p>
        </w:tc>
      </w:tr>
      <w:tr w:rsidR="009B553D" w:rsidRPr="009110F7" w14:paraId="59B5CF3A" w14:textId="77777777" w:rsidTr="00913237">
        <w:trPr>
          <w:trHeight w:val="145"/>
        </w:trPr>
        <w:tc>
          <w:tcPr>
            <w:tcW w:w="1805" w:type="dxa"/>
            <w:shd w:val="clear" w:color="auto" w:fill="auto"/>
            <w:tcMar>
              <w:left w:w="0" w:type="dxa"/>
            </w:tcMar>
          </w:tcPr>
          <w:p w14:paraId="0871EE6E" w14:textId="07C7B319" w:rsidR="009B553D" w:rsidRPr="00A21647" w:rsidRDefault="00A21647" w:rsidP="00913237">
            <w:pPr>
              <w:pStyle w:val="Marginlie"/>
              <w:rPr>
                <w:spacing w:val="0"/>
                <w:lang w:val="en-GB"/>
              </w:rPr>
            </w:pPr>
            <w:r w:rsidRPr="00A21647">
              <w:rPr>
                <w:spacing w:val="0"/>
                <w:lang w:val="en-GB"/>
              </w:rPr>
              <w:lastRenderedPageBreak/>
              <w:t xml:space="preserve">Prices of industrial producers grew by record pace last year. </w:t>
            </w:r>
          </w:p>
        </w:tc>
        <w:tc>
          <w:tcPr>
            <w:tcW w:w="224" w:type="dxa"/>
            <w:shd w:val="clear" w:color="auto" w:fill="auto"/>
            <w:tcMar>
              <w:left w:w="0" w:type="dxa"/>
            </w:tcMar>
          </w:tcPr>
          <w:p w14:paraId="15D49AE0" w14:textId="77777777" w:rsidR="009B553D" w:rsidRPr="00A21647" w:rsidRDefault="009B553D" w:rsidP="00913237">
            <w:pPr>
              <w:pStyle w:val="Textpoznpodarou1"/>
              <w:jc w:val="both"/>
              <w:rPr>
                <w:lang w:val="en-GB"/>
              </w:rPr>
            </w:pPr>
          </w:p>
        </w:tc>
        <w:tc>
          <w:tcPr>
            <w:tcW w:w="7610" w:type="dxa"/>
            <w:shd w:val="clear" w:color="auto" w:fill="auto"/>
            <w:tcMar>
              <w:left w:w="0" w:type="dxa"/>
            </w:tcMar>
          </w:tcPr>
          <w:p w14:paraId="18463D99" w14:textId="2538A99D" w:rsidR="009B553D" w:rsidRPr="00A21647" w:rsidRDefault="008B0FD5" w:rsidP="00F84123">
            <w:pPr>
              <w:rPr>
                <w:lang w:val="en-GB"/>
              </w:rPr>
            </w:pPr>
            <w:r>
              <w:rPr>
                <w:lang w:val="en-GB"/>
              </w:rPr>
              <w:t xml:space="preserve">Industrial producer prices increased by 7.1% in year </w:t>
            </w:r>
            <w:r w:rsidR="009B553D" w:rsidRPr="00A21647">
              <w:rPr>
                <w:lang w:val="en-GB"/>
              </w:rPr>
              <w:t>2021,</w:t>
            </w:r>
            <w:r>
              <w:rPr>
                <w:lang w:val="en-GB"/>
              </w:rPr>
              <w:t xml:space="preserve"> which was the most since year </w:t>
            </w:r>
            <w:r w:rsidR="009B553D" w:rsidRPr="00A21647">
              <w:rPr>
                <w:lang w:val="en-GB"/>
              </w:rPr>
              <w:t>1995.</w:t>
            </w:r>
            <w:r>
              <w:rPr>
                <w:lang w:val="en-GB"/>
              </w:rPr>
              <w:t xml:space="preserve"> The majority of this increase </w:t>
            </w:r>
            <w:proofErr w:type="gramStart"/>
            <w:r>
              <w:rPr>
                <w:lang w:val="en-GB"/>
              </w:rPr>
              <w:t>was affected</w:t>
            </w:r>
            <w:proofErr w:type="gramEnd"/>
            <w:r>
              <w:rPr>
                <w:lang w:val="en-GB"/>
              </w:rPr>
              <w:t xml:space="preserve"> by the prices of </w:t>
            </w:r>
            <w:r w:rsidR="00F84123">
              <w:rPr>
                <w:lang w:val="en-GB"/>
              </w:rPr>
              <w:t xml:space="preserve">manufactured </w:t>
            </w:r>
            <w:r>
              <w:rPr>
                <w:lang w:val="en-GB"/>
              </w:rPr>
              <w:t xml:space="preserve">products, which went up by </w:t>
            </w:r>
            <w:r w:rsidR="009B553D" w:rsidRPr="00A21647">
              <w:rPr>
                <w:lang w:val="en-GB"/>
              </w:rPr>
              <w:t>8</w:t>
            </w:r>
            <w:r>
              <w:rPr>
                <w:lang w:val="en-GB"/>
              </w:rPr>
              <w:t>.</w:t>
            </w:r>
            <w:r w:rsidR="009B553D" w:rsidRPr="00A21647">
              <w:rPr>
                <w:lang w:val="en-GB"/>
              </w:rPr>
              <w:t>4%.</w:t>
            </w:r>
            <w:r w:rsidR="00A70794">
              <w:rPr>
                <w:lang w:val="en-GB"/>
              </w:rPr>
              <w:t xml:space="preserve"> Increase of prices of basic metals and </w:t>
            </w:r>
            <w:r w:rsidR="00F84123">
              <w:rPr>
                <w:lang w:val="en-GB"/>
              </w:rPr>
              <w:t xml:space="preserve">fabricated </w:t>
            </w:r>
            <w:r w:rsidR="00A70794">
              <w:rPr>
                <w:lang w:val="en-GB"/>
              </w:rPr>
              <w:t>metal</w:t>
            </w:r>
            <w:r w:rsidR="00F84123">
              <w:rPr>
                <w:lang w:val="en-GB"/>
              </w:rPr>
              <w:t xml:space="preserve"> products</w:t>
            </w:r>
            <w:r w:rsidR="00A70794">
              <w:rPr>
                <w:lang w:val="en-GB"/>
              </w:rPr>
              <w:t xml:space="preserve"> </w:t>
            </w:r>
            <w:r w:rsidR="009B553D" w:rsidRPr="00A21647">
              <w:rPr>
                <w:lang w:val="en-GB"/>
              </w:rPr>
              <w:t>(17</w:t>
            </w:r>
            <w:r w:rsidR="00A70794">
              <w:rPr>
                <w:lang w:val="en-GB"/>
              </w:rPr>
              <w:t>.</w:t>
            </w:r>
            <w:r w:rsidR="009B553D" w:rsidRPr="00A21647">
              <w:rPr>
                <w:lang w:val="en-GB"/>
              </w:rPr>
              <w:t>2%)</w:t>
            </w:r>
            <w:r w:rsidR="00A70794">
              <w:rPr>
                <w:lang w:val="en-GB"/>
              </w:rPr>
              <w:t xml:space="preserve"> and coke and refined </w:t>
            </w:r>
            <w:r w:rsidR="00F84123">
              <w:rPr>
                <w:lang w:val="en-GB"/>
              </w:rPr>
              <w:t>petroleum</w:t>
            </w:r>
            <w:r w:rsidR="00A70794">
              <w:rPr>
                <w:lang w:val="en-GB"/>
              </w:rPr>
              <w:t xml:space="preserve"> products</w:t>
            </w:r>
            <w:r w:rsidR="009B553D" w:rsidRPr="00A21647">
              <w:rPr>
                <w:rStyle w:val="Znakapoznpodarou"/>
                <w:lang w:val="en-GB"/>
              </w:rPr>
              <w:footnoteReference w:id="52"/>
            </w:r>
            <w:r w:rsidR="00A70794">
              <w:rPr>
                <w:lang w:val="en-GB"/>
              </w:rPr>
              <w:t xml:space="preserve"> mainly contributed</w:t>
            </w:r>
            <w:r w:rsidR="009B553D" w:rsidRPr="00A21647">
              <w:rPr>
                <w:lang w:val="en-GB"/>
              </w:rPr>
              <w:t>.</w:t>
            </w:r>
            <w:r w:rsidR="00A70794">
              <w:rPr>
                <w:lang w:val="en-GB"/>
              </w:rPr>
              <w:t xml:space="preserve"> The strong increase of prices of chemical</w:t>
            </w:r>
            <w:r w:rsidR="00F84123">
              <w:rPr>
                <w:lang w:val="en-GB"/>
              </w:rPr>
              <w:t xml:space="preserve">s and chemical </w:t>
            </w:r>
            <w:r w:rsidR="00A70794">
              <w:rPr>
                <w:lang w:val="en-GB"/>
              </w:rPr>
              <w:t xml:space="preserve">products </w:t>
            </w:r>
            <w:r w:rsidR="009B553D" w:rsidRPr="00A21647">
              <w:rPr>
                <w:lang w:val="en-GB"/>
              </w:rPr>
              <w:t>(31</w:t>
            </w:r>
            <w:r w:rsidR="00A70794">
              <w:rPr>
                <w:lang w:val="en-GB"/>
              </w:rPr>
              <w:t>.</w:t>
            </w:r>
            <w:r w:rsidR="009B553D" w:rsidRPr="00A21647">
              <w:rPr>
                <w:lang w:val="en-GB"/>
              </w:rPr>
              <w:t>8%)</w:t>
            </w:r>
            <w:r w:rsidR="00A70794">
              <w:rPr>
                <w:lang w:val="en-GB"/>
              </w:rPr>
              <w:t xml:space="preserve"> with development of prices of oil</w:t>
            </w:r>
            <w:r w:rsidR="009B553D" w:rsidRPr="00A21647">
              <w:rPr>
                <w:lang w:val="en-GB"/>
              </w:rPr>
              <w:t xml:space="preserve"> a</w:t>
            </w:r>
            <w:r w:rsidR="00436A40">
              <w:rPr>
                <w:lang w:val="en-GB"/>
              </w:rPr>
              <w:t>nd the marked price increase also affected wood, paper and print</w:t>
            </w:r>
            <w:r w:rsidR="00F84123">
              <w:rPr>
                <w:lang w:val="en-GB"/>
              </w:rPr>
              <w:t>ing</w:t>
            </w:r>
            <w:r w:rsidR="00436A40">
              <w:rPr>
                <w:lang w:val="en-GB"/>
              </w:rPr>
              <w:t xml:space="preserve"> </w:t>
            </w:r>
            <w:r w:rsidR="009B553D" w:rsidRPr="00A21647">
              <w:rPr>
                <w:lang w:val="en-GB"/>
              </w:rPr>
              <w:t>(13</w:t>
            </w:r>
            <w:r w:rsidR="00436A40">
              <w:rPr>
                <w:lang w:val="en-GB"/>
              </w:rPr>
              <w:t>.</w:t>
            </w:r>
            <w:r w:rsidR="009B553D" w:rsidRPr="00A21647">
              <w:rPr>
                <w:lang w:val="en-GB"/>
              </w:rPr>
              <w:t>4%).</w:t>
            </w:r>
            <w:r w:rsidR="00436A40">
              <w:rPr>
                <w:lang w:val="en-GB"/>
              </w:rPr>
              <w:t xml:space="preserve"> Prices of rubber and plastic products </w:t>
            </w:r>
            <w:r w:rsidR="009B553D" w:rsidRPr="00A21647">
              <w:rPr>
                <w:lang w:val="en-GB"/>
              </w:rPr>
              <w:t>(4</w:t>
            </w:r>
            <w:r w:rsidR="00436A40">
              <w:rPr>
                <w:lang w:val="en-GB"/>
              </w:rPr>
              <w:t>.</w:t>
            </w:r>
            <w:r w:rsidR="009B553D" w:rsidRPr="00A21647">
              <w:rPr>
                <w:lang w:val="en-GB"/>
              </w:rPr>
              <w:t>6%), ele</w:t>
            </w:r>
            <w:r w:rsidR="00436A40">
              <w:rPr>
                <w:lang w:val="en-GB"/>
              </w:rPr>
              <w:t xml:space="preserve">ctrical </w:t>
            </w:r>
            <w:r w:rsidR="00F84123">
              <w:rPr>
                <w:lang w:val="en-GB"/>
              </w:rPr>
              <w:t>equipment</w:t>
            </w:r>
            <w:r w:rsidR="00436A40">
              <w:rPr>
                <w:lang w:val="en-GB"/>
              </w:rPr>
              <w:t xml:space="preserve"> </w:t>
            </w:r>
            <w:r w:rsidR="009B553D" w:rsidRPr="00A21647">
              <w:rPr>
                <w:lang w:val="en-GB"/>
              </w:rPr>
              <w:t>(4</w:t>
            </w:r>
            <w:r w:rsidR="00436A40">
              <w:rPr>
                <w:lang w:val="en-GB"/>
              </w:rPr>
              <w:t>.</w:t>
            </w:r>
            <w:r w:rsidR="009B553D" w:rsidRPr="00A21647">
              <w:rPr>
                <w:lang w:val="en-GB"/>
              </w:rPr>
              <w:t>6%), textil</w:t>
            </w:r>
            <w:r w:rsidR="00436A40">
              <w:rPr>
                <w:lang w:val="en-GB"/>
              </w:rPr>
              <w:t>e</w:t>
            </w:r>
            <w:r w:rsidR="00F84123">
              <w:rPr>
                <w:lang w:val="en-GB"/>
              </w:rPr>
              <w:t>s</w:t>
            </w:r>
            <w:r w:rsidR="00436A40">
              <w:rPr>
                <w:lang w:val="en-GB"/>
              </w:rPr>
              <w:t>, cloth</w:t>
            </w:r>
            <w:r w:rsidR="00F84123">
              <w:rPr>
                <w:lang w:val="en-GB"/>
              </w:rPr>
              <w:t>es</w:t>
            </w:r>
            <w:r w:rsidR="00436A40">
              <w:rPr>
                <w:lang w:val="en-GB"/>
              </w:rPr>
              <w:t xml:space="preserve"> and leather </w:t>
            </w:r>
            <w:r w:rsidR="009B553D" w:rsidRPr="00A21647">
              <w:rPr>
                <w:lang w:val="en-GB"/>
              </w:rPr>
              <w:t>(4</w:t>
            </w:r>
            <w:r w:rsidR="00436A40">
              <w:rPr>
                <w:lang w:val="en-GB"/>
              </w:rPr>
              <w:t>.</w:t>
            </w:r>
            <w:r w:rsidR="009B553D" w:rsidRPr="00A21647">
              <w:rPr>
                <w:lang w:val="en-GB"/>
              </w:rPr>
              <w:t>4%),</w:t>
            </w:r>
            <w:r w:rsidR="00436A40">
              <w:rPr>
                <w:lang w:val="en-GB"/>
              </w:rPr>
              <w:t xml:space="preserve"> </w:t>
            </w:r>
            <w:r w:rsidR="00A70794">
              <w:rPr>
                <w:lang w:val="en-GB"/>
              </w:rPr>
              <w:t xml:space="preserve">furniture and other </w:t>
            </w:r>
            <w:r w:rsidR="00F84123">
              <w:rPr>
                <w:lang w:val="en-GB"/>
              </w:rPr>
              <w:t xml:space="preserve">manufactured </w:t>
            </w:r>
            <w:r w:rsidR="00A70794">
              <w:rPr>
                <w:lang w:val="en-GB"/>
              </w:rPr>
              <w:t xml:space="preserve">products </w:t>
            </w:r>
            <w:r w:rsidR="009B553D" w:rsidRPr="00A21647">
              <w:rPr>
                <w:lang w:val="en-GB"/>
              </w:rPr>
              <w:t>(3</w:t>
            </w:r>
            <w:r w:rsidR="00A70794">
              <w:rPr>
                <w:lang w:val="en-GB"/>
              </w:rPr>
              <w:t>.</w:t>
            </w:r>
            <w:r w:rsidR="009B553D" w:rsidRPr="00A21647">
              <w:rPr>
                <w:lang w:val="en-GB"/>
              </w:rPr>
              <w:t>6%)</w:t>
            </w:r>
            <w:r w:rsidR="00A70794">
              <w:rPr>
                <w:lang w:val="en-GB"/>
              </w:rPr>
              <w:t xml:space="preserve"> and machinery and equipment </w:t>
            </w:r>
            <w:r w:rsidR="009B553D" w:rsidRPr="00A21647">
              <w:rPr>
                <w:lang w:val="en-GB"/>
              </w:rPr>
              <w:t>(3</w:t>
            </w:r>
            <w:r w:rsidR="00A70794">
              <w:rPr>
                <w:lang w:val="en-GB"/>
              </w:rPr>
              <w:t>.</w:t>
            </w:r>
            <w:r w:rsidR="009B553D" w:rsidRPr="00A21647">
              <w:rPr>
                <w:lang w:val="en-GB"/>
              </w:rPr>
              <w:t>1%)</w:t>
            </w:r>
            <w:r w:rsidR="00436A40">
              <w:rPr>
                <w:lang w:val="en-GB"/>
              </w:rPr>
              <w:t xml:space="preserve"> also grew robustly</w:t>
            </w:r>
            <w:r w:rsidR="009B553D" w:rsidRPr="00A21647">
              <w:rPr>
                <w:lang w:val="en-GB"/>
              </w:rPr>
              <w:t xml:space="preserve">. </w:t>
            </w:r>
            <w:r w:rsidR="002E06F7">
              <w:rPr>
                <w:lang w:val="en-GB"/>
              </w:rPr>
              <w:t xml:space="preserve">Prices of basic pharmaceutical products </w:t>
            </w:r>
            <w:r w:rsidR="009B553D" w:rsidRPr="00A21647">
              <w:rPr>
                <w:lang w:val="en-GB"/>
              </w:rPr>
              <w:t>(2</w:t>
            </w:r>
            <w:r w:rsidR="002E06F7">
              <w:rPr>
                <w:lang w:val="en-GB"/>
              </w:rPr>
              <w:t>.</w:t>
            </w:r>
            <w:r w:rsidR="009B553D" w:rsidRPr="00A21647">
              <w:rPr>
                <w:lang w:val="en-GB"/>
              </w:rPr>
              <w:t xml:space="preserve">0%), </w:t>
            </w:r>
            <w:r w:rsidR="002E06F7">
              <w:rPr>
                <w:lang w:val="en-GB"/>
              </w:rPr>
              <w:t xml:space="preserve">food products, beverages and tobacco </w:t>
            </w:r>
            <w:r w:rsidR="009B553D" w:rsidRPr="00A21647">
              <w:rPr>
                <w:lang w:val="en-GB"/>
              </w:rPr>
              <w:t>(0</w:t>
            </w:r>
            <w:r w:rsidR="002E06F7">
              <w:rPr>
                <w:lang w:val="en-GB"/>
              </w:rPr>
              <w:t>.</w:t>
            </w:r>
            <w:r w:rsidR="009B553D" w:rsidRPr="00A21647">
              <w:rPr>
                <w:lang w:val="en-GB"/>
              </w:rPr>
              <w:t>8%) a</w:t>
            </w:r>
            <w:r w:rsidR="002E06F7">
              <w:rPr>
                <w:lang w:val="en-GB"/>
              </w:rPr>
              <w:t xml:space="preserve">nd computers, electronic and optical </w:t>
            </w:r>
            <w:r w:rsidR="00F84123">
              <w:rPr>
                <w:lang w:val="en-GB"/>
              </w:rPr>
              <w:t>products</w:t>
            </w:r>
            <w:r w:rsidR="002E06F7">
              <w:rPr>
                <w:lang w:val="en-GB"/>
              </w:rPr>
              <w:t xml:space="preserve"> </w:t>
            </w:r>
            <w:r w:rsidR="009B553D" w:rsidRPr="00A21647">
              <w:rPr>
                <w:lang w:val="en-GB"/>
              </w:rPr>
              <w:t>(0</w:t>
            </w:r>
            <w:r w:rsidR="002E06F7">
              <w:rPr>
                <w:lang w:val="en-GB"/>
              </w:rPr>
              <w:t>.</w:t>
            </w:r>
            <w:r w:rsidR="009B553D" w:rsidRPr="00A21647">
              <w:rPr>
                <w:lang w:val="en-GB"/>
              </w:rPr>
              <w:t>4%)</w:t>
            </w:r>
            <w:r w:rsidR="002E06F7">
              <w:rPr>
                <w:lang w:val="en-GB"/>
              </w:rPr>
              <w:t xml:space="preserve"> went up moderately</w:t>
            </w:r>
            <w:r w:rsidR="009B553D" w:rsidRPr="00A21647">
              <w:rPr>
                <w:lang w:val="en-GB"/>
              </w:rPr>
              <w:t xml:space="preserve">. </w:t>
            </w:r>
            <w:r w:rsidR="002E06F7">
              <w:rPr>
                <w:lang w:val="en-GB"/>
              </w:rPr>
              <w:t xml:space="preserve">Only prices of transport equipment were lower last year </w:t>
            </w:r>
            <w:r w:rsidR="009B553D" w:rsidRPr="00A21647">
              <w:rPr>
                <w:lang w:val="en-GB"/>
              </w:rPr>
              <w:t>(–0</w:t>
            </w:r>
            <w:r w:rsidR="002E06F7">
              <w:rPr>
                <w:lang w:val="en-GB"/>
              </w:rPr>
              <w:t>.</w:t>
            </w:r>
            <w:r w:rsidR="009B553D" w:rsidRPr="00A21647">
              <w:rPr>
                <w:lang w:val="en-GB"/>
              </w:rPr>
              <w:t>9%).</w:t>
            </w:r>
            <w:r w:rsidR="002E06F7">
              <w:rPr>
                <w:lang w:val="en-GB"/>
              </w:rPr>
              <w:t xml:space="preserve"> Prices of electricity, gas, steam and air conditioning supply grew in total by </w:t>
            </w:r>
            <w:r w:rsidR="009B553D" w:rsidRPr="00A21647">
              <w:rPr>
                <w:lang w:val="en-GB"/>
              </w:rPr>
              <w:t>1</w:t>
            </w:r>
            <w:r w:rsidR="002E06F7">
              <w:rPr>
                <w:lang w:val="en-GB"/>
              </w:rPr>
              <w:t>.</w:t>
            </w:r>
            <w:r w:rsidR="009B553D" w:rsidRPr="00A21647">
              <w:rPr>
                <w:lang w:val="en-GB"/>
              </w:rPr>
              <w:t>7%,</w:t>
            </w:r>
            <w:r w:rsidR="002E06F7">
              <w:rPr>
                <w:lang w:val="en-GB"/>
              </w:rPr>
              <w:t xml:space="preserve"> mining and quarrying by </w:t>
            </w:r>
            <w:r w:rsidR="009B553D" w:rsidRPr="00A21647">
              <w:rPr>
                <w:lang w:val="en-GB"/>
              </w:rPr>
              <w:t>4</w:t>
            </w:r>
            <w:r w:rsidR="002E06F7">
              <w:rPr>
                <w:lang w:val="en-GB"/>
              </w:rPr>
              <w:t>.</w:t>
            </w:r>
            <w:r w:rsidR="009B553D" w:rsidRPr="00A21647">
              <w:rPr>
                <w:lang w:val="en-GB"/>
              </w:rPr>
              <w:t>3% a</w:t>
            </w:r>
            <w:r w:rsidR="002E06F7">
              <w:rPr>
                <w:lang w:val="en-GB"/>
              </w:rPr>
              <w:t xml:space="preserve">nd water supply and associated services by </w:t>
            </w:r>
            <w:r w:rsidR="009B553D" w:rsidRPr="00A21647">
              <w:rPr>
                <w:lang w:val="en-GB"/>
              </w:rPr>
              <w:t>6</w:t>
            </w:r>
            <w:r w:rsidR="002E06F7">
              <w:rPr>
                <w:lang w:val="en-GB"/>
              </w:rPr>
              <w:t>.</w:t>
            </w:r>
            <w:r w:rsidR="009B553D" w:rsidRPr="00A21647">
              <w:rPr>
                <w:lang w:val="en-GB"/>
              </w:rPr>
              <w:t>2%</w:t>
            </w:r>
            <w:r w:rsidR="002E06F7">
              <w:rPr>
                <w:lang w:val="en-GB"/>
              </w:rPr>
              <w:t xml:space="preserve"> last year</w:t>
            </w:r>
            <w:r w:rsidR="009B553D" w:rsidRPr="00A21647">
              <w:rPr>
                <w:lang w:val="en-GB"/>
              </w:rPr>
              <w:t>.</w:t>
            </w:r>
          </w:p>
        </w:tc>
      </w:tr>
      <w:tr w:rsidR="009B553D" w:rsidRPr="009110F7" w14:paraId="4B62D9CC" w14:textId="77777777" w:rsidTr="00913237">
        <w:trPr>
          <w:trHeight w:val="170"/>
        </w:trPr>
        <w:tc>
          <w:tcPr>
            <w:tcW w:w="1805" w:type="dxa"/>
            <w:vMerge w:val="restart"/>
            <w:shd w:val="clear" w:color="auto" w:fill="auto"/>
            <w:tcMar>
              <w:left w:w="0" w:type="dxa"/>
            </w:tcMar>
          </w:tcPr>
          <w:p w14:paraId="13CD1170" w14:textId="77777777" w:rsidR="009B553D" w:rsidRDefault="009B553D" w:rsidP="00913237">
            <w:pPr>
              <w:pStyle w:val="Marginlie"/>
              <w:rPr>
                <w:spacing w:val="0"/>
              </w:rPr>
            </w:pPr>
          </w:p>
        </w:tc>
        <w:tc>
          <w:tcPr>
            <w:tcW w:w="224" w:type="dxa"/>
            <w:vMerge w:val="restart"/>
            <w:shd w:val="clear" w:color="auto" w:fill="auto"/>
            <w:tcMar>
              <w:left w:w="0" w:type="dxa"/>
            </w:tcMar>
          </w:tcPr>
          <w:p w14:paraId="3D22BE72"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78F0DD33" w14:textId="3C69A8B9" w:rsidR="009B553D" w:rsidRPr="00D75AC1" w:rsidRDefault="006A209C" w:rsidP="00A02E8B">
            <w:pPr>
              <w:spacing w:after="0"/>
              <w:rPr>
                <w:b/>
                <w:szCs w:val="20"/>
              </w:rPr>
            </w:pPr>
            <w:r>
              <w:rPr>
                <w:b/>
                <w:sz w:val="18"/>
                <w:szCs w:val="18"/>
              </w:rPr>
              <w:t>Chart</w:t>
            </w:r>
            <w:r w:rsidR="001C3794">
              <w:rPr>
                <w:b/>
                <w:sz w:val="18"/>
                <w:szCs w:val="18"/>
              </w:rPr>
              <w:t> 1</w:t>
            </w:r>
            <w:r w:rsidR="00A02E8B">
              <w:rPr>
                <w:b/>
                <w:sz w:val="18"/>
                <w:szCs w:val="18"/>
              </w:rPr>
              <w:t>3</w:t>
            </w:r>
            <w:r w:rsidR="009B553D" w:rsidRPr="00793D78">
              <w:rPr>
                <w:b/>
                <w:sz w:val="18"/>
                <w:szCs w:val="18"/>
              </w:rPr>
              <w:t xml:space="preserve">  </w:t>
            </w:r>
            <w:r w:rsidR="00037362" w:rsidRPr="000A5DBC">
              <w:rPr>
                <w:b/>
                <w:sz w:val="18"/>
                <w:szCs w:val="18"/>
                <w:lang w:val="en-GB"/>
              </w:rPr>
              <w:t>Prices</w:t>
            </w:r>
            <w:r w:rsidR="00037362" w:rsidRPr="000A5DBC">
              <w:rPr>
                <w:b/>
                <w:sz w:val="18"/>
                <w:szCs w:val="18"/>
                <w:lang w:val="en-GB" w:eastAsia="en-US"/>
              </w:rPr>
              <w:t xml:space="preserve"> of main groups of industrial producers </w:t>
            </w:r>
            <w:r w:rsidR="00037362" w:rsidRPr="000A5DBC">
              <w:rPr>
                <w:sz w:val="18"/>
                <w:szCs w:val="18"/>
                <w:lang w:val="en-GB" w:eastAsia="en-US"/>
              </w:rPr>
              <w:t>(year-on-year change, in %, based on CPA classification)</w:t>
            </w:r>
          </w:p>
        </w:tc>
      </w:tr>
      <w:tr w:rsidR="009B553D" w:rsidRPr="009110F7" w14:paraId="36CB296B" w14:textId="77777777" w:rsidTr="009B0A5E">
        <w:tblPrEx>
          <w:tblCellMar>
            <w:left w:w="70" w:type="dxa"/>
            <w:right w:w="70" w:type="dxa"/>
          </w:tblCellMar>
        </w:tblPrEx>
        <w:trPr>
          <w:trHeight w:val="170"/>
        </w:trPr>
        <w:tc>
          <w:tcPr>
            <w:tcW w:w="1805" w:type="dxa"/>
            <w:vMerge/>
            <w:shd w:val="clear" w:color="auto" w:fill="auto"/>
          </w:tcPr>
          <w:p w14:paraId="2A4A5315" w14:textId="77777777" w:rsidR="009B553D" w:rsidRPr="00793D78" w:rsidRDefault="009B553D" w:rsidP="00913237">
            <w:pPr>
              <w:pStyle w:val="Marginlie"/>
              <w:rPr>
                <w:spacing w:val="0"/>
              </w:rPr>
            </w:pPr>
          </w:p>
        </w:tc>
        <w:tc>
          <w:tcPr>
            <w:tcW w:w="224" w:type="dxa"/>
            <w:vMerge/>
            <w:shd w:val="clear" w:color="auto" w:fill="auto"/>
          </w:tcPr>
          <w:p w14:paraId="00621CA8" w14:textId="77777777" w:rsidR="009B553D" w:rsidRPr="00793D78" w:rsidRDefault="009B553D" w:rsidP="00913237">
            <w:pPr>
              <w:pStyle w:val="Textpoznpodarou1"/>
              <w:jc w:val="both"/>
            </w:pPr>
          </w:p>
        </w:tc>
        <w:tc>
          <w:tcPr>
            <w:tcW w:w="7610" w:type="dxa"/>
            <w:shd w:val="clear" w:color="auto" w:fill="auto"/>
          </w:tcPr>
          <w:p w14:paraId="4EF20C35" w14:textId="0D45A32D" w:rsidR="009B553D" w:rsidRPr="00793D78" w:rsidRDefault="009B0A5E" w:rsidP="00913237">
            <w:pPr>
              <w:spacing w:after="0"/>
            </w:pPr>
            <w:r>
              <w:rPr>
                <w:noProof/>
              </w:rPr>
              <w:drawing>
                <wp:inline distT="0" distB="0" distL="0" distR="0" wp14:anchorId="4391AA8C" wp14:editId="65415D84">
                  <wp:extent cx="4737600" cy="3553200"/>
                  <wp:effectExtent l="0" t="0" r="6350" b="0"/>
                  <wp:docPr id="45" name="Graf 4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B553D" w:rsidRPr="009110F7" w14:paraId="0EA01CAA" w14:textId="77777777" w:rsidTr="00913237">
        <w:trPr>
          <w:trHeight w:val="170"/>
        </w:trPr>
        <w:tc>
          <w:tcPr>
            <w:tcW w:w="1805" w:type="dxa"/>
            <w:vMerge/>
            <w:shd w:val="clear" w:color="auto" w:fill="auto"/>
            <w:tcMar>
              <w:left w:w="0" w:type="dxa"/>
            </w:tcMar>
          </w:tcPr>
          <w:p w14:paraId="2B00BFC5" w14:textId="77777777" w:rsidR="009B553D" w:rsidRPr="00793D78" w:rsidRDefault="009B553D" w:rsidP="00913237">
            <w:pPr>
              <w:pStyle w:val="Marginlie"/>
              <w:rPr>
                <w:spacing w:val="0"/>
              </w:rPr>
            </w:pPr>
          </w:p>
        </w:tc>
        <w:tc>
          <w:tcPr>
            <w:tcW w:w="224" w:type="dxa"/>
            <w:vMerge/>
            <w:shd w:val="clear" w:color="auto" w:fill="auto"/>
            <w:tcMar>
              <w:left w:w="0" w:type="dxa"/>
            </w:tcMar>
          </w:tcPr>
          <w:p w14:paraId="56C9B07F" w14:textId="77777777" w:rsidR="009B553D" w:rsidRPr="00793D78" w:rsidRDefault="009B553D" w:rsidP="00913237">
            <w:pPr>
              <w:pStyle w:val="Textpoznpodarou1"/>
              <w:jc w:val="both"/>
            </w:pPr>
          </w:p>
        </w:tc>
        <w:tc>
          <w:tcPr>
            <w:tcW w:w="7610" w:type="dxa"/>
            <w:shd w:val="clear" w:color="auto" w:fill="auto"/>
            <w:tcMar>
              <w:left w:w="0" w:type="dxa"/>
            </w:tcMar>
          </w:tcPr>
          <w:p w14:paraId="1284E05D" w14:textId="61D4659C" w:rsidR="00FD4DC7" w:rsidRPr="00793D78" w:rsidRDefault="00FD4DC7" w:rsidP="009B0A5E">
            <w:r>
              <w:rPr>
                <w:sz w:val="14"/>
                <w:szCs w:val="14"/>
              </w:rPr>
              <w:t>Source</w:t>
            </w:r>
            <w:r w:rsidR="009B553D" w:rsidRPr="00793D78">
              <w:rPr>
                <w:sz w:val="14"/>
                <w:szCs w:val="14"/>
              </w:rPr>
              <w:t xml:space="preserve">: </w:t>
            </w:r>
            <w:r>
              <w:rPr>
                <w:sz w:val="14"/>
                <w:szCs w:val="14"/>
              </w:rPr>
              <w:t>CZSO</w:t>
            </w:r>
          </w:p>
        </w:tc>
      </w:tr>
      <w:tr w:rsidR="009B0A5E" w:rsidRPr="009110F7" w14:paraId="1F990DA0" w14:textId="77777777" w:rsidTr="00913237">
        <w:trPr>
          <w:trHeight w:val="145"/>
        </w:trPr>
        <w:tc>
          <w:tcPr>
            <w:tcW w:w="1805" w:type="dxa"/>
            <w:shd w:val="clear" w:color="auto" w:fill="auto"/>
            <w:tcMar>
              <w:left w:w="0" w:type="dxa"/>
            </w:tcMar>
          </w:tcPr>
          <w:p w14:paraId="32722CDA" w14:textId="4B0E706C" w:rsidR="009B0A5E" w:rsidRDefault="009B0A5E" w:rsidP="009B0A5E">
            <w:pPr>
              <w:pStyle w:val="Marginlie"/>
              <w:rPr>
                <w:spacing w:val="0"/>
                <w:lang w:val="en-GB"/>
              </w:rPr>
            </w:pPr>
            <w:r>
              <w:rPr>
                <w:spacing w:val="0"/>
                <w:lang w:val="en-GB"/>
              </w:rPr>
              <w:t xml:space="preserve">Year-on-year increase of prices of industrial producers strengthened during the year </w:t>
            </w:r>
            <w:r w:rsidRPr="002E06F7">
              <w:rPr>
                <w:spacing w:val="0"/>
                <w:lang w:val="en-GB"/>
              </w:rPr>
              <w:t>2021.</w:t>
            </w:r>
          </w:p>
        </w:tc>
        <w:tc>
          <w:tcPr>
            <w:tcW w:w="224" w:type="dxa"/>
            <w:shd w:val="clear" w:color="auto" w:fill="auto"/>
            <w:tcMar>
              <w:left w:w="0" w:type="dxa"/>
            </w:tcMar>
          </w:tcPr>
          <w:p w14:paraId="612F738C" w14:textId="77777777" w:rsidR="009B0A5E" w:rsidRPr="006A209C" w:rsidRDefault="009B0A5E" w:rsidP="009B0A5E">
            <w:pPr>
              <w:pStyle w:val="Textpoznpodarou1"/>
              <w:jc w:val="both"/>
              <w:rPr>
                <w:lang w:val="en-GB"/>
              </w:rPr>
            </w:pPr>
          </w:p>
        </w:tc>
        <w:tc>
          <w:tcPr>
            <w:tcW w:w="7610" w:type="dxa"/>
            <w:shd w:val="clear" w:color="auto" w:fill="auto"/>
            <w:tcMar>
              <w:left w:w="0" w:type="dxa"/>
            </w:tcMar>
          </w:tcPr>
          <w:p w14:paraId="74709F38" w14:textId="7D6D9401" w:rsidR="009B0A5E" w:rsidRDefault="009B0A5E" w:rsidP="00F84123">
            <w:pPr>
              <w:rPr>
                <w:lang w:val="en-GB"/>
              </w:rPr>
            </w:pPr>
            <w:proofErr w:type="gramStart"/>
            <w:r>
              <w:rPr>
                <w:lang w:val="en-GB"/>
              </w:rPr>
              <w:t>Similarly</w:t>
            </w:r>
            <w:proofErr w:type="gramEnd"/>
            <w:r>
              <w:rPr>
                <w:lang w:val="en-GB"/>
              </w:rPr>
              <w:t xml:space="preserve"> to consumer prices, the year-on-year growth of the prices industrial producers sharply accelerated during the year and reached </w:t>
            </w:r>
            <w:r w:rsidRPr="002E06F7">
              <w:rPr>
                <w:lang w:val="en-GB"/>
              </w:rPr>
              <w:t>12</w:t>
            </w:r>
            <w:r>
              <w:rPr>
                <w:lang w:val="en-GB"/>
              </w:rPr>
              <w:t>.</w:t>
            </w:r>
            <w:r w:rsidRPr="002E06F7">
              <w:rPr>
                <w:lang w:val="en-GB"/>
              </w:rPr>
              <w:t>8%</w:t>
            </w:r>
            <w:r>
              <w:rPr>
                <w:lang w:val="en-GB"/>
              </w:rPr>
              <w:t xml:space="preserve"> in Q4</w:t>
            </w:r>
            <w:r w:rsidRPr="002E06F7">
              <w:rPr>
                <w:lang w:val="en-GB"/>
              </w:rPr>
              <w:t xml:space="preserve">. </w:t>
            </w:r>
            <w:r>
              <w:rPr>
                <w:lang w:val="en-GB"/>
              </w:rPr>
              <w:t xml:space="preserve">The price growth accelerated in majority of divisions at the end of the year. </w:t>
            </w:r>
            <w:r w:rsidR="00F84123">
              <w:rPr>
                <w:lang w:val="en-GB"/>
              </w:rPr>
              <w:t xml:space="preserve">Manufactured products </w:t>
            </w:r>
            <w:r>
              <w:rPr>
                <w:lang w:val="en-GB"/>
              </w:rPr>
              <w:t xml:space="preserve">were by 14.5% year-on-year more expensive and the strengthening of the dynamics </w:t>
            </w:r>
            <w:proofErr w:type="gramStart"/>
            <w:r>
              <w:rPr>
                <w:lang w:val="en-GB"/>
              </w:rPr>
              <w:t>was mainly supported</w:t>
            </w:r>
            <w:proofErr w:type="gramEnd"/>
            <w:r>
              <w:rPr>
                <w:lang w:val="en-GB"/>
              </w:rPr>
              <w:t xml:space="preserve"> by the development of various materials. The increase of prices of coke and refined </w:t>
            </w:r>
            <w:r w:rsidR="00F84123">
              <w:rPr>
                <w:lang w:val="en-GB"/>
              </w:rPr>
              <w:t>petroleum</w:t>
            </w:r>
            <w:r>
              <w:rPr>
                <w:lang w:val="en-GB"/>
              </w:rPr>
              <w:t xml:space="preserve"> products, </w:t>
            </w:r>
            <w:r w:rsidR="00F84123">
              <w:rPr>
                <w:lang w:val="en-GB"/>
              </w:rPr>
              <w:t xml:space="preserve">chemicals and chemical products </w:t>
            </w:r>
            <w:r w:rsidRPr="002E06F7">
              <w:rPr>
                <w:lang w:val="en-GB"/>
              </w:rPr>
              <w:t>(51</w:t>
            </w:r>
            <w:r>
              <w:rPr>
                <w:lang w:val="en-GB"/>
              </w:rPr>
              <w:t>.</w:t>
            </w:r>
            <w:r w:rsidRPr="002E06F7">
              <w:rPr>
                <w:lang w:val="en-GB"/>
              </w:rPr>
              <w:t>4%),</w:t>
            </w:r>
            <w:r>
              <w:rPr>
                <w:lang w:val="en-GB"/>
              </w:rPr>
              <w:t xml:space="preserve"> basic metals and</w:t>
            </w:r>
            <w:r w:rsidR="00F84123">
              <w:rPr>
                <w:lang w:val="en-GB"/>
              </w:rPr>
              <w:t xml:space="preserve"> fabricated</w:t>
            </w:r>
            <w:r>
              <w:rPr>
                <w:lang w:val="en-GB"/>
              </w:rPr>
              <w:t xml:space="preserve"> metal products </w:t>
            </w:r>
            <w:r w:rsidRPr="002E06F7">
              <w:rPr>
                <w:lang w:val="en-GB"/>
              </w:rPr>
              <w:t>(26</w:t>
            </w:r>
            <w:r>
              <w:rPr>
                <w:lang w:val="en-GB"/>
              </w:rPr>
              <w:t>.</w:t>
            </w:r>
            <w:r w:rsidRPr="002E06F7">
              <w:rPr>
                <w:lang w:val="en-GB"/>
              </w:rPr>
              <w:t>5%) a</w:t>
            </w:r>
            <w:r>
              <w:rPr>
                <w:lang w:val="en-GB"/>
              </w:rPr>
              <w:t>nd wood, paper and print</w:t>
            </w:r>
            <w:r w:rsidR="00F84123">
              <w:rPr>
                <w:lang w:val="en-GB"/>
              </w:rPr>
              <w:t>ing</w:t>
            </w:r>
            <w:r>
              <w:rPr>
                <w:lang w:val="en-GB"/>
              </w:rPr>
              <w:t xml:space="preserve"> </w:t>
            </w:r>
            <w:r w:rsidRPr="002E06F7">
              <w:rPr>
                <w:lang w:val="en-GB"/>
              </w:rPr>
              <w:t>(25</w:t>
            </w:r>
            <w:r>
              <w:rPr>
                <w:lang w:val="en-GB"/>
              </w:rPr>
              <w:t>.</w:t>
            </w:r>
            <w:r w:rsidRPr="002E06F7">
              <w:rPr>
                <w:lang w:val="en-GB"/>
              </w:rPr>
              <w:t>1%)</w:t>
            </w:r>
            <w:r>
              <w:rPr>
                <w:lang w:val="en-GB"/>
              </w:rPr>
              <w:t xml:space="preserve"> was exceptionally high</w:t>
            </w:r>
            <w:r w:rsidRPr="002E06F7">
              <w:rPr>
                <w:lang w:val="en-GB"/>
              </w:rPr>
              <w:t xml:space="preserve">. </w:t>
            </w:r>
            <w:r>
              <w:rPr>
                <w:lang w:val="en-GB"/>
              </w:rPr>
              <w:t xml:space="preserve">Apart from the transport equipment (decrease by </w:t>
            </w:r>
            <w:proofErr w:type="gramStart"/>
            <w:r w:rsidRPr="002E06F7">
              <w:rPr>
                <w:lang w:val="en-GB"/>
              </w:rPr>
              <w:t>1</w:t>
            </w:r>
            <w:r>
              <w:rPr>
                <w:lang w:val="en-GB"/>
              </w:rPr>
              <w:t>.</w:t>
            </w:r>
            <w:r w:rsidRPr="002E06F7">
              <w:rPr>
                <w:lang w:val="en-GB"/>
              </w:rPr>
              <w:t>4%)</w:t>
            </w:r>
            <w:proofErr w:type="gramEnd"/>
            <w:r>
              <w:rPr>
                <w:lang w:val="en-GB"/>
              </w:rPr>
              <w:t xml:space="preserve"> however the prices increased in all divisions of industrial production and the growth accelerate for majority of them, since they were to some extent affected by the difficulties with the disruption of global transportation and supply chains. Year-on-year increase of prices of electricity, gas, steam and air conditioning supply sharply </w:t>
            </w:r>
            <w:r>
              <w:rPr>
                <w:lang w:val="en-GB"/>
              </w:rPr>
              <w:lastRenderedPageBreak/>
              <w:t xml:space="preserve">accelerated to 5.5% in Q4. Growth of prices of mining and quarrying similarly strengthened to </w:t>
            </w:r>
            <w:r w:rsidRPr="002E06F7">
              <w:rPr>
                <w:lang w:val="en-GB"/>
              </w:rPr>
              <w:t>13</w:t>
            </w:r>
            <w:r>
              <w:rPr>
                <w:lang w:val="en-GB"/>
              </w:rPr>
              <w:t>.</w:t>
            </w:r>
            <w:r w:rsidRPr="002E06F7">
              <w:rPr>
                <w:lang w:val="en-GB"/>
              </w:rPr>
              <w:t xml:space="preserve">8%. </w:t>
            </w:r>
            <w:r>
              <w:rPr>
                <w:lang w:val="en-GB"/>
              </w:rPr>
              <w:t xml:space="preserve">Prices of water supply and associated services were by </w:t>
            </w:r>
            <w:r w:rsidRPr="002E06F7">
              <w:rPr>
                <w:lang w:val="en-GB"/>
              </w:rPr>
              <w:t>5</w:t>
            </w:r>
            <w:r>
              <w:rPr>
                <w:lang w:val="en-GB"/>
              </w:rPr>
              <w:t>.</w:t>
            </w:r>
            <w:r w:rsidRPr="002E06F7">
              <w:rPr>
                <w:lang w:val="en-GB"/>
              </w:rPr>
              <w:t>9%</w:t>
            </w:r>
            <w:r>
              <w:rPr>
                <w:lang w:val="en-GB"/>
              </w:rPr>
              <w:t xml:space="preserve"> higher</w:t>
            </w:r>
            <w:r w:rsidRPr="002E06F7">
              <w:rPr>
                <w:lang w:val="en-GB"/>
              </w:rPr>
              <w:t>.</w:t>
            </w:r>
          </w:p>
        </w:tc>
      </w:tr>
      <w:tr w:rsidR="009B0A5E" w:rsidRPr="009110F7" w14:paraId="0B241F7D" w14:textId="77777777" w:rsidTr="00913237">
        <w:trPr>
          <w:trHeight w:val="145"/>
        </w:trPr>
        <w:tc>
          <w:tcPr>
            <w:tcW w:w="1805" w:type="dxa"/>
            <w:shd w:val="clear" w:color="auto" w:fill="auto"/>
            <w:tcMar>
              <w:left w:w="0" w:type="dxa"/>
            </w:tcMar>
          </w:tcPr>
          <w:p w14:paraId="2F78672C" w14:textId="161346FA" w:rsidR="009B0A5E" w:rsidRPr="006A209C" w:rsidRDefault="009B0A5E" w:rsidP="009B0A5E">
            <w:pPr>
              <w:pStyle w:val="Marginlie"/>
              <w:rPr>
                <w:spacing w:val="0"/>
                <w:lang w:val="en-GB"/>
              </w:rPr>
            </w:pPr>
            <w:r>
              <w:rPr>
                <w:spacing w:val="0"/>
                <w:lang w:val="en-GB"/>
              </w:rPr>
              <w:lastRenderedPageBreak/>
              <w:t xml:space="preserve">Industrial producer prices in the EU featured record growth. </w:t>
            </w:r>
          </w:p>
        </w:tc>
        <w:tc>
          <w:tcPr>
            <w:tcW w:w="224" w:type="dxa"/>
            <w:shd w:val="clear" w:color="auto" w:fill="auto"/>
            <w:tcMar>
              <w:left w:w="0" w:type="dxa"/>
            </w:tcMar>
          </w:tcPr>
          <w:p w14:paraId="391ACC6A" w14:textId="77777777" w:rsidR="009B0A5E" w:rsidRPr="006A209C" w:rsidRDefault="009B0A5E" w:rsidP="009B0A5E">
            <w:pPr>
              <w:pStyle w:val="Textpoznpodarou1"/>
              <w:jc w:val="both"/>
              <w:rPr>
                <w:lang w:val="en-GB"/>
              </w:rPr>
            </w:pPr>
          </w:p>
        </w:tc>
        <w:tc>
          <w:tcPr>
            <w:tcW w:w="7610" w:type="dxa"/>
            <w:shd w:val="clear" w:color="auto" w:fill="auto"/>
            <w:tcMar>
              <w:left w:w="0" w:type="dxa"/>
            </w:tcMar>
          </w:tcPr>
          <w:p w14:paraId="5420D8A5" w14:textId="1E4CE43C" w:rsidR="009B0A5E" w:rsidRPr="006A209C" w:rsidRDefault="009B0A5E" w:rsidP="00362581">
            <w:pPr>
              <w:rPr>
                <w:lang w:val="en-GB"/>
              </w:rPr>
            </w:pPr>
            <w:r>
              <w:rPr>
                <w:lang w:val="en-GB"/>
              </w:rPr>
              <w:t>Industrial producer prices increased in total by 12.4</w:t>
            </w:r>
            <w:r w:rsidRPr="006A209C">
              <w:rPr>
                <w:lang w:val="en-GB"/>
              </w:rPr>
              <w:t>%</w:t>
            </w:r>
            <w:r w:rsidRPr="006A209C">
              <w:rPr>
                <w:rStyle w:val="Znakapoznpodarou"/>
                <w:lang w:val="en-GB"/>
              </w:rPr>
              <w:footnoteReference w:id="53"/>
            </w:r>
            <w:r>
              <w:rPr>
                <w:lang w:val="en-GB"/>
              </w:rPr>
              <w:t xml:space="preserve"> in the EU in 2021</w:t>
            </w:r>
            <w:r w:rsidRPr="006A209C">
              <w:rPr>
                <w:lang w:val="en-GB"/>
              </w:rPr>
              <w:t xml:space="preserve">. </w:t>
            </w:r>
            <w:r>
              <w:rPr>
                <w:lang w:val="en-GB"/>
              </w:rPr>
              <w:t xml:space="preserve">It represents a </w:t>
            </w:r>
            <w:proofErr w:type="gramStart"/>
            <w:r>
              <w:rPr>
                <w:lang w:val="en-GB"/>
              </w:rPr>
              <w:t>completely record</w:t>
            </w:r>
            <w:proofErr w:type="gramEnd"/>
            <w:r>
              <w:rPr>
                <w:lang w:val="en-GB"/>
              </w:rPr>
              <w:t xml:space="preserve"> level of increase. Prices of electricity, gas, steam and air conditioning supply </w:t>
            </w:r>
            <w:r w:rsidRPr="006A209C">
              <w:rPr>
                <w:lang w:val="en-GB"/>
              </w:rPr>
              <w:t>(31</w:t>
            </w:r>
            <w:r>
              <w:rPr>
                <w:lang w:val="en-GB"/>
              </w:rPr>
              <w:t>.</w:t>
            </w:r>
            <w:r w:rsidRPr="006A209C">
              <w:rPr>
                <w:lang w:val="en-GB"/>
              </w:rPr>
              <w:t xml:space="preserve">9%) </w:t>
            </w:r>
            <w:r>
              <w:rPr>
                <w:lang w:val="en-GB"/>
              </w:rPr>
              <w:t xml:space="preserve">and mining and quarrying </w:t>
            </w:r>
            <w:r w:rsidRPr="006A209C">
              <w:rPr>
                <w:lang w:val="en-GB"/>
              </w:rPr>
              <w:t>(30</w:t>
            </w:r>
            <w:r>
              <w:rPr>
                <w:lang w:val="en-GB"/>
              </w:rPr>
              <w:t>.</w:t>
            </w:r>
            <w:r w:rsidRPr="006A209C">
              <w:rPr>
                <w:lang w:val="en-GB"/>
              </w:rPr>
              <w:t>3%)</w:t>
            </w:r>
            <w:r>
              <w:rPr>
                <w:lang w:val="en-GB"/>
              </w:rPr>
              <w:t xml:space="preserve"> grew very strongly last year</w:t>
            </w:r>
            <w:r w:rsidRPr="006A209C">
              <w:rPr>
                <w:lang w:val="en-GB"/>
              </w:rPr>
              <w:t>,</w:t>
            </w:r>
            <w:r>
              <w:rPr>
                <w:lang w:val="en-GB"/>
              </w:rPr>
              <w:t xml:space="preserve"> but also the prices </w:t>
            </w:r>
            <w:r w:rsidR="00F84123">
              <w:rPr>
                <w:lang w:val="en-GB"/>
              </w:rPr>
              <w:t>manufactured products</w:t>
            </w:r>
            <w:r>
              <w:rPr>
                <w:lang w:val="en-GB"/>
              </w:rPr>
              <w:t xml:space="preserve"> </w:t>
            </w:r>
            <w:r w:rsidRPr="006A209C">
              <w:rPr>
                <w:lang w:val="en-GB"/>
              </w:rPr>
              <w:t>(7</w:t>
            </w:r>
            <w:r>
              <w:rPr>
                <w:lang w:val="en-GB"/>
              </w:rPr>
              <w:t>.</w:t>
            </w:r>
            <w:r w:rsidRPr="006A209C">
              <w:rPr>
                <w:lang w:val="en-GB"/>
              </w:rPr>
              <w:t>7%).</w:t>
            </w:r>
            <w:r>
              <w:rPr>
                <w:lang w:val="en-GB"/>
              </w:rPr>
              <w:t xml:space="preserve"> The industrial producer prices grew the most in Ireland </w:t>
            </w:r>
            <w:r w:rsidRPr="006A209C">
              <w:rPr>
                <w:lang w:val="en-GB"/>
              </w:rPr>
              <w:t>(55</w:t>
            </w:r>
            <w:r>
              <w:rPr>
                <w:lang w:val="en-GB"/>
              </w:rPr>
              <w:t>.</w:t>
            </w:r>
            <w:r w:rsidRPr="006A209C">
              <w:rPr>
                <w:lang w:val="en-GB"/>
              </w:rPr>
              <w:t>8%), D</w:t>
            </w:r>
            <w:r>
              <w:rPr>
                <w:lang w:val="en-GB"/>
              </w:rPr>
              <w:t xml:space="preserve">enmark </w:t>
            </w:r>
            <w:r w:rsidRPr="006A209C">
              <w:rPr>
                <w:lang w:val="en-GB"/>
              </w:rPr>
              <w:t>(25</w:t>
            </w:r>
            <w:r>
              <w:rPr>
                <w:lang w:val="en-GB"/>
              </w:rPr>
              <w:t>.</w:t>
            </w:r>
            <w:r w:rsidRPr="006A209C">
              <w:rPr>
                <w:lang w:val="en-GB"/>
              </w:rPr>
              <w:t>2%)</w:t>
            </w:r>
            <w:r>
              <w:rPr>
                <w:lang w:val="en-GB"/>
              </w:rPr>
              <w:t xml:space="preserve"> and Belgium </w:t>
            </w:r>
            <w:r w:rsidRPr="006A209C">
              <w:rPr>
                <w:lang w:val="en-GB"/>
              </w:rPr>
              <w:t>(21</w:t>
            </w:r>
            <w:r>
              <w:rPr>
                <w:lang w:val="en-GB"/>
              </w:rPr>
              <w:t>.</w:t>
            </w:r>
            <w:r w:rsidRPr="006A209C">
              <w:rPr>
                <w:lang w:val="en-GB"/>
              </w:rPr>
              <w:t>1%).</w:t>
            </w:r>
            <w:r>
              <w:rPr>
                <w:lang w:val="en-GB"/>
              </w:rPr>
              <w:t xml:space="preserve"> </w:t>
            </w:r>
            <w:r w:rsidRPr="006A209C">
              <w:rPr>
                <w:lang w:val="en-GB"/>
              </w:rPr>
              <w:t>Malta (1</w:t>
            </w:r>
            <w:r>
              <w:rPr>
                <w:lang w:val="en-GB"/>
              </w:rPr>
              <w:t>.</w:t>
            </w:r>
            <w:r w:rsidRPr="006A209C">
              <w:rPr>
                <w:lang w:val="en-GB"/>
              </w:rPr>
              <w:t>9%)</w:t>
            </w:r>
            <w:r>
              <w:rPr>
                <w:lang w:val="en-GB"/>
              </w:rPr>
              <w:t xml:space="preserve"> and further Slovakia </w:t>
            </w:r>
            <w:r w:rsidRPr="006A209C">
              <w:rPr>
                <w:lang w:val="en-GB"/>
              </w:rPr>
              <w:t>(5</w:t>
            </w:r>
            <w:r>
              <w:rPr>
                <w:lang w:val="en-GB"/>
              </w:rPr>
              <w:t>.</w:t>
            </w:r>
            <w:r w:rsidRPr="006A209C">
              <w:rPr>
                <w:lang w:val="en-GB"/>
              </w:rPr>
              <w:t>5%), Slov</w:t>
            </w:r>
            <w:r>
              <w:rPr>
                <w:lang w:val="en-GB"/>
              </w:rPr>
              <w:t xml:space="preserve">enia </w:t>
            </w:r>
            <w:r w:rsidRPr="006A209C">
              <w:rPr>
                <w:lang w:val="en-GB"/>
              </w:rPr>
              <w:t>(6</w:t>
            </w:r>
            <w:r>
              <w:rPr>
                <w:lang w:val="en-GB"/>
              </w:rPr>
              <w:t>.</w:t>
            </w:r>
            <w:r w:rsidRPr="006A209C">
              <w:rPr>
                <w:lang w:val="en-GB"/>
              </w:rPr>
              <w:t>1%)</w:t>
            </w:r>
            <w:r>
              <w:rPr>
                <w:lang w:val="en-GB"/>
              </w:rPr>
              <w:t xml:space="preserve"> and the CR </w:t>
            </w:r>
            <w:r w:rsidRPr="006A209C">
              <w:rPr>
                <w:lang w:val="en-GB"/>
              </w:rPr>
              <w:t>(7</w:t>
            </w:r>
            <w:r>
              <w:rPr>
                <w:lang w:val="en-GB"/>
              </w:rPr>
              <w:t>.</w:t>
            </w:r>
            <w:r w:rsidRPr="006A209C">
              <w:rPr>
                <w:lang w:val="en-GB"/>
              </w:rPr>
              <w:t>1%)</w:t>
            </w:r>
            <w:r>
              <w:rPr>
                <w:lang w:val="en-GB"/>
              </w:rPr>
              <w:t xml:space="preserve"> recorded the mildest increase</w:t>
            </w:r>
            <w:r w:rsidRPr="006A209C">
              <w:rPr>
                <w:lang w:val="en-GB"/>
              </w:rPr>
              <w:t>.</w:t>
            </w:r>
            <w:r>
              <w:rPr>
                <w:lang w:val="en-GB"/>
              </w:rPr>
              <w:t xml:space="preserve"> The year-on-year growth of the industrial producer prices accelerated during the year and it reached 23.9% in Q4. Prices grew the most in Ireland </w:t>
            </w:r>
            <w:r w:rsidRPr="006A209C">
              <w:rPr>
                <w:lang w:val="en-GB"/>
              </w:rPr>
              <w:t>(92</w:t>
            </w:r>
            <w:r>
              <w:rPr>
                <w:lang w:val="en-GB"/>
              </w:rPr>
              <w:t>.</w:t>
            </w:r>
            <w:r w:rsidRPr="006A209C">
              <w:rPr>
                <w:lang w:val="en-GB"/>
              </w:rPr>
              <w:t>6%), D</w:t>
            </w:r>
            <w:r>
              <w:rPr>
                <w:lang w:val="en-GB"/>
              </w:rPr>
              <w:t xml:space="preserve">enmark </w:t>
            </w:r>
            <w:r w:rsidRPr="006A209C">
              <w:rPr>
                <w:lang w:val="en-GB"/>
              </w:rPr>
              <w:t>(50</w:t>
            </w:r>
            <w:r>
              <w:rPr>
                <w:lang w:val="en-GB"/>
              </w:rPr>
              <w:t>.</w:t>
            </w:r>
            <w:r w:rsidRPr="006A209C">
              <w:rPr>
                <w:lang w:val="en-GB"/>
              </w:rPr>
              <w:t>3%)</w:t>
            </w:r>
            <w:r>
              <w:rPr>
                <w:lang w:val="en-GB"/>
              </w:rPr>
              <w:t xml:space="preserve"> and Romania </w:t>
            </w:r>
            <w:r w:rsidRPr="006A209C">
              <w:rPr>
                <w:lang w:val="en-GB"/>
              </w:rPr>
              <w:t>(38</w:t>
            </w:r>
            <w:r>
              <w:rPr>
                <w:lang w:val="en-GB"/>
              </w:rPr>
              <w:t>.</w:t>
            </w:r>
            <w:r w:rsidRPr="006A209C">
              <w:rPr>
                <w:lang w:val="en-GB"/>
              </w:rPr>
              <w:t>4%).</w:t>
            </w:r>
            <w:r>
              <w:rPr>
                <w:lang w:val="en-GB"/>
              </w:rPr>
              <w:t xml:space="preserve"> Ma</w:t>
            </w:r>
            <w:r w:rsidRPr="006A209C">
              <w:rPr>
                <w:lang w:val="en-GB"/>
              </w:rPr>
              <w:t>lta (3</w:t>
            </w:r>
            <w:r>
              <w:rPr>
                <w:lang w:val="en-GB"/>
              </w:rPr>
              <w:t>.</w:t>
            </w:r>
            <w:r w:rsidRPr="006A209C">
              <w:rPr>
                <w:lang w:val="en-GB"/>
              </w:rPr>
              <w:t>8%)</w:t>
            </w:r>
            <w:r>
              <w:rPr>
                <w:lang w:val="en-GB"/>
              </w:rPr>
              <w:t xml:space="preserve"> followed by Slovenia </w:t>
            </w:r>
            <w:r w:rsidRPr="006A209C">
              <w:rPr>
                <w:lang w:val="en-GB"/>
              </w:rPr>
              <w:t>(10</w:t>
            </w:r>
            <w:r>
              <w:rPr>
                <w:lang w:val="en-GB"/>
              </w:rPr>
              <w:t>.</w:t>
            </w:r>
            <w:r w:rsidRPr="006A209C">
              <w:rPr>
                <w:lang w:val="en-GB"/>
              </w:rPr>
              <w:t>1%),</w:t>
            </w:r>
            <w:r>
              <w:rPr>
                <w:lang w:val="en-GB"/>
              </w:rPr>
              <w:t xml:space="preserve"> </w:t>
            </w:r>
            <w:r w:rsidR="00362581">
              <w:rPr>
                <w:lang w:val="en-GB"/>
              </w:rPr>
              <w:t>Czechia</w:t>
            </w:r>
            <w:r>
              <w:rPr>
                <w:lang w:val="en-GB"/>
              </w:rPr>
              <w:t xml:space="preserve"> </w:t>
            </w:r>
            <w:r w:rsidRPr="006A209C">
              <w:rPr>
                <w:lang w:val="en-GB"/>
              </w:rPr>
              <w:t>(12</w:t>
            </w:r>
            <w:r>
              <w:rPr>
                <w:lang w:val="en-GB"/>
              </w:rPr>
              <w:t>.</w:t>
            </w:r>
            <w:r w:rsidRPr="006A209C">
              <w:rPr>
                <w:lang w:val="en-GB"/>
              </w:rPr>
              <w:t>8%)</w:t>
            </w:r>
            <w:r>
              <w:rPr>
                <w:lang w:val="en-GB"/>
              </w:rPr>
              <w:t xml:space="preserve"> and Slovakia </w:t>
            </w:r>
            <w:r w:rsidRPr="006A209C">
              <w:rPr>
                <w:lang w:val="en-GB"/>
              </w:rPr>
              <w:t>(13</w:t>
            </w:r>
            <w:r>
              <w:rPr>
                <w:lang w:val="en-GB"/>
              </w:rPr>
              <w:t>.</w:t>
            </w:r>
            <w:r w:rsidRPr="006A209C">
              <w:rPr>
                <w:lang w:val="en-GB"/>
              </w:rPr>
              <w:t>4%)</w:t>
            </w:r>
            <w:r>
              <w:rPr>
                <w:lang w:val="en-GB"/>
              </w:rPr>
              <w:t xml:space="preserve"> again reported the lowest increase</w:t>
            </w:r>
            <w:r w:rsidRPr="006A209C">
              <w:rPr>
                <w:lang w:val="en-GB"/>
              </w:rPr>
              <w:t>.</w:t>
            </w:r>
          </w:p>
        </w:tc>
      </w:tr>
      <w:tr w:rsidR="009B0A5E" w:rsidRPr="009110F7" w14:paraId="25BCA707" w14:textId="77777777" w:rsidTr="00913237">
        <w:trPr>
          <w:trHeight w:val="145"/>
        </w:trPr>
        <w:tc>
          <w:tcPr>
            <w:tcW w:w="1805" w:type="dxa"/>
            <w:shd w:val="clear" w:color="auto" w:fill="auto"/>
            <w:tcMar>
              <w:left w:w="0" w:type="dxa"/>
            </w:tcMar>
          </w:tcPr>
          <w:p w14:paraId="03D8C752" w14:textId="4D8B0B40" w:rsidR="009B0A5E" w:rsidRPr="006A209C" w:rsidRDefault="009B0A5E" w:rsidP="009B0A5E">
            <w:pPr>
              <w:pStyle w:val="Marginlie"/>
              <w:rPr>
                <w:spacing w:val="0"/>
                <w:lang w:val="en-GB"/>
              </w:rPr>
            </w:pPr>
            <w:r>
              <w:rPr>
                <w:spacing w:val="0"/>
                <w:lang w:val="en-GB"/>
              </w:rPr>
              <w:t xml:space="preserve">Extraordinarily raised prices of materials manifested in the price of construction works. </w:t>
            </w:r>
          </w:p>
        </w:tc>
        <w:tc>
          <w:tcPr>
            <w:tcW w:w="224" w:type="dxa"/>
            <w:shd w:val="clear" w:color="auto" w:fill="auto"/>
            <w:tcMar>
              <w:left w:w="0" w:type="dxa"/>
            </w:tcMar>
          </w:tcPr>
          <w:p w14:paraId="2E633E27" w14:textId="77777777" w:rsidR="009B0A5E" w:rsidRPr="00793D78" w:rsidRDefault="009B0A5E" w:rsidP="009B0A5E">
            <w:pPr>
              <w:pStyle w:val="Textpoznpodarou1"/>
              <w:jc w:val="both"/>
            </w:pPr>
          </w:p>
        </w:tc>
        <w:tc>
          <w:tcPr>
            <w:tcW w:w="7610" w:type="dxa"/>
            <w:shd w:val="clear" w:color="auto" w:fill="auto"/>
            <w:tcMar>
              <w:left w:w="0" w:type="dxa"/>
            </w:tcMar>
          </w:tcPr>
          <w:p w14:paraId="30541BD6" w14:textId="4280EA93" w:rsidR="009B0A5E" w:rsidRPr="00972835" w:rsidRDefault="009B0A5E" w:rsidP="009B0A5E">
            <w:pPr>
              <w:rPr>
                <w:lang w:val="en-GB"/>
              </w:rPr>
            </w:pPr>
            <w:r>
              <w:rPr>
                <w:lang w:val="en-GB"/>
              </w:rPr>
              <w:t xml:space="preserve">Increase of prices of construction works notably strengthened last year and in total reached </w:t>
            </w:r>
            <w:r w:rsidRPr="00972835">
              <w:rPr>
                <w:lang w:val="en-GB"/>
              </w:rPr>
              <w:t>5</w:t>
            </w:r>
            <w:r>
              <w:rPr>
                <w:lang w:val="en-GB"/>
              </w:rPr>
              <w:t>.</w:t>
            </w:r>
            <w:r w:rsidRPr="00972835">
              <w:rPr>
                <w:lang w:val="en-GB"/>
              </w:rPr>
              <w:t>1%.</w:t>
            </w:r>
            <w:r>
              <w:rPr>
                <w:lang w:val="en-GB"/>
              </w:rPr>
              <w:t xml:space="preserve"> Raised prices of materials and products consumed in construction </w:t>
            </w:r>
            <w:r w:rsidRPr="00972835">
              <w:rPr>
                <w:lang w:val="en-GB"/>
              </w:rPr>
              <w:t>(10</w:t>
            </w:r>
            <w:r>
              <w:rPr>
                <w:lang w:val="en-GB"/>
              </w:rPr>
              <w:t>.</w:t>
            </w:r>
            <w:r w:rsidRPr="00972835">
              <w:rPr>
                <w:lang w:val="en-GB"/>
              </w:rPr>
              <w:t>9%)</w:t>
            </w:r>
            <w:r>
              <w:rPr>
                <w:lang w:val="en-GB"/>
              </w:rPr>
              <w:t xml:space="preserve"> shared in this considerably</w:t>
            </w:r>
            <w:r w:rsidRPr="00972835">
              <w:rPr>
                <w:lang w:val="en-GB"/>
              </w:rPr>
              <w:t>.</w:t>
            </w:r>
            <w:r>
              <w:rPr>
                <w:lang w:val="en-GB"/>
              </w:rPr>
              <w:t xml:space="preserve"> Year-on-year growth of construction works index accelerated during the whole year </w:t>
            </w:r>
            <w:r w:rsidRPr="00972835">
              <w:rPr>
                <w:lang w:val="en-GB"/>
              </w:rPr>
              <w:t>2021</w:t>
            </w:r>
            <w:r>
              <w:rPr>
                <w:lang w:val="en-GB"/>
              </w:rPr>
              <w:t xml:space="preserve"> and it attained </w:t>
            </w:r>
            <w:r w:rsidRPr="00972835">
              <w:rPr>
                <w:lang w:val="en-GB"/>
              </w:rPr>
              <w:t>7</w:t>
            </w:r>
            <w:r>
              <w:rPr>
                <w:lang w:val="en-GB"/>
              </w:rPr>
              <w:t>.</w:t>
            </w:r>
            <w:r w:rsidRPr="00972835">
              <w:rPr>
                <w:lang w:val="en-GB"/>
              </w:rPr>
              <w:t>9%</w:t>
            </w:r>
            <w:r>
              <w:rPr>
                <w:lang w:val="en-GB"/>
              </w:rPr>
              <w:t xml:space="preserve"> in Q4</w:t>
            </w:r>
            <w:r w:rsidRPr="00972835">
              <w:rPr>
                <w:lang w:val="en-GB"/>
              </w:rPr>
              <w:t>.</w:t>
            </w:r>
            <w:r>
              <w:rPr>
                <w:lang w:val="en-GB"/>
              </w:rPr>
              <w:t xml:space="preserve"> At the same time, the prices of materials and products consumed in construction were by </w:t>
            </w:r>
            <w:r w:rsidRPr="00972835">
              <w:rPr>
                <w:lang w:val="en-GB"/>
              </w:rPr>
              <w:t>17</w:t>
            </w:r>
            <w:r>
              <w:rPr>
                <w:lang w:val="en-GB"/>
              </w:rPr>
              <w:t>.</w:t>
            </w:r>
            <w:r w:rsidRPr="00972835">
              <w:rPr>
                <w:lang w:val="en-GB"/>
              </w:rPr>
              <w:t>0%</w:t>
            </w:r>
            <w:r>
              <w:rPr>
                <w:lang w:val="en-GB"/>
              </w:rPr>
              <w:t xml:space="preserve"> higher year-on-year</w:t>
            </w:r>
            <w:r w:rsidRPr="00972835">
              <w:rPr>
                <w:lang w:val="en-GB"/>
              </w:rPr>
              <w:t xml:space="preserve">. </w:t>
            </w:r>
            <w:r>
              <w:rPr>
                <w:lang w:val="en-GB"/>
              </w:rPr>
              <w:t>Compared to Q</w:t>
            </w:r>
            <w:r w:rsidRPr="00972835">
              <w:rPr>
                <w:lang w:val="en-GB"/>
              </w:rPr>
              <w:t>3</w:t>
            </w:r>
            <w:r>
              <w:rPr>
                <w:lang w:val="en-GB"/>
              </w:rPr>
              <w:t xml:space="preserve">, the prices of construction works increased by </w:t>
            </w:r>
            <w:r w:rsidRPr="00972835">
              <w:rPr>
                <w:lang w:val="en-GB"/>
              </w:rPr>
              <w:t>2</w:t>
            </w:r>
            <w:r>
              <w:rPr>
                <w:lang w:val="en-GB"/>
              </w:rPr>
              <w:t>.</w:t>
            </w:r>
            <w:r w:rsidRPr="00972835">
              <w:rPr>
                <w:lang w:val="en-GB"/>
              </w:rPr>
              <w:t>0%</w:t>
            </w:r>
            <w:r>
              <w:rPr>
                <w:lang w:val="en-GB"/>
              </w:rPr>
              <w:t xml:space="preserve"> and prices of materials and products by </w:t>
            </w:r>
            <w:r w:rsidRPr="00972835">
              <w:rPr>
                <w:lang w:val="en-GB"/>
              </w:rPr>
              <w:t>2</w:t>
            </w:r>
            <w:r>
              <w:rPr>
                <w:lang w:val="en-GB"/>
              </w:rPr>
              <w:t>.</w:t>
            </w:r>
            <w:r w:rsidRPr="00972835">
              <w:rPr>
                <w:lang w:val="en-GB"/>
              </w:rPr>
              <w:t>5%.</w:t>
            </w:r>
          </w:p>
        </w:tc>
      </w:tr>
      <w:tr w:rsidR="009B0A5E" w:rsidRPr="009110F7" w14:paraId="319F021C" w14:textId="77777777" w:rsidTr="00913237">
        <w:trPr>
          <w:trHeight w:val="145"/>
        </w:trPr>
        <w:tc>
          <w:tcPr>
            <w:tcW w:w="1805" w:type="dxa"/>
            <w:shd w:val="clear" w:color="auto" w:fill="auto"/>
            <w:tcMar>
              <w:left w:w="0" w:type="dxa"/>
            </w:tcMar>
          </w:tcPr>
          <w:p w14:paraId="5160798E" w14:textId="656E8530" w:rsidR="009B0A5E" w:rsidRPr="006A209C" w:rsidRDefault="009B0A5E" w:rsidP="009B0A5E">
            <w:pPr>
              <w:pStyle w:val="Marginlie"/>
              <w:rPr>
                <w:spacing w:val="0"/>
                <w:lang w:val="en-GB"/>
              </w:rPr>
            </w:pPr>
            <w:r>
              <w:rPr>
                <w:spacing w:val="0"/>
                <w:lang w:val="en-GB"/>
              </w:rPr>
              <w:t xml:space="preserve">Increase of prices of market services slowed down last year. </w:t>
            </w:r>
          </w:p>
        </w:tc>
        <w:tc>
          <w:tcPr>
            <w:tcW w:w="224" w:type="dxa"/>
            <w:shd w:val="clear" w:color="auto" w:fill="auto"/>
            <w:tcMar>
              <w:left w:w="0" w:type="dxa"/>
            </w:tcMar>
          </w:tcPr>
          <w:p w14:paraId="7D241765" w14:textId="77777777" w:rsidR="009B0A5E" w:rsidRPr="00793D78" w:rsidRDefault="009B0A5E" w:rsidP="009B0A5E">
            <w:pPr>
              <w:pStyle w:val="Textpoznpodarou1"/>
              <w:jc w:val="both"/>
            </w:pPr>
          </w:p>
        </w:tc>
        <w:tc>
          <w:tcPr>
            <w:tcW w:w="7610" w:type="dxa"/>
            <w:shd w:val="clear" w:color="auto" w:fill="auto"/>
            <w:tcMar>
              <w:left w:w="0" w:type="dxa"/>
            </w:tcMar>
          </w:tcPr>
          <w:p w14:paraId="6CA28396" w14:textId="484D26AB" w:rsidR="009B0A5E" w:rsidRPr="00B17E6E" w:rsidRDefault="009B0A5E" w:rsidP="00362581">
            <w:pPr>
              <w:rPr>
                <w:lang w:val="en-GB"/>
              </w:rPr>
            </w:pPr>
            <w:r w:rsidRPr="00B17E6E">
              <w:rPr>
                <w:lang w:val="en-GB"/>
              </w:rPr>
              <w:t xml:space="preserve">Prices of market services increased by 1.3% in 2021. The increase was thus the mildest since year 2016 and </w:t>
            </w:r>
            <w:r>
              <w:rPr>
                <w:lang w:val="en-GB"/>
              </w:rPr>
              <w:t xml:space="preserve">involved the difficult situation in some branches. The development of prices of warehousing and support services </w:t>
            </w:r>
            <w:r w:rsidR="00362581">
              <w:rPr>
                <w:lang w:val="en-GB"/>
              </w:rPr>
              <w:t>for</w:t>
            </w:r>
            <w:r>
              <w:rPr>
                <w:lang w:val="en-GB"/>
              </w:rPr>
              <w:t xml:space="preserve"> transportation, whose increase shrank to 1.1% last year the most contributed to the slow down. Prices of services in the area of </w:t>
            </w:r>
            <w:r w:rsidR="00362581">
              <w:rPr>
                <w:lang w:val="en-GB"/>
              </w:rPr>
              <w:t xml:space="preserve">computer </w:t>
            </w:r>
            <w:r>
              <w:rPr>
                <w:lang w:val="en-GB"/>
              </w:rPr>
              <w:t xml:space="preserve">programming and associated consultancy </w:t>
            </w:r>
            <w:r w:rsidRPr="00B17E6E">
              <w:rPr>
                <w:lang w:val="en-GB"/>
              </w:rPr>
              <w:t>(2</w:t>
            </w:r>
            <w:r>
              <w:rPr>
                <w:lang w:val="en-GB"/>
              </w:rPr>
              <w:t>.</w:t>
            </w:r>
            <w:r w:rsidRPr="00B17E6E">
              <w:rPr>
                <w:lang w:val="en-GB"/>
              </w:rPr>
              <w:t xml:space="preserve">9%), </w:t>
            </w:r>
            <w:r>
              <w:rPr>
                <w:lang w:val="en-GB"/>
              </w:rPr>
              <w:t xml:space="preserve">insurance, reinsurance and pension funding </w:t>
            </w:r>
            <w:r w:rsidRPr="00B17E6E">
              <w:rPr>
                <w:lang w:val="en-GB"/>
              </w:rPr>
              <w:t>(0</w:t>
            </w:r>
            <w:r>
              <w:rPr>
                <w:lang w:val="en-GB"/>
              </w:rPr>
              <w:t>.</w:t>
            </w:r>
            <w:r w:rsidRPr="00B17E6E">
              <w:rPr>
                <w:lang w:val="en-GB"/>
              </w:rPr>
              <w:t>6%)</w:t>
            </w:r>
            <w:r>
              <w:rPr>
                <w:lang w:val="en-GB"/>
              </w:rPr>
              <w:t xml:space="preserve"> and real estate</w:t>
            </w:r>
            <w:r w:rsidR="00362581">
              <w:rPr>
                <w:lang w:val="en-GB"/>
              </w:rPr>
              <w:t xml:space="preserve"> services</w:t>
            </w:r>
            <w:r>
              <w:rPr>
                <w:lang w:val="en-GB"/>
              </w:rPr>
              <w:t xml:space="preserve"> </w:t>
            </w:r>
            <w:r w:rsidRPr="00B17E6E">
              <w:rPr>
                <w:lang w:val="en-GB"/>
              </w:rPr>
              <w:t>(1</w:t>
            </w:r>
            <w:r>
              <w:rPr>
                <w:lang w:val="en-GB"/>
              </w:rPr>
              <w:t>.</w:t>
            </w:r>
            <w:r w:rsidRPr="00B17E6E">
              <w:rPr>
                <w:lang w:val="en-GB"/>
              </w:rPr>
              <w:t>7%)</w:t>
            </w:r>
            <w:r>
              <w:rPr>
                <w:lang w:val="en-GB"/>
              </w:rPr>
              <w:t xml:space="preserve"> for instance also grew at slower pace</w:t>
            </w:r>
            <w:r w:rsidRPr="00B17E6E">
              <w:rPr>
                <w:lang w:val="en-GB"/>
              </w:rPr>
              <w:t>.</w:t>
            </w:r>
            <w:r>
              <w:rPr>
                <w:lang w:val="en-GB"/>
              </w:rPr>
              <w:t xml:space="preserve"> Prices of architectural and engineering services and technical testing and analyses stagnated, prices of information services were lower </w:t>
            </w:r>
            <w:r w:rsidRPr="00B17E6E">
              <w:rPr>
                <w:lang w:val="en-GB"/>
              </w:rPr>
              <w:t>(–2</w:t>
            </w:r>
            <w:r>
              <w:rPr>
                <w:lang w:val="en-GB"/>
              </w:rPr>
              <w:t>.</w:t>
            </w:r>
            <w:r w:rsidRPr="00B17E6E">
              <w:rPr>
                <w:lang w:val="en-GB"/>
              </w:rPr>
              <w:t>9%).</w:t>
            </w:r>
            <w:r>
              <w:rPr>
                <w:lang w:val="en-GB"/>
              </w:rPr>
              <w:t xml:space="preserve"> In contrast, the growth of prices of advertising and market research gained pace up to </w:t>
            </w:r>
            <w:r w:rsidRPr="00B17E6E">
              <w:rPr>
                <w:lang w:val="en-GB"/>
              </w:rPr>
              <w:t>1</w:t>
            </w:r>
            <w:r>
              <w:rPr>
                <w:lang w:val="en-GB"/>
              </w:rPr>
              <w:t>.</w:t>
            </w:r>
            <w:r w:rsidRPr="00B17E6E">
              <w:rPr>
                <w:lang w:val="en-GB"/>
              </w:rPr>
              <w:t>6%</w:t>
            </w:r>
            <w:r>
              <w:rPr>
                <w:lang w:val="en-GB"/>
              </w:rPr>
              <w:t xml:space="preserve"> last year and the increase of prices of </w:t>
            </w:r>
            <w:r w:rsidR="00362581">
              <w:rPr>
                <w:lang w:val="en-GB"/>
              </w:rPr>
              <w:t xml:space="preserve">employment </w:t>
            </w:r>
            <w:r>
              <w:rPr>
                <w:lang w:val="en-GB"/>
              </w:rPr>
              <w:t xml:space="preserve">services </w:t>
            </w:r>
            <w:r w:rsidRPr="00B17E6E">
              <w:rPr>
                <w:lang w:val="en-GB"/>
              </w:rPr>
              <w:t>(6</w:t>
            </w:r>
            <w:r>
              <w:rPr>
                <w:lang w:val="en-GB"/>
              </w:rPr>
              <w:t>.</w:t>
            </w:r>
            <w:r w:rsidRPr="00B17E6E">
              <w:rPr>
                <w:lang w:val="en-GB"/>
              </w:rPr>
              <w:t>1%</w:t>
            </w:r>
            <w:proofErr w:type="gramStart"/>
            <w:r w:rsidRPr="00B17E6E">
              <w:rPr>
                <w:lang w:val="en-GB"/>
              </w:rPr>
              <w:t>)</w:t>
            </w:r>
            <w:r>
              <w:rPr>
                <w:lang w:val="en-GB"/>
              </w:rPr>
              <w:t xml:space="preserve"> also</w:t>
            </w:r>
            <w:proofErr w:type="gramEnd"/>
            <w:r>
              <w:rPr>
                <w:lang w:val="en-GB"/>
              </w:rPr>
              <w:t xml:space="preserve"> strengthened</w:t>
            </w:r>
            <w:r w:rsidRPr="00B17E6E">
              <w:rPr>
                <w:lang w:val="en-GB"/>
              </w:rPr>
              <w:t>.</w:t>
            </w:r>
          </w:p>
        </w:tc>
      </w:tr>
      <w:tr w:rsidR="009B0A5E" w:rsidRPr="009110F7" w14:paraId="032DB279" w14:textId="77777777" w:rsidTr="00913237">
        <w:trPr>
          <w:trHeight w:val="145"/>
        </w:trPr>
        <w:tc>
          <w:tcPr>
            <w:tcW w:w="1805" w:type="dxa"/>
            <w:shd w:val="clear" w:color="auto" w:fill="auto"/>
            <w:tcMar>
              <w:left w:w="0" w:type="dxa"/>
            </w:tcMar>
          </w:tcPr>
          <w:p w14:paraId="3C20C650" w14:textId="0F68A31F" w:rsidR="009B0A5E" w:rsidRPr="000D79D1" w:rsidRDefault="009B0A5E" w:rsidP="009B0A5E">
            <w:pPr>
              <w:pStyle w:val="Marginlie"/>
              <w:rPr>
                <w:spacing w:val="0"/>
                <w:lang w:val="en-GB"/>
              </w:rPr>
            </w:pPr>
            <w:r w:rsidRPr="000D79D1">
              <w:rPr>
                <w:spacing w:val="0"/>
                <w:lang w:val="en-GB"/>
              </w:rPr>
              <w:t xml:space="preserve">The growth of prices of market services strengthened at the end of year 2021. </w:t>
            </w:r>
          </w:p>
        </w:tc>
        <w:tc>
          <w:tcPr>
            <w:tcW w:w="224" w:type="dxa"/>
            <w:shd w:val="clear" w:color="auto" w:fill="auto"/>
            <w:tcMar>
              <w:left w:w="0" w:type="dxa"/>
            </w:tcMar>
          </w:tcPr>
          <w:p w14:paraId="5064B23E" w14:textId="77777777" w:rsidR="009B0A5E" w:rsidRPr="00793D78" w:rsidRDefault="009B0A5E" w:rsidP="009B0A5E">
            <w:pPr>
              <w:pStyle w:val="Textpoznpodarou1"/>
              <w:jc w:val="both"/>
            </w:pPr>
          </w:p>
        </w:tc>
        <w:tc>
          <w:tcPr>
            <w:tcW w:w="7610" w:type="dxa"/>
            <w:shd w:val="clear" w:color="auto" w:fill="auto"/>
            <w:tcMar>
              <w:left w:w="0" w:type="dxa"/>
            </w:tcMar>
          </w:tcPr>
          <w:p w14:paraId="4216E3CB" w14:textId="14675A57" w:rsidR="009B0A5E" w:rsidRPr="00410D65" w:rsidRDefault="009B0A5E" w:rsidP="00362581">
            <w:pPr>
              <w:rPr>
                <w:lang w:val="en-GB"/>
              </w:rPr>
            </w:pPr>
            <w:r>
              <w:rPr>
                <w:lang w:val="en-GB"/>
              </w:rPr>
              <w:t xml:space="preserve">Year-on-year growth of prices of market services strengthened in the second half of year </w:t>
            </w:r>
            <w:r w:rsidRPr="00410D65">
              <w:rPr>
                <w:lang w:val="en-GB"/>
              </w:rPr>
              <w:t>2021</w:t>
            </w:r>
            <w:r>
              <w:rPr>
                <w:lang w:val="en-GB"/>
              </w:rPr>
              <w:t xml:space="preserve"> and reached </w:t>
            </w:r>
            <w:r w:rsidRPr="00410D65">
              <w:rPr>
                <w:lang w:val="en-GB"/>
              </w:rPr>
              <w:t>1</w:t>
            </w:r>
            <w:r>
              <w:rPr>
                <w:lang w:val="en-GB"/>
              </w:rPr>
              <w:t>.</w:t>
            </w:r>
            <w:r w:rsidRPr="00410D65">
              <w:rPr>
                <w:lang w:val="en-GB"/>
              </w:rPr>
              <w:t>8%</w:t>
            </w:r>
            <w:r>
              <w:rPr>
                <w:lang w:val="en-GB"/>
              </w:rPr>
              <w:t xml:space="preserve"> in Q4</w:t>
            </w:r>
            <w:r w:rsidRPr="00410D65">
              <w:rPr>
                <w:lang w:val="en-GB"/>
              </w:rPr>
              <w:t>.</w:t>
            </w:r>
            <w:r>
              <w:rPr>
                <w:lang w:val="en-GB"/>
              </w:rPr>
              <w:t xml:space="preserve"> Sharp hike of prices of advertising services and market research </w:t>
            </w:r>
            <w:r w:rsidRPr="00410D65">
              <w:rPr>
                <w:lang w:val="en-GB"/>
              </w:rPr>
              <w:t>(6</w:t>
            </w:r>
            <w:r>
              <w:rPr>
                <w:lang w:val="en-GB"/>
              </w:rPr>
              <w:t>.</w:t>
            </w:r>
            <w:r w:rsidRPr="00410D65">
              <w:rPr>
                <w:lang w:val="en-GB"/>
              </w:rPr>
              <w:t>6%),</w:t>
            </w:r>
            <w:r>
              <w:rPr>
                <w:lang w:val="en-GB"/>
              </w:rPr>
              <w:t xml:space="preserve"> prices of</w:t>
            </w:r>
            <w:r w:rsidR="00362581">
              <w:rPr>
                <w:lang w:val="en-GB"/>
              </w:rPr>
              <w:t xml:space="preserve"> employment</w:t>
            </w:r>
            <w:r>
              <w:rPr>
                <w:lang w:val="en-GB"/>
              </w:rPr>
              <w:t xml:space="preserve"> services</w:t>
            </w:r>
            <w:r w:rsidR="00362581">
              <w:rPr>
                <w:lang w:val="en-GB"/>
              </w:rPr>
              <w:t xml:space="preserve"> </w:t>
            </w:r>
            <w:r w:rsidRPr="00410D65">
              <w:rPr>
                <w:lang w:val="en-GB"/>
              </w:rPr>
              <w:t>(9</w:t>
            </w:r>
            <w:r>
              <w:rPr>
                <w:lang w:val="en-GB"/>
              </w:rPr>
              <w:t>.</w:t>
            </w:r>
            <w:r w:rsidRPr="00410D65">
              <w:rPr>
                <w:lang w:val="en-GB"/>
              </w:rPr>
              <w:t>8%),</w:t>
            </w:r>
            <w:r>
              <w:rPr>
                <w:lang w:val="en-GB"/>
              </w:rPr>
              <w:t xml:space="preserve"> land transport and transport via pipelines </w:t>
            </w:r>
            <w:r w:rsidRPr="00410D65">
              <w:rPr>
                <w:lang w:val="en-GB"/>
              </w:rPr>
              <w:t>(1</w:t>
            </w:r>
            <w:r>
              <w:rPr>
                <w:lang w:val="en-GB"/>
              </w:rPr>
              <w:t>.</w:t>
            </w:r>
            <w:r w:rsidRPr="00410D65">
              <w:rPr>
                <w:lang w:val="en-GB"/>
              </w:rPr>
              <w:t>6%),</w:t>
            </w:r>
            <w:r>
              <w:rPr>
                <w:lang w:val="en-GB"/>
              </w:rPr>
              <w:t xml:space="preserve"> services in the area of</w:t>
            </w:r>
            <w:r w:rsidR="00362581">
              <w:rPr>
                <w:lang w:val="en-GB"/>
              </w:rPr>
              <w:t xml:space="preserve"> computer</w:t>
            </w:r>
            <w:r>
              <w:rPr>
                <w:lang w:val="en-GB"/>
              </w:rPr>
              <w:t xml:space="preserve"> programming and related consultancy </w:t>
            </w:r>
            <w:r w:rsidRPr="00410D65">
              <w:rPr>
                <w:lang w:val="en-GB"/>
              </w:rPr>
              <w:t>(2</w:t>
            </w:r>
            <w:r>
              <w:rPr>
                <w:lang w:val="en-GB"/>
              </w:rPr>
              <w:t>.</w:t>
            </w:r>
            <w:r w:rsidRPr="00410D65">
              <w:rPr>
                <w:lang w:val="en-GB"/>
              </w:rPr>
              <w:t>0%) a</w:t>
            </w:r>
            <w:r>
              <w:rPr>
                <w:lang w:val="en-GB"/>
              </w:rPr>
              <w:t xml:space="preserve">nd real estate services </w:t>
            </w:r>
            <w:r w:rsidRPr="00410D65">
              <w:rPr>
                <w:lang w:val="en-GB"/>
              </w:rPr>
              <w:t>(1</w:t>
            </w:r>
            <w:r>
              <w:rPr>
                <w:lang w:val="en-GB"/>
              </w:rPr>
              <w:t>.</w:t>
            </w:r>
            <w:r w:rsidRPr="00410D65">
              <w:rPr>
                <w:lang w:val="en-GB"/>
              </w:rPr>
              <w:t>9%)</w:t>
            </w:r>
            <w:r>
              <w:rPr>
                <w:lang w:val="en-GB"/>
              </w:rPr>
              <w:t xml:space="preserve"> the most contributed to the total increase</w:t>
            </w:r>
            <w:r w:rsidRPr="00410D65">
              <w:rPr>
                <w:lang w:val="en-GB"/>
              </w:rPr>
              <w:t xml:space="preserve">. </w:t>
            </w:r>
            <w:r>
              <w:rPr>
                <w:lang w:val="en-GB"/>
              </w:rPr>
              <w:t xml:space="preserve">Prices of activities of head offices and management consultancy activities </w:t>
            </w:r>
            <w:r w:rsidRPr="00410D65">
              <w:rPr>
                <w:lang w:val="en-GB"/>
              </w:rPr>
              <w:t>(2</w:t>
            </w:r>
            <w:r>
              <w:rPr>
                <w:lang w:val="en-GB"/>
              </w:rPr>
              <w:t>.</w:t>
            </w:r>
            <w:r w:rsidRPr="00410D65">
              <w:rPr>
                <w:lang w:val="en-GB"/>
              </w:rPr>
              <w:t>7%),</w:t>
            </w:r>
            <w:r>
              <w:rPr>
                <w:lang w:val="en-GB"/>
              </w:rPr>
              <w:t xml:space="preserve"> services in the area of rental and leasing activities </w:t>
            </w:r>
            <w:r w:rsidRPr="00410D65">
              <w:rPr>
                <w:lang w:val="en-GB"/>
              </w:rPr>
              <w:t>(2</w:t>
            </w:r>
            <w:r>
              <w:rPr>
                <w:lang w:val="en-GB"/>
              </w:rPr>
              <w:t>.</w:t>
            </w:r>
            <w:r w:rsidRPr="00410D65">
              <w:rPr>
                <w:lang w:val="en-GB"/>
              </w:rPr>
              <w:t>0%), po</w:t>
            </w:r>
            <w:r>
              <w:rPr>
                <w:lang w:val="en-GB"/>
              </w:rPr>
              <w:t xml:space="preserve">stal and courier services </w:t>
            </w:r>
            <w:r w:rsidRPr="00410D65">
              <w:rPr>
                <w:lang w:val="en-GB"/>
              </w:rPr>
              <w:t>(2</w:t>
            </w:r>
            <w:r>
              <w:rPr>
                <w:lang w:val="en-GB"/>
              </w:rPr>
              <w:t>.</w:t>
            </w:r>
            <w:r w:rsidRPr="00410D65">
              <w:rPr>
                <w:lang w:val="en-GB"/>
              </w:rPr>
              <w:t>0%),</w:t>
            </w:r>
            <w:r>
              <w:rPr>
                <w:lang w:val="en-GB"/>
              </w:rPr>
              <w:t xml:space="preserve"> warehousing and support activities for transportation </w:t>
            </w:r>
            <w:r w:rsidRPr="00410D65">
              <w:rPr>
                <w:lang w:val="en-GB"/>
              </w:rPr>
              <w:t>(1</w:t>
            </w:r>
            <w:r>
              <w:rPr>
                <w:lang w:val="en-GB"/>
              </w:rPr>
              <w:t>.</w:t>
            </w:r>
            <w:r w:rsidRPr="00410D65">
              <w:rPr>
                <w:lang w:val="en-GB"/>
              </w:rPr>
              <w:t>5%)</w:t>
            </w:r>
            <w:r>
              <w:rPr>
                <w:lang w:val="en-GB"/>
              </w:rPr>
              <w:t xml:space="preserve"> and insurance, reinsurance and pension funding </w:t>
            </w:r>
            <w:r w:rsidRPr="00410D65">
              <w:rPr>
                <w:lang w:val="en-GB"/>
              </w:rPr>
              <w:t>(1</w:t>
            </w:r>
            <w:r>
              <w:rPr>
                <w:lang w:val="en-GB"/>
              </w:rPr>
              <w:t>.</w:t>
            </w:r>
            <w:r w:rsidRPr="00410D65">
              <w:rPr>
                <w:lang w:val="en-GB"/>
              </w:rPr>
              <w:t>0%)</w:t>
            </w:r>
            <w:r>
              <w:rPr>
                <w:lang w:val="en-GB"/>
              </w:rPr>
              <w:t xml:space="preserve"> also contributed moderately</w:t>
            </w:r>
            <w:r w:rsidRPr="00410D65">
              <w:rPr>
                <w:lang w:val="en-GB"/>
              </w:rPr>
              <w:t>.</w:t>
            </w:r>
            <w:r>
              <w:rPr>
                <w:lang w:val="en-GB"/>
              </w:rPr>
              <w:t xml:space="preserve"> Especially the prices of telecommunication services </w:t>
            </w:r>
            <w:r w:rsidRPr="00410D65">
              <w:rPr>
                <w:lang w:val="en-GB"/>
              </w:rPr>
              <w:t>(–0</w:t>
            </w:r>
            <w:r>
              <w:rPr>
                <w:lang w:val="en-GB"/>
              </w:rPr>
              <w:t>.</w:t>
            </w:r>
            <w:r w:rsidRPr="00410D65">
              <w:rPr>
                <w:lang w:val="en-GB"/>
              </w:rPr>
              <w:t>7%)</w:t>
            </w:r>
            <w:r>
              <w:rPr>
                <w:lang w:val="en-GB"/>
              </w:rPr>
              <w:t xml:space="preserve"> worked in the direction of decrease in Q4</w:t>
            </w:r>
            <w:r w:rsidRPr="00410D65">
              <w:rPr>
                <w:lang w:val="en-GB"/>
              </w:rPr>
              <w:t>.</w:t>
            </w:r>
          </w:p>
        </w:tc>
      </w:tr>
      <w:tr w:rsidR="009B0A5E" w:rsidRPr="009110F7" w14:paraId="11EC28AC" w14:textId="77777777" w:rsidTr="00913237">
        <w:trPr>
          <w:trHeight w:val="145"/>
        </w:trPr>
        <w:tc>
          <w:tcPr>
            <w:tcW w:w="1805" w:type="dxa"/>
            <w:shd w:val="clear" w:color="auto" w:fill="auto"/>
            <w:tcMar>
              <w:left w:w="0" w:type="dxa"/>
            </w:tcMar>
          </w:tcPr>
          <w:p w14:paraId="0B2489A0" w14:textId="0FA218FE" w:rsidR="009B0A5E" w:rsidRPr="00920B7E" w:rsidRDefault="009B0A5E" w:rsidP="009B0A5E">
            <w:pPr>
              <w:pStyle w:val="Marginlie"/>
              <w:rPr>
                <w:spacing w:val="0"/>
                <w:lang w:val="en-GB"/>
              </w:rPr>
            </w:pPr>
            <w:r w:rsidRPr="00920B7E">
              <w:rPr>
                <w:spacing w:val="0"/>
                <w:lang w:val="en-GB"/>
              </w:rPr>
              <w:t xml:space="preserve">Mainly prices of plant production were growing strongly last year. </w:t>
            </w:r>
          </w:p>
        </w:tc>
        <w:tc>
          <w:tcPr>
            <w:tcW w:w="224" w:type="dxa"/>
            <w:shd w:val="clear" w:color="auto" w:fill="auto"/>
            <w:tcMar>
              <w:left w:w="0" w:type="dxa"/>
            </w:tcMar>
          </w:tcPr>
          <w:p w14:paraId="13C0856A" w14:textId="77777777" w:rsidR="009B0A5E" w:rsidRPr="00920B7E" w:rsidRDefault="009B0A5E" w:rsidP="009B0A5E">
            <w:pPr>
              <w:pStyle w:val="Textpoznpodarou1"/>
              <w:jc w:val="both"/>
              <w:rPr>
                <w:lang w:val="en-GB"/>
              </w:rPr>
            </w:pPr>
          </w:p>
        </w:tc>
        <w:tc>
          <w:tcPr>
            <w:tcW w:w="7610" w:type="dxa"/>
            <w:shd w:val="clear" w:color="auto" w:fill="auto"/>
            <w:tcMar>
              <w:left w:w="0" w:type="dxa"/>
            </w:tcMar>
          </w:tcPr>
          <w:p w14:paraId="5BCAE626" w14:textId="0CF2E73B" w:rsidR="009B0A5E" w:rsidRPr="00920B7E" w:rsidRDefault="009B0A5E" w:rsidP="004E3C34">
            <w:pPr>
              <w:rPr>
                <w:spacing w:val="-2"/>
                <w:lang w:val="en-GB"/>
              </w:rPr>
            </w:pPr>
            <w:r>
              <w:rPr>
                <w:spacing w:val="-2"/>
                <w:lang w:val="en-GB"/>
              </w:rPr>
              <w:t>Prices of agricultural product</w:t>
            </w:r>
            <w:r w:rsidR="00362581">
              <w:rPr>
                <w:spacing w:val="-2"/>
                <w:lang w:val="en-GB"/>
              </w:rPr>
              <w:t>s</w:t>
            </w:r>
            <w:r>
              <w:rPr>
                <w:spacing w:val="-2"/>
                <w:lang w:val="en-GB"/>
              </w:rPr>
              <w:t xml:space="preserve"> increased by 6.9% in year </w:t>
            </w:r>
            <w:r w:rsidRPr="00920B7E">
              <w:rPr>
                <w:spacing w:val="-2"/>
                <w:lang w:val="en-GB"/>
              </w:rPr>
              <w:t>2021.</w:t>
            </w:r>
            <w:r>
              <w:rPr>
                <w:spacing w:val="-2"/>
                <w:lang w:val="en-GB"/>
              </w:rPr>
              <w:t xml:space="preserve"> Only prices of </w:t>
            </w:r>
            <w:r w:rsidR="00362581">
              <w:rPr>
                <w:spacing w:val="-2"/>
                <w:lang w:val="en-GB"/>
              </w:rPr>
              <w:t>crop products</w:t>
            </w:r>
            <w:r>
              <w:rPr>
                <w:spacing w:val="-2"/>
                <w:lang w:val="en-GB"/>
              </w:rPr>
              <w:t xml:space="preserve"> were higher </w:t>
            </w:r>
            <w:r w:rsidRPr="00920B7E">
              <w:rPr>
                <w:spacing w:val="-2"/>
                <w:lang w:val="en-GB"/>
              </w:rPr>
              <w:t>(12</w:t>
            </w:r>
            <w:r>
              <w:rPr>
                <w:spacing w:val="-2"/>
                <w:lang w:val="en-GB"/>
              </w:rPr>
              <w:t>.</w:t>
            </w:r>
            <w:r w:rsidRPr="00920B7E">
              <w:rPr>
                <w:spacing w:val="-2"/>
                <w:lang w:val="en-GB"/>
              </w:rPr>
              <w:t>4%).</w:t>
            </w:r>
            <w:r>
              <w:rPr>
                <w:spacing w:val="-2"/>
                <w:lang w:val="en-GB"/>
              </w:rPr>
              <w:t xml:space="preserve"> Prices of cereals went significantly up </w:t>
            </w:r>
            <w:r w:rsidRPr="00920B7E">
              <w:rPr>
                <w:spacing w:val="-2"/>
                <w:lang w:val="en-GB"/>
              </w:rPr>
              <w:t>(16</w:t>
            </w:r>
            <w:r>
              <w:rPr>
                <w:spacing w:val="-2"/>
                <w:lang w:val="en-GB"/>
              </w:rPr>
              <w:t>.</w:t>
            </w:r>
            <w:r w:rsidRPr="00920B7E">
              <w:rPr>
                <w:spacing w:val="-2"/>
                <w:lang w:val="en-GB"/>
              </w:rPr>
              <w:t>3%,</w:t>
            </w:r>
            <w:r>
              <w:rPr>
                <w:spacing w:val="-2"/>
                <w:lang w:val="en-GB"/>
              </w:rPr>
              <w:t xml:space="preserve"> mainly under the influence of prices of wheat, which were higher by </w:t>
            </w:r>
            <w:r w:rsidRPr="00920B7E">
              <w:rPr>
                <w:spacing w:val="-2"/>
                <w:lang w:val="en-GB"/>
              </w:rPr>
              <w:t>19</w:t>
            </w:r>
            <w:r>
              <w:rPr>
                <w:spacing w:val="-2"/>
                <w:lang w:val="en-GB"/>
              </w:rPr>
              <w:t>.</w:t>
            </w:r>
            <w:r w:rsidRPr="00920B7E">
              <w:rPr>
                <w:spacing w:val="-2"/>
                <w:lang w:val="en-GB"/>
              </w:rPr>
              <w:t xml:space="preserve">3%) </w:t>
            </w:r>
            <w:r>
              <w:rPr>
                <w:spacing w:val="-2"/>
                <w:lang w:val="en-GB"/>
              </w:rPr>
              <w:t>as did the prices of industrial crop</w:t>
            </w:r>
            <w:r w:rsidR="00362581">
              <w:rPr>
                <w:spacing w:val="-2"/>
                <w:lang w:val="en-GB"/>
              </w:rPr>
              <w:t>s</w:t>
            </w:r>
            <w:r>
              <w:rPr>
                <w:spacing w:val="-2"/>
                <w:lang w:val="en-GB"/>
              </w:rPr>
              <w:t xml:space="preserve"> </w:t>
            </w:r>
            <w:r w:rsidRPr="00920B7E">
              <w:rPr>
                <w:spacing w:val="-2"/>
                <w:lang w:val="en-GB"/>
              </w:rPr>
              <w:t>(12</w:t>
            </w:r>
            <w:r>
              <w:rPr>
                <w:spacing w:val="-2"/>
                <w:lang w:val="en-GB"/>
              </w:rPr>
              <w:t>.</w:t>
            </w:r>
            <w:r w:rsidRPr="00920B7E">
              <w:rPr>
                <w:spacing w:val="-2"/>
                <w:lang w:val="en-GB"/>
              </w:rPr>
              <w:t>8%,</w:t>
            </w:r>
            <w:r>
              <w:rPr>
                <w:spacing w:val="-2"/>
                <w:lang w:val="en-GB"/>
              </w:rPr>
              <w:t xml:space="preserve"> in that the prices of oil </w:t>
            </w:r>
            <w:r w:rsidR="00362581">
              <w:rPr>
                <w:spacing w:val="-2"/>
                <w:lang w:val="en-GB"/>
              </w:rPr>
              <w:t>seeds</w:t>
            </w:r>
            <w:r>
              <w:rPr>
                <w:spacing w:val="-2"/>
                <w:lang w:val="en-GB"/>
              </w:rPr>
              <w:t xml:space="preserve"> were raised by </w:t>
            </w:r>
            <w:r w:rsidRPr="00920B7E">
              <w:rPr>
                <w:spacing w:val="-2"/>
                <w:lang w:val="en-GB"/>
              </w:rPr>
              <w:t>14</w:t>
            </w:r>
            <w:r>
              <w:rPr>
                <w:spacing w:val="-2"/>
                <w:lang w:val="en-GB"/>
              </w:rPr>
              <w:t>.</w:t>
            </w:r>
            <w:r w:rsidRPr="00920B7E">
              <w:rPr>
                <w:spacing w:val="-2"/>
                <w:lang w:val="en-GB"/>
              </w:rPr>
              <w:t xml:space="preserve">8%, </w:t>
            </w:r>
            <w:r w:rsidR="004E3C34">
              <w:rPr>
                <w:spacing w:val="-2"/>
                <w:lang w:val="en-GB"/>
              </w:rPr>
              <w:t>protein crops</w:t>
            </w:r>
            <w:r>
              <w:rPr>
                <w:spacing w:val="-2"/>
                <w:lang w:val="en-GB"/>
              </w:rPr>
              <w:t xml:space="preserve"> by</w:t>
            </w:r>
            <w:r w:rsidRPr="00920B7E">
              <w:rPr>
                <w:spacing w:val="-2"/>
                <w:lang w:val="en-GB"/>
              </w:rPr>
              <w:t> 13</w:t>
            </w:r>
            <w:r>
              <w:rPr>
                <w:spacing w:val="-2"/>
                <w:lang w:val="en-GB"/>
              </w:rPr>
              <w:t>.</w:t>
            </w:r>
            <w:r w:rsidRPr="00920B7E">
              <w:rPr>
                <w:spacing w:val="-2"/>
                <w:lang w:val="en-GB"/>
              </w:rPr>
              <w:t>9%</w:t>
            </w:r>
            <w:r>
              <w:rPr>
                <w:spacing w:val="-2"/>
                <w:lang w:val="en-GB"/>
              </w:rPr>
              <w:t xml:space="preserve"> and sugar beet by </w:t>
            </w:r>
            <w:r w:rsidRPr="00920B7E">
              <w:rPr>
                <w:spacing w:val="-2"/>
                <w:lang w:val="en-GB"/>
              </w:rPr>
              <w:t>9</w:t>
            </w:r>
            <w:r>
              <w:rPr>
                <w:spacing w:val="-2"/>
                <w:lang w:val="en-GB"/>
              </w:rPr>
              <w:t>.</w:t>
            </w:r>
            <w:r w:rsidRPr="00920B7E">
              <w:rPr>
                <w:spacing w:val="-2"/>
                <w:lang w:val="en-GB"/>
              </w:rPr>
              <w:t>7%).</w:t>
            </w:r>
            <w:r>
              <w:rPr>
                <w:spacing w:val="-2"/>
                <w:lang w:val="en-GB"/>
              </w:rPr>
              <w:t xml:space="preserve"> Prices of </w:t>
            </w:r>
            <w:r w:rsidR="004E3C34">
              <w:rPr>
                <w:spacing w:val="-2"/>
                <w:lang w:val="en-GB"/>
              </w:rPr>
              <w:t>forage plants</w:t>
            </w:r>
            <w:r>
              <w:rPr>
                <w:spacing w:val="-2"/>
                <w:lang w:val="en-GB"/>
              </w:rPr>
              <w:t xml:space="preserve"> increased by </w:t>
            </w:r>
            <w:proofErr w:type="gramStart"/>
            <w:r w:rsidRPr="00920B7E">
              <w:rPr>
                <w:spacing w:val="-2"/>
                <w:lang w:val="en-GB"/>
              </w:rPr>
              <w:t>1</w:t>
            </w:r>
            <w:r>
              <w:rPr>
                <w:spacing w:val="-2"/>
                <w:lang w:val="en-GB"/>
              </w:rPr>
              <w:t>.</w:t>
            </w:r>
            <w:r w:rsidRPr="00920B7E">
              <w:rPr>
                <w:spacing w:val="-2"/>
                <w:lang w:val="en-GB"/>
              </w:rPr>
              <w:t>1% a</w:t>
            </w:r>
            <w:r>
              <w:rPr>
                <w:spacing w:val="-2"/>
                <w:lang w:val="en-GB"/>
              </w:rPr>
              <w:t xml:space="preserve">nd </w:t>
            </w:r>
            <w:r>
              <w:rPr>
                <w:spacing w:val="-2"/>
                <w:lang w:val="en-GB"/>
              </w:rPr>
              <w:lastRenderedPageBreak/>
              <w:t>vegetables</w:t>
            </w:r>
            <w:proofErr w:type="gramEnd"/>
            <w:r>
              <w:rPr>
                <w:spacing w:val="-2"/>
                <w:lang w:val="en-GB"/>
              </w:rPr>
              <w:t xml:space="preserve"> and </w:t>
            </w:r>
            <w:r w:rsidR="004E3C34">
              <w:rPr>
                <w:spacing w:val="-2"/>
                <w:lang w:val="en-GB"/>
              </w:rPr>
              <w:t>horticultural</w:t>
            </w:r>
            <w:r>
              <w:rPr>
                <w:spacing w:val="-2"/>
                <w:lang w:val="en-GB"/>
              </w:rPr>
              <w:t xml:space="preserve"> products by </w:t>
            </w:r>
            <w:r w:rsidRPr="00920B7E">
              <w:rPr>
                <w:spacing w:val="-2"/>
                <w:lang w:val="en-GB"/>
              </w:rPr>
              <w:t>11</w:t>
            </w:r>
            <w:r>
              <w:rPr>
                <w:spacing w:val="-2"/>
                <w:lang w:val="en-GB"/>
              </w:rPr>
              <w:t>.</w:t>
            </w:r>
            <w:r w:rsidRPr="00920B7E">
              <w:rPr>
                <w:spacing w:val="-2"/>
                <w:lang w:val="en-GB"/>
              </w:rPr>
              <w:t xml:space="preserve">6%. </w:t>
            </w:r>
            <w:r>
              <w:rPr>
                <w:spacing w:val="-2"/>
                <w:lang w:val="en-GB"/>
              </w:rPr>
              <w:t xml:space="preserve">In contrast, the prices of potatoes were notably lower </w:t>
            </w:r>
            <w:r w:rsidRPr="00920B7E">
              <w:rPr>
                <w:spacing w:val="-2"/>
                <w:lang w:val="en-GB"/>
              </w:rPr>
              <w:t>(–12</w:t>
            </w:r>
            <w:r>
              <w:rPr>
                <w:spacing w:val="-2"/>
                <w:lang w:val="en-GB"/>
              </w:rPr>
              <w:t>.</w:t>
            </w:r>
            <w:r w:rsidRPr="00920B7E">
              <w:rPr>
                <w:spacing w:val="-2"/>
                <w:lang w:val="en-GB"/>
              </w:rPr>
              <w:t>6%)</w:t>
            </w:r>
            <w:r>
              <w:rPr>
                <w:spacing w:val="-2"/>
                <w:lang w:val="en-GB"/>
              </w:rPr>
              <w:t xml:space="preserve"> </w:t>
            </w:r>
            <w:proofErr w:type="gramStart"/>
            <w:r>
              <w:rPr>
                <w:spacing w:val="-2"/>
                <w:lang w:val="en-GB"/>
              </w:rPr>
              <w:t>and also</w:t>
            </w:r>
            <w:proofErr w:type="gramEnd"/>
            <w:r>
              <w:rPr>
                <w:spacing w:val="-2"/>
                <w:lang w:val="en-GB"/>
              </w:rPr>
              <w:t xml:space="preserve"> the prices of fruit</w:t>
            </w:r>
            <w:r w:rsidR="004E3C34">
              <w:rPr>
                <w:spacing w:val="-2"/>
                <w:lang w:val="en-GB"/>
              </w:rPr>
              <w:t>s</w:t>
            </w:r>
            <w:r>
              <w:rPr>
                <w:spacing w:val="-2"/>
                <w:lang w:val="en-GB"/>
              </w:rPr>
              <w:t xml:space="preserve"> </w:t>
            </w:r>
            <w:r w:rsidRPr="00920B7E">
              <w:rPr>
                <w:spacing w:val="-2"/>
                <w:lang w:val="en-GB"/>
              </w:rPr>
              <w:t>(–5</w:t>
            </w:r>
            <w:r>
              <w:rPr>
                <w:spacing w:val="-2"/>
                <w:lang w:val="en-GB"/>
              </w:rPr>
              <w:t>.</w:t>
            </w:r>
            <w:r w:rsidRPr="00920B7E">
              <w:rPr>
                <w:spacing w:val="-2"/>
                <w:lang w:val="en-GB"/>
              </w:rPr>
              <w:t xml:space="preserve">0%). </w:t>
            </w:r>
            <w:r>
              <w:rPr>
                <w:spacing w:val="-2"/>
                <w:lang w:val="en-GB"/>
              </w:rPr>
              <w:t>Prices of</w:t>
            </w:r>
            <w:r w:rsidR="004E3C34">
              <w:rPr>
                <w:spacing w:val="-2"/>
                <w:lang w:val="en-GB"/>
              </w:rPr>
              <w:t xml:space="preserve"> animals and</w:t>
            </w:r>
            <w:r>
              <w:rPr>
                <w:spacing w:val="-2"/>
                <w:lang w:val="en-GB"/>
              </w:rPr>
              <w:t xml:space="preserve"> animal product</w:t>
            </w:r>
            <w:r w:rsidR="004E3C34">
              <w:rPr>
                <w:spacing w:val="-2"/>
                <w:lang w:val="en-GB"/>
              </w:rPr>
              <w:t>s</w:t>
            </w:r>
            <w:r>
              <w:rPr>
                <w:spacing w:val="-2"/>
                <w:lang w:val="en-GB"/>
              </w:rPr>
              <w:t xml:space="preserve"> stagnated </w:t>
            </w:r>
            <w:r w:rsidRPr="00920B7E">
              <w:rPr>
                <w:spacing w:val="-2"/>
                <w:lang w:val="en-GB"/>
              </w:rPr>
              <w:t>(–0</w:t>
            </w:r>
            <w:r>
              <w:rPr>
                <w:spacing w:val="-2"/>
                <w:lang w:val="en-GB"/>
              </w:rPr>
              <w:t>.</w:t>
            </w:r>
            <w:r w:rsidRPr="00920B7E">
              <w:rPr>
                <w:spacing w:val="-2"/>
                <w:lang w:val="en-GB"/>
              </w:rPr>
              <w:t xml:space="preserve">2%). </w:t>
            </w:r>
            <w:r>
              <w:rPr>
                <w:spacing w:val="-2"/>
                <w:lang w:val="en-GB"/>
              </w:rPr>
              <w:t xml:space="preserve">Prices of animals were lower </w:t>
            </w:r>
            <w:r w:rsidRPr="00920B7E">
              <w:rPr>
                <w:spacing w:val="-2"/>
                <w:lang w:val="en-GB"/>
              </w:rPr>
              <w:t>(–5</w:t>
            </w:r>
            <w:r>
              <w:rPr>
                <w:spacing w:val="-2"/>
                <w:lang w:val="en-GB"/>
              </w:rPr>
              <w:t>.</w:t>
            </w:r>
            <w:r w:rsidRPr="00920B7E">
              <w:rPr>
                <w:spacing w:val="-2"/>
                <w:lang w:val="en-GB"/>
              </w:rPr>
              <w:t>8%)</w:t>
            </w:r>
            <w:r>
              <w:rPr>
                <w:spacing w:val="-2"/>
                <w:lang w:val="en-GB"/>
              </w:rPr>
              <w:t xml:space="preserve">, especially pigs and piglets </w:t>
            </w:r>
            <w:r w:rsidRPr="00920B7E">
              <w:rPr>
                <w:spacing w:val="-2"/>
                <w:lang w:val="en-GB"/>
              </w:rPr>
              <w:t>(–16</w:t>
            </w:r>
            <w:r>
              <w:rPr>
                <w:spacing w:val="-2"/>
                <w:lang w:val="en-GB"/>
              </w:rPr>
              <w:t>.</w:t>
            </w:r>
            <w:r w:rsidRPr="00920B7E">
              <w:rPr>
                <w:spacing w:val="-2"/>
                <w:lang w:val="en-GB"/>
              </w:rPr>
              <w:t xml:space="preserve">2%). </w:t>
            </w:r>
            <w:r>
              <w:rPr>
                <w:spacing w:val="-2"/>
                <w:lang w:val="en-GB"/>
              </w:rPr>
              <w:t xml:space="preserve">On the </w:t>
            </w:r>
            <w:proofErr w:type="gramStart"/>
            <w:r>
              <w:rPr>
                <w:spacing w:val="-2"/>
                <w:lang w:val="en-GB"/>
              </w:rPr>
              <w:t>contrary</w:t>
            </w:r>
            <w:proofErr w:type="gramEnd"/>
            <w:r>
              <w:rPr>
                <w:spacing w:val="-2"/>
                <w:lang w:val="en-GB"/>
              </w:rPr>
              <w:t xml:space="preserve"> cattle was by </w:t>
            </w:r>
            <w:r w:rsidRPr="00920B7E">
              <w:rPr>
                <w:spacing w:val="-2"/>
                <w:lang w:val="en-GB"/>
              </w:rPr>
              <w:t>4</w:t>
            </w:r>
            <w:r>
              <w:rPr>
                <w:spacing w:val="-2"/>
                <w:lang w:val="en-GB"/>
              </w:rPr>
              <w:t>.</w:t>
            </w:r>
            <w:r w:rsidRPr="00920B7E">
              <w:rPr>
                <w:spacing w:val="-2"/>
                <w:lang w:val="en-GB"/>
              </w:rPr>
              <w:t>3%</w:t>
            </w:r>
            <w:r>
              <w:rPr>
                <w:spacing w:val="-2"/>
                <w:lang w:val="en-GB"/>
              </w:rPr>
              <w:t xml:space="preserve"> more expensive</w:t>
            </w:r>
            <w:r w:rsidRPr="00920B7E">
              <w:rPr>
                <w:spacing w:val="-2"/>
                <w:lang w:val="en-GB"/>
              </w:rPr>
              <w:t xml:space="preserve"> a</w:t>
            </w:r>
            <w:r>
              <w:rPr>
                <w:spacing w:val="-2"/>
                <w:lang w:val="en-GB"/>
              </w:rPr>
              <w:t xml:space="preserve">nd poultry by </w:t>
            </w:r>
            <w:r w:rsidRPr="00920B7E">
              <w:rPr>
                <w:spacing w:val="-2"/>
                <w:lang w:val="en-GB"/>
              </w:rPr>
              <w:t>1</w:t>
            </w:r>
            <w:r>
              <w:rPr>
                <w:spacing w:val="-2"/>
                <w:lang w:val="en-GB"/>
              </w:rPr>
              <w:t>.</w:t>
            </w:r>
            <w:r w:rsidRPr="00920B7E">
              <w:rPr>
                <w:spacing w:val="-2"/>
                <w:lang w:val="en-GB"/>
              </w:rPr>
              <w:t xml:space="preserve">3%. </w:t>
            </w:r>
            <w:r>
              <w:rPr>
                <w:spacing w:val="-2"/>
                <w:lang w:val="en-GB"/>
              </w:rPr>
              <w:t xml:space="preserve">Prices of animal products increased by </w:t>
            </w:r>
            <w:r w:rsidRPr="00920B7E">
              <w:rPr>
                <w:spacing w:val="-2"/>
                <w:lang w:val="en-GB"/>
              </w:rPr>
              <w:t>4</w:t>
            </w:r>
            <w:r>
              <w:rPr>
                <w:spacing w:val="-2"/>
                <w:lang w:val="en-GB"/>
              </w:rPr>
              <w:t>.</w:t>
            </w:r>
            <w:r w:rsidRPr="00920B7E">
              <w:rPr>
                <w:spacing w:val="-2"/>
                <w:lang w:val="en-GB"/>
              </w:rPr>
              <w:t>5%</w:t>
            </w:r>
            <w:r>
              <w:rPr>
                <w:spacing w:val="-2"/>
                <w:lang w:val="en-GB"/>
              </w:rPr>
              <w:t xml:space="preserve"> last year</w:t>
            </w:r>
            <w:r w:rsidRPr="00920B7E">
              <w:rPr>
                <w:spacing w:val="-2"/>
                <w:lang w:val="en-GB"/>
              </w:rPr>
              <w:t>,</w:t>
            </w:r>
            <w:r>
              <w:rPr>
                <w:spacing w:val="-2"/>
                <w:lang w:val="en-GB"/>
              </w:rPr>
              <w:t xml:space="preserve"> in that milk by </w:t>
            </w:r>
            <w:r w:rsidRPr="00920B7E">
              <w:rPr>
                <w:spacing w:val="-2"/>
                <w:lang w:val="en-GB"/>
              </w:rPr>
              <w:t>4</w:t>
            </w:r>
            <w:r>
              <w:rPr>
                <w:spacing w:val="-2"/>
                <w:lang w:val="en-GB"/>
              </w:rPr>
              <w:t>.</w:t>
            </w:r>
            <w:r w:rsidRPr="00920B7E">
              <w:rPr>
                <w:spacing w:val="-2"/>
                <w:lang w:val="en-GB"/>
              </w:rPr>
              <w:t>7% a</w:t>
            </w:r>
            <w:r>
              <w:rPr>
                <w:spacing w:val="-2"/>
                <w:lang w:val="en-GB"/>
              </w:rPr>
              <w:t xml:space="preserve">nd eggs by </w:t>
            </w:r>
            <w:r w:rsidRPr="00920B7E">
              <w:rPr>
                <w:spacing w:val="-2"/>
                <w:lang w:val="en-GB"/>
              </w:rPr>
              <w:t>2</w:t>
            </w:r>
            <w:r>
              <w:rPr>
                <w:spacing w:val="-2"/>
                <w:lang w:val="en-GB"/>
              </w:rPr>
              <w:t>.</w:t>
            </w:r>
            <w:r w:rsidRPr="00920B7E">
              <w:rPr>
                <w:spacing w:val="-2"/>
                <w:lang w:val="en-GB"/>
              </w:rPr>
              <w:t>1%.</w:t>
            </w:r>
          </w:p>
        </w:tc>
      </w:tr>
      <w:tr w:rsidR="009B0A5E" w:rsidRPr="009110F7" w14:paraId="2ED926F0" w14:textId="77777777" w:rsidTr="00913237">
        <w:trPr>
          <w:trHeight w:val="145"/>
        </w:trPr>
        <w:tc>
          <w:tcPr>
            <w:tcW w:w="1805" w:type="dxa"/>
            <w:shd w:val="clear" w:color="auto" w:fill="auto"/>
            <w:tcMar>
              <w:left w:w="0" w:type="dxa"/>
            </w:tcMar>
          </w:tcPr>
          <w:p w14:paraId="2BE0F6A6" w14:textId="196BD375" w:rsidR="009B0A5E" w:rsidRPr="00EF55AD" w:rsidRDefault="009B0A5E" w:rsidP="009B0A5E">
            <w:pPr>
              <w:pStyle w:val="Marginlie"/>
              <w:rPr>
                <w:spacing w:val="0"/>
                <w:lang w:val="en-GB"/>
              </w:rPr>
            </w:pPr>
            <w:r>
              <w:rPr>
                <w:spacing w:val="0"/>
                <w:lang w:val="en-GB"/>
              </w:rPr>
              <w:lastRenderedPageBreak/>
              <w:t>Prices of both plant and animal production were higher year-on-year in Q</w:t>
            </w:r>
            <w:r w:rsidRPr="00EF55AD">
              <w:rPr>
                <w:spacing w:val="0"/>
                <w:lang w:val="en-GB"/>
              </w:rPr>
              <w:t>4</w:t>
            </w:r>
            <w:r>
              <w:rPr>
                <w:spacing w:val="0"/>
                <w:lang w:val="en-GB"/>
              </w:rPr>
              <w:t xml:space="preserve"> </w:t>
            </w:r>
            <w:r w:rsidRPr="00EF55AD">
              <w:rPr>
                <w:spacing w:val="0"/>
                <w:lang w:val="en-GB"/>
              </w:rPr>
              <w:t>2021</w:t>
            </w:r>
            <w:r>
              <w:rPr>
                <w:spacing w:val="0"/>
                <w:lang w:val="en-GB"/>
              </w:rPr>
              <w:t xml:space="preserve">. </w:t>
            </w:r>
          </w:p>
        </w:tc>
        <w:tc>
          <w:tcPr>
            <w:tcW w:w="224" w:type="dxa"/>
            <w:shd w:val="clear" w:color="auto" w:fill="auto"/>
            <w:tcMar>
              <w:left w:w="0" w:type="dxa"/>
            </w:tcMar>
          </w:tcPr>
          <w:p w14:paraId="7062FF91" w14:textId="77777777" w:rsidR="009B0A5E" w:rsidRPr="00EF55AD" w:rsidRDefault="009B0A5E" w:rsidP="009B0A5E">
            <w:pPr>
              <w:pStyle w:val="Textpoznpodarou1"/>
              <w:jc w:val="both"/>
              <w:rPr>
                <w:lang w:val="en-GB"/>
              </w:rPr>
            </w:pPr>
          </w:p>
        </w:tc>
        <w:tc>
          <w:tcPr>
            <w:tcW w:w="7610" w:type="dxa"/>
            <w:shd w:val="clear" w:color="auto" w:fill="auto"/>
            <w:tcMar>
              <w:left w:w="0" w:type="dxa"/>
            </w:tcMar>
          </w:tcPr>
          <w:p w14:paraId="20F33F89" w14:textId="58BAD646" w:rsidR="009B0A5E" w:rsidRPr="00EF55AD" w:rsidRDefault="009B0A5E" w:rsidP="004E3C34">
            <w:pPr>
              <w:rPr>
                <w:spacing w:val="-2"/>
                <w:lang w:val="en-GB"/>
              </w:rPr>
            </w:pPr>
            <w:r>
              <w:rPr>
                <w:spacing w:val="-2"/>
                <w:lang w:val="en-GB"/>
              </w:rPr>
              <w:t>Year-on-year growth of prices of agricultural product</w:t>
            </w:r>
            <w:r w:rsidR="004E3C34">
              <w:rPr>
                <w:spacing w:val="-2"/>
                <w:lang w:val="en-GB"/>
              </w:rPr>
              <w:t xml:space="preserve">s </w:t>
            </w:r>
            <w:r>
              <w:rPr>
                <w:spacing w:val="-2"/>
                <w:lang w:val="en-GB"/>
              </w:rPr>
              <w:t xml:space="preserve">accelerated during the last year and it climbed up to </w:t>
            </w:r>
            <w:r w:rsidRPr="00EF55AD">
              <w:rPr>
                <w:spacing w:val="-2"/>
                <w:lang w:val="en-GB"/>
              </w:rPr>
              <w:t>15</w:t>
            </w:r>
            <w:r>
              <w:rPr>
                <w:spacing w:val="-2"/>
                <w:lang w:val="en-GB"/>
              </w:rPr>
              <w:t>.</w:t>
            </w:r>
            <w:r w:rsidRPr="00EF55AD">
              <w:rPr>
                <w:spacing w:val="-2"/>
                <w:lang w:val="en-GB"/>
              </w:rPr>
              <w:t>7%</w:t>
            </w:r>
            <w:r>
              <w:rPr>
                <w:spacing w:val="-2"/>
                <w:lang w:val="en-GB"/>
              </w:rPr>
              <w:t xml:space="preserve"> in Q4</w:t>
            </w:r>
            <w:r w:rsidRPr="00EF55AD">
              <w:rPr>
                <w:spacing w:val="-2"/>
                <w:lang w:val="en-GB"/>
              </w:rPr>
              <w:t xml:space="preserve">. </w:t>
            </w:r>
            <w:r>
              <w:rPr>
                <w:spacing w:val="-2"/>
                <w:lang w:val="en-GB"/>
              </w:rPr>
              <w:t xml:space="preserve">At the same </w:t>
            </w:r>
            <w:proofErr w:type="gramStart"/>
            <w:r>
              <w:rPr>
                <w:spacing w:val="-2"/>
                <w:lang w:val="en-GB"/>
              </w:rPr>
              <w:t>time</w:t>
            </w:r>
            <w:proofErr w:type="gramEnd"/>
            <w:r>
              <w:rPr>
                <w:spacing w:val="-2"/>
                <w:lang w:val="en-GB"/>
              </w:rPr>
              <w:t xml:space="preserve"> the prices of </w:t>
            </w:r>
            <w:r w:rsidR="004E3C34">
              <w:rPr>
                <w:spacing w:val="-2"/>
                <w:lang w:val="en-GB"/>
              </w:rPr>
              <w:t>crop</w:t>
            </w:r>
            <w:r>
              <w:rPr>
                <w:spacing w:val="-2"/>
                <w:lang w:val="en-GB"/>
              </w:rPr>
              <w:t xml:space="preserve"> product</w:t>
            </w:r>
            <w:r w:rsidR="004E3C34">
              <w:rPr>
                <w:spacing w:val="-2"/>
                <w:lang w:val="en-GB"/>
              </w:rPr>
              <w:t>s</w:t>
            </w:r>
            <w:r>
              <w:rPr>
                <w:spacing w:val="-2"/>
                <w:lang w:val="en-GB"/>
              </w:rPr>
              <w:t xml:space="preserve"> were by </w:t>
            </w:r>
            <w:r w:rsidRPr="00EF55AD">
              <w:rPr>
                <w:spacing w:val="-2"/>
                <w:lang w:val="en-GB"/>
              </w:rPr>
              <w:t>21</w:t>
            </w:r>
            <w:r>
              <w:rPr>
                <w:spacing w:val="-2"/>
                <w:lang w:val="en-GB"/>
              </w:rPr>
              <w:t>.</w:t>
            </w:r>
            <w:r w:rsidRPr="00EF55AD">
              <w:rPr>
                <w:spacing w:val="-2"/>
                <w:lang w:val="en-GB"/>
              </w:rPr>
              <w:t>5%</w:t>
            </w:r>
            <w:r>
              <w:rPr>
                <w:spacing w:val="-2"/>
                <w:lang w:val="en-GB"/>
              </w:rPr>
              <w:t xml:space="preserve"> higher</w:t>
            </w:r>
            <w:r w:rsidRPr="00EF55AD">
              <w:rPr>
                <w:spacing w:val="-2"/>
                <w:lang w:val="en-GB"/>
              </w:rPr>
              <w:t>.</w:t>
            </w:r>
            <w:r>
              <w:rPr>
                <w:spacing w:val="-2"/>
                <w:lang w:val="en-GB"/>
              </w:rPr>
              <w:t xml:space="preserve"> Year-on-year increase of prices of cereals gained pace up to </w:t>
            </w:r>
            <w:r w:rsidRPr="00EF55AD">
              <w:rPr>
                <w:spacing w:val="-2"/>
                <w:lang w:val="en-GB"/>
              </w:rPr>
              <w:t>28</w:t>
            </w:r>
            <w:r>
              <w:rPr>
                <w:spacing w:val="-2"/>
                <w:lang w:val="en-GB"/>
              </w:rPr>
              <w:t>.</w:t>
            </w:r>
            <w:r w:rsidRPr="00EF55AD">
              <w:rPr>
                <w:spacing w:val="-2"/>
                <w:lang w:val="en-GB"/>
              </w:rPr>
              <w:t>0%.</w:t>
            </w:r>
            <w:r>
              <w:rPr>
                <w:spacing w:val="-2"/>
                <w:lang w:val="en-GB"/>
              </w:rPr>
              <w:t xml:space="preserve"> </w:t>
            </w:r>
            <w:r w:rsidRPr="00EF55AD">
              <w:rPr>
                <w:spacing w:val="-2"/>
                <w:lang w:val="en-GB"/>
              </w:rPr>
              <w:t xml:space="preserve"> </w:t>
            </w:r>
            <w:r>
              <w:rPr>
                <w:spacing w:val="-2"/>
                <w:lang w:val="en-GB"/>
              </w:rPr>
              <w:t xml:space="preserve">Mainly the development of prices of wheat shared in this result </w:t>
            </w:r>
            <w:r w:rsidRPr="00EF55AD">
              <w:rPr>
                <w:spacing w:val="-2"/>
                <w:lang w:val="en-GB"/>
              </w:rPr>
              <w:t>(</w:t>
            </w:r>
            <w:r>
              <w:rPr>
                <w:spacing w:val="-2"/>
                <w:lang w:val="en-GB"/>
              </w:rPr>
              <w:t xml:space="preserve">increase </w:t>
            </w:r>
            <w:r w:rsidRPr="00EF55AD">
              <w:rPr>
                <w:spacing w:val="-2"/>
                <w:lang w:val="en-GB"/>
              </w:rPr>
              <w:t>29</w:t>
            </w:r>
            <w:r>
              <w:rPr>
                <w:spacing w:val="-2"/>
                <w:lang w:val="en-GB"/>
              </w:rPr>
              <w:t>.</w:t>
            </w:r>
            <w:r w:rsidRPr="00EF55AD">
              <w:rPr>
                <w:spacing w:val="-2"/>
                <w:lang w:val="en-GB"/>
              </w:rPr>
              <w:t>4%</w:t>
            </w:r>
            <w:r>
              <w:rPr>
                <w:spacing w:val="-2"/>
                <w:lang w:val="en-GB"/>
              </w:rPr>
              <w:t xml:space="preserve"> in Q4</w:t>
            </w:r>
            <w:r w:rsidRPr="00EF55AD">
              <w:rPr>
                <w:spacing w:val="-2"/>
                <w:lang w:val="en-GB"/>
              </w:rPr>
              <w:t>),</w:t>
            </w:r>
            <w:r>
              <w:rPr>
                <w:spacing w:val="-2"/>
                <w:lang w:val="en-GB"/>
              </w:rPr>
              <w:t xml:space="preserve"> however prices of many other cereals behaved similarly </w:t>
            </w:r>
            <w:r w:rsidRPr="00EF55AD">
              <w:rPr>
                <w:spacing w:val="-2"/>
                <w:lang w:val="en-GB"/>
              </w:rPr>
              <w:t>(</w:t>
            </w:r>
            <w:r>
              <w:rPr>
                <w:spacing w:val="-2"/>
                <w:lang w:val="en-GB"/>
              </w:rPr>
              <w:t xml:space="preserve">rye </w:t>
            </w:r>
            <w:r w:rsidRPr="00EF55AD">
              <w:rPr>
                <w:spacing w:val="-2"/>
                <w:lang w:val="en-GB"/>
              </w:rPr>
              <w:t>24</w:t>
            </w:r>
            <w:r>
              <w:rPr>
                <w:spacing w:val="-2"/>
                <w:lang w:val="en-GB"/>
              </w:rPr>
              <w:t>.</w:t>
            </w:r>
            <w:r w:rsidRPr="00EF55AD">
              <w:rPr>
                <w:spacing w:val="-2"/>
                <w:lang w:val="en-GB"/>
              </w:rPr>
              <w:t xml:space="preserve">0%, </w:t>
            </w:r>
            <w:r>
              <w:rPr>
                <w:spacing w:val="-2"/>
                <w:lang w:val="en-GB"/>
              </w:rPr>
              <w:t xml:space="preserve">barley </w:t>
            </w:r>
            <w:r w:rsidRPr="00EF55AD">
              <w:rPr>
                <w:spacing w:val="-2"/>
                <w:lang w:val="en-GB"/>
              </w:rPr>
              <w:t>21</w:t>
            </w:r>
            <w:r>
              <w:rPr>
                <w:spacing w:val="-2"/>
                <w:lang w:val="en-GB"/>
              </w:rPr>
              <w:t>.</w:t>
            </w:r>
            <w:r w:rsidRPr="00EF55AD">
              <w:rPr>
                <w:spacing w:val="-2"/>
                <w:lang w:val="en-GB"/>
              </w:rPr>
              <w:t xml:space="preserve">2%, </w:t>
            </w:r>
            <w:r>
              <w:rPr>
                <w:spacing w:val="-2"/>
                <w:lang w:val="en-GB"/>
              </w:rPr>
              <w:t>oat</w:t>
            </w:r>
            <w:r w:rsidR="004E3C34">
              <w:rPr>
                <w:spacing w:val="-2"/>
                <w:lang w:val="en-GB"/>
              </w:rPr>
              <w:t>s</w:t>
            </w:r>
            <w:r>
              <w:rPr>
                <w:spacing w:val="-2"/>
                <w:lang w:val="en-GB"/>
              </w:rPr>
              <w:t xml:space="preserve"> </w:t>
            </w:r>
            <w:r w:rsidRPr="00EF55AD">
              <w:rPr>
                <w:spacing w:val="-2"/>
                <w:lang w:val="en-GB"/>
              </w:rPr>
              <w:t>9</w:t>
            </w:r>
            <w:r>
              <w:rPr>
                <w:spacing w:val="-2"/>
                <w:lang w:val="en-GB"/>
              </w:rPr>
              <w:t>.</w:t>
            </w:r>
            <w:r w:rsidRPr="00EF55AD">
              <w:rPr>
                <w:spacing w:val="-2"/>
                <w:lang w:val="en-GB"/>
              </w:rPr>
              <w:t xml:space="preserve">9%, </w:t>
            </w:r>
            <w:r>
              <w:rPr>
                <w:spacing w:val="-2"/>
                <w:lang w:val="en-GB"/>
              </w:rPr>
              <w:t xml:space="preserve">grain maize </w:t>
            </w:r>
            <w:r w:rsidRPr="00EF55AD">
              <w:rPr>
                <w:spacing w:val="-2"/>
                <w:lang w:val="en-GB"/>
              </w:rPr>
              <w:t>40</w:t>
            </w:r>
            <w:r>
              <w:rPr>
                <w:spacing w:val="-2"/>
                <w:lang w:val="en-GB"/>
              </w:rPr>
              <w:t>.</w:t>
            </w:r>
            <w:r w:rsidRPr="00EF55AD">
              <w:rPr>
                <w:spacing w:val="-2"/>
                <w:lang w:val="en-GB"/>
              </w:rPr>
              <w:t xml:space="preserve">8%). </w:t>
            </w:r>
            <w:r>
              <w:rPr>
                <w:spacing w:val="-2"/>
                <w:lang w:val="en-GB"/>
              </w:rPr>
              <w:t>Prices of industrial crop</w:t>
            </w:r>
            <w:r w:rsidR="004E3C34">
              <w:rPr>
                <w:spacing w:val="-2"/>
                <w:lang w:val="en-GB"/>
              </w:rPr>
              <w:t>s</w:t>
            </w:r>
            <w:r>
              <w:rPr>
                <w:spacing w:val="-2"/>
                <w:lang w:val="en-GB"/>
              </w:rPr>
              <w:t xml:space="preserve"> increased by </w:t>
            </w:r>
            <w:r w:rsidRPr="00EF55AD">
              <w:rPr>
                <w:spacing w:val="-2"/>
                <w:lang w:val="en-GB"/>
              </w:rPr>
              <w:t>21</w:t>
            </w:r>
            <w:r>
              <w:rPr>
                <w:spacing w:val="-2"/>
                <w:lang w:val="en-GB"/>
              </w:rPr>
              <w:t>.</w:t>
            </w:r>
            <w:r w:rsidRPr="00EF55AD">
              <w:rPr>
                <w:spacing w:val="-2"/>
                <w:lang w:val="en-GB"/>
              </w:rPr>
              <w:t>6%</w:t>
            </w:r>
            <w:r>
              <w:rPr>
                <w:spacing w:val="-2"/>
                <w:lang w:val="en-GB"/>
              </w:rPr>
              <w:t xml:space="preserve"> year-on-year, in that oil </w:t>
            </w:r>
            <w:r w:rsidR="004E3C34">
              <w:rPr>
                <w:spacing w:val="-2"/>
                <w:lang w:val="en-GB"/>
              </w:rPr>
              <w:t>seeds</w:t>
            </w:r>
            <w:r>
              <w:rPr>
                <w:spacing w:val="-2"/>
                <w:lang w:val="en-GB"/>
              </w:rPr>
              <w:t xml:space="preserve"> by </w:t>
            </w:r>
            <w:r w:rsidRPr="00EF55AD">
              <w:rPr>
                <w:spacing w:val="-2"/>
                <w:lang w:val="en-GB"/>
              </w:rPr>
              <w:t>32</w:t>
            </w:r>
            <w:r>
              <w:rPr>
                <w:spacing w:val="-2"/>
                <w:lang w:val="en-GB"/>
              </w:rPr>
              <w:t>.</w:t>
            </w:r>
            <w:r w:rsidRPr="00EF55AD">
              <w:rPr>
                <w:spacing w:val="-2"/>
                <w:lang w:val="en-GB"/>
              </w:rPr>
              <w:t xml:space="preserve">3%, </w:t>
            </w:r>
            <w:r w:rsidR="004E3C34">
              <w:rPr>
                <w:spacing w:val="-2"/>
                <w:lang w:val="en-GB"/>
              </w:rPr>
              <w:t>protein crops</w:t>
            </w:r>
            <w:r>
              <w:rPr>
                <w:spacing w:val="-2"/>
                <w:lang w:val="en-GB"/>
              </w:rPr>
              <w:t xml:space="preserve"> by </w:t>
            </w:r>
            <w:r w:rsidRPr="00EF55AD">
              <w:rPr>
                <w:spacing w:val="-2"/>
                <w:lang w:val="en-GB"/>
              </w:rPr>
              <w:t>23</w:t>
            </w:r>
            <w:r>
              <w:rPr>
                <w:spacing w:val="-2"/>
                <w:lang w:val="en-GB"/>
              </w:rPr>
              <w:t>.</w:t>
            </w:r>
            <w:r w:rsidRPr="00EF55AD">
              <w:rPr>
                <w:spacing w:val="-2"/>
                <w:lang w:val="en-GB"/>
              </w:rPr>
              <w:t>1% a</w:t>
            </w:r>
            <w:r>
              <w:rPr>
                <w:spacing w:val="-2"/>
                <w:lang w:val="en-GB"/>
              </w:rPr>
              <w:t xml:space="preserve">nd sugar beet by </w:t>
            </w:r>
            <w:r w:rsidRPr="00EF55AD">
              <w:rPr>
                <w:spacing w:val="-2"/>
                <w:lang w:val="en-GB"/>
              </w:rPr>
              <w:t>10</w:t>
            </w:r>
            <w:r>
              <w:rPr>
                <w:spacing w:val="-2"/>
                <w:lang w:val="en-GB"/>
              </w:rPr>
              <w:t>.</w:t>
            </w:r>
            <w:r w:rsidRPr="00EF55AD">
              <w:rPr>
                <w:spacing w:val="-2"/>
                <w:lang w:val="en-GB"/>
              </w:rPr>
              <w:t xml:space="preserve">4%. </w:t>
            </w:r>
            <w:r>
              <w:rPr>
                <w:spacing w:val="-2"/>
                <w:lang w:val="en-GB"/>
              </w:rPr>
              <w:t>Prices of f</w:t>
            </w:r>
            <w:r w:rsidR="004E3C34">
              <w:rPr>
                <w:spacing w:val="-2"/>
                <w:lang w:val="en-GB"/>
              </w:rPr>
              <w:t>orage plants</w:t>
            </w:r>
            <w:r>
              <w:rPr>
                <w:spacing w:val="-2"/>
                <w:lang w:val="en-GB"/>
              </w:rPr>
              <w:t xml:space="preserve"> went up by </w:t>
            </w:r>
            <w:r w:rsidRPr="00EF55AD">
              <w:rPr>
                <w:spacing w:val="-2"/>
                <w:lang w:val="en-GB"/>
              </w:rPr>
              <w:t>7</w:t>
            </w:r>
            <w:r>
              <w:rPr>
                <w:spacing w:val="-2"/>
                <w:lang w:val="en-GB"/>
              </w:rPr>
              <w:t>.</w:t>
            </w:r>
            <w:r w:rsidRPr="00EF55AD">
              <w:rPr>
                <w:spacing w:val="-2"/>
                <w:lang w:val="en-GB"/>
              </w:rPr>
              <w:t>4%</w:t>
            </w:r>
            <w:r>
              <w:rPr>
                <w:spacing w:val="-2"/>
                <w:lang w:val="en-GB"/>
              </w:rPr>
              <w:t xml:space="preserve"> </w:t>
            </w:r>
            <w:proofErr w:type="gramStart"/>
            <w:r>
              <w:rPr>
                <w:spacing w:val="-2"/>
                <w:lang w:val="en-GB"/>
              </w:rPr>
              <w:t>year-on-year and vegetables</w:t>
            </w:r>
            <w:proofErr w:type="gramEnd"/>
            <w:r>
              <w:rPr>
                <w:spacing w:val="-2"/>
                <w:lang w:val="en-GB"/>
              </w:rPr>
              <w:t xml:space="preserve"> and </w:t>
            </w:r>
            <w:r w:rsidR="004E3C34">
              <w:rPr>
                <w:spacing w:val="-2"/>
                <w:lang w:val="en-GB"/>
              </w:rPr>
              <w:t>horticultural</w:t>
            </w:r>
            <w:r>
              <w:rPr>
                <w:spacing w:val="-2"/>
                <w:lang w:val="en-GB"/>
              </w:rPr>
              <w:t xml:space="preserve"> products by </w:t>
            </w:r>
            <w:r w:rsidRPr="00EF55AD">
              <w:rPr>
                <w:spacing w:val="-2"/>
                <w:lang w:val="en-GB"/>
              </w:rPr>
              <w:t>18</w:t>
            </w:r>
            <w:r>
              <w:rPr>
                <w:spacing w:val="-2"/>
                <w:lang w:val="en-GB"/>
              </w:rPr>
              <w:t>.</w:t>
            </w:r>
            <w:r w:rsidRPr="00EF55AD">
              <w:rPr>
                <w:spacing w:val="-2"/>
                <w:lang w:val="en-GB"/>
              </w:rPr>
              <w:t>9%.</w:t>
            </w:r>
            <w:r>
              <w:rPr>
                <w:spacing w:val="-2"/>
                <w:lang w:val="en-GB"/>
              </w:rPr>
              <w:t xml:space="preserve"> Prices of potatoes got out of seven quarters lasting series of year-on-year decreases in Q4 </w:t>
            </w:r>
            <w:r w:rsidRPr="00EF55AD">
              <w:rPr>
                <w:spacing w:val="-2"/>
                <w:lang w:val="en-GB"/>
              </w:rPr>
              <w:t>(1</w:t>
            </w:r>
            <w:r>
              <w:rPr>
                <w:spacing w:val="-2"/>
                <w:lang w:val="en-GB"/>
              </w:rPr>
              <w:t>.</w:t>
            </w:r>
            <w:r w:rsidRPr="00EF55AD">
              <w:rPr>
                <w:spacing w:val="-2"/>
                <w:lang w:val="en-GB"/>
              </w:rPr>
              <w:t xml:space="preserve">8%). </w:t>
            </w:r>
            <w:r>
              <w:rPr>
                <w:spacing w:val="-2"/>
                <w:lang w:val="en-GB"/>
              </w:rPr>
              <w:t xml:space="preserve">Fruit was cheaper by </w:t>
            </w:r>
            <w:r w:rsidRPr="00EF55AD">
              <w:rPr>
                <w:spacing w:val="-2"/>
                <w:lang w:val="en-GB"/>
              </w:rPr>
              <w:t>1</w:t>
            </w:r>
            <w:r>
              <w:rPr>
                <w:spacing w:val="-2"/>
                <w:lang w:val="en-GB"/>
              </w:rPr>
              <w:t>.</w:t>
            </w:r>
            <w:r w:rsidRPr="00EF55AD">
              <w:rPr>
                <w:spacing w:val="-2"/>
                <w:lang w:val="en-GB"/>
              </w:rPr>
              <w:t>2%</w:t>
            </w:r>
            <w:r>
              <w:rPr>
                <w:spacing w:val="-2"/>
                <w:lang w:val="en-GB"/>
              </w:rPr>
              <w:t xml:space="preserve"> year-on-year</w:t>
            </w:r>
            <w:r w:rsidRPr="00EF55AD">
              <w:rPr>
                <w:spacing w:val="-2"/>
                <w:lang w:val="en-GB"/>
              </w:rPr>
              <w:t>.</w:t>
            </w:r>
            <w:r>
              <w:rPr>
                <w:spacing w:val="-2"/>
                <w:lang w:val="en-GB"/>
              </w:rPr>
              <w:t xml:space="preserve"> Prices of</w:t>
            </w:r>
            <w:r w:rsidR="004E3C34">
              <w:rPr>
                <w:spacing w:val="-2"/>
                <w:lang w:val="en-GB"/>
              </w:rPr>
              <w:t xml:space="preserve"> animals and</w:t>
            </w:r>
            <w:r>
              <w:rPr>
                <w:spacing w:val="-2"/>
                <w:lang w:val="en-GB"/>
              </w:rPr>
              <w:t xml:space="preserve"> animal product</w:t>
            </w:r>
            <w:r w:rsidR="004E3C34">
              <w:rPr>
                <w:spacing w:val="-2"/>
                <w:lang w:val="en-GB"/>
              </w:rPr>
              <w:t>s</w:t>
            </w:r>
            <w:r>
              <w:rPr>
                <w:spacing w:val="-2"/>
                <w:lang w:val="en-GB"/>
              </w:rPr>
              <w:t xml:space="preserve"> increased by </w:t>
            </w:r>
            <w:r w:rsidRPr="00EF55AD">
              <w:rPr>
                <w:spacing w:val="-2"/>
                <w:lang w:val="en-GB"/>
              </w:rPr>
              <w:t>5</w:t>
            </w:r>
            <w:r>
              <w:rPr>
                <w:spacing w:val="-2"/>
                <w:lang w:val="en-GB"/>
              </w:rPr>
              <w:t>.</w:t>
            </w:r>
            <w:r w:rsidRPr="00EF55AD">
              <w:rPr>
                <w:spacing w:val="-2"/>
                <w:lang w:val="en-GB"/>
              </w:rPr>
              <w:t>9%</w:t>
            </w:r>
            <w:r>
              <w:rPr>
                <w:spacing w:val="-2"/>
                <w:lang w:val="en-GB"/>
              </w:rPr>
              <w:t xml:space="preserve"> year-on-year</w:t>
            </w:r>
            <w:r w:rsidRPr="00EF55AD">
              <w:rPr>
                <w:spacing w:val="-2"/>
                <w:lang w:val="en-GB"/>
              </w:rPr>
              <w:t>.</w:t>
            </w:r>
            <w:r>
              <w:rPr>
                <w:spacing w:val="-2"/>
                <w:lang w:val="en-GB"/>
              </w:rPr>
              <w:t xml:space="preserve"> Prices of animals were by </w:t>
            </w:r>
            <w:r w:rsidRPr="00EF55AD">
              <w:rPr>
                <w:spacing w:val="-2"/>
                <w:lang w:val="en-GB"/>
              </w:rPr>
              <w:t>1</w:t>
            </w:r>
            <w:r>
              <w:rPr>
                <w:spacing w:val="-2"/>
                <w:lang w:val="en-GB"/>
              </w:rPr>
              <w:t>.</w:t>
            </w:r>
            <w:r w:rsidRPr="00EF55AD">
              <w:rPr>
                <w:spacing w:val="-2"/>
                <w:lang w:val="en-GB"/>
              </w:rPr>
              <w:t>6%</w:t>
            </w:r>
            <w:r>
              <w:rPr>
                <w:spacing w:val="-2"/>
                <w:lang w:val="en-GB"/>
              </w:rPr>
              <w:t xml:space="preserve"> higher</w:t>
            </w:r>
            <w:r w:rsidRPr="00EF55AD">
              <w:rPr>
                <w:spacing w:val="-2"/>
                <w:lang w:val="en-GB"/>
              </w:rPr>
              <w:t>.</w:t>
            </w:r>
            <w:r>
              <w:rPr>
                <w:spacing w:val="-2"/>
                <w:lang w:val="en-GB"/>
              </w:rPr>
              <w:t xml:space="preserve"> While the slump of prices of pigs and piglets moderated to </w:t>
            </w:r>
            <w:r w:rsidRPr="00EF55AD">
              <w:rPr>
                <w:spacing w:val="-2"/>
                <w:lang w:val="en-GB"/>
              </w:rPr>
              <w:t>5</w:t>
            </w:r>
            <w:r>
              <w:rPr>
                <w:spacing w:val="-2"/>
                <w:lang w:val="en-GB"/>
              </w:rPr>
              <w:t>.</w:t>
            </w:r>
            <w:r w:rsidRPr="00EF55AD">
              <w:rPr>
                <w:spacing w:val="-2"/>
                <w:lang w:val="en-GB"/>
              </w:rPr>
              <w:t>9%,</w:t>
            </w:r>
            <w:r>
              <w:rPr>
                <w:spacing w:val="-2"/>
                <w:lang w:val="en-GB"/>
              </w:rPr>
              <w:t xml:space="preserve"> the growth of prices of cattle accelerated to </w:t>
            </w:r>
            <w:r w:rsidRPr="00EF55AD">
              <w:rPr>
                <w:spacing w:val="-2"/>
                <w:lang w:val="en-GB"/>
              </w:rPr>
              <w:t>10</w:t>
            </w:r>
            <w:r>
              <w:rPr>
                <w:spacing w:val="-2"/>
                <w:lang w:val="en-GB"/>
              </w:rPr>
              <w:t>.</w:t>
            </w:r>
            <w:r w:rsidRPr="00EF55AD">
              <w:rPr>
                <w:spacing w:val="-2"/>
                <w:lang w:val="en-GB"/>
              </w:rPr>
              <w:t>8%</w:t>
            </w:r>
            <w:r>
              <w:rPr>
                <w:spacing w:val="-2"/>
                <w:lang w:val="en-GB"/>
              </w:rPr>
              <w:t xml:space="preserve"> and poultry to </w:t>
            </w:r>
            <w:r w:rsidRPr="00EF55AD">
              <w:rPr>
                <w:spacing w:val="-2"/>
                <w:lang w:val="en-GB"/>
              </w:rPr>
              <w:t>3</w:t>
            </w:r>
            <w:r>
              <w:rPr>
                <w:spacing w:val="-2"/>
                <w:lang w:val="en-GB"/>
              </w:rPr>
              <w:t>.</w:t>
            </w:r>
            <w:r w:rsidRPr="00EF55AD">
              <w:rPr>
                <w:spacing w:val="-2"/>
                <w:lang w:val="en-GB"/>
              </w:rPr>
              <w:t xml:space="preserve">2%. </w:t>
            </w:r>
            <w:r>
              <w:rPr>
                <w:spacing w:val="-2"/>
                <w:lang w:val="en-GB"/>
              </w:rPr>
              <w:t xml:space="preserve">Prices of animal products were however by </w:t>
            </w:r>
            <w:r w:rsidRPr="00EF55AD">
              <w:rPr>
                <w:spacing w:val="-2"/>
                <w:lang w:val="en-GB"/>
              </w:rPr>
              <w:t>9</w:t>
            </w:r>
            <w:r>
              <w:rPr>
                <w:spacing w:val="-2"/>
                <w:lang w:val="en-GB"/>
              </w:rPr>
              <w:t>.</w:t>
            </w:r>
            <w:r w:rsidRPr="00EF55AD">
              <w:rPr>
                <w:spacing w:val="-2"/>
                <w:lang w:val="en-GB"/>
              </w:rPr>
              <w:t>0%</w:t>
            </w:r>
            <w:r>
              <w:rPr>
                <w:spacing w:val="-2"/>
                <w:lang w:val="en-GB"/>
              </w:rPr>
              <w:t xml:space="preserve"> higher</w:t>
            </w:r>
            <w:r w:rsidRPr="00EF55AD">
              <w:rPr>
                <w:spacing w:val="-2"/>
                <w:lang w:val="en-GB"/>
              </w:rPr>
              <w:t xml:space="preserve">, </w:t>
            </w:r>
            <w:r>
              <w:rPr>
                <w:spacing w:val="-2"/>
                <w:lang w:val="en-GB"/>
              </w:rPr>
              <w:t xml:space="preserve">in that the prices of milk went up by </w:t>
            </w:r>
            <w:r w:rsidRPr="00EF55AD">
              <w:rPr>
                <w:spacing w:val="-2"/>
                <w:lang w:val="en-GB"/>
              </w:rPr>
              <w:t>9</w:t>
            </w:r>
            <w:r>
              <w:rPr>
                <w:spacing w:val="-2"/>
                <w:lang w:val="en-GB"/>
              </w:rPr>
              <w:t>.</w:t>
            </w:r>
            <w:r w:rsidRPr="00EF55AD">
              <w:rPr>
                <w:spacing w:val="-2"/>
                <w:lang w:val="en-GB"/>
              </w:rPr>
              <w:t>5% a</w:t>
            </w:r>
            <w:r>
              <w:rPr>
                <w:spacing w:val="-2"/>
                <w:lang w:val="en-GB"/>
              </w:rPr>
              <w:t xml:space="preserve">nd eggs by </w:t>
            </w:r>
            <w:r w:rsidRPr="00EF55AD">
              <w:rPr>
                <w:spacing w:val="-2"/>
                <w:lang w:val="en-GB"/>
              </w:rPr>
              <w:t>3</w:t>
            </w:r>
            <w:r>
              <w:rPr>
                <w:spacing w:val="-2"/>
                <w:lang w:val="en-GB"/>
              </w:rPr>
              <w:t>.</w:t>
            </w:r>
            <w:r w:rsidRPr="00EF55AD">
              <w:rPr>
                <w:spacing w:val="-2"/>
                <w:lang w:val="en-GB"/>
              </w:rPr>
              <w:t>3%.</w:t>
            </w:r>
          </w:p>
        </w:tc>
      </w:tr>
      <w:tr w:rsidR="009B0A5E" w:rsidRPr="009110F7" w14:paraId="0B02EFF0" w14:textId="77777777" w:rsidTr="00913237">
        <w:trPr>
          <w:trHeight w:val="145"/>
        </w:trPr>
        <w:tc>
          <w:tcPr>
            <w:tcW w:w="1805" w:type="dxa"/>
            <w:shd w:val="clear" w:color="auto" w:fill="auto"/>
            <w:tcMar>
              <w:left w:w="0" w:type="dxa"/>
            </w:tcMar>
          </w:tcPr>
          <w:p w14:paraId="5BB7998E" w14:textId="06630331" w:rsidR="009B0A5E" w:rsidRPr="00413DBE" w:rsidRDefault="009B0A5E" w:rsidP="009B0A5E">
            <w:pPr>
              <w:pStyle w:val="Marginlie"/>
              <w:rPr>
                <w:spacing w:val="0"/>
                <w:lang w:val="en-GB"/>
              </w:rPr>
            </w:pPr>
            <w:r>
              <w:rPr>
                <w:spacing w:val="0"/>
                <w:lang w:val="en-GB"/>
              </w:rPr>
              <w:t xml:space="preserve">Prices of export grew in year </w:t>
            </w:r>
            <w:r w:rsidRPr="00413DBE">
              <w:rPr>
                <w:spacing w:val="0"/>
                <w:lang w:val="en-GB"/>
              </w:rPr>
              <w:t>2021</w:t>
            </w:r>
            <w:r>
              <w:rPr>
                <w:spacing w:val="0"/>
                <w:lang w:val="en-GB"/>
              </w:rPr>
              <w:t xml:space="preserve">. </w:t>
            </w:r>
          </w:p>
        </w:tc>
        <w:tc>
          <w:tcPr>
            <w:tcW w:w="224" w:type="dxa"/>
            <w:shd w:val="clear" w:color="auto" w:fill="auto"/>
            <w:tcMar>
              <w:left w:w="0" w:type="dxa"/>
            </w:tcMar>
          </w:tcPr>
          <w:p w14:paraId="2D8ACAA8" w14:textId="77777777" w:rsidR="009B0A5E" w:rsidRPr="00413DBE" w:rsidRDefault="009B0A5E" w:rsidP="009B0A5E">
            <w:pPr>
              <w:pStyle w:val="Textpoznpodarou1"/>
              <w:jc w:val="both"/>
              <w:rPr>
                <w:lang w:val="en-GB"/>
              </w:rPr>
            </w:pPr>
          </w:p>
        </w:tc>
        <w:tc>
          <w:tcPr>
            <w:tcW w:w="7610" w:type="dxa"/>
            <w:shd w:val="clear" w:color="auto" w:fill="auto"/>
            <w:tcMar>
              <w:left w:w="0" w:type="dxa"/>
            </w:tcMar>
          </w:tcPr>
          <w:p w14:paraId="408D625A" w14:textId="45EDADA3" w:rsidR="009B0A5E" w:rsidRPr="00947B6E" w:rsidRDefault="009B0A5E" w:rsidP="004E3C34">
            <w:pPr>
              <w:rPr>
                <w:lang w:val="en-GB"/>
              </w:rPr>
            </w:pPr>
            <w:r w:rsidRPr="00947B6E">
              <w:rPr>
                <w:lang w:val="en-GB"/>
              </w:rPr>
              <w:t xml:space="preserve">Import prices expanded by 5.8% in year 2021. Their dynamics thus considerably strengthened. Development of koruna foreign exchange (especially appreciation against euro) at the same time subdued the growth of prices of foreign </w:t>
            </w:r>
            <w:r w:rsidR="004E3C34">
              <w:rPr>
                <w:lang w:val="en-GB"/>
              </w:rPr>
              <w:t>trade</w:t>
            </w:r>
            <w:r w:rsidRPr="00947B6E">
              <w:rPr>
                <w:rStyle w:val="Znakapoznpodarou"/>
                <w:lang w:val="en-GB"/>
              </w:rPr>
              <w:footnoteReference w:id="54"/>
            </w:r>
            <w:r w:rsidRPr="00947B6E">
              <w:rPr>
                <w:lang w:val="en-GB"/>
              </w:rPr>
              <w:t>.  Development of prices of export of mineral fuels (57.9%) and other materials</w:t>
            </w:r>
            <w:r w:rsidRPr="00947B6E">
              <w:rPr>
                <w:rStyle w:val="Znakapoznpodarou"/>
                <w:lang w:val="en-GB"/>
              </w:rPr>
              <w:footnoteReference w:id="55"/>
            </w:r>
            <w:r w:rsidRPr="00947B6E">
              <w:rPr>
                <w:lang w:val="en-GB"/>
              </w:rPr>
              <w:t xml:space="preserve"> (45.2%) had a large share on this result. Prices of export of chemical</w:t>
            </w:r>
            <w:r w:rsidR="004E3C34">
              <w:rPr>
                <w:lang w:val="en-GB"/>
              </w:rPr>
              <w:t>s and related</w:t>
            </w:r>
            <w:r w:rsidRPr="00947B6E">
              <w:rPr>
                <w:lang w:val="en-GB"/>
              </w:rPr>
              <w:t xml:space="preserve"> products also grew strongly (10.4%). Prices of semi-finished products</w:t>
            </w:r>
            <w:r w:rsidRPr="00947B6E">
              <w:rPr>
                <w:rStyle w:val="Znakapoznpodarou"/>
                <w:lang w:val="en-GB"/>
              </w:rPr>
              <w:footnoteReference w:id="56"/>
            </w:r>
            <w:r w:rsidRPr="00947B6E">
              <w:rPr>
                <w:lang w:val="en-GB"/>
              </w:rPr>
              <w:t xml:space="preserve"> (9.1%) or food and live animals (4.6%) also grew substantially. Prices of beverages and tobacco (–3.2%) and </w:t>
            </w:r>
            <w:r w:rsidR="004E3C34">
              <w:rPr>
                <w:lang w:val="en-GB"/>
              </w:rPr>
              <w:t>m</w:t>
            </w:r>
            <w:r w:rsidR="004E3C34">
              <w:t>iscellaneous manufactured articles</w:t>
            </w:r>
            <w:r w:rsidR="004E3C34" w:rsidRPr="00947B6E">
              <w:rPr>
                <w:lang w:val="en-GB"/>
              </w:rPr>
              <w:t xml:space="preserve"> </w:t>
            </w:r>
            <w:r w:rsidRPr="00947B6E">
              <w:rPr>
                <w:lang w:val="en-GB"/>
              </w:rPr>
              <w:t>(–0.5%) were lower last year. Year-on-year growth of prices of export strengthened during the year and reached 9.8% in Q4 2021. Prices of export of mineral fuels</w:t>
            </w:r>
            <w:r>
              <w:rPr>
                <w:lang w:val="en-GB"/>
              </w:rPr>
              <w:t xml:space="preserve"> </w:t>
            </w:r>
            <w:r w:rsidRPr="00947B6E">
              <w:rPr>
                <w:lang w:val="en-GB"/>
              </w:rPr>
              <w:t>(119</w:t>
            </w:r>
            <w:r>
              <w:rPr>
                <w:lang w:val="en-GB"/>
              </w:rPr>
              <w:t>.</w:t>
            </w:r>
            <w:r w:rsidRPr="00947B6E">
              <w:rPr>
                <w:lang w:val="en-GB"/>
              </w:rPr>
              <w:t>2%) a</w:t>
            </w:r>
            <w:r>
              <w:rPr>
                <w:lang w:val="en-GB"/>
              </w:rPr>
              <w:t xml:space="preserve">nd other materials </w:t>
            </w:r>
            <w:r w:rsidRPr="00947B6E">
              <w:rPr>
                <w:lang w:val="en-GB"/>
              </w:rPr>
              <w:t>(55</w:t>
            </w:r>
            <w:r>
              <w:rPr>
                <w:lang w:val="en-GB"/>
              </w:rPr>
              <w:t>.</w:t>
            </w:r>
            <w:r w:rsidRPr="00947B6E">
              <w:rPr>
                <w:lang w:val="en-GB"/>
              </w:rPr>
              <w:t>6%) grew the most year-on-year. Prices of semi-finished products were by 16.2% higher, chemical</w:t>
            </w:r>
            <w:r w:rsidR="004E3C34">
              <w:rPr>
                <w:lang w:val="en-GB"/>
              </w:rPr>
              <w:t>s</w:t>
            </w:r>
            <w:r w:rsidRPr="00947B6E">
              <w:rPr>
                <w:lang w:val="en-GB"/>
              </w:rPr>
              <w:t xml:space="preserve"> by 15.7% and food and live animals by 8.9%. </w:t>
            </w:r>
            <w:r>
              <w:rPr>
                <w:lang w:val="en-GB"/>
              </w:rPr>
              <w:t xml:space="preserve">Prices of export of machinery and transportation equipment </w:t>
            </w:r>
            <w:r w:rsidRPr="00947B6E">
              <w:rPr>
                <w:lang w:val="en-GB"/>
              </w:rPr>
              <w:t>(0</w:t>
            </w:r>
            <w:r>
              <w:rPr>
                <w:lang w:val="en-GB"/>
              </w:rPr>
              <w:t>.</w:t>
            </w:r>
            <w:r w:rsidRPr="00947B6E">
              <w:rPr>
                <w:lang w:val="en-GB"/>
              </w:rPr>
              <w:t>9%)</w:t>
            </w:r>
            <w:r>
              <w:rPr>
                <w:lang w:val="en-GB"/>
              </w:rPr>
              <w:t xml:space="preserve"> and </w:t>
            </w:r>
            <w:r w:rsidR="004E3C34">
              <w:rPr>
                <w:lang w:val="en-GB"/>
              </w:rPr>
              <w:t>m</w:t>
            </w:r>
            <w:r w:rsidR="004E3C34">
              <w:t>iscellaneous manufactured articles</w:t>
            </w:r>
            <w:r>
              <w:rPr>
                <w:lang w:val="en-GB"/>
              </w:rPr>
              <w:t xml:space="preserve"> </w:t>
            </w:r>
            <w:r w:rsidRPr="00947B6E">
              <w:rPr>
                <w:lang w:val="en-GB"/>
              </w:rPr>
              <w:t>(0</w:t>
            </w:r>
            <w:r>
              <w:rPr>
                <w:lang w:val="en-GB"/>
              </w:rPr>
              <w:t>.</w:t>
            </w:r>
            <w:r w:rsidRPr="00947B6E">
              <w:rPr>
                <w:lang w:val="en-GB"/>
              </w:rPr>
              <w:t>9%)</w:t>
            </w:r>
            <w:r>
              <w:rPr>
                <w:lang w:val="en-GB"/>
              </w:rPr>
              <w:t xml:space="preserve"> slightly grew</w:t>
            </w:r>
            <w:r w:rsidRPr="00947B6E">
              <w:rPr>
                <w:lang w:val="en-GB"/>
              </w:rPr>
              <w:t>. Only prices of beverages and tobacco decreased (–3.6%).</w:t>
            </w:r>
          </w:p>
        </w:tc>
      </w:tr>
      <w:tr w:rsidR="009B0A5E" w:rsidRPr="009110F7" w14:paraId="451B1298" w14:textId="77777777" w:rsidTr="00913237">
        <w:trPr>
          <w:trHeight w:val="145"/>
        </w:trPr>
        <w:tc>
          <w:tcPr>
            <w:tcW w:w="1805" w:type="dxa"/>
            <w:shd w:val="clear" w:color="auto" w:fill="auto"/>
            <w:tcMar>
              <w:left w:w="0" w:type="dxa"/>
            </w:tcMar>
          </w:tcPr>
          <w:p w14:paraId="0ABB8A7B" w14:textId="4F527A41" w:rsidR="009B0A5E" w:rsidRPr="0077463E" w:rsidRDefault="009B0A5E" w:rsidP="009B0A5E">
            <w:pPr>
              <w:pStyle w:val="Marginlie"/>
              <w:rPr>
                <w:spacing w:val="0"/>
                <w:lang w:val="en-GB"/>
              </w:rPr>
            </w:pPr>
            <w:r w:rsidRPr="0077463E">
              <w:rPr>
                <w:spacing w:val="0"/>
                <w:lang w:val="en-GB"/>
              </w:rPr>
              <w:t xml:space="preserve">Prices of import were also considerably higher. </w:t>
            </w:r>
          </w:p>
        </w:tc>
        <w:tc>
          <w:tcPr>
            <w:tcW w:w="224" w:type="dxa"/>
            <w:shd w:val="clear" w:color="auto" w:fill="auto"/>
            <w:tcMar>
              <w:left w:w="0" w:type="dxa"/>
            </w:tcMar>
          </w:tcPr>
          <w:p w14:paraId="57BC3E50" w14:textId="77777777" w:rsidR="009B0A5E" w:rsidRPr="0077463E" w:rsidRDefault="009B0A5E" w:rsidP="009B0A5E">
            <w:pPr>
              <w:pStyle w:val="Textpoznpodarou1"/>
              <w:jc w:val="both"/>
              <w:rPr>
                <w:lang w:val="en-GB"/>
              </w:rPr>
            </w:pPr>
          </w:p>
        </w:tc>
        <w:tc>
          <w:tcPr>
            <w:tcW w:w="7610" w:type="dxa"/>
            <w:shd w:val="clear" w:color="auto" w:fill="auto"/>
            <w:tcMar>
              <w:left w:w="0" w:type="dxa"/>
            </w:tcMar>
          </w:tcPr>
          <w:p w14:paraId="6BAF74A7" w14:textId="4B798C0A" w:rsidR="009B0A5E" w:rsidRPr="0077463E" w:rsidRDefault="009B0A5E" w:rsidP="00BE6BAC">
            <w:pPr>
              <w:rPr>
                <w:lang w:val="en-GB"/>
              </w:rPr>
            </w:pPr>
            <w:r>
              <w:rPr>
                <w:lang w:val="en-GB"/>
              </w:rPr>
              <w:t xml:space="preserve">Import prices expanded by </w:t>
            </w:r>
            <w:r w:rsidRPr="0077463E">
              <w:rPr>
                <w:lang w:val="en-GB"/>
              </w:rPr>
              <w:t>6</w:t>
            </w:r>
            <w:r>
              <w:rPr>
                <w:lang w:val="en-GB"/>
              </w:rPr>
              <w:t>.</w:t>
            </w:r>
            <w:r w:rsidRPr="0077463E">
              <w:rPr>
                <w:lang w:val="en-GB"/>
              </w:rPr>
              <w:t>1%</w:t>
            </w:r>
            <w:r>
              <w:rPr>
                <w:lang w:val="en-GB"/>
              </w:rPr>
              <w:t xml:space="preserve"> in year 2021</w:t>
            </w:r>
            <w:r w:rsidRPr="0077463E">
              <w:rPr>
                <w:lang w:val="en-GB"/>
              </w:rPr>
              <w:t>.</w:t>
            </w:r>
            <w:r>
              <w:rPr>
                <w:lang w:val="en-GB"/>
              </w:rPr>
              <w:t xml:space="preserve"> Prices of import of mineral fuels</w:t>
            </w:r>
            <w:r w:rsidRPr="0077463E">
              <w:rPr>
                <w:lang w:val="en-GB"/>
              </w:rPr>
              <w:t xml:space="preserve"> (68</w:t>
            </w:r>
            <w:r>
              <w:rPr>
                <w:lang w:val="en-GB"/>
              </w:rPr>
              <w:t>.</w:t>
            </w:r>
            <w:r w:rsidRPr="0077463E">
              <w:rPr>
                <w:lang w:val="en-GB"/>
              </w:rPr>
              <w:t>8%),</w:t>
            </w:r>
            <w:r>
              <w:rPr>
                <w:lang w:val="en-GB"/>
              </w:rPr>
              <w:t xml:space="preserve"> other materials </w:t>
            </w:r>
            <w:r w:rsidRPr="0077463E">
              <w:rPr>
                <w:lang w:val="en-GB"/>
              </w:rPr>
              <w:t>(24</w:t>
            </w:r>
            <w:r>
              <w:rPr>
                <w:lang w:val="en-GB"/>
              </w:rPr>
              <w:t>.</w:t>
            </w:r>
            <w:r w:rsidRPr="0077463E">
              <w:rPr>
                <w:lang w:val="en-GB"/>
              </w:rPr>
              <w:t xml:space="preserve">5%), </w:t>
            </w:r>
            <w:r>
              <w:rPr>
                <w:lang w:val="en-GB"/>
              </w:rPr>
              <w:t xml:space="preserve">semi-finished products </w:t>
            </w:r>
            <w:r w:rsidRPr="0077463E">
              <w:rPr>
                <w:lang w:val="en-GB"/>
              </w:rPr>
              <w:t>(9</w:t>
            </w:r>
            <w:r>
              <w:rPr>
                <w:lang w:val="en-GB"/>
              </w:rPr>
              <w:t>.</w:t>
            </w:r>
            <w:r w:rsidRPr="0077463E">
              <w:rPr>
                <w:lang w:val="en-GB"/>
              </w:rPr>
              <w:t>0%) a</w:t>
            </w:r>
            <w:r>
              <w:rPr>
                <w:lang w:val="en-GB"/>
              </w:rPr>
              <w:t>nd chemical</w:t>
            </w:r>
            <w:r w:rsidR="004E3C34">
              <w:rPr>
                <w:lang w:val="en-GB"/>
              </w:rPr>
              <w:t>s</w:t>
            </w:r>
            <w:r>
              <w:rPr>
                <w:lang w:val="en-GB"/>
              </w:rPr>
              <w:t xml:space="preserve"> </w:t>
            </w:r>
            <w:r w:rsidRPr="0077463E">
              <w:rPr>
                <w:lang w:val="en-GB"/>
              </w:rPr>
              <w:t>(8</w:t>
            </w:r>
            <w:r>
              <w:rPr>
                <w:lang w:val="en-GB"/>
              </w:rPr>
              <w:t>.</w:t>
            </w:r>
            <w:r w:rsidRPr="0077463E">
              <w:rPr>
                <w:lang w:val="en-GB"/>
              </w:rPr>
              <w:t>3%)</w:t>
            </w:r>
            <w:r>
              <w:rPr>
                <w:lang w:val="en-GB"/>
              </w:rPr>
              <w:t xml:space="preserve"> grew the most</w:t>
            </w:r>
            <w:r w:rsidRPr="0077463E">
              <w:rPr>
                <w:lang w:val="en-GB"/>
              </w:rPr>
              <w:t>.</w:t>
            </w:r>
            <w:r>
              <w:rPr>
                <w:lang w:val="en-GB"/>
              </w:rPr>
              <w:t xml:space="preserve"> Prices of beverages and tobacco </w:t>
            </w:r>
            <w:r w:rsidRPr="0077463E">
              <w:rPr>
                <w:lang w:val="en-GB"/>
              </w:rPr>
              <w:t>(0</w:t>
            </w:r>
            <w:r>
              <w:rPr>
                <w:lang w:val="en-GB"/>
              </w:rPr>
              <w:t>.</w:t>
            </w:r>
            <w:r w:rsidRPr="0077463E">
              <w:rPr>
                <w:lang w:val="en-GB"/>
              </w:rPr>
              <w:t>4%)</w:t>
            </w:r>
            <w:r>
              <w:rPr>
                <w:lang w:val="en-GB"/>
              </w:rPr>
              <w:t xml:space="preserve"> were also mildly higher. By contrast import prices of </w:t>
            </w:r>
            <w:r w:rsidR="004E3C34">
              <w:rPr>
                <w:lang w:val="en-GB"/>
              </w:rPr>
              <w:t>m</w:t>
            </w:r>
            <w:r w:rsidR="004E3C34">
              <w:t>iscellaneous manufactured articles</w:t>
            </w:r>
            <w:r>
              <w:rPr>
                <w:lang w:val="en-GB"/>
              </w:rPr>
              <w:t xml:space="preserve"> </w:t>
            </w:r>
            <w:r w:rsidRPr="0077463E">
              <w:rPr>
                <w:lang w:val="en-GB"/>
              </w:rPr>
              <w:t>(–2</w:t>
            </w:r>
            <w:r>
              <w:rPr>
                <w:lang w:val="en-GB"/>
              </w:rPr>
              <w:t>.</w:t>
            </w:r>
            <w:r w:rsidRPr="0077463E">
              <w:rPr>
                <w:lang w:val="en-GB"/>
              </w:rPr>
              <w:t xml:space="preserve">3%), </w:t>
            </w:r>
            <w:r>
              <w:rPr>
                <w:lang w:val="en-GB"/>
              </w:rPr>
              <w:t xml:space="preserve">food and live animals </w:t>
            </w:r>
            <w:r w:rsidRPr="0077463E">
              <w:rPr>
                <w:lang w:val="en-GB"/>
              </w:rPr>
              <w:t>(–1</w:t>
            </w:r>
            <w:r>
              <w:rPr>
                <w:lang w:val="en-GB"/>
              </w:rPr>
              <w:t>.</w:t>
            </w:r>
            <w:r w:rsidRPr="0077463E">
              <w:rPr>
                <w:lang w:val="en-GB"/>
              </w:rPr>
              <w:t>7%) a</w:t>
            </w:r>
            <w:r>
              <w:rPr>
                <w:lang w:val="en-GB"/>
              </w:rPr>
              <w:t xml:space="preserve">nd machinery and transportation equipment </w:t>
            </w:r>
            <w:r w:rsidRPr="0077463E">
              <w:rPr>
                <w:lang w:val="en-GB"/>
              </w:rPr>
              <w:t>(–1</w:t>
            </w:r>
            <w:r>
              <w:rPr>
                <w:lang w:val="en-GB"/>
              </w:rPr>
              <w:t>.</w:t>
            </w:r>
            <w:r w:rsidRPr="0077463E">
              <w:rPr>
                <w:lang w:val="en-GB"/>
              </w:rPr>
              <w:t>6%)</w:t>
            </w:r>
            <w:r>
              <w:rPr>
                <w:lang w:val="en-GB"/>
              </w:rPr>
              <w:t xml:space="preserve"> decreased last year</w:t>
            </w:r>
            <w:r w:rsidRPr="0077463E">
              <w:rPr>
                <w:lang w:val="en-GB"/>
              </w:rPr>
              <w:t xml:space="preserve">. </w:t>
            </w:r>
            <w:r>
              <w:rPr>
                <w:lang w:val="en-GB"/>
              </w:rPr>
              <w:t xml:space="preserve">Import prices increased by </w:t>
            </w:r>
            <w:r w:rsidRPr="0077463E">
              <w:rPr>
                <w:lang w:val="en-GB"/>
              </w:rPr>
              <w:t>12</w:t>
            </w:r>
            <w:r>
              <w:rPr>
                <w:lang w:val="en-GB"/>
              </w:rPr>
              <w:t>.</w:t>
            </w:r>
            <w:r w:rsidRPr="0077463E">
              <w:rPr>
                <w:lang w:val="en-GB"/>
              </w:rPr>
              <w:t>2%</w:t>
            </w:r>
            <w:r>
              <w:rPr>
                <w:lang w:val="en-GB"/>
              </w:rPr>
              <w:t xml:space="preserve"> in Q4 2021</w:t>
            </w:r>
            <w:r w:rsidRPr="0077463E">
              <w:rPr>
                <w:lang w:val="en-GB"/>
              </w:rPr>
              <w:t xml:space="preserve">. </w:t>
            </w:r>
            <w:r>
              <w:rPr>
                <w:lang w:val="en-GB"/>
              </w:rPr>
              <w:t xml:space="preserve">Prices of import of mineral fuels then increased by </w:t>
            </w:r>
            <w:r w:rsidRPr="0077463E">
              <w:rPr>
                <w:lang w:val="en-GB"/>
              </w:rPr>
              <w:t>123</w:t>
            </w:r>
            <w:r>
              <w:rPr>
                <w:lang w:val="en-GB"/>
              </w:rPr>
              <w:t>.</w:t>
            </w:r>
            <w:r w:rsidRPr="0077463E">
              <w:rPr>
                <w:lang w:val="en-GB"/>
              </w:rPr>
              <w:t>1%</w:t>
            </w:r>
            <w:r>
              <w:rPr>
                <w:lang w:val="en-GB"/>
              </w:rPr>
              <w:t xml:space="preserve"> and other materials by </w:t>
            </w:r>
            <w:r w:rsidRPr="0077463E">
              <w:rPr>
                <w:lang w:val="en-GB"/>
              </w:rPr>
              <w:t>23</w:t>
            </w:r>
            <w:r>
              <w:rPr>
                <w:lang w:val="en-GB"/>
              </w:rPr>
              <w:t>.</w:t>
            </w:r>
            <w:r w:rsidRPr="0077463E">
              <w:rPr>
                <w:lang w:val="en-GB"/>
              </w:rPr>
              <w:t>1%</w:t>
            </w:r>
            <w:r>
              <w:rPr>
                <w:lang w:val="en-GB"/>
              </w:rPr>
              <w:t xml:space="preserve"> year-on-year</w:t>
            </w:r>
            <w:r w:rsidRPr="0077463E">
              <w:rPr>
                <w:lang w:val="en-GB"/>
              </w:rPr>
              <w:t xml:space="preserve">. </w:t>
            </w:r>
            <w:r>
              <w:rPr>
                <w:lang w:val="en-GB"/>
              </w:rPr>
              <w:t xml:space="preserve">Prices of semi-finished products were higher by </w:t>
            </w:r>
            <w:r w:rsidRPr="0077463E">
              <w:rPr>
                <w:lang w:val="en-GB"/>
              </w:rPr>
              <w:t>14</w:t>
            </w:r>
            <w:r>
              <w:rPr>
                <w:lang w:val="en-GB"/>
              </w:rPr>
              <w:t>.</w:t>
            </w:r>
            <w:r w:rsidRPr="0077463E">
              <w:rPr>
                <w:lang w:val="en-GB"/>
              </w:rPr>
              <w:t>6% a</w:t>
            </w:r>
            <w:r>
              <w:rPr>
                <w:lang w:val="en-GB"/>
              </w:rPr>
              <w:t>nd chemical</w:t>
            </w:r>
            <w:r w:rsidR="00BE6BAC">
              <w:rPr>
                <w:lang w:val="en-GB"/>
              </w:rPr>
              <w:t>s</w:t>
            </w:r>
            <w:r>
              <w:rPr>
                <w:lang w:val="en-GB"/>
              </w:rPr>
              <w:t xml:space="preserve"> by </w:t>
            </w:r>
            <w:r w:rsidRPr="0077463E">
              <w:rPr>
                <w:lang w:val="en-GB"/>
              </w:rPr>
              <w:t>14</w:t>
            </w:r>
            <w:r>
              <w:rPr>
                <w:lang w:val="en-GB"/>
              </w:rPr>
              <w:t>.</w:t>
            </w:r>
            <w:r w:rsidRPr="0077463E">
              <w:rPr>
                <w:lang w:val="en-GB"/>
              </w:rPr>
              <w:t>3%.</w:t>
            </w:r>
            <w:r>
              <w:rPr>
                <w:lang w:val="en-GB"/>
              </w:rPr>
              <w:t xml:space="preserve"> Prices of food and live animals and beverages and tobacco grew slowly </w:t>
            </w:r>
            <w:r w:rsidRPr="0077463E">
              <w:rPr>
                <w:lang w:val="en-GB"/>
              </w:rPr>
              <w:t>(</w:t>
            </w:r>
            <w:r>
              <w:rPr>
                <w:lang w:val="en-GB"/>
              </w:rPr>
              <w:t xml:space="preserve">similarly by </w:t>
            </w:r>
            <w:r w:rsidRPr="0077463E">
              <w:rPr>
                <w:lang w:val="en-GB"/>
              </w:rPr>
              <w:t>0</w:t>
            </w:r>
            <w:r>
              <w:rPr>
                <w:lang w:val="en-GB"/>
              </w:rPr>
              <w:t>.</w:t>
            </w:r>
            <w:r w:rsidRPr="0077463E">
              <w:rPr>
                <w:lang w:val="en-GB"/>
              </w:rPr>
              <w:t>5%).</w:t>
            </w:r>
            <w:r>
              <w:rPr>
                <w:lang w:val="en-GB"/>
              </w:rPr>
              <w:t xml:space="preserve"> In contrast, prices of import of </w:t>
            </w:r>
            <w:r w:rsidR="00BE6BAC">
              <w:rPr>
                <w:lang w:val="en-GB"/>
              </w:rPr>
              <w:t>m</w:t>
            </w:r>
            <w:r w:rsidR="00BE6BAC">
              <w:t>iscellaneous manufactured articles</w:t>
            </w:r>
            <w:r>
              <w:rPr>
                <w:lang w:val="en-GB"/>
              </w:rPr>
              <w:t xml:space="preserve"> </w:t>
            </w:r>
            <w:r w:rsidRPr="0077463E">
              <w:rPr>
                <w:lang w:val="en-GB"/>
              </w:rPr>
              <w:t>(–1</w:t>
            </w:r>
            <w:r>
              <w:rPr>
                <w:lang w:val="en-GB"/>
              </w:rPr>
              <w:t>.</w:t>
            </w:r>
            <w:r w:rsidRPr="0077463E">
              <w:rPr>
                <w:lang w:val="en-GB"/>
              </w:rPr>
              <w:t>4%) a</w:t>
            </w:r>
            <w:r>
              <w:rPr>
                <w:lang w:val="en-GB"/>
              </w:rPr>
              <w:t xml:space="preserve">nd machinery and transportation equipment </w:t>
            </w:r>
            <w:r w:rsidRPr="0077463E">
              <w:rPr>
                <w:lang w:val="en-GB"/>
              </w:rPr>
              <w:t>(–0</w:t>
            </w:r>
            <w:r>
              <w:rPr>
                <w:lang w:val="en-GB"/>
              </w:rPr>
              <w:t>.</w:t>
            </w:r>
            <w:r w:rsidRPr="0077463E">
              <w:rPr>
                <w:lang w:val="en-GB"/>
              </w:rPr>
              <w:t>1%)</w:t>
            </w:r>
            <w:r>
              <w:rPr>
                <w:lang w:val="en-GB"/>
              </w:rPr>
              <w:t xml:space="preserve"> were lower year-on-year</w:t>
            </w:r>
            <w:r w:rsidRPr="0077463E">
              <w:rPr>
                <w:lang w:val="en-GB"/>
              </w:rPr>
              <w:t>.</w:t>
            </w:r>
          </w:p>
        </w:tc>
      </w:tr>
      <w:tr w:rsidR="009B0A5E" w:rsidRPr="009110F7" w14:paraId="4CDDC47B" w14:textId="77777777" w:rsidTr="00913237">
        <w:trPr>
          <w:trHeight w:val="145"/>
        </w:trPr>
        <w:tc>
          <w:tcPr>
            <w:tcW w:w="1805" w:type="dxa"/>
            <w:shd w:val="clear" w:color="auto" w:fill="auto"/>
            <w:tcMar>
              <w:left w:w="0" w:type="dxa"/>
            </w:tcMar>
          </w:tcPr>
          <w:p w14:paraId="3AA528A9" w14:textId="208D6715" w:rsidR="009B0A5E" w:rsidRPr="005D703F" w:rsidRDefault="009B0A5E" w:rsidP="009B0A5E">
            <w:pPr>
              <w:pStyle w:val="Marginlie"/>
              <w:rPr>
                <w:spacing w:val="0"/>
                <w:lang w:val="en-GB"/>
              </w:rPr>
            </w:pPr>
            <w:r w:rsidRPr="005D703F">
              <w:rPr>
                <w:spacing w:val="0"/>
                <w:lang w:val="en-GB"/>
              </w:rPr>
              <w:lastRenderedPageBreak/>
              <w:t xml:space="preserve">Terms of trade were negative last year. </w:t>
            </w:r>
          </w:p>
        </w:tc>
        <w:tc>
          <w:tcPr>
            <w:tcW w:w="224" w:type="dxa"/>
            <w:shd w:val="clear" w:color="auto" w:fill="auto"/>
            <w:tcMar>
              <w:left w:w="0" w:type="dxa"/>
            </w:tcMar>
          </w:tcPr>
          <w:p w14:paraId="6D15B442" w14:textId="77777777" w:rsidR="009B0A5E" w:rsidRPr="005D703F" w:rsidRDefault="009B0A5E" w:rsidP="009B0A5E">
            <w:pPr>
              <w:pStyle w:val="Textpoznpodarou1"/>
              <w:jc w:val="both"/>
              <w:rPr>
                <w:lang w:val="en-GB"/>
              </w:rPr>
            </w:pPr>
          </w:p>
        </w:tc>
        <w:tc>
          <w:tcPr>
            <w:tcW w:w="7610" w:type="dxa"/>
            <w:shd w:val="clear" w:color="auto" w:fill="auto"/>
            <w:tcMar>
              <w:left w:w="0" w:type="dxa"/>
            </w:tcMar>
          </w:tcPr>
          <w:p w14:paraId="74B13226" w14:textId="416BD487" w:rsidR="009B0A5E" w:rsidRPr="005D703F" w:rsidRDefault="009B0A5E" w:rsidP="00125FB3">
            <w:pPr>
              <w:rPr>
                <w:lang w:val="en-GB"/>
              </w:rPr>
            </w:pPr>
            <w:r>
              <w:rPr>
                <w:lang w:val="en-GB"/>
              </w:rPr>
              <w:t xml:space="preserve">Terms of trade attained </w:t>
            </w:r>
            <w:r w:rsidRPr="005D703F">
              <w:rPr>
                <w:lang w:val="en-GB"/>
              </w:rPr>
              <w:t>99</w:t>
            </w:r>
            <w:r>
              <w:rPr>
                <w:lang w:val="en-GB"/>
              </w:rPr>
              <w:t>.</w:t>
            </w:r>
            <w:r w:rsidRPr="005D703F">
              <w:rPr>
                <w:lang w:val="en-GB"/>
              </w:rPr>
              <w:t>7%</w:t>
            </w:r>
            <w:r>
              <w:rPr>
                <w:lang w:val="en-GB"/>
              </w:rPr>
              <w:t xml:space="preserve"> in year 2021</w:t>
            </w:r>
            <w:r w:rsidRPr="005D703F">
              <w:rPr>
                <w:lang w:val="en-GB"/>
              </w:rPr>
              <w:t xml:space="preserve"> (</w:t>
            </w:r>
            <w:r>
              <w:rPr>
                <w:lang w:val="en-GB"/>
              </w:rPr>
              <w:t xml:space="preserve">they were positive in year </w:t>
            </w:r>
            <w:r w:rsidRPr="005D703F">
              <w:rPr>
                <w:lang w:val="en-GB"/>
              </w:rPr>
              <w:t>2020).</w:t>
            </w:r>
            <w:r>
              <w:rPr>
                <w:lang w:val="en-GB"/>
              </w:rPr>
              <w:t xml:space="preserve"> They were substantially negative in trade with mineral fuels </w:t>
            </w:r>
            <w:r w:rsidRPr="005D703F">
              <w:rPr>
                <w:lang w:val="en-GB"/>
              </w:rPr>
              <w:t>(93</w:t>
            </w:r>
            <w:r>
              <w:rPr>
                <w:lang w:val="en-GB"/>
              </w:rPr>
              <w:t>.</w:t>
            </w:r>
            <w:r w:rsidRPr="005D703F">
              <w:rPr>
                <w:lang w:val="en-GB"/>
              </w:rPr>
              <w:t>5%),</w:t>
            </w:r>
            <w:r>
              <w:rPr>
                <w:lang w:val="en-GB"/>
              </w:rPr>
              <w:t xml:space="preserve"> beverages and tobacco </w:t>
            </w:r>
            <w:r w:rsidRPr="005D703F">
              <w:rPr>
                <w:lang w:val="en-GB"/>
              </w:rPr>
              <w:t>(96</w:t>
            </w:r>
            <w:r>
              <w:rPr>
                <w:lang w:val="en-GB"/>
              </w:rPr>
              <w:t>.</w:t>
            </w:r>
            <w:r w:rsidRPr="005D703F">
              <w:rPr>
                <w:lang w:val="en-GB"/>
              </w:rPr>
              <w:t xml:space="preserve">4%). </w:t>
            </w:r>
            <w:r>
              <w:rPr>
                <w:lang w:val="en-GB"/>
              </w:rPr>
              <w:t xml:space="preserve">On the contrary, the terms of trade were positive with other materials </w:t>
            </w:r>
            <w:r w:rsidRPr="005D703F">
              <w:rPr>
                <w:lang w:val="en-GB"/>
              </w:rPr>
              <w:t>(116</w:t>
            </w:r>
            <w:r>
              <w:rPr>
                <w:lang w:val="en-GB"/>
              </w:rPr>
              <w:t>.</w:t>
            </w:r>
            <w:r w:rsidRPr="005D703F">
              <w:rPr>
                <w:lang w:val="en-GB"/>
              </w:rPr>
              <w:t>6%),</w:t>
            </w:r>
            <w:r>
              <w:rPr>
                <w:lang w:val="en-GB"/>
              </w:rPr>
              <w:t xml:space="preserve"> food and live animals </w:t>
            </w:r>
            <w:r w:rsidRPr="005D703F">
              <w:rPr>
                <w:lang w:val="en-GB"/>
              </w:rPr>
              <w:t>(106</w:t>
            </w:r>
            <w:r>
              <w:rPr>
                <w:lang w:val="en-GB"/>
              </w:rPr>
              <w:t>.</w:t>
            </w:r>
            <w:r w:rsidRPr="005D703F">
              <w:rPr>
                <w:lang w:val="en-GB"/>
              </w:rPr>
              <w:t xml:space="preserve">4%), </w:t>
            </w:r>
            <w:r>
              <w:rPr>
                <w:lang w:val="en-GB"/>
              </w:rPr>
              <w:t xml:space="preserve">machinery and transport equipment </w:t>
            </w:r>
            <w:r w:rsidRPr="005D703F">
              <w:rPr>
                <w:lang w:val="en-GB"/>
              </w:rPr>
              <w:t>(102</w:t>
            </w:r>
            <w:r>
              <w:rPr>
                <w:lang w:val="en-GB"/>
              </w:rPr>
              <w:t>.</w:t>
            </w:r>
            <w:r w:rsidRPr="005D703F">
              <w:rPr>
                <w:lang w:val="en-GB"/>
              </w:rPr>
              <w:t>8%), chemi</w:t>
            </w:r>
            <w:r>
              <w:rPr>
                <w:lang w:val="en-GB"/>
              </w:rPr>
              <w:t>cal</w:t>
            </w:r>
            <w:r w:rsidR="00125FB3">
              <w:rPr>
                <w:lang w:val="en-GB"/>
              </w:rPr>
              <w:t>s</w:t>
            </w:r>
            <w:r>
              <w:rPr>
                <w:lang w:val="en-GB"/>
              </w:rPr>
              <w:t xml:space="preserve"> </w:t>
            </w:r>
            <w:r w:rsidRPr="005D703F">
              <w:rPr>
                <w:lang w:val="en-GB"/>
              </w:rPr>
              <w:t>(101</w:t>
            </w:r>
            <w:r>
              <w:rPr>
                <w:lang w:val="en-GB"/>
              </w:rPr>
              <w:t>.</w:t>
            </w:r>
            <w:r w:rsidRPr="005D703F">
              <w:rPr>
                <w:lang w:val="en-GB"/>
              </w:rPr>
              <w:t xml:space="preserve">9%), </w:t>
            </w:r>
            <w:r w:rsidR="00125FB3">
              <w:rPr>
                <w:lang w:val="en-GB"/>
              </w:rPr>
              <w:t>m</w:t>
            </w:r>
            <w:r w:rsidR="00125FB3">
              <w:t>iscellaneous manufactured articles</w:t>
            </w:r>
            <w:r>
              <w:rPr>
                <w:lang w:val="en-GB"/>
              </w:rPr>
              <w:t xml:space="preserve"> </w:t>
            </w:r>
            <w:r w:rsidRPr="005D703F">
              <w:rPr>
                <w:lang w:val="en-GB"/>
              </w:rPr>
              <w:t>(101</w:t>
            </w:r>
            <w:r>
              <w:rPr>
                <w:lang w:val="en-GB"/>
              </w:rPr>
              <w:t>.</w:t>
            </w:r>
            <w:r w:rsidRPr="005D703F">
              <w:rPr>
                <w:lang w:val="en-GB"/>
              </w:rPr>
              <w:t>8%)</w:t>
            </w:r>
            <w:r>
              <w:rPr>
                <w:lang w:val="en-GB"/>
              </w:rPr>
              <w:t xml:space="preserve"> and semi-finished goods </w:t>
            </w:r>
            <w:r w:rsidRPr="005D703F">
              <w:rPr>
                <w:lang w:val="en-GB"/>
              </w:rPr>
              <w:t>(100</w:t>
            </w:r>
            <w:r>
              <w:rPr>
                <w:lang w:val="en-GB"/>
              </w:rPr>
              <w:t>.</w:t>
            </w:r>
            <w:r w:rsidRPr="005D703F">
              <w:rPr>
                <w:lang w:val="en-GB"/>
              </w:rPr>
              <w:t>1%).</w:t>
            </w:r>
            <w:r>
              <w:rPr>
                <w:lang w:val="en-GB"/>
              </w:rPr>
              <w:t xml:space="preserve"> In Q</w:t>
            </w:r>
            <w:r w:rsidRPr="005D703F">
              <w:rPr>
                <w:lang w:val="en-GB"/>
              </w:rPr>
              <w:t>4</w:t>
            </w:r>
            <w:r>
              <w:rPr>
                <w:lang w:val="en-GB"/>
              </w:rPr>
              <w:t xml:space="preserve">, the terms of trade were </w:t>
            </w:r>
            <w:r w:rsidRPr="005D703F">
              <w:rPr>
                <w:lang w:val="en-GB"/>
              </w:rPr>
              <w:t>97</w:t>
            </w:r>
            <w:r>
              <w:rPr>
                <w:lang w:val="en-GB"/>
              </w:rPr>
              <w:t>.</w:t>
            </w:r>
            <w:r w:rsidRPr="005D703F">
              <w:rPr>
                <w:lang w:val="en-GB"/>
              </w:rPr>
              <w:t xml:space="preserve">9%. </w:t>
            </w:r>
            <w:r>
              <w:rPr>
                <w:lang w:val="en-GB"/>
              </w:rPr>
              <w:t xml:space="preserve">Negative terms of trade were in trade with beverages and tobacco </w:t>
            </w:r>
            <w:r w:rsidRPr="005D703F">
              <w:rPr>
                <w:lang w:val="en-GB"/>
              </w:rPr>
              <w:t>(95</w:t>
            </w:r>
            <w:r>
              <w:rPr>
                <w:lang w:val="en-GB"/>
              </w:rPr>
              <w:t>.</w:t>
            </w:r>
            <w:r w:rsidRPr="005D703F">
              <w:rPr>
                <w:lang w:val="en-GB"/>
              </w:rPr>
              <w:t>9%) a</w:t>
            </w:r>
            <w:r>
              <w:rPr>
                <w:lang w:val="en-GB"/>
              </w:rPr>
              <w:t xml:space="preserve">nd mineral fuels </w:t>
            </w:r>
            <w:r w:rsidRPr="005D703F">
              <w:rPr>
                <w:lang w:val="en-GB"/>
              </w:rPr>
              <w:t>(98</w:t>
            </w:r>
            <w:r>
              <w:rPr>
                <w:lang w:val="en-GB"/>
              </w:rPr>
              <w:t>.</w:t>
            </w:r>
            <w:r w:rsidRPr="005D703F">
              <w:rPr>
                <w:lang w:val="en-GB"/>
              </w:rPr>
              <w:t xml:space="preserve">3%). </w:t>
            </w:r>
            <w:r>
              <w:rPr>
                <w:lang w:val="en-GB"/>
              </w:rPr>
              <w:t xml:space="preserve">Terms of trade were positive for other materials </w:t>
            </w:r>
            <w:r w:rsidRPr="005D703F">
              <w:rPr>
                <w:lang w:val="en-GB"/>
              </w:rPr>
              <w:t>(126</w:t>
            </w:r>
            <w:r>
              <w:rPr>
                <w:lang w:val="en-GB"/>
              </w:rPr>
              <w:t>.</w:t>
            </w:r>
            <w:r w:rsidRPr="005D703F">
              <w:rPr>
                <w:lang w:val="en-GB"/>
              </w:rPr>
              <w:t>4%),</w:t>
            </w:r>
            <w:r>
              <w:rPr>
                <w:lang w:val="en-GB"/>
              </w:rPr>
              <w:t xml:space="preserve"> food and live animals </w:t>
            </w:r>
            <w:r w:rsidRPr="005D703F">
              <w:rPr>
                <w:lang w:val="en-GB"/>
              </w:rPr>
              <w:t>(108</w:t>
            </w:r>
            <w:r>
              <w:rPr>
                <w:lang w:val="en-GB"/>
              </w:rPr>
              <w:t>.</w:t>
            </w:r>
            <w:r w:rsidRPr="005D703F">
              <w:rPr>
                <w:lang w:val="en-GB"/>
              </w:rPr>
              <w:t>4%),</w:t>
            </w:r>
            <w:r>
              <w:rPr>
                <w:lang w:val="en-GB"/>
              </w:rPr>
              <w:t xml:space="preserve"> </w:t>
            </w:r>
            <w:r w:rsidR="00125FB3">
              <w:rPr>
                <w:lang w:val="en-GB"/>
              </w:rPr>
              <w:t>m</w:t>
            </w:r>
            <w:r w:rsidR="00125FB3">
              <w:t>iscellaneous manufactured articles</w:t>
            </w:r>
            <w:r>
              <w:rPr>
                <w:lang w:val="en-GB"/>
              </w:rPr>
              <w:t xml:space="preserve"> </w:t>
            </w:r>
            <w:r w:rsidRPr="005D703F">
              <w:rPr>
                <w:lang w:val="en-GB"/>
              </w:rPr>
              <w:t>(102</w:t>
            </w:r>
            <w:r>
              <w:rPr>
                <w:lang w:val="en-GB"/>
              </w:rPr>
              <w:t>.</w:t>
            </w:r>
            <w:r w:rsidRPr="005D703F">
              <w:rPr>
                <w:lang w:val="en-GB"/>
              </w:rPr>
              <w:t>3%),</w:t>
            </w:r>
            <w:r>
              <w:rPr>
                <w:lang w:val="en-GB"/>
              </w:rPr>
              <w:t xml:space="preserve"> semi-finished goods </w:t>
            </w:r>
            <w:r w:rsidRPr="005D703F">
              <w:rPr>
                <w:lang w:val="en-GB"/>
              </w:rPr>
              <w:t>(101</w:t>
            </w:r>
            <w:r>
              <w:rPr>
                <w:lang w:val="en-GB"/>
              </w:rPr>
              <w:t>.</w:t>
            </w:r>
            <w:r w:rsidRPr="005D703F">
              <w:rPr>
                <w:lang w:val="en-GB"/>
              </w:rPr>
              <w:t>4%),</w:t>
            </w:r>
            <w:r>
              <w:rPr>
                <w:lang w:val="en-GB"/>
              </w:rPr>
              <w:t xml:space="preserve"> chemical</w:t>
            </w:r>
            <w:r w:rsidR="00125FB3">
              <w:rPr>
                <w:lang w:val="en-GB"/>
              </w:rPr>
              <w:t>s</w:t>
            </w:r>
            <w:r>
              <w:rPr>
                <w:lang w:val="en-GB"/>
              </w:rPr>
              <w:t xml:space="preserve"> </w:t>
            </w:r>
            <w:r w:rsidRPr="005D703F">
              <w:rPr>
                <w:lang w:val="en-GB"/>
              </w:rPr>
              <w:t>(101</w:t>
            </w:r>
            <w:r>
              <w:rPr>
                <w:lang w:val="en-GB"/>
              </w:rPr>
              <w:t>.</w:t>
            </w:r>
            <w:r w:rsidRPr="005D703F">
              <w:rPr>
                <w:lang w:val="en-GB"/>
              </w:rPr>
              <w:t>2%) a</w:t>
            </w:r>
            <w:r>
              <w:rPr>
                <w:lang w:val="en-GB"/>
              </w:rPr>
              <w:t xml:space="preserve">nd machinery and transportation equipment </w:t>
            </w:r>
            <w:r w:rsidRPr="005D703F">
              <w:rPr>
                <w:lang w:val="en-GB"/>
              </w:rPr>
              <w:t>(101</w:t>
            </w:r>
            <w:r>
              <w:rPr>
                <w:lang w:val="en-GB"/>
              </w:rPr>
              <w:t>.</w:t>
            </w:r>
            <w:r w:rsidRPr="005D703F">
              <w:rPr>
                <w:lang w:val="en-GB"/>
              </w:rPr>
              <w:t>0%).</w:t>
            </w:r>
          </w:p>
        </w:tc>
      </w:tr>
    </w:tbl>
    <w:p w14:paraId="72C77314" w14:textId="77777777" w:rsidR="009B553D" w:rsidRDefault="009B553D" w:rsidP="009B553D">
      <w:pPr>
        <w:spacing w:after="0" w:line="240" w:lineRule="auto"/>
        <w:jc w:val="left"/>
        <w:rPr>
          <w:rFonts w:eastAsia="MS Gothic"/>
          <w:b/>
          <w:bCs/>
          <w:color w:val="71818C"/>
          <w:sz w:val="32"/>
          <w:szCs w:val="28"/>
          <w:highlight w:val="yellow"/>
        </w:rPr>
      </w:pPr>
    </w:p>
    <w:p w14:paraId="6896C2A5" w14:textId="77777777" w:rsidR="009B553D" w:rsidRPr="00E42054" w:rsidRDefault="009B553D" w:rsidP="009B553D">
      <w:pPr>
        <w:pStyle w:val="Nadpis11"/>
        <w:rPr>
          <w:b w:val="0"/>
          <w:sz w:val="2"/>
          <w:szCs w:val="2"/>
        </w:rPr>
      </w:pPr>
    </w:p>
    <w:p w14:paraId="7AB621DC" w14:textId="77777777" w:rsidR="009B553D" w:rsidRPr="00E42054" w:rsidRDefault="009B553D" w:rsidP="009B553D">
      <w:pPr>
        <w:pStyle w:val="Nadpis11"/>
        <w:rPr>
          <w:b w:val="0"/>
          <w:sz w:val="2"/>
          <w:szCs w:val="2"/>
        </w:rPr>
      </w:pPr>
    </w:p>
    <w:p w14:paraId="20EC669C" w14:textId="77777777" w:rsidR="006C3336" w:rsidRDefault="006C3336">
      <w:pPr>
        <w:spacing w:after="0" w:line="240" w:lineRule="auto"/>
        <w:jc w:val="left"/>
        <w:rPr>
          <w:rFonts w:eastAsia="MS Gothic"/>
          <w:b/>
          <w:bCs/>
          <w:color w:val="71818C"/>
          <w:sz w:val="32"/>
          <w:szCs w:val="28"/>
          <w:highlight w:val="yellow"/>
        </w:rPr>
      </w:pPr>
      <w:r>
        <w:rPr>
          <w:rFonts w:eastAsia="MS Gothic"/>
          <w:b/>
          <w:bCs/>
          <w:color w:val="71818C"/>
          <w:sz w:val="32"/>
          <w:szCs w:val="28"/>
          <w:highlight w:val="yellow"/>
        </w:rPr>
        <w:br w:type="page"/>
      </w:r>
    </w:p>
    <w:p w14:paraId="6118D074" w14:textId="1C43F6DE" w:rsidR="00B01D0F" w:rsidRPr="007C7C2B" w:rsidRDefault="00B01D0F" w:rsidP="00B01D0F">
      <w:pPr>
        <w:pStyle w:val="Nadpis11"/>
        <w:spacing w:after="120"/>
        <w:rPr>
          <w:lang w:val="en-GB"/>
        </w:rPr>
      </w:pPr>
      <w:bookmarkStart w:id="34" w:name="_Toc82508189"/>
      <w:bookmarkStart w:id="35" w:name="_Toc101437436"/>
      <w:bookmarkEnd w:id="20"/>
      <w:bookmarkEnd w:id="21"/>
      <w:bookmarkEnd w:id="22"/>
      <w:bookmarkEnd w:id="23"/>
      <w:bookmarkEnd w:id="24"/>
      <w:bookmarkEnd w:id="25"/>
      <w:r w:rsidRPr="00B43216">
        <w:lastRenderedPageBreak/>
        <w:t>6. </w:t>
      </w:r>
      <w:r w:rsidR="007C7C2B" w:rsidRPr="007C7C2B">
        <w:rPr>
          <w:lang w:val="en-GB"/>
        </w:rPr>
        <w:t>Labour Market</w:t>
      </w:r>
      <w:bookmarkEnd w:id="34"/>
      <w:bookmarkEnd w:id="35"/>
    </w:p>
    <w:tbl>
      <w:tblPr>
        <w:tblW w:w="9669" w:type="dxa"/>
        <w:tblInd w:w="-30" w:type="dxa"/>
        <w:tblCellMar>
          <w:left w:w="0" w:type="dxa"/>
          <w:right w:w="0" w:type="dxa"/>
        </w:tblCellMar>
        <w:tblLook w:val="00A0" w:firstRow="1" w:lastRow="0" w:firstColumn="1" w:lastColumn="0" w:noHBand="0" w:noVBand="0"/>
      </w:tblPr>
      <w:tblGrid>
        <w:gridCol w:w="1600"/>
        <w:gridCol w:w="189"/>
        <w:gridCol w:w="7880"/>
      </w:tblGrid>
      <w:tr w:rsidR="00B01D0F" w:rsidRPr="007C7C2B" w14:paraId="00FA3749" w14:textId="77777777" w:rsidTr="008E039E">
        <w:trPr>
          <w:trHeight w:val="155"/>
        </w:trPr>
        <w:tc>
          <w:tcPr>
            <w:tcW w:w="1600" w:type="dxa"/>
            <w:shd w:val="clear" w:color="auto" w:fill="auto"/>
            <w:tcMar>
              <w:left w:w="0" w:type="dxa"/>
            </w:tcMar>
          </w:tcPr>
          <w:p w14:paraId="1001E682" w14:textId="1F59F96C" w:rsidR="00B01D0F" w:rsidRPr="007C7C2B" w:rsidRDefault="00F94882" w:rsidP="008E039E">
            <w:pPr>
              <w:pStyle w:val="Marginlie"/>
              <w:spacing w:after="120"/>
              <w:rPr>
                <w:spacing w:val="-4"/>
                <w:lang w:val="en-GB"/>
              </w:rPr>
            </w:pPr>
            <w:r>
              <w:rPr>
                <w:spacing w:val="-4"/>
                <w:lang w:val="en-GB"/>
              </w:rPr>
              <w:t xml:space="preserve">Labour market in the CR </w:t>
            </w:r>
            <w:r w:rsidR="002F1F85">
              <w:rPr>
                <w:spacing w:val="-4"/>
                <w:lang w:val="en-GB"/>
              </w:rPr>
              <w:t>benefited from renewed economic growth during year 2</w:t>
            </w:r>
            <w:r w:rsidR="00B01D0F" w:rsidRPr="007C7C2B">
              <w:rPr>
                <w:spacing w:val="-4"/>
                <w:lang w:val="en-GB"/>
              </w:rPr>
              <w:t>021</w:t>
            </w:r>
            <w:r w:rsidR="002F1F85">
              <w:rPr>
                <w:spacing w:val="-4"/>
                <w:lang w:val="en-GB"/>
              </w:rPr>
              <w:t xml:space="preserve">, </w:t>
            </w:r>
            <w:r w:rsidR="008A569C">
              <w:rPr>
                <w:spacing w:val="-4"/>
                <w:lang w:val="en-GB"/>
              </w:rPr>
              <w:t xml:space="preserve">termination </w:t>
            </w:r>
            <w:r w:rsidR="002F1F85">
              <w:rPr>
                <w:spacing w:val="-4"/>
                <w:lang w:val="en-GB"/>
              </w:rPr>
              <w:t xml:space="preserve">of the majority of support programmers did not have an adverse effect. </w:t>
            </w:r>
          </w:p>
        </w:tc>
        <w:tc>
          <w:tcPr>
            <w:tcW w:w="189" w:type="dxa"/>
            <w:shd w:val="clear" w:color="auto" w:fill="auto"/>
            <w:tcMar>
              <w:left w:w="0" w:type="dxa"/>
            </w:tcMar>
          </w:tcPr>
          <w:p w14:paraId="33F4C013" w14:textId="77777777" w:rsidR="00B01D0F" w:rsidRPr="007C7C2B" w:rsidRDefault="00B01D0F" w:rsidP="008E039E">
            <w:pPr>
              <w:pStyle w:val="Textpoznpodarou"/>
              <w:spacing w:after="120"/>
              <w:jc w:val="both"/>
              <w:rPr>
                <w:spacing w:val="-4"/>
                <w:lang w:val="en-GB"/>
              </w:rPr>
            </w:pPr>
          </w:p>
        </w:tc>
        <w:tc>
          <w:tcPr>
            <w:tcW w:w="7880" w:type="dxa"/>
            <w:shd w:val="clear" w:color="auto" w:fill="auto"/>
            <w:tcMar>
              <w:left w:w="0" w:type="dxa"/>
            </w:tcMar>
          </w:tcPr>
          <w:p w14:paraId="4F79713E" w14:textId="778AC083" w:rsidR="00B01D0F" w:rsidRPr="007C7C2B" w:rsidRDefault="004A0597" w:rsidP="008E039E">
            <w:pPr>
              <w:rPr>
                <w:spacing w:val="-4"/>
                <w:lang w:val="en-GB"/>
              </w:rPr>
            </w:pPr>
            <w:r>
              <w:rPr>
                <w:spacing w:val="-4"/>
                <w:lang w:val="en-GB"/>
              </w:rPr>
              <w:t xml:space="preserve">Labour market in the CR gradually </w:t>
            </w:r>
            <w:r w:rsidR="000D6D7C">
              <w:rPr>
                <w:spacing w:val="-4"/>
                <w:lang w:val="en-GB"/>
              </w:rPr>
              <w:t xml:space="preserve">returned </w:t>
            </w:r>
            <w:r>
              <w:rPr>
                <w:spacing w:val="-4"/>
                <w:lang w:val="en-GB"/>
              </w:rPr>
              <w:t xml:space="preserve">to the state of the </w:t>
            </w:r>
            <w:r w:rsidR="000D6D7C">
              <w:rPr>
                <w:spacing w:val="-4"/>
                <w:lang w:val="en-GB"/>
              </w:rPr>
              <w:t>period of the pre pandemic expansion characterised by strong tension between the demand for labour o</w:t>
            </w:r>
            <w:r w:rsidR="00E469FC">
              <w:rPr>
                <w:spacing w:val="-4"/>
                <w:lang w:val="en-GB"/>
              </w:rPr>
              <w:t>n</w:t>
            </w:r>
            <w:r w:rsidR="000D6D7C">
              <w:rPr>
                <w:spacing w:val="-4"/>
                <w:lang w:val="en-GB"/>
              </w:rPr>
              <w:t xml:space="preserve"> the part of businesses and substantially limited domestic sources of potential labour force.</w:t>
            </w:r>
            <w:r w:rsidR="008A569C">
              <w:rPr>
                <w:spacing w:val="-4"/>
                <w:lang w:val="en-GB"/>
              </w:rPr>
              <w:t xml:space="preserve"> In continuity </w:t>
            </w:r>
            <w:r w:rsidR="00A7074A">
              <w:rPr>
                <w:spacing w:val="-4"/>
                <w:lang w:val="en-GB"/>
              </w:rPr>
              <w:t>on</w:t>
            </w:r>
            <w:r w:rsidR="008A569C">
              <w:rPr>
                <w:spacing w:val="-4"/>
                <w:lang w:val="en-GB"/>
              </w:rPr>
              <w:t xml:space="preserve"> last year</w:t>
            </w:r>
            <w:r w:rsidR="008A569C">
              <w:rPr>
                <w:spacing w:val="-4"/>
                <w:lang w:val="en-US"/>
              </w:rPr>
              <w:t xml:space="preserve">’s Spring loosening of counter pandemic measures, gradual termination of decisive part of the government </w:t>
            </w:r>
            <w:r w:rsidR="008A569C" w:rsidRPr="008A569C">
              <w:rPr>
                <w:spacing w:val="-4"/>
                <w:lang w:val="en-GB"/>
              </w:rPr>
              <w:t>supportive programmes aimed at employment stabilization as well as the overall financial situation of businesses took place.</w:t>
            </w:r>
            <w:r w:rsidR="001C547D">
              <w:rPr>
                <w:spacing w:val="-4"/>
                <w:lang w:val="en-GB"/>
              </w:rPr>
              <w:t xml:space="preserve"> The consequences of cessation of this support were outweighed by the positive influences stemming from the launch of the economic growth saturated by higher private as well as public consumption </w:t>
            </w:r>
            <w:proofErr w:type="gramStart"/>
            <w:r w:rsidR="001C547D">
              <w:rPr>
                <w:spacing w:val="-4"/>
                <w:lang w:val="en-GB"/>
              </w:rPr>
              <w:t>and also</w:t>
            </w:r>
            <w:proofErr w:type="gramEnd"/>
            <w:r w:rsidR="001C547D">
              <w:rPr>
                <w:spacing w:val="-4"/>
                <w:lang w:val="en-GB"/>
              </w:rPr>
              <w:t xml:space="preserve"> the restoring investment activity. </w:t>
            </w:r>
            <w:r w:rsidR="00442990">
              <w:rPr>
                <w:spacing w:val="-4"/>
                <w:lang w:val="en-GB"/>
              </w:rPr>
              <w:t>Revival on the labour market continued also in Q</w:t>
            </w:r>
            <w:r w:rsidR="00B01D0F" w:rsidRPr="007C7C2B">
              <w:rPr>
                <w:spacing w:val="-4"/>
                <w:lang w:val="en-GB"/>
              </w:rPr>
              <w:t>4</w:t>
            </w:r>
            <w:r w:rsidR="00442990">
              <w:rPr>
                <w:spacing w:val="-4"/>
                <w:lang w:val="en-GB"/>
              </w:rPr>
              <w:t xml:space="preserve"> </w:t>
            </w:r>
            <w:r w:rsidR="00B01D0F" w:rsidRPr="007C7C2B">
              <w:rPr>
                <w:spacing w:val="-4"/>
                <w:lang w:val="en-GB"/>
              </w:rPr>
              <w:t>2021,</w:t>
            </w:r>
            <w:r w:rsidR="00442990">
              <w:rPr>
                <w:spacing w:val="-4"/>
                <w:lang w:val="en-GB"/>
              </w:rPr>
              <w:t xml:space="preserve"> since the deterioration of the epidemic situation intensified by the escalation of the supplier difficulties in industry did not notably show in the employment area</w:t>
            </w:r>
            <w:r w:rsidR="00B01D0F" w:rsidRPr="007C7C2B">
              <w:rPr>
                <w:spacing w:val="-4"/>
                <w:lang w:val="en-GB"/>
              </w:rPr>
              <w:t xml:space="preserve"> (</w:t>
            </w:r>
            <w:r w:rsidR="00442990">
              <w:rPr>
                <w:spacing w:val="-4"/>
                <w:lang w:val="en-GB"/>
              </w:rPr>
              <w:t>both real and from the view of short-term anticipations</w:t>
            </w:r>
            <w:r w:rsidR="00B01D0F" w:rsidRPr="007C7C2B">
              <w:rPr>
                <w:spacing w:val="-4"/>
                <w:lang w:val="en-GB"/>
              </w:rPr>
              <w:t>)</w:t>
            </w:r>
            <w:r w:rsidR="00442990">
              <w:rPr>
                <w:spacing w:val="-4"/>
                <w:lang w:val="en-GB"/>
              </w:rPr>
              <w:t xml:space="preserve">. This is to a considerable extent also valid for the area of average wages in the market branches. </w:t>
            </w:r>
            <w:r w:rsidR="001D7A6E">
              <w:rPr>
                <w:spacing w:val="-4"/>
                <w:lang w:val="en-GB"/>
              </w:rPr>
              <w:t xml:space="preserve">However, through the fault of the significant acceleration of consumer prices at the end of the year the average employee earnings dropped in real terms in the majority of branches year-on-year, in some even in total for the whole year </w:t>
            </w:r>
            <w:r w:rsidR="00B01D0F" w:rsidRPr="007C7C2B">
              <w:rPr>
                <w:spacing w:val="-4"/>
                <w:lang w:val="en-GB"/>
              </w:rPr>
              <w:t>2021.</w:t>
            </w:r>
          </w:p>
        </w:tc>
      </w:tr>
      <w:tr w:rsidR="00B01D0F" w:rsidRPr="006237E6" w14:paraId="35EEB909" w14:textId="77777777" w:rsidTr="008E039E">
        <w:trPr>
          <w:trHeight w:val="155"/>
        </w:trPr>
        <w:tc>
          <w:tcPr>
            <w:tcW w:w="1600" w:type="dxa"/>
            <w:shd w:val="clear" w:color="auto" w:fill="auto"/>
            <w:tcMar>
              <w:left w:w="0" w:type="dxa"/>
            </w:tcMar>
          </w:tcPr>
          <w:p w14:paraId="1A27A43E" w14:textId="660775D2" w:rsidR="00B01D0F" w:rsidRPr="002F1F85" w:rsidRDefault="002F1F85" w:rsidP="008E039E">
            <w:pPr>
              <w:pStyle w:val="Marginlie"/>
              <w:spacing w:after="120"/>
              <w:rPr>
                <w:spacing w:val="-4"/>
                <w:lang w:val="en-GB"/>
              </w:rPr>
            </w:pPr>
            <w:r>
              <w:rPr>
                <w:spacing w:val="-4"/>
                <w:lang w:val="en-GB"/>
              </w:rPr>
              <w:t xml:space="preserve">Number of employees already nearly evened up to the level from year </w:t>
            </w:r>
            <w:r w:rsidR="00B01D0F" w:rsidRPr="002F1F85">
              <w:rPr>
                <w:spacing w:val="-4"/>
                <w:lang w:val="en-GB"/>
              </w:rPr>
              <w:t xml:space="preserve">2019. </w:t>
            </w:r>
            <w:r w:rsidR="004A0597">
              <w:rPr>
                <w:spacing w:val="-4"/>
                <w:lang w:val="en-GB"/>
              </w:rPr>
              <w:t>Decrease of entrepreneurs on the contrary deepened.</w:t>
            </w:r>
          </w:p>
        </w:tc>
        <w:tc>
          <w:tcPr>
            <w:tcW w:w="189" w:type="dxa"/>
            <w:shd w:val="clear" w:color="auto" w:fill="auto"/>
            <w:tcMar>
              <w:left w:w="0" w:type="dxa"/>
            </w:tcMar>
          </w:tcPr>
          <w:p w14:paraId="7DD4A541" w14:textId="77777777" w:rsidR="00B01D0F" w:rsidRPr="003B1401" w:rsidRDefault="00B01D0F" w:rsidP="008E039E">
            <w:pPr>
              <w:pStyle w:val="Textpoznpodarou"/>
              <w:spacing w:after="120"/>
              <w:jc w:val="both"/>
              <w:rPr>
                <w:spacing w:val="-4"/>
              </w:rPr>
            </w:pPr>
          </w:p>
        </w:tc>
        <w:tc>
          <w:tcPr>
            <w:tcW w:w="7880" w:type="dxa"/>
            <w:shd w:val="clear" w:color="auto" w:fill="auto"/>
            <w:tcMar>
              <w:left w:w="0" w:type="dxa"/>
            </w:tcMar>
          </w:tcPr>
          <w:p w14:paraId="61D4A5EF" w14:textId="66960D4E" w:rsidR="00B01D0F" w:rsidRPr="00BA3ECA" w:rsidRDefault="007F22F1" w:rsidP="008E039E">
            <w:pPr>
              <w:rPr>
                <w:spacing w:val="-4"/>
                <w:lang w:val="en-GB"/>
              </w:rPr>
            </w:pPr>
            <w:r w:rsidRPr="00BA3ECA">
              <w:rPr>
                <w:spacing w:val="-4"/>
                <w:lang w:val="en-GB"/>
              </w:rPr>
              <w:t>Total employment</w:t>
            </w:r>
            <w:r w:rsidR="00B01D0F" w:rsidRPr="00BA3ECA">
              <w:rPr>
                <w:color w:val="0D0D0D" w:themeColor="text1" w:themeTint="F2"/>
                <w:spacing w:val="-4"/>
                <w:vertAlign w:val="superscript"/>
                <w:lang w:val="en-GB"/>
              </w:rPr>
              <w:footnoteReference w:id="57"/>
            </w:r>
            <w:r w:rsidRPr="00BA3ECA">
              <w:rPr>
                <w:spacing w:val="-4"/>
                <w:lang w:val="en-GB"/>
              </w:rPr>
              <w:t xml:space="preserve"> mildly grew quarter-on-quarter throughout the whole last year.</w:t>
            </w:r>
            <w:r w:rsidR="00BA3ECA">
              <w:rPr>
                <w:spacing w:val="-4"/>
                <w:lang w:val="en-GB"/>
              </w:rPr>
              <w:t xml:space="preserve"> In H2, the growth rate slightly weakened due to the situation in industry </w:t>
            </w:r>
            <w:r w:rsidR="00B01D0F" w:rsidRPr="00BA3ECA">
              <w:rPr>
                <w:spacing w:val="-4"/>
                <w:lang w:val="en-GB"/>
              </w:rPr>
              <w:t>(</w:t>
            </w:r>
            <w:r w:rsidR="00BA3ECA">
              <w:rPr>
                <w:spacing w:val="-4"/>
                <w:lang w:val="en-GB"/>
              </w:rPr>
              <w:t xml:space="preserve">down to </w:t>
            </w:r>
            <w:r w:rsidR="00B01D0F" w:rsidRPr="00BA3ECA">
              <w:rPr>
                <w:spacing w:val="-4"/>
                <w:lang w:val="en-GB"/>
              </w:rPr>
              <w:t>+0</w:t>
            </w:r>
            <w:r w:rsidR="00BA3ECA">
              <w:rPr>
                <w:spacing w:val="-4"/>
                <w:lang w:val="en-GB"/>
              </w:rPr>
              <w:t>.</w:t>
            </w:r>
            <w:r w:rsidR="00B01D0F" w:rsidRPr="00BA3ECA">
              <w:rPr>
                <w:spacing w:val="-4"/>
                <w:lang w:val="en-GB"/>
              </w:rPr>
              <w:t xml:space="preserve">1% </w:t>
            </w:r>
            <w:r w:rsidR="00BA3ECA">
              <w:rPr>
                <w:spacing w:val="-4"/>
                <w:lang w:val="en-GB"/>
              </w:rPr>
              <w:t>in the last quarter</w:t>
            </w:r>
            <w:r w:rsidR="00B01D0F" w:rsidRPr="00BA3ECA">
              <w:rPr>
                <w:spacing w:val="-4"/>
                <w:lang w:val="en-GB"/>
              </w:rPr>
              <w:t>),</w:t>
            </w:r>
            <w:r w:rsidR="00BA3ECA">
              <w:rPr>
                <w:spacing w:val="-4"/>
                <w:lang w:val="en-GB"/>
              </w:rPr>
              <w:t xml:space="preserve"> the vast majority of main branches presented at least a mild growth. In Q4 thus there were in total</w:t>
            </w:r>
            <w:r w:rsidR="00105B6B">
              <w:rPr>
                <w:spacing w:val="-4"/>
                <w:lang w:val="en-GB"/>
              </w:rPr>
              <w:t xml:space="preserve"> </w:t>
            </w:r>
            <w:r w:rsidR="00B01D0F" w:rsidRPr="00BA3ECA">
              <w:rPr>
                <w:spacing w:val="-4"/>
                <w:lang w:val="en-GB"/>
              </w:rPr>
              <w:t>5</w:t>
            </w:r>
            <w:r w:rsidR="00BA3ECA">
              <w:rPr>
                <w:spacing w:val="-4"/>
                <w:lang w:val="en-GB"/>
              </w:rPr>
              <w:t>.</w:t>
            </w:r>
            <w:r w:rsidR="00B01D0F" w:rsidRPr="00BA3ECA">
              <w:rPr>
                <w:spacing w:val="-4"/>
                <w:lang w:val="en-GB"/>
              </w:rPr>
              <w:t>37</w:t>
            </w:r>
            <w:r w:rsidR="00BA3ECA">
              <w:rPr>
                <w:spacing w:val="-4"/>
                <w:lang w:val="en-GB"/>
              </w:rPr>
              <w:t xml:space="preserve"> mil persons</w:t>
            </w:r>
            <w:r w:rsidR="00105B6B">
              <w:rPr>
                <w:spacing w:val="-4"/>
                <w:lang w:val="en-GB"/>
              </w:rPr>
              <w:t xml:space="preserve"> working</w:t>
            </w:r>
            <w:r w:rsidR="00BA3ECA">
              <w:rPr>
                <w:spacing w:val="-4"/>
                <w:lang w:val="en-GB"/>
              </w:rPr>
              <w:t xml:space="preserve"> in the domestic economy, by </w:t>
            </w:r>
            <w:r w:rsidR="00B01D0F" w:rsidRPr="00BA3ECA">
              <w:rPr>
                <w:spacing w:val="-4"/>
                <w:lang w:val="en-GB"/>
              </w:rPr>
              <w:t>1</w:t>
            </w:r>
            <w:r w:rsidR="00BA3ECA">
              <w:rPr>
                <w:spacing w:val="-4"/>
                <w:lang w:val="en-GB"/>
              </w:rPr>
              <w:t>.</w:t>
            </w:r>
            <w:r w:rsidR="00B01D0F" w:rsidRPr="00BA3ECA">
              <w:rPr>
                <w:spacing w:val="-4"/>
                <w:lang w:val="en-GB"/>
              </w:rPr>
              <w:t>3%</w:t>
            </w:r>
            <w:r w:rsidR="00BA3ECA">
              <w:rPr>
                <w:spacing w:val="-4"/>
                <w:lang w:val="en-GB"/>
              </w:rPr>
              <w:t xml:space="preserve"> more year-on-year </w:t>
            </w:r>
            <w:r w:rsidR="00B01D0F" w:rsidRPr="00BA3ECA">
              <w:rPr>
                <w:spacing w:val="-4"/>
                <w:lang w:val="en-GB"/>
              </w:rPr>
              <w:t>(</w:t>
            </w:r>
            <w:r w:rsidR="00105B6B">
              <w:rPr>
                <w:spacing w:val="-4"/>
                <w:lang w:val="en-GB"/>
              </w:rPr>
              <w:t xml:space="preserve">compared to the peak of the pre pandemic period however, the number of employees still lagged by nearly </w:t>
            </w:r>
            <w:r w:rsidR="00B01D0F" w:rsidRPr="00BA3ECA">
              <w:rPr>
                <w:spacing w:val="-4"/>
                <w:lang w:val="en-GB"/>
              </w:rPr>
              <w:t>80 t</w:t>
            </w:r>
            <w:r w:rsidR="00105B6B">
              <w:rPr>
                <w:spacing w:val="-4"/>
                <w:lang w:val="en-GB"/>
              </w:rPr>
              <w:t>housand persons</w:t>
            </w:r>
            <w:r w:rsidR="00B01D0F" w:rsidRPr="00BA3ECA">
              <w:rPr>
                <w:spacing w:val="-4"/>
                <w:lang w:val="en-GB"/>
              </w:rPr>
              <w:t>).</w:t>
            </w:r>
            <w:r w:rsidR="00105B6B">
              <w:rPr>
                <w:spacing w:val="-4"/>
                <w:lang w:val="en-GB"/>
              </w:rPr>
              <w:t xml:space="preserve"> </w:t>
            </w:r>
            <w:r w:rsidR="00FA1A7F">
              <w:rPr>
                <w:spacing w:val="-4"/>
                <w:lang w:val="en-GB"/>
              </w:rPr>
              <w:t>Exclusively employees participated on the year-on-year growth, the</w:t>
            </w:r>
            <w:r w:rsidR="00760B2F">
              <w:rPr>
                <w:spacing w:val="-4"/>
                <w:lang w:val="en-GB"/>
              </w:rPr>
              <w:t>i</w:t>
            </w:r>
            <w:r w:rsidR="00FA1A7F">
              <w:rPr>
                <w:spacing w:val="-4"/>
                <w:lang w:val="en-GB"/>
              </w:rPr>
              <w:t xml:space="preserve">r levels expanded by 107 thousand in Q4 </w:t>
            </w:r>
            <w:r w:rsidR="00B01D0F" w:rsidRPr="00BA3ECA">
              <w:rPr>
                <w:spacing w:val="-4"/>
                <w:lang w:val="en-GB"/>
              </w:rPr>
              <w:t>(2</w:t>
            </w:r>
            <w:r w:rsidR="00FA1A7F">
              <w:rPr>
                <w:spacing w:val="-4"/>
                <w:lang w:val="en-GB"/>
              </w:rPr>
              <w:t>.</w:t>
            </w:r>
            <w:r w:rsidR="00B01D0F" w:rsidRPr="00BA3ECA">
              <w:rPr>
                <w:spacing w:val="-4"/>
                <w:lang w:val="en-GB"/>
              </w:rPr>
              <w:t>3%) a</w:t>
            </w:r>
            <w:r w:rsidR="00FA1A7F">
              <w:rPr>
                <w:spacing w:val="-4"/>
                <w:lang w:val="en-GB"/>
              </w:rPr>
              <w:t>nd they</w:t>
            </w:r>
            <w:r w:rsidR="00760B2F">
              <w:rPr>
                <w:spacing w:val="-4"/>
                <w:lang w:val="en-GB"/>
              </w:rPr>
              <w:t xml:space="preserve"> already</w:t>
            </w:r>
            <w:r w:rsidR="00FA1A7F">
              <w:rPr>
                <w:spacing w:val="-4"/>
                <w:lang w:val="en-GB"/>
              </w:rPr>
              <w:t xml:space="preserve"> nearly </w:t>
            </w:r>
            <w:r w:rsidR="00760B2F">
              <w:rPr>
                <w:spacing w:val="-4"/>
                <w:lang w:val="en-GB"/>
              </w:rPr>
              <w:t xml:space="preserve">evened up </w:t>
            </w:r>
            <w:r w:rsidR="00FA1A7F">
              <w:rPr>
                <w:spacing w:val="-4"/>
                <w:lang w:val="en-GB"/>
              </w:rPr>
              <w:t xml:space="preserve">the record size from </w:t>
            </w:r>
            <w:r w:rsidR="00760B2F">
              <w:rPr>
                <w:spacing w:val="-4"/>
                <w:lang w:val="en-GB"/>
              </w:rPr>
              <w:t xml:space="preserve">year </w:t>
            </w:r>
            <w:r w:rsidR="00B01D0F" w:rsidRPr="00BA3ECA">
              <w:rPr>
                <w:spacing w:val="-4"/>
                <w:lang w:val="en-GB"/>
              </w:rPr>
              <w:t xml:space="preserve">2019. </w:t>
            </w:r>
            <w:r w:rsidR="00105B6B">
              <w:rPr>
                <w:spacing w:val="-4"/>
                <w:lang w:val="en-GB"/>
              </w:rPr>
              <w:t>On the contrary the decrease of the number of entrepreneurs</w:t>
            </w:r>
            <w:r w:rsidR="00B01D0F" w:rsidRPr="00BA3ECA">
              <w:rPr>
                <w:rStyle w:val="Znakapoznpodarou"/>
                <w:spacing w:val="-4"/>
                <w:lang w:val="en-GB"/>
              </w:rPr>
              <w:footnoteReference w:id="58"/>
            </w:r>
            <w:r w:rsidR="00105B6B">
              <w:rPr>
                <w:spacing w:val="-4"/>
                <w:lang w:val="en-GB"/>
              </w:rPr>
              <w:t xml:space="preserve"> deepened to </w:t>
            </w:r>
            <w:r w:rsidR="00B01D0F" w:rsidRPr="00BA3ECA">
              <w:rPr>
                <w:spacing w:val="-4"/>
                <w:lang w:val="en-GB"/>
              </w:rPr>
              <w:t>40 t</w:t>
            </w:r>
            <w:r w:rsidR="00105B6B">
              <w:rPr>
                <w:spacing w:val="-4"/>
                <w:lang w:val="en-GB"/>
              </w:rPr>
              <w:t xml:space="preserve">housand </w:t>
            </w:r>
            <w:r w:rsidR="00B01D0F" w:rsidRPr="00BA3ECA">
              <w:rPr>
                <w:spacing w:val="-4"/>
                <w:lang w:val="en-GB"/>
              </w:rPr>
              <w:t>(5</w:t>
            </w:r>
            <w:r w:rsidR="00105B6B">
              <w:rPr>
                <w:spacing w:val="-4"/>
                <w:lang w:val="en-GB"/>
              </w:rPr>
              <w:t>.</w:t>
            </w:r>
            <w:r w:rsidR="00B01D0F" w:rsidRPr="00BA3ECA">
              <w:rPr>
                <w:spacing w:val="-4"/>
                <w:lang w:val="en-GB"/>
              </w:rPr>
              <w:t>4%) a</w:t>
            </w:r>
            <w:r w:rsidR="00105B6B">
              <w:rPr>
                <w:spacing w:val="-4"/>
                <w:lang w:val="en-GB"/>
              </w:rPr>
              <w:t xml:space="preserve">nd </w:t>
            </w:r>
            <w:r w:rsidR="008D7710">
              <w:rPr>
                <w:spacing w:val="-4"/>
                <w:lang w:val="en-GB"/>
              </w:rPr>
              <w:t xml:space="preserve">their number </w:t>
            </w:r>
            <w:proofErr w:type="gramStart"/>
            <w:r w:rsidR="008D7710">
              <w:rPr>
                <w:spacing w:val="-4"/>
                <w:lang w:val="en-GB"/>
              </w:rPr>
              <w:t>shrank also</w:t>
            </w:r>
            <w:proofErr w:type="gramEnd"/>
            <w:r w:rsidR="008D7710">
              <w:rPr>
                <w:spacing w:val="-4"/>
                <w:lang w:val="en-GB"/>
              </w:rPr>
              <w:t xml:space="preserve"> in comparison to Q</w:t>
            </w:r>
            <w:r w:rsidR="00B01D0F" w:rsidRPr="00BA3ECA">
              <w:rPr>
                <w:spacing w:val="-4"/>
                <w:lang w:val="en-GB"/>
              </w:rPr>
              <w:t>3</w:t>
            </w:r>
            <w:r w:rsidR="008D7710">
              <w:rPr>
                <w:spacing w:val="-4"/>
                <w:lang w:val="en-GB"/>
              </w:rPr>
              <w:t xml:space="preserve"> </w:t>
            </w:r>
            <w:r w:rsidR="00B01D0F" w:rsidRPr="00BA3ECA">
              <w:rPr>
                <w:spacing w:val="-4"/>
                <w:lang w:val="en-GB"/>
              </w:rPr>
              <w:t>2021 (</w:t>
            </w:r>
            <w:r w:rsidR="008D7710">
              <w:rPr>
                <w:spacing w:val="-4"/>
                <w:lang w:val="en-GB"/>
              </w:rPr>
              <w:t xml:space="preserve">by </w:t>
            </w:r>
            <w:r w:rsidR="00B01D0F" w:rsidRPr="00BA3ECA">
              <w:rPr>
                <w:spacing w:val="-4"/>
                <w:lang w:val="en-GB"/>
              </w:rPr>
              <w:t>0</w:t>
            </w:r>
            <w:r w:rsidR="008D7710">
              <w:rPr>
                <w:spacing w:val="-4"/>
                <w:lang w:val="en-GB"/>
              </w:rPr>
              <w:t>.</w:t>
            </w:r>
            <w:r w:rsidR="00B01D0F" w:rsidRPr="00BA3ECA">
              <w:rPr>
                <w:spacing w:val="-4"/>
                <w:lang w:val="en-GB"/>
              </w:rPr>
              <w:t>2%).</w:t>
            </w:r>
            <w:r w:rsidR="008D7710">
              <w:rPr>
                <w:spacing w:val="-4"/>
                <w:lang w:val="en-GB"/>
              </w:rPr>
              <w:t xml:space="preserve"> </w:t>
            </w:r>
            <w:r w:rsidR="00E713E6">
              <w:rPr>
                <w:spacing w:val="-4"/>
                <w:lang w:val="en-GB"/>
              </w:rPr>
              <w:t xml:space="preserve">The year-on-year decrease occurred primarily due to the development in manufacturing, the number of self-employed however declined in nearly all main branches. </w:t>
            </w:r>
            <w:r w:rsidR="0000232E">
              <w:rPr>
                <w:spacing w:val="-4"/>
                <w:lang w:val="en-GB"/>
              </w:rPr>
              <w:t xml:space="preserve">It </w:t>
            </w:r>
            <w:proofErr w:type="gramStart"/>
            <w:r w:rsidR="0000232E">
              <w:rPr>
                <w:spacing w:val="-4"/>
                <w:lang w:val="en-GB"/>
              </w:rPr>
              <w:t>cannot be ruled out</w:t>
            </w:r>
            <w:proofErr w:type="gramEnd"/>
            <w:r w:rsidR="0000232E">
              <w:rPr>
                <w:spacing w:val="-4"/>
                <w:lang w:val="en-GB"/>
              </w:rPr>
              <w:t>, that part of the decrease of self-employed persons was connected to their transfer into the employee position</w:t>
            </w:r>
            <w:r w:rsidR="00B01D0F" w:rsidRPr="00BA3ECA">
              <w:rPr>
                <w:rStyle w:val="Znakapoznpodarou"/>
                <w:spacing w:val="-4"/>
                <w:lang w:val="en-GB"/>
              </w:rPr>
              <w:footnoteReference w:id="59"/>
            </w:r>
            <w:r w:rsidR="00B01D0F" w:rsidRPr="00BA3ECA">
              <w:rPr>
                <w:spacing w:val="-4"/>
                <w:lang w:val="en-GB"/>
              </w:rPr>
              <w:t>.</w:t>
            </w:r>
          </w:p>
        </w:tc>
      </w:tr>
      <w:tr w:rsidR="00B01D0F" w:rsidRPr="006237E6" w14:paraId="094C9323" w14:textId="77777777" w:rsidTr="008E039E">
        <w:trPr>
          <w:trHeight w:val="155"/>
        </w:trPr>
        <w:tc>
          <w:tcPr>
            <w:tcW w:w="1600" w:type="dxa"/>
            <w:shd w:val="clear" w:color="auto" w:fill="auto"/>
            <w:tcMar>
              <w:left w:w="0" w:type="dxa"/>
            </w:tcMar>
          </w:tcPr>
          <w:p w14:paraId="223D67BC" w14:textId="5E65F098" w:rsidR="00B01D0F" w:rsidRPr="00BA3ECA" w:rsidRDefault="00DC21F3" w:rsidP="008E039E">
            <w:pPr>
              <w:pStyle w:val="Marginlie"/>
              <w:spacing w:after="120"/>
              <w:rPr>
                <w:spacing w:val="-4"/>
                <w:lang w:val="en-GB"/>
              </w:rPr>
            </w:pPr>
            <w:r>
              <w:rPr>
                <w:spacing w:val="-4"/>
                <w:lang w:val="en-GB"/>
              </w:rPr>
              <w:t xml:space="preserve">Public services </w:t>
            </w:r>
            <w:r w:rsidR="00A46670">
              <w:rPr>
                <w:spacing w:val="-4"/>
                <w:lang w:val="en-GB"/>
              </w:rPr>
              <w:t>exerted a pro-growth effect on the total employment in Q</w:t>
            </w:r>
            <w:r w:rsidR="00B01D0F" w:rsidRPr="00BA3ECA">
              <w:rPr>
                <w:spacing w:val="-4"/>
                <w:lang w:val="en-GB"/>
              </w:rPr>
              <w:t>4</w:t>
            </w:r>
            <w:r w:rsidR="00A46670">
              <w:rPr>
                <w:spacing w:val="-4"/>
                <w:lang w:val="en-GB"/>
              </w:rPr>
              <w:t xml:space="preserve"> </w:t>
            </w:r>
            <w:r w:rsidR="00B01D0F" w:rsidRPr="00BA3ECA">
              <w:rPr>
                <w:spacing w:val="-4"/>
                <w:lang w:val="en-GB"/>
              </w:rPr>
              <w:t>2021</w:t>
            </w:r>
            <w:r w:rsidR="00A46670">
              <w:rPr>
                <w:spacing w:val="-4"/>
                <w:lang w:val="en-GB"/>
              </w:rPr>
              <w:t xml:space="preserve"> even during the </w:t>
            </w:r>
            <w:proofErr w:type="gramStart"/>
            <w:r w:rsidR="00A46670">
              <w:rPr>
                <w:spacing w:val="-4"/>
                <w:lang w:val="en-GB"/>
              </w:rPr>
              <w:t>whole</w:t>
            </w:r>
            <w:proofErr w:type="gramEnd"/>
            <w:r w:rsidR="00A46670">
              <w:rPr>
                <w:spacing w:val="-4"/>
                <w:lang w:val="en-GB"/>
              </w:rPr>
              <w:t xml:space="preserve"> pandemic period. </w:t>
            </w:r>
          </w:p>
        </w:tc>
        <w:tc>
          <w:tcPr>
            <w:tcW w:w="189" w:type="dxa"/>
            <w:shd w:val="clear" w:color="auto" w:fill="auto"/>
            <w:tcMar>
              <w:left w:w="0" w:type="dxa"/>
            </w:tcMar>
          </w:tcPr>
          <w:p w14:paraId="28C16C7E" w14:textId="77777777" w:rsidR="00B01D0F" w:rsidRPr="00BA3ECA" w:rsidRDefault="00B01D0F" w:rsidP="008E039E">
            <w:pPr>
              <w:pStyle w:val="Textpoznpodarou"/>
              <w:spacing w:after="120"/>
              <w:jc w:val="both"/>
              <w:rPr>
                <w:spacing w:val="-4"/>
                <w:lang w:val="en-GB"/>
              </w:rPr>
            </w:pPr>
          </w:p>
        </w:tc>
        <w:tc>
          <w:tcPr>
            <w:tcW w:w="7880" w:type="dxa"/>
            <w:shd w:val="clear" w:color="auto" w:fill="auto"/>
            <w:tcMar>
              <w:left w:w="0" w:type="dxa"/>
            </w:tcMar>
          </w:tcPr>
          <w:p w14:paraId="1F6BE568" w14:textId="35E03961" w:rsidR="00B01D0F" w:rsidRPr="00BA3ECA" w:rsidRDefault="000A2065" w:rsidP="00AC7ACA">
            <w:pPr>
              <w:spacing w:after="200"/>
              <w:rPr>
                <w:spacing w:val="-4"/>
                <w:lang w:val="en-GB"/>
              </w:rPr>
            </w:pPr>
            <w:r>
              <w:rPr>
                <w:spacing w:val="-4"/>
                <w:lang w:val="en-GB"/>
              </w:rPr>
              <w:t xml:space="preserve">Movements in services were determining for the year-on-year growth of employment in the second half of the last year. </w:t>
            </w:r>
            <w:r w:rsidR="00B01D0F" w:rsidRPr="00BA3ECA">
              <w:rPr>
                <w:spacing w:val="-4"/>
                <w:lang w:val="en-GB"/>
              </w:rPr>
              <w:t>1</w:t>
            </w:r>
            <w:r w:rsidR="007243A2">
              <w:rPr>
                <w:spacing w:val="-4"/>
                <w:lang w:val="en-GB"/>
              </w:rPr>
              <w:t>.</w:t>
            </w:r>
            <w:r w:rsidR="00B01D0F" w:rsidRPr="00BA3ECA">
              <w:rPr>
                <w:spacing w:val="-4"/>
                <w:lang w:val="en-GB"/>
              </w:rPr>
              <w:t>8%</w:t>
            </w:r>
            <w:r w:rsidR="007243A2">
              <w:rPr>
                <w:spacing w:val="-4"/>
                <w:lang w:val="en-GB"/>
              </w:rPr>
              <w:t xml:space="preserve"> employees </w:t>
            </w:r>
            <w:r w:rsidR="0075399B">
              <w:rPr>
                <w:spacing w:val="-4"/>
                <w:lang w:val="en-GB"/>
              </w:rPr>
              <w:t xml:space="preserve">(58 thousand) </w:t>
            </w:r>
            <w:r w:rsidR="007243A2">
              <w:rPr>
                <w:spacing w:val="-4"/>
                <w:lang w:val="en-GB"/>
              </w:rPr>
              <w:t xml:space="preserve">were added in the </w:t>
            </w:r>
            <w:proofErr w:type="gramStart"/>
            <w:r w:rsidR="007243A2">
              <w:rPr>
                <w:spacing w:val="-4"/>
                <w:lang w:val="en-GB"/>
              </w:rPr>
              <w:t>whole</w:t>
            </w:r>
            <w:proofErr w:type="gramEnd"/>
            <w:r w:rsidR="007243A2">
              <w:rPr>
                <w:spacing w:val="-4"/>
                <w:lang w:val="en-GB"/>
              </w:rPr>
              <w:t xml:space="preserve"> </w:t>
            </w:r>
            <w:r w:rsidR="0075399B">
              <w:rPr>
                <w:spacing w:val="-4"/>
                <w:lang w:val="en-GB"/>
              </w:rPr>
              <w:t>tertiary</w:t>
            </w:r>
            <w:r w:rsidR="007243A2">
              <w:rPr>
                <w:spacing w:val="-4"/>
                <w:lang w:val="en-GB"/>
              </w:rPr>
              <w:t xml:space="preserve"> sector in Q4</w:t>
            </w:r>
            <w:r w:rsidR="0075399B">
              <w:rPr>
                <w:spacing w:val="-4"/>
                <w:lang w:val="en-GB"/>
              </w:rPr>
              <w:t xml:space="preserve">. Even though the real estate activities recorded the highest dynamics </w:t>
            </w:r>
            <w:r w:rsidR="00B01D0F" w:rsidRPr="00BA3ECA">
              <w:rPr>
                <w:spacing w:val="-4"/>
                <w:lang w:val="en-GB"/>
              </w:rPr>
              <w:t>(+4</w:t>
            </w:r>
            <w:r w:rsidR="0075399B">
              <w:rPr>
                <w:spacing w:val="-4"/>
                <w:lang w:val="en-GB"/>
              </w:rPr>
              <w:t>.</w:t>
            </w:r>
            <w:r w:rsidR="00B01D0F" w:rsidRPr="00BA3ECA">
              <w:rPr>
                <w:spacing w:val="-4"/>
                <w:lang w:val="en-GB"/>
              </w:rPr>
              <w:t>3%),</w:t>
            </w:r>
            <w:r w:rsidR="0075399B">
              <w:rPr>
                <w:spacing w:val="-4"/>
                <w:lang w:val="en-GB"/>
              </w:rPr>
              <w:t xml:space="preserve"> it was public services that contributed the most to the employment growth in the whole economy</w:t>
            </w:r>
            <w:r w:rsidR="00B01D0F" w:rsidRPr="00BA3ECA">
              <w:rPr>
                <w:rStyle w:val="Znakapoznpodarou"/>
                <w:spacing w:val="-4"/>
                <w:lang w:val="en-GB"/>
              </w:rPr>
              <w:footnoteReference w:id="60"/>
            </w:r>
            <w:r w:rsidR="00B01D0F" w:rsidRPr="00BA3ECA">
              <w:rPr>
                <w:spacing w:val="-4"/>
                <w:lang w:val="en-GB"/>
              </w:rPr>
              <w:t xml:space="preserve"> (+32 t</w:t>
            </w:r>
            <w:r w:rsidR="0075399B">
              <w:rPr>
                <w:spacing w:val="-4"/>
                <w:lang w:val="en-GB"/>
              </w:rPr>
              <w:t>housand persons</w:t>
            </w:r>
            <w:r w:rsidR="00B01D0F" w:rsidRPr="00BA3ECA">
              <w:rPr>
                <w:spacing w:val="-4"/>
                <w:lang w:val="en-GB"/>
              </w:rPr>
              <w:t xml:space="preserve">), </w:t>
            </w:r>
            <w:r w:rsidR="0075399B">
              <w:rPr>
                <w:spacing w:val="-4"/>
                <w:lang w:val="en-GB"/>
              </w:rPr>
              <w:t>mainly thanks to the developing education also the health and social care, intensely strained during the pandemics. C</w:t>
            </w:r>
            <w:r>
              <w:rPr>
                <w:spacing w:val="-4"/>
                <w:lang w:val="en-GB"/>
              </w:rPr>
              <w:t xml:space="preserve">ontribution of division trade, transportation, accommodation and restaurants </w:t>
            </w:r>
            <w:r w:rsidR="00B01D0F" w:rsidRPr="00BA3ECA">
              <w:rPr>
                <w:spacing w:val="-4"/>
                <w:lang w:val="en-GB"/>
              </w:rPr>
              <w:t>(14 t</w:t>
            </w:r>
            <w:r>
              <w:rPr>
                <w:spacing w:val="-4"/>
                <w:lang w:val="en-GB"/>
              </w:rPr>
              <w:t>housand</w:t>
            </w:r>
            <w:r w:rsidR="00B01D0F" w:rsidRPr="00BA3ECA">
              <w:rPr>
                <w:spacing w:val="-4"/>
                <w:lang w:val="en-GB"/>
              </w:rPr>
              <w:t>)</w:t>
            </w:r>
            <w:r>
              <w:rPr>
                <w:spacing w:val="-4"/>
                <w:lang w:val="en-GB"/>
              </w:rPr>
              <w:t xml:space="preserve"> was also significant</w:t>
            </w:r>
            <w:r w:rsidR="00B01D0F" w:rsidRPr="00BA3ECA">
              <w:rPr>
                <w:spacing w:val="-4"/>
                <w:lang w:val="en-GB"/>
              </w:rPr>
              <w:t xml:space="preserve">, </w:t>
            </w:r>
            <w:r>
              <w:rPr>
                <w:spacing w:val="-4"/>
                <w:lang w:val="en-GB"/>
              </w:rPr>
              <w:t xml:space="preserve">year-on-year employment increased for the first time here since the half of year </w:t>
            </w:r>
            <w:r w:rsidR="00B01D0F" w:rsidRPr="00BA3ECA">
              <w:rPr>
                <w:spacing w:val="-4"/>
                <w:lang w:val="en-GB"/>
              </w:rPr>
              <w:t>2019</w:t>
            </w:r>
            <w:r w:rsidR="00B01D0F" w:rsidRPr="00BA3ECA">
              <w:rPr>
                <w:rStyle w:val="Znakapoznpodarou"/>
                <w:spacing w:val="-4"/>
                <w:lang w:val="en-GB"/>
              </w:rPr>
              <w:footnoteReference w:id="61"/>
            </w:r>
            <w:r w:rsidR="00B01D0F" w:rsidRPr="00BA3ECA">
              <w:rPr>
                <w:spacing w:val="-4"/>
                <w:lang w:val="en-GB"/>
              </w:rPr>
              <w:t xml:space="preserve">. </w:t>
            </w:r>
            <w:r w:rsidR="00236B3A">
              <w:rPr>
                <w:spacing w:val="-4"/>
                <w:lang w:val="en-GB"/>
              </w:rPr>
              <w:t>Slow after crisis revival was also apparent in branch other services activities</w:t>
            </w:r>
            <w:r w:rsidR="00B01D0F" w:rsidRPr="00BA3ECA">
              <w:rPr>
                <w:rStyle w:val="Znakapoznpodarou"/>
                <w:spacing w:val="-4"/>
                <w:lang w:val="en-GB"/>
              </w:rPr>
              <w:footnoteReference w:id="62"/>
            </w:r>
            <w:r w:rsidR="00B01D0F" w:rsidRPr="00BA3ECA">
              <w:rPr>
                <w:spacing w:val="-4"/>
                <w:lang w:val="en-GB"/>
              </w:rPr>
              <w:t xml:space="preserve">, </w:t>
            </w:r>
            <w:r w:rsidR="00236B3A">
              <w:rPr>
                <w:spacing w:val="-4"/>
                <w:lang w:val="en-GB"/>
              </w:rPr>
              <w:t xml:space="preserve">including especially culture, amusement and recreational activities or personal services mainly for household. </w:t>
            </w:r>
            <w:r w:rsidR="00A01A7C">
              <w:rPr>
                <w:spacing w:val="-4"/>
                <w:lang w:val="en-GB"/>
              </w:rPr>
              <w:t xml:space="preserve">The trend of moderate decline of employment continued in connection to the development in digitalisation in financial and insurance activities, specifically already the fifth year in a row. On the contrary, </w:t>
            </w:r>
            <w:r w:rsidR="00EE64BA">
              <w:rPr>
                <w:spacing w:val="-4"/>
                <w:lang w:val="en-GB"/>
              </w:rPr>
              <w:lastRenderedPageBreak/>
              <w:t xml:space="preserve">information and communication maintained </w:t>
            </w:r>
            <w:proofErr w:type="gramStart"/>
            <w:r w:rsidR="00EE64BA">
              <w:rPr>
                <w:spacing w:val="-4"/>
                <w:lang w:val="en-GB"/>
              </w:rPr>
              <w:t>long term</w:t>
            </w:r>
            <w:proofErr w:type="gramEnd"/>
            <w:r w:rsidR="00EE64BA">
              <w:rPr>
                <w:spacing w:val="-4"/>
                <w:lang w:val="en-GB"/>
              </w:rPr>
              <w:t xml:space="preserve"> growth</w:t>
            </w:r>
            <w:r w:rsidR="00B01D0F" w:rsidRPr="00BA3ECA">
              <w:rPr>
                <w:spacing w:val="-6"/>
                <w:lang w:val="en-GB"/>
              </w:rPr>
              <w:t xml:space="preserve">, </w:t>
            </w:r>
            <w:r w:rsidR="00B935CC">
              <w:rPr>
                <w:spacing w:val="-6"/>
                <w:lang w:val="en-GB"/>
              </w:rPr>
              <w:t xml:space="preserve">the dynamics of total employment however weakened due to the decrease of entrepreneurs here during the year 2021. </w:t>
            </w:r>
            <w:r w:rsidR="0060279D">
              <w:rPr>
                <w:spacing w:val="-6"/>
                <w:lang w:val="en-GB"/>
              </w:rPr>
              <w:t>The year-on-year growth of employment in industry, similarly to construction, did not exceed 1% last year in Q</w:t>
            </w:r>
            <w:r w:rsidR="00B01D0F" w:rsidRPr="00BA3ECA">
              <w:rPr>
                <w:spacing w:val="-4"/>
                <w:lang w:val="en-GB"/>
              </w:rPr>
              <w:t>4. </w:t>
            </w:r>
            <w:r w:rsidR="00A01A7C">
              <w:rPr>
                <w:spacing w:val="-4"/>
                <w:lang w:val="en-GB"/>
              </w:rPr>
              <w:t xml:space="preserve">Number of employee positions grew swifter, which </w:t>
            </w:r>
            <w:proofErr w:type="gramStart"/>
            <w:r w:rsidR="00A01A7C">
              <w:rPr>
                <w:spacing w:val="-4"/>
                <w:lang w:val="en-GB"/>
              </w:rPr>
              <w:t>was also connected</w:t>
            </w:r>
            <w:proofErr w:type="gramEnd"/>
            <w:r w:rsidR="00A01A7C">
              <w:rPr>
                <w:spacing w:val="-4"/>
                <w:lang w:val="en-GB"/>
              </w:rPr>
              <w:t xml:space="preserve"> to the recruitment of persons from abroad</w:t>
            </w:r>
            <w:r w:rsidR="00B01D0F" w:rsidRPr="00BA3ECA">
              <w:rPr>
                <w:rStyle w:val="Znakapoznpodarou"/>
                <w:spacing w:val="-4"/>
                <w:lang w:val="en-GB"/>
              </w:rPr>
              <w:footnoteReference w:id="63"/>
            </w:r>
            <w:r w:rsidR="00B01D0F" w:rsidRPr="00BA3ECA">
              <w:rPr>
                <w:spacing w:val="-4"/>
                <w:lang w:val="en-GB"/>
              </w:rPr>
              <w:t>.</w:t>
            </w:r>
          </w:p>
        </w:tc>
      </w:tr>
      <w:tr w:rsidR="00B01D0F" w:rsidRPr="006237E6" w14:paraId="2ECBFB17" w14:textId="77777777" w:rsidTr="008E039E">
        <w:trPr>
          <w:trHeight w:val="155"/>
        </w:trPr>
        <w:tc>
          <w:tcPr>
            <w:tcW w:w="1600" w:type="dxa"/>
            <w:shd w:val="clear" w:color="auto" w:fill="auto"/>
            <w:tcMar>
              <w:left w:w="0" w:type="dxa"/>
            </w:tcMar>
          </w:tcPr>
          <w:p w14:paraId="59B55CB6" w14:textId="705ABC44" w:rsidR="00B01D0F" w:rsidRPr="0060279D" w:rsidRDefault="0060279D" w:rsidP="008E039E">
            <w:pPr>
              <w:pStyle w:val="Marginlie"/>
              <w:spacing w:after="120"/>
              <w:rPr>
                <w:spacing w:val="-4"/>
                <w:lang w:val="en-GB"/>
              </w:rPr>
            </w:pPr>
            <w:r>
              <w:rPr>
                <w:spacing w:val="-4"/>
                <w:lang w:val="en-GB"/>
              </w:rPr>
              <w:lastRenderedPageBreak/>
              <w:t xml:space="preserve">The employment in total for year 2021 stagnated. Number of hours worked increased by 2.9% after the preceding slump. </w:t>
            </w:r>
          </w:p>
        </w:tc>
        <w:tc>
          <w:tcPr>
            <w:tcW w:w="189" w:type="dxa"/>
            <w:shd w:val="clear" w:color="auto" w:fill="auto"/>
            <w:tcMar>
              <w:left w:w="0" w:type="dxa"/>
            </w:tcMar>
          </w:tcPr>
          <w:p w14:paraId="1DB29866" w14:textId="77777777" w:rsidR="00B01D0F" w:rsidRPr="0060279D" w:rsidRDefault="00B01D0F" w:rsidP="008E039E">
            <w:pPr>
              <w:pStyle w:val="Textpoznpodarou"/>
              <w:spacing w:after="120"/>
              <w:jc w:val="both"/>
              <w:rPr>
                <w:spacing w:val="-4"/>
                <w:lang w:val="en-GB"/>
              </w:rPr>
            </w:pPr>
          </w:p>
        </w:tc>
        <w:tc>
          <w:tcPr>
            <w:tcW w:w="7880" w:type="dxa"/>
            <w:shd w:val="clear" w:color="auto" w:fill="auto"/>
            <w:tcMar>
              <w:left w:w="0" w:type="dxa"/>
            </w:tcMar>
          </w:tcPr>
          <w:p w14:paraId="678D3235" w14:textId="41EE7772" w:rsidR="00B01D0F" w:rsidRPr="0060279D" w:rsidRDefault="00C43766" w:rsidP="008E039E">
            <w:pPr>
              <w:spacing w:after="200"/>
              <w:rPr>
                <w:spacing w:val="-4"/>
                <w:lang w:val="en-GB"/>
              </w:rPr>
            </w:pPr>
            <w:r>
              <w:rPr>
                <w:spacing w:val="-4"/>
                <w:lang w:val="en-GB"/>
              </w:rPr>
              <w:t xml:space="preserve">The total employment stagnated in total for year </w:t>
            </w:r>
            <w:r w:rsidR="00B01D0F" w:rsidRPr="0060279D">
              <w:rPr>
                <w:spacing w:val="-4"/>
                <w:lang w:val="en-GB"/>
              </w:rPr>
              <w:t>2021</w:t>
            </w:r>
            <w:r>
              <w:rPr>
                <w:spacing w:val="-4"/>
                <w:lang w:val="en-GB"/>
              </w:rPr>
              <w:t xml:space="preserve">. The continuing decline of number of employees in the division trade, </w:t>
            </w:r>
            <w:r w:rsidR="00B37387">
              <w:rPr>
                <w:spacing w:val="-4"/>
                <w:lang w:val="en-GB"/>
              </w:rPr>
              <w:t>transportation</w:t>
            </w:r>
            <w:r>
              <w:rPr>
                <w:spacing w:val="-4"/>
                <w:lang w:val="en-GB"/>
              </w:rPr>
              <w:t xml:space="preserve">, accommodation and </w:t>
            </w:r>
            <w:r w:rsidR="00B37387">
              <w:rPr>
                <w:spacing w:val="-4"/>
                <w:lang w:val="en-GB"/>
              </w:rPr>
              <w:t>restaurants</w:t>
            </w:r>
            <w:r>
              <w:rPr>
                <w:spacing w:val="-4"/>
                <w:lang w:val="en-GB"/>
              </w:rPr>
              <w:t xml:space="preserve"> </w:t>
            </w:r>
            <w:r w:rsidR="00B01D0F" w:rsidRPr="0060279D">
              <w:rPr>
                <w:spacing w:val="-4"/>
                <w:lang w:val="en-GB"/>
              </w:rPr>
              <w:t>(–1</w:t>
            </w:r>
            <w:r>
              <w:rPr>
                <w:spacing w:val="-4"/>
                <w:lang w:val="en-GB"/>
              </w:rPr>
              <w:t>.</w:t>
            </w:r>
            <w:r w:rsidR="00B01D0F" w:rsidRPr="0060279D">
              <w:rPr>
                <w:spacing w:val="-4"/>
                <w:lang w:val="en-GB"/>
              </w:rPr>
              <w:t>7%)</w:t>
            </w:r>
            <w:r w:rsidR="00B37387">
              <w:rPr>
                <w:spacing w:val="-4"/>
                <w:lang w:val="en-GB"/>
              </w:rPr>
              <w:t xml:space="preserve"> and in industry </w:t>
            </w:r>
            <w:r w:rsidR="00B01D0F" w:rsidRPr="0060279D">
              <w:rPr>
                <w:spacing w:val="-4"/>
                <w:lang w:val="en-GB"/>
              </w:rPr>
              <w:t>(–0</w:t>
            </w:r>
            <w:r w:rsidR="00B37387">
              <w:rPr>
                <w:spacing w:val="-4"/>
                <w:lang w:val="en-GB"/>
              </w:rPr>
              <w:t>.</w:t>
            </w:r>
            <w:r w:rsidR="00B01D0F" w:rsidRPr="0060279D">
              <w:rPr>
                <w:spacing w:val="-4"/>
                <w:lang w:val="en-GB"/>
              </w:rPr>
              <w:t>5%)</w:t>
            </w:r>
            <w:r w:rsidR="00B37387">
              <w:rPr>
                <w:spacing w:val="-4"/>
                <w:lang w:val="en-GB"/>
              </w:rPr>
              <w:t xml:space="preserve"> was offset by their increase in information and communication </w:t>
            </w:r>
            <w:r w:rsidR="00B01D0F" w:rsidRPr="0060279D">
              <w:rPr>
                <w:spacing w:val="-4"/>
                <w:lang w:val="en-GB"/>
              </w:rPr>
              <w:t>(+3</w:t>
            </w:r>
            <w:r w:rsidR="00B37387">
              <w:rPr>
                <w:spacing w:val="-4"/>
                <w:lang w:val="en-GB"/>
              </w:rPr>
              <w:t>.</w:t>
            </w:r>
            <w:r w:rsidR="00B01D0F" w:rsidRPr="0060279D">
              <w:rPr>
                <w:spacing w:val="-4"/>
                <w:lang w:val="en-GB"/>
              </w:rPr>
              <w:t>4%)</w:t>
            </w:r>
            <w:r w:rsidR="00B37387">
              <w:rPr>
                <w:spacing w:val="-4"/>
                <w:lang w:val="en-GB"/>
              </w:rPr>
              <w:t xml:space="preserve"> and in public services </w:t>
            </w:r>
            <w:r w:rsidR="00B01D0F" w:rsidRPr="0060279D">
              <w:rPr>
                <w:spacing w:val="-4"/>
                <w:lang w:val="en-GB"/>
              </w:rPr>
              <w:t>(+2</w:t>
            </w:r>
            <w:r w:rsidR="00B37387">
              <w:rPr>
                <w:spacing w:val="-4"/>
                <w:lang w:val="en-GB"/>
              </w:rPr>
              <w:t>.</w:t>
            </w:r>
            <w:r w:rsidR="00B01D0F" w:rsidRPr="0060279D">
              <w:rPr>
                <w:spacing w:val="-4"/>
                <w:lang w:val="en-GB"/>
              </w:rPr>
              <w:t xml:space="preserve">8%, </w:t>
            </w:r>
            <w:r w:rsidR="00B37387">
              <w:rPr>
                <w:spacing w:val="-4"/>
                <w:lang w:val="en-GB"/>
              </w:rPr>
              <w:t>the most in the history of individual CR</w:t>
            </w:r>
            <w:r w:rsidR="00B01D0F" w:rsidRPr="0060279D">
              <w:rPr>
                <w:spacing w:val="-4"/>
                <w:lang w:val="en-GB"/>
              </w:rPr>
              <w:t>).</w:t>
            </w:r>
            <w:r w:rsidR="00B37387">
              <w:rPr>
                <w:spacing w:val="-4"/>
                <w:lang w:val="en-GB"/>
              </w:rPr>
              <w:t xml:space="preserve"> Number of hours worked in the whole economy increased by 2.9% </w:t>
            </w:r>
            <w:r w:rsidR="00B01D0F" w:rsidRPr="0060279D">
              <w:rPr>
                <w:spacing w:val="-4"/>
                <w:lang w:val="en-GB"/>
              </w:rPr>
              <w:t>(</w:t>
            </w:r>
            <w:r w:rsidR="0064527F">
              <w:rPr>
                <w:spacing w:val="-4"/>
                <w:lang w:val="en-GB"/>
              </w:rPr>
              <w:t xml:space="preserve">following the record slump of </w:t>
            </w:r>
            <w:r w:rsidR="00B01D0F" w:rsidRPr="0060279D">
              <w:rPr>
                <w:spacing w:val="-4"/>
                <w:lang w:val="en-GB"/>
              </w:rPr>
              <w:t>6</w:t>
            </w:r>
            <w:r w:rsidR="0064527F">
              <w:rPr>
                <w:spacing w:val="-4"/>
                <w:lang w:val="en-GB"/>
              </w:rPr>
              <w:t>.</w:t>
            </w:r>
            <w:r w:rsidR="00B01D0F" w:rsidRPr="0060279D">
              <w:rPr>
                <w:spacing w:val="-4"/>
                <w:lang w:val="en-GB"/>
              </w:rPr>
              <w:t>3%</w:t>
            </w:r>
            <w:r w:rsidR="0064527F">
              <w:rPr>
                <w:spacing w:val="-4"/>
                <w:lang w:val="en-GB"/>
              </w:rPr>
              <w:t xml:space="preserve"> in year </w:t>
            </w:r>
            <w:r w:rsidR="00B01D0F" w:rsidRPr="0060279D">
              <w:rPr>
                <w:spacing w:val="-4"/>
                <w:lang w:val="en-GB"/>
              </w:rPr>
              <w:t>2020).</w:t>
            </w:r>
            <w:r w:rsidR="0064527F">
              <w:rPr>
                <w:spacing w:val="-4"/>
                <w:lang w:val="en-GB"/>
              </w:rPr>
              <w:t xml:space="preserve"> Except for agriculture and forestry it increased in all main branches, it however surpassed the pre</w:t>
            </w:r>
            <w:r w:rsidR="001F4C16">
              <w:rPr>
                <w:spacing w:val="-4"/>
                <w:lang w:val="en-GB"/>
              </w:rPr>
              <w:t xml:space="preserve"> </w:t>
            </w:r>
            <w:r w:rsidR="0064527F">
              <w:rPr>
                <w:spacing w:val="-4"/>
                <w:lang w:val="en-GB"/>
              </w:rPr>
              <w:t xml:space="preserve">pandemic level only in public services, in ICT area and in real estate activities and in construction. </w:t>
            </w:r>
            <w:proofErr w:type="gramStart"/>
            <w:r w:rsidR="001F4C16">
              <w:rPr>
                <w:spacing w:val="-4"/>
                <w:lang w:val="en-GB"/>
              </w:rPr>
              <w:t xml:space="preserve">On the contrary, it substantially fell behind in the division of trade, accommodation and restaurants </w:t>
            </w:r>
            <w:r w:rsidR="00B01D0F" w:rsidRPr="0060279D">
              <w:rPr>
                <w:spacing w:val="-4"/>
                <w:lang w:val="en-GB"/>
              </w:rPr>
              <w:t>(</w:t>
            </w:r>
            <w:r w:rsidR="001F4C16">
              <w:rPr>
                <w:spacing w:val="-4"/>
                <w:lang w:val="en-GB"/>
              </w:rPr>
              <w:t xml:space="preserve">by </w:t>
            </w:r>
            <w:r w:rsidR="00B01D0F" w:rsidRPr="0060279D">
              <w:rPr>
                <w:spacing w:val="-4"/>
                <w:lang w:val="en-GB"/>
              </w:rPr>
              <w:t>10%) a</w:t>
            </w:r>
            <w:r w:rsidR="001F4C16">
              <w:rPr>
                <w:spacing w:val="-4"/>
                <w:lang w:val="en-GB"/>
              </w:rPr>
              <w:t xml:space="preserve">nd in branch other services activities </w:t>
            </w:r>
            <w:r w:rsidR="00B01D0F" w:rsidRPr="0060279D">
              <w:rPr>
                <w:spacing w:val="-4"/>
                <w:lang w:val="en-GB"/>
              </w:rPr>
              <w:t>(14%).</w:t>
            </w:r>
            <w:proofErr w:type="gramEnd"/>
          </w:p>
        </w:tc>
      </w:tr>
      <w:tr w:rsidR="00B01D0F" w:rsidRPr="009F2A8A" w14:paraId="2D7BF859" w14:textId="77777777" w:rsidTr="008E039E">
        <w:trPr>
          <w:trHeight w:val="155"/>
        </w:trPr>
        <w:tc>
          <w:tcPr>
            <w:tcW w:w="1600" w:type="dxa"/>
            <w:vMerge w:val="restart"/>
            <w:shd w:val="clear" w:color="auto" w:fill="auto"/>
            <w:tcMar>
              <w:left w:w="0" w:type="dxa"/>
            </w:tcMar>
          </w:tcPr>
          <w:p w14:paraId="467064BD" w14:textId="77777777" w:rsidR="00B01D0F" w:rsidRPr="00B43216" w:rsidRDefault="00B01D0F" w:rsidP="008E039E">
            <w:pPr>
              <w:pStyle w:val="Marginlie"/>
              <w:spacing w:after="120"/>
              <w:rPr>
                <w:spacing w:val="-4"/>
              </w:rPr>
            </w:pPr>
          </w:p>
        </w:tc>
        <w:tc>
          <w:tcPr>
            <w:tcW w:w="189" w:type="dxa"/>
            <w:vMerge w:val="restart"/>
            <w:shd w:val="clear" w:color="auto" w:fill="auto"/>
            <w:tcMar>
              <w:left w:w="0" w:type="dxa"/>
            </w:tcMar>
          </w:tcPr>
          <w:p w14:paraId="60D583F2"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7A33BA38" w14:textId="0667EE11" w:rsidR="00B01D0F" w:rsidRPr="00CA5850" w:rsidRDefault="00C43766" w:rsidP="00A02E8B">
            <w:pPr>
              <w:spacing w:after="0"/>
              <w:rPr>
                <w:spacing w:val="-2"/>
              </w:rPr>
            </w:pPr>
            <w:r>
              <w:rPr>
                <w:rFonts w:cs="Arial"/>
                <w:b/>
                <w:bCs/>
                <w:color w:val="000000"/>
                <w:szCs w:val="20"/>
              </w:rPr>
              <w:t xml:space="preserve">Chart </w:t>
            </w:r>
            <w:r w:rsidR="001C3794">
              <w:rPr>
                <w:rFonts w:cs="Arial"/>
                <w:b/>
                <w:bCs/>
                <w:color w:val="000000"/>
                <w:szCs w:val="20"/>
              </w:rPr>
              <w:t>1</w:t>
            </w:r>
            <w:r w:rsidR="00A02E8B">
              <w:rPr>
                <w:rFonts w:cs="Arial"/>
                <w:b/>
                <w:bCs/>
                <w:color w:val="000000"/>
                <w:szCs w:val="20"/>
              </w:rPr>
              <w:t>4</w:t>
            </w:r>
            <w:r w:rsidR="00B01D0F" w:rsidRPr="0068569E">
              <w:rPr>
                <w:rFonts w:cs="Arial"/>
                <w:b/>
                <w:bCs/>
                <w:color w:val="000000"/>
                <w:sz w:val="18"/>
                <w:szCs w:val="18"/>
              </w:rPr>
              <w:t xml:space="preserve">  </w:t>
            </w:r>
            <w:r w:rsidR="00DF0714" w:rsidRPr="000A5DBC">
              <w:rPr>
                <w:rFonts w:cs="Arial"/>
                <w:b/>
                <w:bCs/>
                <w:color w:val="000000"/>
                <w:sz w:val="18"/>
                <w:szCs w:val="18"/>
                <w:lang w:val="en-GB"/>
              </w:rPr>
              <w:t>Total</w:t>
            </w:r>
            <w:r w:rsidR="00DF0714" w:rsidRPr="000A5DBC">
              <w:rPr>
                <w:b/>
                <w:bCs/>
                <w:lang w:val="en-GB" w:eastAsia="en-US"/>
              </w:rPr>
              <w:t xml:space="preserve"> employment </w:t>
            </w:r>
            <w:r w:rsidR="00DF0714" w:rsidRPr="000A5DBC">
              <w:rPr>
                <w:lang w:val="en-GB" w:eastAsia="en-US"/>
              </w:rPr>
              <w:t xml:space="preserve">(year-on-year in </w:t>
            </w:r>
            <w:r w:rsidR="00DF0714" w:rsidRPr="000A5DBC">
              <w:rPr>
                <w:spacing w:val="-2"/>
                <w:lang w:val="en-GB"/>
              </w:rPr>
              <w:t>%)</w:t>
            </w:r>
            <w:r w:rsidR="00DF0714" w:rsidRPr="000A5DBC">
              <w:rPr>
                <w:b/>
                <w:bCs/>
                <w:spacing w:val="-2"/>
                <w:lang w:val="en-GB"/>
              </w:rPr>
              <w:t xml:space="preserve">, contributions of branches to year-on-year employment change </w:t>
            </w:r>
            <w:r w:rsidR="00DF0714" w:rsidRPr="000A5DBC">
              <w:rPr>
                <w:spacing w:val="-2"/>
                <w:lang w:val="en-GB"/>
              </w:rPr>
              <w:t xml:space="preserve">(in </w:t>
            </w:r>
            <w:proofErr w:type="gramStart"/>
            <w:r w:rsidR="00DF0714" w:rsidRPr="000A5DBC">
              <w:rPr>
                <w:spacing w:val="-2"/>
                <w:lang w:val="en-GB"/>
              </w:rPr>
              <w:t>p.p.</w:t>
            </w:r>
            <w:proofErr w:type="gramEnd"/>
            <w:r w:rsidR="00DF0714" w:rsidRPr="000A5DBC">
              <w:rPr>
                <w:spacing w:val="-2"/>
                <w:lang w:val="en-GB"/>
              </w:rPr>
              <w:t>)</w:t>
            </w:r>
            <w:r w:rsidR="00DF0714" w:rsidRPr="000A5DBC">
              <w:rPr>
                <w:b/>
                <w:bCs/>
                <w:spacing w:val="-2"/>
                <w:lang w:val="en-GB"/>
              </w:rPr>
              <w:t xml:space="preserve"> and expectations of employment development</w:t>
            </w:r>
            <w:r w:rsidR="00DF0714">
              <w:rPr>
                <w:b/>
                <w:bCs/>
                <w:spacing w:val="-2"/>
                <w:lang w:val="en-GB"/>
              </w:rPr>
              <w:t xml:space="preserve"> </w:t>
            </w:r>
            <w:r w:rsidR="00DF0714" w:rsidRPr="000A5DBC">
              <w:rPr>
                <w:spacing w:val="-2"/>
                <w:lang w:val="en-GB"/>
              </w:rPr>
              <w:t>(balance in p.p.</w:t>
            </w:r>
            <w:r w:rsidR="00DF0714">
              <w:rPr>
                <w:spacing w:val="-2"/>
                <w:lang w:val="en-GB"/>
              </w:rPr>
              <w:t>)</w:t>
            </w:r>
          </w:p>
        </w:tc>
      </w:tr>
      <w:tr w:rsidR="00B01D0F" w:rsidRPr="00B43216" w14:paraId="7C9B6C0D" w14:textId="77777777" w:rsidTr="00506F4A">
        <w:tblPrEx>
          <w:tblCellMar>
            <w:left w:w="70" w:type="dxa"/>
            <w:right w:w="70" w:type="dxa"/>
          </w:tblCellMar>
        </w:tblPrEx>
        <w:trPr>
          <w:trHeight w:val="155"/>
        </w:trPr>
        <w:tc>
          <w:tcPr>
            <w:tcW w:w="1600" w:type="dxa"/>
            <w:vMerge/>
            <w:shd w:val="clear" w:color="auto" w:fill="auto"/>
          </w:tcPr>
          <w:p w14:paraId="07F32782" w14:textId="77777777" w:rsidR="00B01D0F" w:rsidRPr="00B43216" w:rsidRDefault="00B01D0F" w:rsidP="008E039E">
            <w:pPr>
              <w:pStyle w:val="Marginlie"/>
              <w:spacing w:after="120"/>
              <w:rPr>
                <w:spacing w:val="-4"/>
              </w:rPr>
            </w:pPr>
          </w:p>
        </w:tc>
        <w:tc>
          <w:tcPr>
            <w:tcW w:w="189" w:type="dxa"/>
            <w:vMerge/>
            <w:shd w:val="clear" w:color="auto" w:fill="auto"/>
          </w:tcPr>
          <w:p w14:paraId="163F4A0C" w14:textId="77777777" w:rsidR="00B01D0F" w:rsidRPr="00B43216" w:rsidRDefault="00B01D0F" w:rsidP="008E039E">
            <w:pPr>
              <w:pStyle w:val="Textpoznpodarou"/>
              <w:spacing w:after="120"/>
              <w:jc w:val="both"/>
              <w:rPr>
                <w:spacing w:val="-4"/>
              </w:rPr>
            </w:pPr>
          </w:p>
        </w:tc>
        <w:tc>
          <w:tcPr>
            <w:tcW w:w="7880" w:type="dxa"/>
            <w:shd w:val="clear" w:color="auto" w:fill="auto"/>
          </w:tcPr>
          <w:p w14:paraId="15085B18" w14:textId="7DDCF7AA" w:rsidR="00B01D0F" w:rsidRPr="00B43216" w:rsidRDefault="00506F4A" w:rsidP="008E039E">
            <w:pPr>
              <w:spacing w:after="0"/>
              <w:rPr>
                <w:spacing w:val="-4"/>
              </w:rPr>
            </w:pPr>
            <w:r>
              <w:rPr>
                <w:noProof/>
              </w:rPr>
              <w:drawing>
                <wp:inline distT="0" distB="0" distL="0" distR="0" wp14:anchorId="21163DA7" wp14:editId="0CB97DDD">
                  <wp:extent cx="4702810" cy="3562502"/>
                  <wp:effectExtent l="0" t="0" r="254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01D0F" w:rsidRPr="00485ED5" w14:paraId="013B9A75" w14:textId="77777777" w:rsidTr="008E039E">
        <w:trPr>
          <w:trHeight w:val="671"/>
        </w:trPr>
        <w:tc>
          <w:tcPr>
            <w:tcW w:w="1600" w:type="dxa"/>
            <w:vMerge/>
            <w:shd w:val="clear" w:color="auto" w:fill="auto"/>
            <w:tcMar>
              <w:left w:w="0" w:type="dxa"/>
            </w:tcMar>
          </w:tcPr>
          <w:p w14:paraId="718D21BC" w14:textId="77777777" w:rsidR="00B01D0F" w:rsidRPr="00B43216" w:rsidRDefault="00B01D0F" w:rsidP="008E039E">
            <w:pPr>
              <w:pStyle w:val="Marginlie"/>
              <w:spacing w:after="120"/>
              <w:rPr>
                <w:spacing w:val="-4"/>
              </w:rPr>
            </w:pPr>
          </w:p>
        </w:tc>
        <w:tc>
          <w:tcPr>
            <w:tcW w:w="189" w:type="dxa"/>
            <w:vMerge/>
            <w:shd w:val="clear" w:color="auto" w:fill="auto"/>
            <w:tcMar>
              <w:left w:w="0" w:type="dxa"/>
            </w:tcMar>
          </w:tcPr>
          <w:p w14:paraId="4E54229B" w14:textId="77777777" w:rsidR="00B01D0F" w:rsidRPr="00B43216" w:rsidRDefault="00B01D0F" w:rsidP="008E039E">
            <w:pPr>
              <w:pStyle w:val="Textpoznpodarou"/>
              <w:spacing w:after="120"/>
              <w:jc w:val="both"/>
              <w:rPr>
                <w:spacing w:val="-4"/>
              </w:rPr>
            </w:pPr>
          </w:p>
        </w:tc>
        <w:tc>
          <w:tcPr>
            <w:tcW w:w="7880" w:type="dxa"/>
            <w:shd w:val="clear" w:color="auto" w:fill="auto"/>
            <w:tcMar>
              <w:left w:w="0" w:type="dxa"/>
            </w:tcMar>
          </w:tcPr>
          <w:p w14:paraId="7CDA8495" w14:textId="77777777" w:rsidR="004A127D" w:rsidRDefault="00B01D0F" w:rsidP="004A127D">
            <w:pPr>
              <w:spacing w:after="0" w:line="240" w:lineRule="auto"/>
              <w:rPr>
                <w:rFonts w:cs="Arial"/>
                <w:sz w:val="14"/>
                <w:szCs w:val="14"/>
                <w:lang w:val="en-GB"/>
              </w:rPr>
            </w:pPr>
            <w:r>
              <w:rPr>
                <w:rFonts w:cs="Arial"/>
                <w:color w:val="0D0D0D" w:themeColor="text1" w:themeTint="F2"/>
                <w:spacing w:val="-2"/>
                <w:sz w:val="14"/>
                <w:szCs w:val="14"/>
              </w:rPr>
              <w:t>*</w:t>
            </w:r>
            <w:r w:rsidRPr="00862F17">
              <w:rPr>
                <w:rFonts w:cs="Arial"/>
                <w:sz w:val="14"/>
                <w:szCs w:val="14"/>
              </w:rPr>
              <w:t xml:space="preserve"> </w:t>
            </w:r>
            <w:r w:rsidR="004A127D">
              <w:rPr>
                <w:rFonts w:cs="Arial"/>
                <w:sz w:val="14"/>
                <w:szCs w:val="14"/>
                <w:lang w:val="en-GB"/>
              </w:rPr>
              <w:t xml:space="preserve">Mining and energetics; Financial and insurance activities; Real estate activities; Arts, entertainment and recreation activities. </w:t>
            </w:r>
          </w:p>
          <w:p w14:paraId="661D4DBA" w14:textId="77777777" w:rsidR="004A127D" w:rsidRDefault="004A127D" w:rsidP="004A127D">
            <w:pPr>
              <w:spacing w:after="0" w:line="240" w:lineRule="auto"/>
              <w:rPr>
                <w:rFonts w:cs="Arial"/>
                <w:sz w:val="14"/>
                <w:szCs w:val="14"/>
              </w:rPr>
            </w:pPr>
            <w:r>
              <w:rPr>
                <w:rFonts w:cs="Arial"/>
                <w:sz w:val="14"/>
                <w:szCs w:val="14"/>
                <w:lang w:val="en-GB"/>
              </w:rPr>
              <w:t xml:space="preserve">Note: Balance of expectations expresses the difference in p.p. between categories growth vs. decrease of employment in the nearest three months. Data </w:t>
            </w:r>
            <w:proofErr w:type="gramStart"/>
            <w:r>
              <w:rPr>
                <w:rFonts w:cs="Arial"/>
                <w:sz w:val="14"/>
                <w:szCs w:val="14"/>
                <w:lang w:val="en-GB"/>
              </w:rPr>
              <w:t>are seasonally adjusted</w:t>
            </w:r>
            <w:proofErr w:type="gramEnd"/>
            <w:r>
              <w:rPr>
                <w:rFonts w:cs="Arial"/>
                <w:sz w:val="14"/>
                <w:szCs w:val="14"/>
                <w:lang w:val="en-GB"/>
              </w:rPr>
              <w:t xml:space="preserve"> and relate to the second month of the given quarter. </w:t>
            </w:r>
          </w:p>
          <w:p w14:paraId="1197A257" w14:textId="0A21FBF0" w:rsidR="004A127D" w:rsidRPr="00506F4A" w:rsidRDefault="004A127D" w:rsidP="00506F4A">
            <w:pPr>
              <w:spacing w:after="200" w:line="240" w:lineRule="auto"/>
              <w:rPr>
                <w:rFonts w:cs="Arial"/>
                <w:sz w:val="14"/>
                <w:szCs w:val="14"/>
                <w:lang w:val="en-GB"/>
              </w:rPr>
            </w:pPr>
            <w:r>
              <w:rPr>
                <w:rFonts w:cs="Arial"/>
                <w:sz w:val="14"/>
                <w:szCs w:val="14"/>
              </w:rPr>
              <w:t xml:space="preserve">Source: </w:t>
            </w:r>
            <w:r>
              <w:rPr>
                <w:rFonts w:cs="Arial"/>
                <w:sz w:val="14"/>
                <w:szCs w:val="14"/>
                <w:lang w:val="en-GB"/>
              </w:rPr>
              <w:t>CZSO (national ac</w:t>
            </w:r>
            <w:r w:rsidR="00506F4A">
              <w:rPr>
                <w:rFonts w:cs="Arial"/>
                <w:sz w:val="14"/>
                <w:szCs w:val="14"/>
                <w:lang w:val="en-GB"/>
              </w:rPr>
              <w:t>counts, business cycle surveys).</w:t>
            </w:r>
          </w:p>
        </w:tc>
      </w:tr>
      <w:tr w:rsidR="00AC7ACA" w:rsidRPr="00D82DBD" w14:paraId="121C6FF3" w14:textId="77777777" w:rsidTr="008E039E">
        <w:trPr>
          <w:trHeight w:val="145"/>
        </w:trPr>
        <w:tc>
          <w:tcPr>
            <w:tcW w:w="1600" w:type="dxa"/>
            <w:shd w:val="clear" w:color="auto" w:fill="auto"/>
            <w:tcMar>
              <w:left w:w="0" w:type="dxa"/>
            </w:tcMar>
          </w:tcPr>
          <w:p w14:paraId="16FD9CE1" w14:textId="70A3A890" w:rsidR="00AC7ACA" w:rsidRDefault="00AC7ACA" w:rsidP="00AC7ACA">
            <w:pPr>
              <w:pStyle w:val="Marginlie"/>
              <w:rPr>
                <w:color w:val="0D0D0D" w:themeColor="text1" w:themeTint="F2"/>
                <w:spacing w:val="-5"/>
                <w:lang w:val="en-GB"/>
              </w:rPr>
            </w:pPr>
            <w:r>
              <w:rPr>
                <w:spacing w:val="-4"/>
                <w:lang w:val="en-GB"/>
              </w:rPr>
              <w:t xml:space="preserve">The employment rate of persons aged 16 to 64 years hiked up to record level. </w:t>
            </w:r>
          </w:p>
        </w:tc>
        <w:tc>
          <w:tcPr>
            <w:tcW w:w="189" w:type="dxa"/>
            <w:shd w:val="clear" w:color="auto" w:fill="auto"/>
            <w:tcMar>
              <w:left w:w="0" w:type="dxa"/>
            </w:tcMar>
          </w:tcPr>
          <w:p w14:paraId="1A782E98" w14:textId="77777777" w:rsidR="00AC7ACA" w:rsidRPr="00B01310" w:rsidRDefault="00AC7ACA" w:rsidP="00AC7ACA">
            <w:pPr>
              <w:pStyle w:val="Textpoznpodarou"/>
              <w:spacing w:after="120"/>
              <w:jc w:val="both"/>
              <w:rPr>
                <w:color w:val="0D0D0D" w:themeColor="text1" w:themeTint="F2"/>
                <w:spacing w:val="-4"/>
                <w:lang w:val="en-GB"/>
              </w:rPr>
            </w:pPr>
          </w:p>
        </w:tc>
        <w:tc>
          <w:tcPr>
            <w:tcW w:w="7880" w:type="dxa"/>
            <w:shd w:val="clear" w:color="auto" w:fill="auto"/>
            <w:tcMar>
              <w:left w:w="0" w:type="dxa"/>
            </w:tcMar>
          </w:tcPr>
          <w:p w14:paraId="0FA0424E" w14:textId="518691F3" w:rsidR="00AC7ACA" w:rsidRDefault="00AC7ACA" w:rsidP="00AC7ACA">
            <w:pPr>
              <w:spacing w:after="200"/>
              <w:rPr>
                <w:spacing w:val="-4"/>
                <w:lang w:val="en-GB"/>
              </w:rPr>
            </w:pPr>
            <w:r>
              <w:rPr>
                <w:spacing w:val="-4"/>
                <w:lang w:val="en-GB"/>
              </w:rPr>
              <w:t xml:space="preserve">Already 75.4 persons out of one hundred persons aged </w:t>
            </w:r>
            <w:r w:rsidRPr="0060279D">
              <w:rPr>
                <w:spacing w:val="-4"/>
                <w:lang w:val="en-GB"/>
              </w:rPr>
              <w:t>15 </w:t>
            </w:r>
            <w:proofErr w:type="gramStart"/>
            <w:r>
              <w:rPr>
                <w:spacing w:val="-4"/>
                <w:lang w:val="en-GB"/>
              </w:rPr>
              <w:t>till</w:t>
            </w:r>
            <w:proofErr w:type="gramEnd"/>
            <w:r>
              <w:rPr>
                <w:spacing w:val="-4"/>
                <w:lang w:val="en-GB"/>
              </w:rPr>
              <w:t xml:space="preserve"> </w:t>
            </w:r>
            <w:r w:rsidRPr="0060279D">
              <w:rPr>
                <w:spacing w:val="-4"/>
                <w:lang w:val="en-GB"/>
              </w:rPr>
              <w:t>64 </w:t>
            </w:r>
            <w:r>
              <w:rPr>
                <w:spacing w:val="-4"/>
                <w:lang w:val="en-GB"/>
              </w:rPr>
              <w:t>years worked in Q</w:t>
            </w:r>
            <w:r w:rsidRPr="0060279D">
              <w:rPr>
                <w:spacing w:val="-4"/>
                <w:lang w:val="en-GB"/>
              </w:rPr>
              <w:t>4. </w:t>
            </w:r>
            <w:r>
              <w:rPr>
                <w:spacing w:val="-4"/>
                <w:lang w:val="en-GB"/>
              </w:rPr>
              <w:t xml:space="preserve">The employment rate thus overtook the so far record value from the end of year 2019 for the first time. For males it was </w:t>
            </w:r>
            <w:r w:rsidRPr="0060279D">
              <w:rPr>
                <w:spacing w:val="2"/>
                <w:szCs w:val="20"/>
                <w:lang w:val="en-GB"/>
              </w:rPr>
              <w:t>82</w:t>
            </w:r>
            <w:r>
              <w:rPr>
                <w:spacing w:val="2"/>
                <w:szCs w:val="20"/>
                <w:lang w:val="en-GB"/>
              </w:rPr>
              <w:t>.</w:t>
            </w:r>
            <w:r w:rsidRPr="0060279D">
              <w:rPr>
                <w:spacing w:val="2"/>
                <w:szCs w:val="20"/>
                <w:lang w:val="en-GB"/>
              </w:rPr>
              <w:t>1% (</w:t>
            </w:r>
            <w:r>
              <w:rPr>
                <w:spacing w:val="2"/>
                <w:szCs w:val="20"/>
                <w:lang w:val="en-GB"/>
              </w:rPr>
              <w:t xml:space="preserve">with year-on-year growth of </w:t>
            </w:r>
            <w:r w:rsidRPr="0060279D">
              <w:rPr>
                <w:spacing w:val="2"/>
                <w:szCs w:val="20"/>
                <w:lang w:val="en-GB"/>
              </w:rPr>
              <w:t>0</w:t>
            </w:r>
            <w:r>
              <w:rPr>
                <w:spacing w:val="2"/>
                <w:szCs w:val="20"/>
                <w:lang w:val="en-GB"/>
              </w:rPr>
              <w:t>.</w:t>
            </w:r>
            <w:r w:rsidRPr="0060279D">
              <w:rPr>
                <w:spacing w:val="2"/>
                <w:szCs w:val="20"/>
                <w:lang w:val="en-GB"/>
              </w:rPr>
              <w:t>8 p.</w:t>
            </w:r>
            <w:r>
              <w:rPr>
                <w:spacing w:val="2"/>
                <w:szCs w:val="20"/>
                <w:lang w:val="en-GB"/>
              </w:rPr>
              <w:t>p</w:t>
            </w:r>
            <w:r w:rsidRPr="0060279D">
              <w:rPr>
                <w:spacing w:val="2"/>
                <w:szCs w:val="20"/>
                <w:lang w:val="en-GB"/>
              </w:rPr>
              <w:t>.),</w:t>
            </w:r>
            <w:r>
              <w:rPr>
                <w:spacing w:val="2"/>
                <w:szCs w:val="20"/>
                <w:lang w:val="en-GB"/>
              </w:rPr>
              <w:t xml:space="preserve"> for females </w:t>
            </w:r>
            <w:r w:rsidRPr="0060279D">
              <w:rPr>
                <w:spacing w:val="2"/>
                <w:szCs w:val="20"/>
                <w:lang w:val="en-GB"/>
              </w:rPr>
              <w:t>68</w:t>
            </w:r>
            <w:r>
              <w:rPr>
                <w:spacing w:val="2"/>
                <w:szCs w:val="20"/>
                <w:lang w:val="en-GB"/>
              </w:rPr>
              <w:t>.</w:t>
            </w:r>
            <w:r w:rsidRPr="0060279D">
              <w:rPr>
                <w:spacing w:val="2"/>
                <w:szCs w:val="20"/>
                <w:lang w:val="en-GB"/>
              </w:rPr>
              <w:t>3% (+1</w:t>
            </w:r>
            <w:r>
              <w:rPr>
                <w:spacing w:val="2"/>
                <w:szCs w:val="20"/>
                <w:lang w:val="en-GB"/>
              </w:rPr>
              <w:t>.</w:t>
            </w:r>
            <w:r w:rsidRPr="0060279D">
              <w:rPr>
                <w:spacing w:val="2"/>
                <w:szCs w:val="20"/>
                <w:lang w:val="en-GB"/>
              </w:rPr>
              <w:t>3 p.</w:t>
            </w:r>
            <w:r>
              <w:rPr>
                <w:spacing w:val="2"/>
                <w:szCs w:val="20"/>
                <w:lang w:val="en-GB"/>
              </w:rPr>
              <w:t>p</w:t>
            </w:r>
            <w:r w:rsidRPr="0060279D">
              <w:rPr>
                <w:spacing w:val="2"/>
                <w:szCs w:val="20"/>
                <w:lang w:val="en-GB"/>
              </w:rPr>
              <w:t xml:space="preserve">.). </w:t>
            </w:r>
            <w:proofErr w:type="gramStart"/>
            <w:r>
              <w:rPr>
                <w:spacing w:val="2"/>
                <w:szCs w:val="20"/>
                <w:lang w:val="en-GB"/>
              </w:rPr>
              <w:t>More favourable development for females</w:t>
            </w:r>
            <w:proofErr w:type="gramEnd"/>
            <w:r>
              <w:rPr>
                <w:spacing w:val="2"/>
                <w:szCs w:val="20"/>
                <w:lang w:val="en-GB"/>
              </w:rPr>
              <w:t xml:space="preserve"> is the result of swift recovery of demand for work in some branches of services strongly hit by pandemics. The faster </w:t>
            </w:r>
            <w:r>
              <w:rPr>
                <w:spacing w:val="2"/>
                <w:szCs w:val="20"/>
                <w:lang w:val="en-GB"/>
              </w:rPr>
              <w:lastRenderedPageBreak/>
              <w:t>increase of the pension age for females compared to males is also having an effect in the long term. Based on the up to date data from Q</w:t>
            </w:r>
            <w:r w:rsidRPr="0060279D">
              <w:rPr>
                <w:spacing w:val="2"/>
                <w:szCs w:val="20"/>
                <w:lang w:val="en-GB"/>
              </w:rPr>
              <w:t>3</w:t>
            </w:r>
            <w:r>
              <w:rPr>
                <w:spacing w:val="2"/>
                <w:szCs w:val="20"/>
                <w:lang w:val="en-GB"/>
              </w:rPr>
              <w:t xml:space="preserve"> </w:t>
            </w:r>
            <w:r w:rsidRPr="0060279D">
              <w:rPr>
                <w:spacing w:val="2"/>
                <w:szCs w:val="20"/>
                <w:lang w:val="en-GB"/>
              </w:rPr>
              <w:t>2021</w:t>
            </w:r>
            <w:r>
              <w:rPr>
                <w:spacing w:val="2"/>
                <w:szCs w:val="20"/>
                <w:lang w:val="en-GB"/>
              </w:rPr>
              <w:t xml:space="preserve">, the employment rate for males was </w:t>
            </w:r>
            <w:r w:rsidRPr="0060279D">
              <w:rPr>
                <w:spacing w:val="2"/>
                <w:szCs w:val="20"/>
                <w:lang w:val="en-GB"/>
              </w:rPr>
              <w:t>74</w:t>
            </w:r>
            <w:r>
              <w:rPr>
                <w:spacing w:val="2"/>
                <w:szCs w:val="20"/>
                <w:lang w:val="en-GB"/>
              </w:rPr>
              <w:t>.</w:t>
            </w:r>
            <w:r w:rsidRPr="0060279D">
              <w:rPr>
                <w:spacing w:val="2"/>
                <w:szCs w:val="20"/>
                <w:lang w:val="en-GB"/>
              </w:rPr>
              <w:t>3% a</w:t>
            </w:r>
            <w:r>
              <w:rPr>
                <w:spacing w:val="2"/>
                <w:szCs w:val="20"/>
                <w:lang w:val="en-GB"/>
              </w:rPr>
              <w:t xml:space="preserve">nd females </w:t>
            </w:r>
            <w:r w:rsidRPr="0060279D">
              <w:rPr>
                <w:spacing w:val="2"/>
                <w:szCs w:val="20"/>
                <w:lang w:val="en-GB"/>
              </w:rPr>
              <w:t>64</w:t>
            </w:r>
            <w:r>
              <w:rPr>
                <w:spacing w:val="2"/>
                <w:szCs w:val="20"/>
                <w:lang w:val="en-GB"/>
              </w:rPr>
              <w:t>.</w:t>
            </w:r>
            <w:r w:rsidRPr="0060279D">
              <w:rPr>
                <w:spacing w:val="2"/>
                <w:szCs w:val="20"/>
                <w:lang w:val="en-GB"/>
              </w:rPr>
              <w:t>3%</w:t>
            </w:r>
            <w:r w:rsidRPr="0060279D">
              <w:rPr>
                <w:rStyle w:val="Znakapoznpodarou"/>
                <w:spacing w:val="2"/>
                <w:szCs w:val="20"/>
                <w:lang w:val="en-GB"/>
              </w:rPr>
              <w:footnoteReference w:id="64"/>
            </w:r>
            <w:r>
              <w:rPr>
                <w:spacing w:val="2"/>
                <w:szCs w:val="20"/>
                <w:lang w:val="en-GB"/>
              </w:rPr>
              <w:t xml:space="preserve"> in the EU</w:t>
            </w:r>
            <w:r w:rsidRPr="0060279D">
              <w:rPr>
                <w:spacing w:val="2"/>
                <w:szCs w:val="20"/>
                <w:lang w:val="en-GB"/>
              </w:rPr>
              <w:t>.</w:t>
            </w:r>
          </w:p>
        </w:tc>
      </w:tr>
      <w:tr w:rsidR="00AC7ACA" w:rsidRPr="00D82DBD" w14:paraId="2CE1C1A9" w14:textId="77777777" w:rsidTr="008E039E">
        <w:trPr>
          <w:trHeight w:val="145"/>
        </w:trPr>
        <w:tc>
          <w:tcPr>
            <w:tcW w:w="1600" w:type="dxa"/>
            <w:shd w:val="clear" w:color="auto" w:fill="auto"/>
            <w:tcMar>
              <w:left w:w="0" w:type="dxa"/>
            </w:tcMar>
          </w:tcPr>
          <w:p w14:paraId="66A12C7B" w14:textId="6EAEF214" w:rsidR="00AC7ACA" w:rsidRPr="00B01310" w:rsidRDefault="00AC7ACA" w:rsidP="00AC7ACA">
            <w:pPr>
              <w:pStyle w:val="Marginlie"/>
              <w:rPr>
                <w:color w:val="0D0D0D" w:themeColor="text1" w:themeTint="F2"/>
                <w:spacing w:val="-5"/>
                <w:lang w:val="en-GB"/>
              </w:rPr>
            </w:pPr>
            <w:r>
              <w:rPr>
                <w:color w:val="0D0D0D" w:themeColor="text1" w:themeTint="F2"/>
                <w:spacing w:val="-5"/>
                <w:lang w:val="en-GB"/>
              </w:rPr>
              <w:lastRenderedPageBreak/>
              <w:t xml:space="preserve">Apart from industry, expectations of businesses in the area of employment strengthened for a major part of the last year. Mild pessimism lingered only in some areas of services at the beginning of year </w:t>
            </w:r>
            <w:r w:rsidRPr="00B01310">
              <w:rPr>
                <w:color w:val="0D0D0D" w:themeColor="text1" w:themeTint="F2"/>
                <w:spacing w:val="-5"/>
                <w:lang w:val="en-GB"/>
              </w:rPr>
              <w:t>2022</w:t>
            </w:r>
            <w:r>
              <w:rPr>
                <w:color w:val="0D0D0D" w:themeColor="text1" w:themeTint="F2"/>
                <w:spacing w:val="-5"/>
                <w:lang w:val="en-GB"/>
              </w:rPr>
              <w:t xml:space="preserve">. </w:t>
            </w:r>
          </w:p>
        </w:tc>
        <w:tc>
          <w:tcPr>
            <w:tcW w:w="189" w:type="dxa"/>
            <w:shd w:val="clear" w:color="auto" w:fill="auto"/>
            <w:tcMar>
              <w:left w:w="0" w:type="dxa"/>
            </w:tcMar>
          </w:tcPr>
          <w:p w14:paraId="50344A71" w14:textId="77777777" w:rsidR="00AC7ACA" w:rsidRPr="00B01310" w:rsidRDefault="00AC7ACA" w:rsidP="00AC7ACA">
            <w:pPr>
              <w:pStyle w:val="Textpoznpodarou"/>
              <w:spacing w:after="120"/>
              <w:jc w:val="both"/>
              <w:rPr>
                <w:color w:val="0D0D0D" w:themeColor="text1" w:themeTint="F2"/>
                <w:spacing w:val="-4"/>
                <w:lang w:val="en-GB"/>
              </w:rPr>
            </w:pPr>
          </w:p>
        </w:tc>
        <w:tc>
          <w:tcPr>
            <w:tcW w:w="7880" w:type="dxa"/>
            <w:shd w:val="clear" w:color="auto" w:fill="auto"/>
            <w:tcMar>
              <w:left w:w="0" w:type="dxa"/>
            </w:tcMar>
          </w:tcPr>
          <w:p w14:paraId="0118BB9A" w14:textId="79303591" w:rsidR="00AC7ACA" w:rsidRPr="00B01310" w:rsidRDefault="00AC7ACA" w:rsidP="00AC7ACA">
            <w:pPr>
              <w:spacing w:after="200"/>
              <w:rPr>
                <w:spacing w:val="-4"/>
                <w:lang w:val="en-GB"/>
              </w:rPr>
            </w:pPr>
            <w:r>
              <w:rPr>
                <w:spacing w:val="-4"/>
                <w:lang w:val="en-GB"/>
              </w:rPr>
              <w:t xml:space="preserve">According to the business cycle surveys, the </w:t>
            </w:r>
            <w:proofErr w:type="gramStart"/>
            <w:r>
              <w:rPr>
                <w:spacing w:val="-4"/>
                <w:lang w:val="en-GB"/>
              </w:rPr>
              <w:t>short term</w:t>
            </w:r>
            <w:proofErr w:type="gramEnd"/>
            <w:r>
              <w:rPr>
                <w:spacing w:val="-4"/>
                <w:lang w:val="en-GB"/>
              </w:rPr>
              <w:t xml:space="preserve"> positive expectations of businesses in the area of employment climbed up the highest in September </w:t>
            </w:r>
            <w:r w:rsidRPr="00B01310">
              <w:rPr>
                <w:spacing w:val="-4"/>
                <w:lang w:val="en-GB"/>
              </w:rPr>
              <w:t>2021</w:t>
            </w:r>
            <w:r>
              <w:rPr>
                <w:spacing w:val="-4"/>
                <w:lang w:val="en-GB"/>
              </w:rPr>
              <w:t xml:space="preserve"> since the Autumn 2019</w:t>
            </w:r>
            <w:r w:rsidRPr="00B01310">
              <w:rPr>
                <w:spacing w:val="-4"/>
                <w:lang w:val="en-GB"/>
              </w:rPr>
              <w:t xml:space="preserve">. </w:t>
            </w:r>
            <w:r>
              <w:rPr>
                <w:spacing w:val="-4"/>
                <w:lang w:val="en-GB"/>
              </w:rPr>
              <w:t xml:space="preserve">Mild cool down manifested </w:t>
            </w:r>
            <w:proofErr w:type="gramStart"/>
            <w:r>
              <w:rPr>
                <w:spacing w:val="-4"/>
                <w:lang w:val="en-GB"/>
              </w:rPr>
              <w:t>as a result</w:t>
            </w:r>
            <w:proofErr w:type="gramEnd"/>
            <w:r>
              <w:rPr>
                <w:spacing w:val="-4"/>
                <w:lang w:val="en-GB"/>
              </w:rPr>
              <w:t xml:space="preserve"> of difficulties in manufacturing during Q</w:t>
            </w:r>
            <w:r w:rsidRPr="00B01310">
              <w:rPr>
                <w:spacing w:val="-4"/>
                <w:lang w:val="en-GB"/>
              </w:rPr>
              <w:t>4</w:t>
            </w:r>
            <w:r>
              <w:rPr>
                <w:spacing w:val="-4"/>
                <w:lang w:val="en-GB"/>
              </w:rPr>
              <w:t xml:space="preserve">, the optimism however again strengthened at the beginning of year </w:t>
            </w:r>
            <w:r w:rsidRPr="00B01310">
              <w:rPr>
                <w:spacing w:val="-4"/>
                <w:lang w:val="en-GB"/>
              </w:rPr>
              <w:t>2022</w:t>
            </w:r>
            <w:r>
              <w:rPr>
                <w:spacing w:val="-4"/>
                <w:lang w:val="en-GB"/>
              </w:rPr>
              <w:t xml:space="preserve">. The expectations were positive mainly in trade and construction, </w:t>
            </w:r>
            <w:proofErr w:type="gramStart"/>
            <w:r>
              <w:rPr>
                <w:spacing w:val="-4"/>
                <w:lang w:val="en-GB"/>
              </w:rPr>
              <w:t>but also</w:t>
            </w:r>
            <w:proofErr w:type="gramEnd"/>
            <w:r>
              <w:rPr>
                <w:spacing w:val="-4"/>
                <w:lang w:val="en-GB"/>
              </w:rPr>
              <w:t xml:space="preserve"> in industry. Businesses planning job terminations still slightly outweighed in services</w:t>
            </w:r>
            <w:r w:rsidRPr="00B01310">
              <w:rPr>
                <w:spacing w:val="-4"/>
                <w:lang w:val="en-GB"/>
              </w:rPr>
              <w:t xml:space="preserve">, </w:t>
            </w:r>
            <w:r>
              <w:rPr>
                <w:spacing w:val="-4"/>
                <w:lang w:val="en-GB"/>
              </w:rPr>
              <w:t xml:space="preserve">this was nevertheless valid also in the period immediately before the onset of pandemics. Negative expectations endured e.g. in the air transport and in the financial sector. At the same time however, the proportion of businesses, which considered the shortage of labour one of the growth barriers, increased </w:t>
            </w:r>
            <w:r w:rsidRPr="00B01310">
              <w:rPr>
                <w:spacing w:val="-4"/>
                <w:lang w:val="en-GB"/>
              </w:rPr>
              <w:t xml:space="preserve"> – </w:t>
            </w:r>
            <w:r>
              <w:rPr>
                <w:spacing w:val="-4"/>
                <w:lang w:val="en-GB"/>
              </w:rPr>
              <w:t xml:space="preserve">it was already 45% in construction in February </w:t>
            </w:r>
            <w:r w:rsidRPr="00B01310">
              <w:rPr>
                <w:spacing w:val="-4"/>
                <w:lang w:val="en-GB"/>
              </w:rPr>
              <w:t>2022</w:t>
            </w:r>
            <w:r>
              <w:rPr>
                <w:spacing w:val="-4"/>
                <w:lang w:val="en-GB"/>
              </w:rPr>
              <w:t xml:space="preserve"> </w:t>
            </w:r>
            <w:r w:rsidRPr="00B01310">
              <w:rPr>
                <w:spacing w:val="-4"/>
                <w:lang w:val="en-GB"/>
              </w:rPr>
              <w:t>(</w:t>
            </w:r>
            <w:r>
              <w:rPr>
                <w:spacing w:val="-4"/>
                <w:lang w:val="en-GB"/>
              </w:rPr>
              <w:t>here it was the most significant growth barrier already the fourth year in a row</w:t>
            </w:r>
            <w:r w:rsidRPr="00B01310">
              <w:rPr>
                <w:spacing w:val="-4"/>
                <w:lang w:val="en-GB"/>
              </w:rPr>
              <w:t xml:space="preserve">), </w:t>
            </w:r>
            <w:r>
              <w:rPr>
                <w:spacing w:val="-4"/>
                <w:lang w:val="en-GB"/>
              </w:rPr>
              <w:t xml:space="preserve">in industry as well as in services approximately by </w:t>
            </w:r>
            <w:r w:rsidRPr="00B01310">
              <w:rPr>
                <w:spacing w:val="-4"/>
                <w:lang w:val="en-GB"/>
              </w:rPr>
              <w:t>20%</w:t>
            </w:r>
            <w:r w:rsidRPr="00B01310">
              <w:rPr>
                <w:rStyle w:val="Znakapoznpodarou"/>
                <w:spacing w:val="-4"/>
                <w:lang w:val="en-GB"/>
              </w:rPr>
              <w:footnoteReference w:id="65"/>
            </w:r>
            <w:r w:rsidRPr="00B01310">
              <w:rPr>
                <w:spacing w:val="-4"/>
                <w:lang w:val="en-GB"/>
              </w:rPr>
              <w:t xml:space="preserve">. </w:t>
            </w:r>
            <w:r>
              <w:rPr>
                <w:spacing w:val="-4"/>
                <w:lang w:val="en-GB"/>
              </w:rPr>
              <w:t xml:space="preserve">With the exception of industry, the difficulties with the labour force already climbed up to the level from year </w:t>
            </w:r>
            <w:r w:rsidRPr="00B01310">
              <w:rPr>
                <w:spacing w:val="-4"/>
                <w:lang w:val="en-GB"/>
              </w:rPr>
              <w:t>2019 a</w:t>
            </w:r>
            <w:r>
              <w:rPr>
                <w:spacing w:val="-4"/>
                <w:lang w:val="en-GB"/>
              </w:rPr>
              <w:t xml:space="preserve">nd thus prove the strong tension on the labour market. </w:t>
            </w:r>
          </w:p>
        </w:tc>
      </w:tr>
      <w:tr w:rsidR="00AC7ACA" w:rsidRPr="00B43216" w14:paraId="3585EDB3" w14:textId="77777777" w:rsidTr="008E039E">
        <w:trPr>
          <w:trHeight w:val="155"/>
        </w:trPr>
        <w:tc>
          <w:tcPr>
            <w:tcW w:w="1600" w:type="dxa"/>
            <w:vMerge w:val="restart"/>
            <w:shd w:val="clear" w:color="auto" w:fill="auto"/>
            <w:tcMar>
              <w:left w:w="0" w:type="dxa"/>
            </w:tcMar>
          </w:tcPr>
          <w:p w14:paraId="29D17993" w14:textId="77777777" w:rsidR="00AC7ACA" w:rsidRPr="00B43216" w:rsidRDefault="00AC7ACA" w:rsidP="00AC7ACA">
            <w:pPr>
              <w:pStyle w:val="Marginlie"/>
              <w:spacing w:after="120"/>
              <w:rPr>
                <w:spacing w:val="-4"/>
              </w:rPr>
            </w:pPr>
          </w:p>
        </w:tc>
        <w:tc>
          <w:tcPr>
            <w:tcW w:w="189" w:type="dxa"/>
            <w:vMerge w:val="restart"/>
            <w:shd w:val="clear" w:color="auto" w:fill="auto"/>
            <w:tcMar>
              <w:left w:w="0" w:type="dxa"/>
            </w:tcMar>
          </w:tcPr>
          <w:p w14:paraId="6431C036"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63A7C037" w14:textId="230F21B1" w:rsidR="00AC7ACA" w:rsidRPr="009C410C" w:rsidRDefault="00AC7ACA" w:rsidP="00AC7ACA">
            <w:pPr>
              <w:spacing w:after="0"/>
              <w:rPr>
                <w:b/>
                <w:spacing w:val="-4"/>
              </w:rPr>
            </w:pPr>
            <w:r>
              <w:rPr>
                <w:b/>
                <w:spacing w:val="-4"/>
              </w:rPr>
              <w:t>Chart 15</w:t>
            </w:r>
            <w:r w:rsidRPr="009C410C">
              <w:rPr>
                <w:b/>
                <w:spacing w:val="-4"/>
              </w:rPr>
              <w:t xml:space="preserve">  </w:t>
            </w:r>
            <w:r w:rsidRPr="000A5DBC">
              <w:rPr>
                <w:b/>
                <w:spacing w:val="-3"/>
                <w:lang w:val="en-GB"/>
              </w:rPr>
              <w:t>General</w:t>
            </w:r>
            <w:r w:rsidRPr="000A5DBC">
              <w:rPr>
                <w:rFonts w:cs="Arial"/>
                <w:b/>
                <w:spacing w:val="-3"/>
                <w:lang w:val="en-GB"/>
              </w:rPr>
              <w:t xml:space="preserve"> unemployment rate </w:t>
            </w:r>
            <w:r w:rsidRPr="000A5DBC">
              <w:rPr>
                <w:rFonts w:cs="Arial"/>
                <w:bCs/>
                <w:spacing w:val="-3"/>
                <w:lang w:val="en-GB"/>
              </w:rPr>
              <w:t>(in %)</w:t>
            </w:r>
            <w:r w:rsidRPr="000A5DBC">
              <w:rPr>
                <w:rFonts w:cs="Arial"/>
                <w:b/>
                <w:spacing w:val="-3"/>
                <w:lang w:val="en-GB"/>
              </w:rPr>
              <w:t>, ratio of long-term unemployed</w:t>
            </w:r>
            <w:r>
              <w:rPr>
                <w:rFonts w:cs="Arial"/>
                <w:b/>
                <w:spacing w:val="-3"/>
                <w:lang w:val="en-GB"/>
              </w:rPr>
              <w:t xml:space="preserve"> and persons aged up to 25 and above 50 years among unemployed</w:t>
            </w:r>
            <w:r w:rsidRPr="000A5DBC">
              <w:rPr>
                <w:rFonts w:cs="Arial"/>
                <w:b/>
                <w:spacing w:val="-3"/>
                <w:lang w:val="en-GB"/>
              </w:rPr>
              <w:t xml:space="preserve"> </w:t>
            </w:r>
            <w:r w:rsidRPr="000A5DBC">
              <w:rPr>
                <w:rFonts w:cs="Arial"/>
                <w:bCs/>
                <w:spacing w:val="-3"/>
                <w:lang w:val="en-GB"/>
              </w:rPr>
              <w:t>(in %)</w:t>
            </w:r>
            <w:r w:rsidRPr="000A5DBC">
              <w:rPr>
                <w:rFonts w:cs="Arial"/>
                <w:b/>
                <w:spacing w:val="-3"/>
                <w:lang w:val="en-GB"/>
              </w:rPr>
              <w:t xml:space="preserve">, economically inactive willing to work </w:t>
            </w:r>
            <w:r w:rsidRPr="000A5DBC">
              <w:rPr>
                <w:rFonts w:cs="Arial"/>
                <w:bCs/>
                <w:spacing w:val="-3"/>
                <w:lang w:val="en-GB"/>
              </w:rPr>
              <w:t>(in thousand)</w:t>
            </w:r>
            <w:r w:rsidRPr="009C410C">
              <w:rPr>
                <w:rFonts w:cs="Arial"/>
                <w:bCs/>
                <w:spacing w:val="-4"/>
              </w:rPr>
              <w:t>*</w:t>
            </w:r>
            <w:r>
              <w:rPr>
                <w:rFonts w:cs="Arial"/>
                <w:bCs/>
                <w:spacing w:val="-4"/>
              </w:rPr>
              <w:t xml:space="preserve"> </w:t>
            </w:r>
            <w:r>
              <w:rPr>
                <w:rFonts w:cs="Arial"/>
                <w:b/>
                <w:spacing w:val="-3"/>
                <w:lang w:val="en-GB"/>
              </w:rPr>
              <w:t xml:space="preserve">household expectations for unemployment </w:t>
            </w:r>
            <w:r w:rsidR="00506F4A">
              <w:rPr>
                <w:rFonts w:cs="Arial"/>
                <w:b/>
                <w:spacing w:val="-3"/>
                <w:lang w:val="en-GB"/>
              </w:rPr>
              <w:t xml:space="preserve">development </w:t>
            </w:r>
            <w:r w:rsidRPr="009C410C">
              <w:rPr>
                <w:rFonts w:cs="Arial"/>
                <w:bCs/>
                <w:spacing w:val="-4"/>
              </w:rPr>
              <w:t>(</w:t>
            </w:r>
            <w:r>
              <w:rPr>
                <w:rFonts w:cs="Arial"/>
                <w:bCs/>
                <w:spacing w:val="-4"/>
              </w:rPr>
              <w:t>in points</w:t>
            </w:r>
            <w:r w:rsidRPr="009C410C">
              <w:rPr>
                <w:rFonts w:cs="Arial"/>
                <w:bCs/>
                <w:spacing w:val="-4"/>
              </w:rPr>
              <w:t>)**</w:t>
            </w:r>
          </w:p>
        </w:tc>
      </w:tr>
      <w:tr w:rsidR="00AC7ACA" w:rsidRPr="00B43216" w14:paraId="4F2786C3" w14:textId="77777777" w:rsidTr="004F665D">
        <w:tblPrEx>
          <w:tblCellMar>
            <w:left w:w="70" w:type="dxa"/>
            <w:right w:w="70" w:type="dxa"/>
          </w:tblCellMar>
        </w:tblPrEx>
        <w:trPr>
          <w:trHeight w:val="155"/>
        </w:trPr>
        <w:tc>
          <w:tcPr>
            <w:tcW w:w="1600" w:type="dxa"/>
            <w:vMerge/>
            <w:shd w:val="clear" w:color="auto" w:fill="auto"/>
          </w:tcPr>
          <w:p w14:paraId="6DFCBF32" w14:textId="77777777" w:rsidR="00AC7ACA" w:rsidRPr="00B43216" w:rsidRDefault="00AC7ACA" w:rsidP="00AC7ACA">
            <w:pPr>
              <w:pStyle w:val="Marginlie"/>
              <w:spacing w:after="120"/>
              <w:rPr>
                <w:spacing w:val="-4"/>
              </w:rPr>
            </w:pPr>
          </w:p>
        </w:tc>
        <w:tc>
          <w:tcPr>
            <w:tcW w:w="189" w:type="dxa"/>
            <w:vMerge/>
            <w:shd w:val="clear" w:color="auto" w:fill="auto"/>
          </w:tcPr>
          <w:p w14:paraId="143FD2D5" w14:textId="77777777" w:rsidR="00AC7ACA" w:rsidRPr="00B43216" w:rsidRDefault="00AC7ACA" w:rsidP="00AC7ACA">
            <w:pPr>
              <w:pStyle w:val="Textpoznpodarou"/>
              <w:spacing w:after="120"/>
              <w:jc w:val="both"/>
              <w:rPr>
                <w:spacing w:val="-4"/>
              </w:rPr>
            </w:pPr>
          </w:p>
        </w:tc>
        <w:tc>
          <w:tcPr>
            <w:tcW w:w="7880" w:type="dxa"/>
            <w:shd w:val="clear" w:color="auto" w:fill="auto"/>
          </w:tcPr>
          <w:p w14:paraId="6F87FDFB" w14:textId="6E09222E" w:rsidR="00AC7ACA" w:rsidRPr="00B43216" w:rsidRDefault="004F665D" w:rsidP="00AC7ACA">
            <w:pPr>
              <w:spacing w:after="0"/>
              <w:rPr>
                <w:spacing w:val="-4"/>
              </w:rPr>
            </w:pPr>
            <w:r>
              <w:rPr>
                <w:noProof/>
              </w:rPr>
              <w:drawing>
                <wp:inline distT="0" distB="0" distL="0" distR="0" wp14:anchorId="6F712476" wp14:editId="4FD397E2">
                  <wp:extent cx="4734311" cy="3501501"/>
                  <wp:effectExtent l="0" t="0" r="0" b="381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AC7ACA" w:rsidRPr="00B43216" w14:paraId="0E752125" w14:textId="77777777" w:rsidTr="008E039E">
        <w:trPr>
          <w:trHeight w:val="671"/>
        </w:trPr>
        <w:tc>
          <w:tcPr>
            <w:tcW w:w="1600" w:type="dxa"/>
            <w:vMerge/>
            <w:shd w:val="clear" w:color="auto" w:fill="auto"/>
            <w:tcMar>
              <w:left w:w="0" w:type="dxa"/>
            </w:tcMar>
          </w:tcPr>
          <w:p w14:paraId="3A69B4FE" w14:textId="77777777" w:rsidR="00AC7ACA" w:rsidRPr="00B43216" w:rsidRDefault="00AC7ACA" w:rsidP="00AC7ACA">
            <w:pPr>
              <w:pStyle w:val="Marginlie"/>
              <w:rPr>
                <w:spacing w:val="-4"/>
              </w:rPr>
            </w:pPr>
          </w:p>
        </w:tc>
        <w:tc>
          <w:tcPr>
            <w:tcW w:w="189" w:type="dxa"/>
            <w:vMerge/>
            <w:shd w:val="clear" w:color="auto" w:fill="auto"/>
            <w:tcMar>
              <w:left w:w="0" w:type="dxa"/>
            </w:tcMar>
          </w:tcPr>
          <w:p w14:paraId="04513910" w14:textId="77777777" w:rsidR="00AC7ACA" w:rsidRPr="00B43216" w:rsidRDefault="00AC7ACA" w:rsidP="00AC7ACA">
            <w:pPr>
              <w:pStyle w:val="Textpoznpodarou"/>
              <w:jc w:val="both"/>
              <w:rPr>
                <w:spacing w:val="-4"/>
              </w:rPr>
            </w:pPr>
          </w:p>
        </w:tc>
        <w:tc>
          <w:tcPr>
            <w:tcW w:w="7880" w:type="dxa"/>
            <w:shd w:val="clear" w:color="auto" w:fill="auto"/>
            <w:tcMar>
              <w:left w:w="0" w:type="dxa"/>
            </w:tcMar>
          </w:tcPr>
          <w:p w14:paraId="275365A6" w14:textId="77777777" w:rsidR="00AC7ACA" w:rsidRDefault="00AC7ACA" w:rsidP="00AC7ACA">
            <w:pPr>
              <w:spacing w:after="0" w:line="240" w:lineRule="auto"/>
              <w:rPr>
                <w:rFonts w:cs="Arial"/>
                <w:color w:val="0D0D0D" w:themeColor="text1" w:themeTint="F2"/>
                <w:sz w:val="14"/>
                <w:szCs w:val="14"/>
                <w:lang w:val="en-GB"/>
              </w:rPr>
            </w:pPr>
            <w:proofErr w:type="gramStart"/>
            <w:r>
              <w:rPr>
                <w:rFonts w:cs="Arial"/>
                <w:color w:val="0D0D0D" w:themeColor="text1" w:themeTint="F2"/>
                <w:sz w:val="14"/>
                <w:szCs w:val="14"/>
                <w:lang w:val="en-GB"/>
              </w:rPr>
              <w:t>Note.:</w:t>
            </w:r>
            <w:proofErr w:type="gramEnd"/>
            <w:r>
              <w:rPr>
                <w:rFonts w:cs="Arial"/>
                <w:color w:val="0D0D0D" w:themeColor="text1" w:themeTint="F2"/>
                <w:sz w:val="14"/>
                <w:szCs w:val="14"/>
                <w:lang w:val="en-GB"/>
              </w:rPr>
              <w:t xml:space="preserve"> Figures regarding the unemployment rate are seasonally adjusted, other data are not.</w:t>
            </w:r>
          </w:p>
          <w:p w14:paraId="456F5CC2" w14:textId="77777777" w:rsidR="00AC7ACA" w:rsidRDefault="00AC7ACA" w:rsidP="00AC7ACA">
            <w:pPr>
              <w:spacing w:after="0" w:line="240" w:lineRule="auto"/>
              <w:rPr>
                <w:rFonts w:cs="Arial"/>
                <w:bCs/>
                <w:color w:val="0D0D0D" w:themeColor="text1" w:themeTint="F2"/>
                <w:sz w:val="14"/>
                <w:szCs w:val="14"/>
                <w:lang w:val="en-GB"/>
              </w:rPr>
            </w:pPr>
            <w:r>
              <w:rPr>
                <w:rFonts w:cs="Arial"/>
                <w:bCs/>
                <w:color w:val="0D0D0D" w:themeColor="text1" w:themeTint="F2"/>
                <w:sz w:val="14"/>
                <w:szCs w:val="14"/>
                <w:lang w:val="en-GB"/>
              </w:rPr>
              <w:t xml:space="preserve">*Persons not in employment, not seeking work, but expressing the willingness to work. </w:t>
            </w:r>
          </w:p>
          <w:p w14:paraId="5C4654F1" w14:textId="0BA14278" w:rsidR="00AC7ACA" w:rsidRDefault="00AC7ACA" w:rsidP="00AC7ACA">
            <w:pPr>
              <w:spacing w:after="0" w:line="240" w:lineRule="auto"/>
              <w:rPr>
                <w:rFonts w:cs="Arial"/>
                <w:color w:val="0D0D0D" w:themeColor="text1" w:themeTint="F2"/>
                <w:spacing w:val="-2"/>
                <w:sz w:val="14"/>
                <w:szCs w:val="14"/>
                <w:lang w:val="en-GB"/>
              </w:rPr>
            </w:pPr>
            <w:r>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 to the middle month of the given quarter. </w:t>
            </w:r>
          </w:p>
          <w:p w14:paraId="20B658B0" w14:textId="049EC6C5" w:rsidR="00AC7ACA" w:rsidRPr="004F665D" w:rsidRDefault="00AC7ACA" w:rsidP="004F665D">
            <w:pPr>
              <w:spacing w:after="200" w:line="240" w:lineRule="auto"/>
              <w:rPr>
                <w:rFonts w:cs="Arial"/>
                <w:color w:val="0D0D0D" w:themeColor="text1" w:themeTint="F2"/>
                <w:sz w:val="14"/>
                <w:szCs w:val="14"/>
                <w:lang w:val="en-GB"/>
              </w:rPr>
            </w:pPr>
            <w:r>
              <w:rPr>
                <w:rFonts w:cs="Arial"/>
                <w:color w:val="0D0D0D" w:themeColor="text1" w:themeTint="F2"/>
                <w:sz w:val="14"/>
                <w:szCs w:val="14"/>
                <w:lang w:val="en-GB"/>
              </w:rPr>
              <w:t>Source: CZSO</w:t>
            </w:r>
            <w:r w:rsidR="004F665D">
              <w:rPr>
                <w:rFonts w:cs="Arial"/>
                <w:color w:val="0D0D0D" w:themeColor="text1" w:themeTint="F2"/>
                <w:sz w:val="14"/>
                <w:szCs w:val="14"/>
                <w:lang w:val="en-GB"/>
              </w:rPr>
              <w:t xml:space="preserve"> (LFSS, business cycle surveys)</w:t>
            </w:r>
          </w:p>
        </w:tc>
      </w:tr>
      <w:tr w:rsidR="00AC7ACA" w:rsidRPr="00B43216" w14:paraId="675EF485" w14:textId="77777777" w:rsidTr="008E039E">
        <w:trPr>
          <w:trHeight w:val="671"/>
        </w:trPr>
        <w:tc>
          <w:tcPr>
            <w:tcW w:w="1600" w:type="dxa"/>
            <w:shd w:val="clear" w:color="auto" w:fill="auto"/>
            <w:tcMar>
              <w:left w:w="0" w:type="dxa"/>
            </w:tcMar>
          </w:tcPr>
          <w:p w14:paraId="5D2D4049" w14:textId="4D62AE7A" w:rsidR="00AC7ACA" w:rsidRDefault="00AC7ACA" w:rsidP="00AC7ACA">
            <w:pPr>
              <w:pStyle w:val="Marginlie"/>
              <w:rPr>
                <w:color w:val="0D0D0D" w:themeColor="text1" w:themeTint="F2"/>
                <w:spacing w:val="-5"/>
                <w:lang w:val="en-GB"/>
              </w:rPr>
            </w:pPr>
            <w:r>
              <w:rPr>
                <w:color w:val="0D0D0D" w:themeColor="text1" w:themeTint="F2"/>
                <w:spacing w:val="-5"/>
                <w:lang w:val="en-GB"/>
              </w:rPr>
              <w:lastRenderedPageBreak/>
              <w:t xml:space="preserve">The general unemployment rate was shrinking for a major part of the last year, </w:t>
            </w:r>
            <w:r w:rsidRPr="008D5CFF">
              <w:rPr>
                <w:color w:val="0D0D0D" w:themeColor="text1" w:themeTint="F2"/>
                <w:spacing w:val="-5"/>
                <w:lang w:val="en-GB"/>
              </w:rPr>
              <w:t>prim</w:t>
            </w:r>
            <w:r>
              <w:rPr>
                <w:color w:val="0D0D0D" w:themeColor="text1" w:themeTint="F2"/>
                <w:spacing w:val="-5"/>
                <w:lang w:val="en-GB"/>
              </w:rPr>
              <w:t xml:space="preserve">arily due to females. </w:t>
            </w:r>
          </w:p>
          <w:p w14:paraId="62A2ACE5" w14:textId="77777777" w:rsidR="00AC7ACA" w:rsidRPr="008D5CFF" w:rsidRDefault="00AC7ACA" w:rsidP="00AC7ACA">
            <w:pPr>
              <w:pStyle w:val="Marginlie"/>
              <w:rPr>
                <w:color w:val="0D0D0D" w:themeColor="text1" w:themeTint="F2"/>
                <w:spacing w:val="-5"/>
                <w:lang w:val="en-GB"/>
              </w:rPr>
            </w:pPr>
          </w:p>
          <w:p w14:paraId="2C080A5C" w14:textId="77777777" w:rsidR="00AC7ACA" w:rsidRPr="008D5CFF" w:rsidRDefault="00AC7ACA" w:rsidP="00AC7ACA">
            <w:pPr>
              <w:pStyle w:val="Marginlie"/>
              <w:rPr>
                <w:color w:val="0D0D0D" w:themeColor="text1" w:themeTint="F2"/>
                <w:spacing w:val="-5"/>
                <w:lang w:val="en-GB"/>
              </w:rPr>
            </w:pPr>
          </w:p>
          <w:p w14:paraId="4B823D18" w14:textId="77777777" w:rsidR="00AC7ACA" w:rsidRPr="008D5CFF" w:rsidRDefault="00AC7ACA" w:rsidP="00AC7ACA">
            <w:pPr>
              <w:pStyle w:val="Marginlie"/>
              <w:rPr>
                <w:color w:val="0D0D0D" w:themeColor="text1" w:themeTint="F2"/>
                <w:spacing w:val="-5"/>
                <w:lang w:val="en-GB"/>
              </w:rPr>
            </w:pPr>
          </w:p>
          <w:p w14:paraId="5E6E9B1B" w14:textId="77777777" w:rsidR="00AC7ACA" w:rsidRPr="008D5CFF" w:rsidRDefault="00AC7ACA" w:rsidP="00AC7ACA">
            <w:pPr>
              <w:pStyle w:val="Marginlie"/>
              <w:rPr>
                <w:color w:val="0D0D0D" w:themeColor="text1" w:themeTint="F2"/>
                <w:spacing w:val="-5"/>
                <w:lang w:val="en-GB"/>
              </w:rPr>
            </w:pPr>
          </w:p>
          <w:p w14:paraId="54414F65" w14:textId="77777777" w:rsidR="00AC7ACA" w:rsidRPr="008D5CFF" w:rsidRDefault="00AC7ACA" w:rsidP="00AC7ACA">
            <w:pPr>
              <w:pStyle w:val="Marginlie"/>
              <w:rPr>
                <w:color w:val="0D0D0D" w:themeColor="text1" w:themeTint="F2"/>
                <w:spacing w:val="-5"/>
                <w:lang w:val="en-GB"/>
              </w:rPr>
            </w:pPr>
          </w:p>
          <w:p w14:paraId="4FCE64D2" w14:textId="3B1DA7AE" w:rsidR="00AC7ACA" w:rsidRPr="008D5CFF" w:rsidRDefault="00AC7ACA" w:rsidP="00AC7ACA">
            <w:pPr>
              <w:pStyle w:val="Marginlie"/>
              <w:rPr>
                <w:color w:val="0D0D0D" w:themeColor="text1" w:themeTint="F2"/>
                <w:spacing w:val="-5"/>
                <w:lang w:val="en-GB"/>
              </w:rPr>
            </w:pPr>
            <w:r>
              <w:rPr>
                <w:color w:val="0D0D0D" w:themeColor="text1" w:themeTint="F2"/>
                <w:spacing w:val="-5"/>
                <w:lang w:val="en-GB"/>
              </w:rPr>
              <w:t xml:space="preserve">Number of long-term unemployed expanded in the second part of the year, however. </w:t>
            </w:r>
          </w:p>
        </w:tc>
        <w:tc>
          <w:tcPr>
            <w:tcW w:w="189" w:type="dxa"/>
            <w:shd w:val="clear" w:color="auto" w:fill="auto"/>
            <w:tcMar>
              <w:left w:w="0" w:type="dxa"/>
            </w:tcMar>
          </w:tcPr>
          <w:p w14:paraId="3BFEADD9" w14:textId="77777777" w:rsidR="00AC7ACA" w:rsidRPr="008D5CFF" w:rsidRDefault="00AC7ACA" w:rsidP="00AC7ACA">
            <w:pPr>
              <w:pStyle w:val="Textpoznpodarou"/>
              <w:spacing w:line="276" w:lineRule="auto"/>
              <w:jc w:val="both"/>
              <w:rPr>
                <w:spacing w:val="-4"/>
                <w:lang w:val="en-GB"/>
              </w:rPr>
            </w:pPr>
          </w:p>
        </w:tc>
        <w:tc>
          <w:tcPr>
            <w:tcW w:w="7880" w:type="dxa"/>
            <w:shd w:val="clear" w:color="auto" w:fill="auto"/>
            <w:tcMar>
              <w:left w:w="0" w:type="dxa"/>
            </w:tcMar>
          </w:tcPr>
          <w:p w14:paraId="34602457" w14:textId="1A0C753C" w:rsidR="00AC7ACA" w:rsidRPr="008D5CFF" w:rsidRDefault="00AC7ACA" w:rsidP="00AC7ACA">
            <w:pPr>
              <w:spacing w:after="200"/>
              <w:rPr>
                <w:color w:val="0D0D0D" w:themeColor="text1" w:themeTint="F2"/>
                <w:spacing w:val="-4"/>
                <w:lang w:val="en-GB"/>
              </w:rPr>
            </w:pPr>
            <w:r>
              <w:rPr>
                <w:color w:val="0D0D0D" w:themeColor="text1" w:themeTint="F2"/>
                <w:spacing w:val="-4"/>
                <w:lang w:val="en-GB"/>
              </w:rPr>
              <w:t>The General unemployment rate</w:t>
            </w:r>
            <w:r w:rsidRPr="008D5CFF">
              <w:rPr>
                <w:rStyle w:val="Znakapoznpodarou"/>
                <w:color w:val="0D0D0D" w:themeColor="text1" w:themeTint="F2"/>
                <w:spacing w:val="-4"/>
                <w:lang w:val="en-GB"/>
              </w:rPr>
              <w:footnoteReference w:id="66"/>
            </w:r>
            <w:r w:rsidRPr="008D5CFF">
              <w:rPr>
                <w:color w:val="0D0D0D" w:themeColor="text1" w:themeTint="F2"/>
                <w:spacing w:val="-4"/>
                <w:lang w:val="en-GB"/>
              </w:rPr>
              <w:t xml:space="preserve"> (</w:t>
            </w:r>
            <w:r>
              <w:rPr>
                <w:color w:val="0D0D0D" w:themeColor="text1" w:themeTint="F2"/>
                <w:spacing w:val="-4"/>
                <w:lang w:val="en-GB"/>
              </w:rPr>
              <w:t xml:space="preserve">persons aged </w:t>
            </w:r>
            <w:r w:rsidRPr="008D5CFF">
              <w:rPr>
                <w:color w:val="0D0D0D" w:themeColor="text1" w:themeTint="F2"/>
                <w:spacing w:val="-4"/>
                <w:lang w:val="en-GB"/>
              </w:rPr>
              <w:t>15 </w:t>
            </w:r>
            <w:r>
              <w:rPr>
                <w:color w:val="0D0D0D" w:themeColor="text1" w:themeTint="F2"/>
                <w:spacing w:val="-4"/>
                <w:lang w:val="en-GB"/>
              </w:rPr>
              <w:t xml:space="preserve">to </w:t>
            </w:r>
            <w:r w:rsidRPr="008D5CFF">
              <w:rPr>
                <w:color w:val="0D0D0D" w:themeColor="text1" w:themeTint="F2"/>
                <w:spacing w:val="-4"/>
                <w:lang w:val="en-GB"/>
              </w:rPr>
              <w:t>64</w:t>
            </w:r>
            <w:r>
              <w:rPr>
                <w:color w:val="0D0D0D" w:themeColor="text1" w:themeTint="F2"/>
                <w:spacing w:val="-4"/>
                <w:lang w:val="en-GB"/>
              </w:rPr>
              <w:t xml:space="preserve"> years</w:t>
            </w:r>
            <w:r w:rsidRPr="008D5CFF">
              <w:rPr>
                <w:color w:val="0D0D0D" w:themeColor="text1" w:themeTint="F2"/>
                <w:spacing w:val="-4"/>
                <w:lang w:val="en-GB"/>
              </w:rPr>
              <w:t xml:space="preserve">) </w:t>
            </w:r>
            <w:r>
              <w:rPr>
                <w:color w:val="0D0D0D" w:themeColor="text1" w:themeTint="F2"/>
                <w:spacing w:val="-4"/>
                <w:lang w:val="en-GB"/>
              </w:rPr>
              <w:t xml:space="preserve">culminated during the pandemic period last year in March, when it reached the four-year maximum </w:t>
            </w:r>
            <w:r w:rsidRPr="008D5CFF">
              <w:rPr>
                <w:color w:val="0D0D0D" w:themeColor="text1" w:themeTint="F2"/>
                <w:spacing w:val="-4"/>
                <w:lang w:val="en-GB"/>
              </w:rPr>
              <w:t>(3</w:t>
            </w:r>
            <w:r>
              <w:rPr>
                <w:color w:val="0D0D0D" w:themeColor="text1" w:themeTint="F2"/>
                <w:spacing w:val="-4"/>
                <w:lang w:val="en-GB"/>
              </w:rPr>
              <w:t>.</w:t>
            </w:r>
            <w:r w:rsidRPr="008D5CFF">
              <w:rPr>
                <w:color w:val="0D0D0D" w:themeColor="text1" w:themeTint="F2"/>
                <w:spacing w:val="-4"/>
                <w:lang w:val="en-GB"/>
              </w:rPr>
              <w:t xml:space="preserve">4%). </w:t>
            </w:r>
            <w:r>
              <w:rPr>
                <w:color w:val="0D0D0D" w:themeColor="text1" w:themeTint="F2"/>
                <w:spacing w:val="-4"/>
                <w:lang w:val="en-GB"/>
              </w:rPr>
              <w:t xml:space="preserve">Favourable development in the remaining part of the year </w:t>
            </w:r>
            <w:proofErr w:type="gramStart"/>
            <w:r>
              <w:rPr>
                <w:color w:val="0D0D0D" w:themeColor="text1" w:themeTint="F2"/>
                <w:spacing w:val="-4"/>
                <w:lang w:val="en-GB"/>
              </w:rPr>
              <w:t>was completed</w:t>
            </w:r>
            <w:proofErr w:type="gramEnd"/>
            <w:r>
              <w:rPr>
                <w:color w:val="0D0D0D" w:themeColor="text1" w:themeTint="F2"/>
                <w:spacing w:val="-4"/>
                <w:lang w:val="en-GB"/>
              </w:rPr>
              <w:t xml:space="preserve"> in December </w:t>
            </w:r>
            <w:r w:rsidRPr="008D5CFF">
              <w:rPr>
                <w:color w:val="0D0D0D" w:themeColor="text1" w:themeTint="F2"/>
                <w:spacing w:val="-4"/>
                <w:lang w:val="en-GB"/>
              </w:rPr>
              <w:t xml:space="preserve">2021, </w:t>
            </w:r>
            <w:r>
              <w:rPr>
                <w:color w:val="0D0D0D" w:themeColor="text1" w:themeTint="F2"/>
                <w:spacing w:val="-4"/>
                <w:lang w:val="en-GB"/>
              </w:rPr>
              <w:t xml:space="preserve">when the unemployment closely approached </w:t>
            </w:r>
            <w:r w:rsidRPr="008D5CFF">
              <w:rPr>
                <w:color w:val="0D0D0D" w:themeColor="text1" w:themeTint="F2"/>
                <w:spacing w:val="-4"/>
                <w:lang w:val="en-GB"/>
              </w:rPr>
              <w:t>2%,</w:t>
            </w:r>
            <w:r>
              <w:rPr>
                <w:color w:val="0D0D0D" w:themeColor="text1" w:themeTint="F2"/>
                <w:spacing w:val="-4"/>
                <w:lang w:val="en-GB"/>
              </w:rPr>
              <w:t xml:space="preserve"> i.e. the level for the last phase of expansion. The effect of significant last year</w:t>
            </w:r>
            <w:r>
              <w:rPr>
                <w:color w:val="0D0D0D" w:themeColor="text1" w:themeTint="F2"/>
                <w:spacing w:val="-4"/>
                <w:lang w:val="en-US"/>
              </w:rPr>
              <w:t xml:space="preserve">’s reduction of government stabilization programs </w:t>
            </w:r>
            <w:r w:rsidRPr="008D5CFF">
              <w:rPr>
                <w:color w:val="0D0D0D" w:themeColor="text1" w:themeTint="F2"/>
                <w:spacing w:val="-4"/>
                <w:lang w:val="en-GB"/>
              </w:rPr>
              <w:t xml:space="preserve">(Antivirus, </w:t>
            </w:r>
            <w:r>
              <w:rPr>
                <w:color w:val="0D0D0D" w:themeColor="text1" w:themeTint="F2"/>
                <w:spacing w:val="-4"/>
                <w:lang w:val="en-GB"/>
              </w:rPr>
              <w:t>care benefits</w:t>
            </w:r>
            <w:r w:rsidRPr="008D5CFF">
              <w:rPr>
                <w:color w:val="0D0D0D" w:themeColor="text1" w:themeTint="F2"/>
                <w:spacing w:val="-4"/>
                <w:lang w:val="en-GB"/>
              </w:rPr>
              <w:t>)</w:t>
            </w:r>
            <w:r>
              <w:rPr>
                <w:color w:val="0D0D0D" w:themeColor="text1" w:themeTint="F2"/>
                <w:spacing w:val="-4"/>
                <w:lang w:val="en-GB"/>
              </w:rPr>
              <w:t xml:space="preserve"> was compensated by the positive impacts connected to the full </w:t>
            </w:r>
            <w:r w:rsidRPr="008D5CFF">
              <w:rPr>
                <w:color w:val="0D0D0D" w:themeColor="text1" w:themeTint="F2"/>
                <w:spacing w:val="-4"/>
                <w:lang w:val="en-GB"/>
              </w:rPr>
              <w:t>„</w:t>
            </w:r>
            <w:r>
              <w:rPr>
                <w:color w:val="0D0D0D" w:themeColor="text1" w:themeTint="F2"/>
                <w:spacing w:val="-4"/>
                <w:lang w:val="en-GB"/>
              </w:rPr>
              <w:t>opening</w:t>
            </w:r>
            <w:proofErr w:type="gramStart"/>
            <w:r w:rsidRPr="008D5CFF">
              <w:rPr>
                <w:color w:val="0D0D0D" w:themeColor="text1" w:themeTint="F2"/>
                <w:spacing w:val="-4"/>
                <w:lang w:val="en-GB"/>
              </w:rPr>
              <w:t>“</w:t>
            </w:r>
            <w:r>
              <w:rPr>
                <w:color w:val="0D0D0D" w:themeColor="text1" w:themeTint="F2"/>
                <w:spacing w:val="-4"/>
                <w:lang w:val="en-GB"/>
              </w:rPr>
              <w:t xml:space="preserve"> of</w:t>
            </w:r>
            <w:proofErr w:type="gramEnd"/>
            <w:r>
              <w:rPr>
                <w:color w:val="0D0D0D" w:themeColor="text1" w:themeTint="F2"/>
                <w:spacing w:val="-4"/>
                <w:lang w:val="en-GB"/>
              </w:rPr>
              <w:t xml:space="preserve"> the economy</w:t>
            </w:r>
            <w:r w:rsidRPr="008D5CFF">
              <w:rPr>
                <w:color w:val="0D0D0D" w:themeColor="text1" w:themeTint="F2"/>
                <w:spacing w:val="-4"/>
                <w:lang w:val="en-GB"/>
              </w:rPr>
              <w:t>.</w:t>
            </w:r>
            <w:r>
              <w:rPr>
                <w:color w:val="0D0D0D" w:themeColor="text1" w:themeTint="F2"/>
                <w:spacing w:val="-4"/>
                <w:lang w:val="en-GB"/>
              </w:rPr>
              <w:t xml:space="preserve"> The unemployment of females was falling faster </w:t>
            </w:r>
            <w:r w:rsidRPr="008D5CFF">
              <w:rPr>
                <w:color w:val="0D0D0D" w:themeColor="text1" w:themeTint="F2"/>
                <w:spacing w:val="-4"/>
                <w:lang w:val="en-GB"/>
              </w:rPr>
              <w:t>(</w:t>
            </w:r>
            <w:r>
              <w:rPr>
                <w:color w:val="0D0D0D" w:themeColor="text1" w:themeTint="F2"/>
                <w:spacing w:val="-4"/>
                <w:lang w:val="en-GB"/>
              </w:rPr>
              <w:t xml:space="preserve">to </w:t>
            </w:r>
            <w:r w:rsidRPr="008D5CFF">
              <w:rPr>
                <w:color w:val="0D0D0D" w:themeColor="text1" w:themeTint="F2"/>
                <w:spacing w:val="-4"/>
                <w:lang w:val="en-GB"/>
              </w:rPr>
              <w:t>2</w:t>
            </w:r>
            <w:r>
              <w:rPr>
                <w:color w:val="0D0D0D" w:themeColor="text1" w:themeTint="F2"/>
                <w:spacing w:val="-4"/>
                <w:lang w:val="en-GB"/>
              </w:rPr>
              <w:t>.</w:t>
            </w:r>
            <w:r w:rsidRPr="008D5CFF">
              <w:rPr>
                <w:color w:val="0D0D0D" w:themeColor="text1" w:themeTint="F2"/>
                <w:spacing w:val="-4"/>
                <w:lang w:val="en-GB"/>
              </w:rPr>
              <w:t>5%),</w:t>
            </w:r>
            <w:r>
              <w:rPr>
                <w:color w:val="0D0D0D" w:themeColor="text1" w:themeTint="F2"/>
                <w:spacing w:val="-4"/>
                <w:lang w:val="en-GB"/>
              </w:rPr>
              <w:t xml:space="preserve"> still the level from the turn of years </w:t>
            </w:r>
            <w:r w:rsidRPr="008D5CFF">
              <w:rPr>
                <w:color w:val="0D0D0D" w:themeColor="text1" w:themeTint="F2"/>
                <w:spacing w:val="-4"/>
                <w:lang w:val="en-GB"/>
              </w:rPr>
              <w:t>2019 a</w:t>
            </w:r>
            <w:r>
              <w:rPr>
                <w:color w:val="0D0D0D" w:themeColor="text1" w:themeTint="F2"/>
                <w:spacing w:val="-4"/>
                <w:lang w:val="en-GB"/>
              </w:rPr>
              <w:t>nd</w:t>
            </w:r>
            <w:r w:rsidRPr="008D5CFF">
              <w:rPr>
                <w:color w:val="0D0D0D" w:themeColor="text1" w:themeTint="F2"/>
                <w:spacing w:val="-4"/>
                <w:lang w:val="en-GB"/>
              </w:rPr>
              <w:t> 2020</w:t>
            </w:r>
            <w:r>
              <w:rPr>
                <w:color w:val="0D0D0D" w:themeColor="text1" w:themeTint="F2"/>
                <w:spacing w:val="-4"/>
                <w:lang w:val="en-GB"/>
              </w:rPr>
              <w:t xml:space="preserve"> slightly exceeded. The supply of part-time jobs, which would </w:t>
            </w:r>
            <w:r w:rsidRPr="008D5CFF">
              <w:rPr>
                <w:color w:val="0D0D0D" w:themeColor="text1" w:themeTint="F2"/>
                <w:spacing w:val="-4"/>
                <w:lang w:val="en-GB"/>
              </w:rPr>
              <w:t>„</w:t>
            </w:r>
            <w:r>
              <w:rPr>
                <w:color w:val="0D0D0D" w:themeColor="text1" w:themeTint="F2"/>
                <w:spacing w:val="-4"/>
                <w:lang w:val="en-GB"/>
              </w:rPr>
              <w:t>pull</w:t>
            </w:r>
            <w:r w:rsidRPr="008D5CFF">
              <w:rPr>
                <w:color w:val="0D0D0D" w:themeColor="text1" w:themeTint="F2"/>
                <w:spacing w:val="-4"/>
                <w:lang w:val="en-GB"/>
              </w:rPr>
              <w:t>“</w:t>
            </w:r>
            <w:r>
              <w:rPr>
                <w:color w:val="0D0D0D" w:themeColor="text1" w:themeTint="F2"/>
                <w:spacing w:val="-4"/>
                <w:lang w:val="en-GB"/>
              </w:rPr>
              <w:t xml:space="preserve"> even higher number of women on the labour market</w:t>
            </w:r>
            <w:r w:rsidRPr="008D5CFF">
              <w:rPr>
                <w:color w:val="0D0D0D" w:themeColor="text1" w:themeTint="F2"/>
                <w:spacing w:val="-4"/>
                <w:lang w:val="en-GB"/>
              </w:rPr>
              <w:t xml:space="preserve">, </w:t>
            </w:r>
            <w:r>
              <w:rPr>
                <w:color w:val="0D0D0D" w:themeColor="text1" w:themeTint="F2"/>
                <w:spacing w:val="-4"/>
                <w:lang w:val="en-GB"/>
              </w:rPr>
              <w:t xml:space="preserve">apparently has not reached the level from year </w:t>
            </w:r>
            <w:r w:rsidRPr="008D5CFF">
              <w:rPr>
                <w:color w:val="0D0D0D" w:themeColor="text1" w:themeTint="F2"/>
                <w:spacing w:val="-4"/>
                <w:lang w:val="en-GB"/>
              </w:rPr>
              <w:t>2019</w:t>
            </w:r>
            <w:r>
              <w:rPr>
                <w:color w:val="0D0D0D" w:themeColor="text1" w:themeTint="F2"/>
                <w:spacing w:val="-4"/>
                <w:lang w:val="en-GB"/>
              </w:rPr>
              <w:t xml:space="preserve"> so far</w:t>
            </w:r>
            <w:r w:rsidRPr="008D5CFF">
              <w:rPr>
                <w:rStyle w:val="Znakapoznpodarou"/>
                <w:color w:val="0D0D0D" w:themeColor="text1" w:themeTint="F2"/>
                <w:spacing w:val="-4"/>
                <w:lang w:val="en-GB"/>
              </w:rPr>
              <w:footnoteReference w:id="67"/>
            </w:r>
            <w:r w:rsidRPr="008D5CFF">
              <w:rPr>
                <w:color w:val="0D0D0D" w:themeColor="text1" w:themeTint="F2"/>
                <w:spacing w:val="-4"/>
                <w:lang w:val="en-GB"/>
              </w:rPr>
              <w:t>.</w:t>
            </w:r>
            <w:r>
              <w:rPr>
                <w:color w:val="0D0D0D" w:themeColor="text1" w:themeTint="F2"/>
                <w:spacing w:val="-4"/>
                <w:lang w:val="en-GB"/>
              </w:rPr>
              <w:t xml:space="preserve"> The position of job applicants younger 25 years, again mainly females, improved last year </w:t>
            </w:r>
            <w:r w:rsidRPr="008D5CFF">
              <w:rPr>
                <w:color w:val="0D0D0D" w:themeColor="text1" w:themeTint="F2"/>
                <w:spacing w:val="-4"/>
                <w:lang w:val="en-GB"/>
              </w:rPr>
              <w:t xml:space="preserve">– </w:t>
            </w:r>
            <w:r>
              <w:rPr>
                <w:color w:val="0D0D0D" w:themeColor="text1" w:themeTint="F2"/>
                <w:spacing w:val="-4"/>
                <w:lang w:val="en-GB"/>
              </w:rPr>
              <w:t xml:space="preserve">drop of the unemployment rate from </w:t>
            </w:r>
            <w:r w:rsidRPr="008D5CFF">
              <w:rPr>
                <w:color w:val="0D0D0D" w:themeColor="text1" w:themeTint="F2"/>
                <w:spacing w:val="-2"/>
                <w:lang w:val="en-GB"/>
              </w:rPr>
              <w:t>15</w:t>
            </w:r>
            <w:r>
              <w:rPr>
                <w:color w:val="0D0D0D" w:themeColor="text1" w:themeTint="F2"/>
                <w:spacing w:val="-2"/>
                <w:lang w:val="en-GB"/>
              </w:rPr>
              <w:t>.</w:t>
            </w:r>
            <w:r w:rsidRPr="008D5CFF">
              <w:rPr>
                <w:color w:val="0D0D0D" w:themeColor="text1" w:themeTint="F2"/>
                <w:spacing w:val="-2"/>
                <w:lang w:val="en-GB"/>
              </w:rPr>
              <w:t>6% (</w:t>
            </w:r>
            <w:r>
              <w:rPr>
                <w:color w:val="0D0D0D" w:themeColor="text1" w:themeTint="F2"/>
                <w:spacing w:val="-2"/>
                <w:lang w:val="en-GB"/>
              </w:rPr>
              <w:t>January</w:t>
            </w:r>
            <w:r w:rsidRPr="008D5CFF">
              <w:rPr>
                <w:color w:val="0D0D0D" w:themeColor="text1" w:themeTint="F2"/>
                <w:spacing w:val="-2"/>
                <w:lang w:val="en-GB"/>
              </w:rPr>
              <w:t xml:space="preserve">) </w:t>
            </w:r>
            <w:r>
              <w:rPr>
                <w:color w:val="0D0D0D" w:themeColor="text1" w:themeTint="F2"/>
                <w:spacing w:val="-2"/>
                <w:lang w:val="en-GB"/>
              </w:rPr>
              <w:t xml:space="preserve">to </w:t>
            </w:r>
            <w:r w:rsidRPr="008D5CFF">
              <w:rPr>
                <w:color w:val="0D0D0D" w:themeColor="text1" w:themeTint="F2"/>
                <w:spacing w:val="-2"/>
                <w:lang w:val="en-GB"/>
              </w:rPr>
              <w:t>6</w:t>
            </w:r>
            <w:r>
              <w:rPr>
                <w:color w:val="0D0D0D" w:themeColor="text1" w:themeTint="F2"/>
                <w:spacing w:val="-2"/>
                <w:lang w:val="en-GB"/>
              </w:rPr>
              <w:t>.</w:t>
            </w:r>
            <w:r w:rsidRPr="008D5CFF">
              <w:rPr>
                <w:color w:val="0D0D0D" w:themeColor="text1" w:themeTint="F2"/>
                <w:spacing w:val="-2"/>
                <w:lang w:val="en-GB"/>
              </w:rPr>
              <w:t>6% (</w:t>
            </w:r>
            <w:r>
              <w:rPr>
                <w:color w:val="0D0D0D" w:themeColor="text1" w:themeTint="F2"/>
                <w:spacing w:val="-2"/>
                <w:lang w:val="en-GB"/>
              </w:rPr>
              <w:t>December</w:t>
            </w:r>
            <w:r w:rsidRPr="008D5CFF">
              <w:rPr>
                <w:color w:val="0D0D0D" w:themeColor="text1" w:themeTint="F2"/>
                <w:spacing w:val="-2"/>
                <w:lang w:val="en-GB"/>
              </w:rPr>
              <w:t xml:space="preserve">). </w:t>
            </w:r>
            <w:r>
              <w:rPr>
                <w:color w:val="0D0D0D" w:themeColor="text1" w:themeTint="F2"/>
                <w:spacing w:val="-2"/>
                <w:lang w:val="en-GB"/>
              </w:rPr>
              <w:t xml:space="preserve">On the other hand, the number of long term unemployed expanded year-on-year in the second part of year </w:t>
            </w:r>
            <w:r w:rsidRPr="008D5CFF">
              <w:rPr>
                <w:color w:val="0D0D0D" w:themeColor="text1" w:themeTint="F2"/>
                <w:spacing w:val="-4"/>
                <w:lang w:val="en-GB"/>
              </w:rPr>
              <w:t>2021</w:t>
            </w:r>
            <w:r>
              <w:rPr>
                <w:color w:val="0D0D0D" w:themeColor="text1" w:themeTint="F2"/>
                <w:spacing w:val="-4"/>
                <w:lang w:val="en-GB"/>
              </w:rPr>
              <w:t xml:space="preserve">. </w:t>
            </w:r>
            <w:r w:rsidRPr="008D5CFF">
              <w:rPr>
                <w:color w:val="0D0D0D" w:themeColor="text1" w:themeTint="F2"/>
                <w:spacing w:val="-4"/>
                <w:lang w:val="en-GB"/>
              </w:rPr>
              <w:t>T</w:t>
            </w:r>
            <w:r>
              <w:rPr>
                <w:color w:val="0D0D0D" w:themeColor="text1" w:themeTint="F2"/>
                <w:spacing w:val="-4"/>
                <w:lang w:val="en-GB"/>
              </w:rPr>
              <w:t xml:space="preserve">hese formed already </w:t>
            </w:r>
            <w:r w:rsidRPr="008D5CFF">
              <w:rPr>
                <w:color w:val="0D0D0D" w:themeColor="text1" w:themeTint="F2"/>
                <w:spacing w:val="-4"/>
                <w:lang w:val="en-GB"/>
              </w:rPr>
              <w:t>45%</w:t>
            </w:r>
            <w:r>
              <w:rPr>
                <w:color w:val="0D0D0D" w:themeColor="text1" w:themeTint="F2"/>
                <w:spacing w:val="-4"/>
                <w:lang w:val="en-GB"/>
              </w:rPr>
              <w:t xml:space="preserve"> of all unemployed in Q4</w:t>
            </w:r>
            <w:r w:rsidRPr="008D5CFF">
              <w:rPr>
                <w:color w:val="0D0D0D" w:themeColor="text1" w:themeTint="F2"/>
                <w:spacing w:val="-4"/>
                <w:lang w:val="en-GB"/>
              </w:rPr>
              <w:t>.</w:t>
            </w:r>
            <w:r>
              <w:rPr>
                <w:color w:val="0D0D0D" w:themeColor="text1" w:themeTint="F2"/>
                <w:spacing w:val="-4"/>
                <w:lang w:val="en-GB"/>
              </w:rPr>
              <w:t xml:space="preserve"> Regional range of total unemployment rates </w:t>
            </w:r>
            <w:r w:rsidRPr="008D5CFF">
              <w:rPr>
                <w:color w:val="0D0D0D" w:themeColor="text1" w:themeTint="F2"/>
                <w:spacing w:val="-4"/>
                <w:lang w:val="en-GB"/>
              </w:rPr>
              <w:t>(</w:t>
            </w:r>
            <w:r>
              <w:rPr>
                <w:color w:val="0D0D0D" w:themeColor="text1" w:themeTint="F2"/>
                <w:spacing w:val="-4"/>
                <w:lang w:val="en-GB"/>
              </w:rPr>
              <w:t>not seasonally adjusted</w:t>
            </w:r>
            <w:r w:rsidRPr="008D5CFF">
              <w:rPr>
                <w:color w:val="0D0D0D" w:themeColor="text1" w:themeTint="F2"/>
                <w:spacing w:val="-4"/>
                <w:lang w:val="en-GB"/>
              </w:rPr>
              <w:t>)</w:t>
            </w:r>
            <w:r>
              <w:rPr>
                <w:color w:val="0D0D0D" w:themeColor="text1" w:themeTint="F2"/>
                <w:spacing w:val="-4"/>
                <w:lang w:val="en-GB"/>
              </w:rPr>
              <w:t xml:space="preserve"> were relatively narrow last year in Q</w:t>
            </w:r>
            <w:r w:rsidRPr="008D5CFF">
              <w:rPr>
                <w:color w:val="0D0D0D" w:themeColor="text1" w:themeTint="F2"/>
                <w:spacing w:val="-4"/>
                <w:lang w:val="en-GB"/>
              </w:rPr>
              <w:t>4</w:t>
            </w:r>
            <w:r>
              <w:rPr>
                <w:color w:val="0D0D0D" w:themeColor="text1" w:themeTint="F2"/>
                <w:spacing w:val="-4"/>
                <w:lang w:val="en-GB"/>
              </w:rPr>
              <w:t xml:space="preserve"> </w:t>
            </w:r>
            <w:r w:rsidRPr="008D5CFF">
              <w:rPr>
                <w:color w:val="0D0D0D" w:themeColor="text1" w:themeTint="F2"/>
                <w:spacing w:val="-4"/>
                <w:lang w:val="en-GB"/>
              </w:rPr>
              <w:t>(</w:t>
            </w:r>
            <w:r>
              <w:rPr>
                <w:color w:val="0D0D0D" w:themeColor="text1" w:themeTint="F2"/>
                <w:spacing w:val="-4"/>
                <w:lang w:val="en-GB"/>
              </w:rPr>
              <w:t xml:space="preserve">from </w:t>
            </w:r>
            <w:r w:rsidRPr="008D5CFF">
              <w:rPr>
                <w:color w:val="0D0D0D" w:themeColor="text1" w:themeTint="F2"/>
                <w:spacing w:val="-4"/>
                <w:lang w:val="en-GB"/>
              </w:rPr>
              <w:t>1</w:t>
            </w:r>
            <w:r>
              <w:rPr>
                <w:color w:val="0D0D0D" w:themeColor="text1" w:themeTint="F2"/>
                <w:spacing w:val="-4"/>
                <w:lang w:val="en-GB"/>
              </w:rPr>
              <w:t>.</w:t>
            </w:r>
            <w:r w:rsidRPr="008D5CFF">
              <w:rPr>
                <w:color w:val="0D0D0D" w:themeColor="text1" w:themeTint="F2"/>
                <w:spacing w:val="-4"/>
                <w:lang w:val="en-GB"/>
              </w:rPr>
              <w:t>1%</w:t>
            </w:r>
            <w:r>
              <w:rPr>
                <w:color w:val="0D0D0D" w:themeColor="text1" w:themeTint="F2"/>
                <w:spacing w:val="-4"/>
                <w:lang w:val="en-GB"/>
              </w:rPr>
              <w:t xml:space="preserve"> in the Jihoc</w:t>
            </w:r>
            <w:r w:rsidRPr="008D5CFF">
              <w:rPr>
                <w:color w:val="0D0D0D" w:themeColor="text1" w:themeTint="F2"/>
                <w:spacing w:val="-4"/>
                <w:lang w:val="en-GB"/>
              </w:rPr>
              <w:t>esk</w:t>
            </w:r>
            <w:r>
              <w:rPr>
                <w:color w:val="0D0D0D" w:themeColor="text1" w:themeTint="F2"/>
                <w:spacing w:val="-4"/>
                <w:lang w:val="en-GB"/>
              </w:rPr>
              <w:t xml:space="preserve">y region </w:t>
            </w:r>
            <w:proofErr w:type="gramStart"/>
            <w:r>
              <w:rPr>
                <w:color w:val="0D0D0D" w:themeColor="text1" w:themeTint="F2"/>
                <w:spacing w:val="-4"/>
                <w:lang w:val="en-GB"/>
              </w:rPr>
              <w:t>till</w:t>
            </w:r>
            <w:proofErr w:type="gramEnd"/>
            <w:r>
              <w:rPr>
                <w:color w:val="0D0D0D" w:themeColor="text1" w:themeTint="F2"/>
                <w:spacing w:val="-4"/>
                <w:lang w:val="en-GB"/>
              </w:rPr>
              <w:t xml:space="preserve"> even </w:t>
            </w:r>
            <w:r w:rsidRPr="008D5CFF">
              <w:rPr>
                <w:color w:val="0D0D0D" w:themeColor="text1" w:themeTint="F2"/>
                <w:spacing w:val="-4"/>
                <w:lang w:val="en-GB"/>
              </w:rPr>
              <w:t>4 </w:t>
            </w:r>
            <w:r>
              <w:rPr>
                <w:color w:val="0D0D0D" w:themeColor="text1" w:themeTint="F2"/>
                <w:spacing w:val="-4"/>
                <w:lang w:val="en-GB"/>
              </w:rPr>
              <w:t xml:space="preserve">% in the </w:t>
            </w:r>
            <w:r w:rsidRPr="008D5CFF">
              <w:rPr>
                <w:color w:val="0D0D0D" w:themeColor="text1" w:themeTint="F2"/>
                <w:spacing w:val="-4"/>
                <w:lang w:val="en-GB"/>
              </w:rPr>
              <w:t>Moravskoslezsk</w:t>
            </w:r>
            <w:r>
              <w:rPr>
                <w:color w:val="0D0D0D" w:themeColor="text1" w:themeTint="F2"/>
                <w:spacing w:val="-4"/>
                <w:lang w:val="en-GB"/>
              </w:rPr>
              <w:t>y region</w:t>
            </w:r>
            <w:r w:rsidRPr="008D5CFF">
              <w:rPr>
                <w:color w:val="0D0D0D" w:themeColor="text1" w:themeTint="F2"/>
                <w:spacing w:val="-4"/>
                <w:lang w:val="en-GB"/>
              </w:rPr>
              <w:t>).</w:t>
            </w:r>
            <w:r>
              <w:rPr>
                <w:color w:val="0D0D0D" w:themeColor="text1" w:themeTint="F2"/>
                <w:spacing w:val="-4"/>
                <w:lang w:val="en-GB"/>
              </w:rPr>
              <w:t xml:space="preserve"> </w:t>
            </w:r>
            <w:r w:rsidRPr="008D5CFF">
              <w:rPr>
                <w:color w:val="0D0D0D" w:themeColor="text1" w:themeTint="F2"/>
                <w:spacing w:val="-4"/>
                <w:lang w:val="en-GB"/>
              </w:rPr>
              <w:t>Pra</w:t>
            </w:r>
            <w:r>
              <w:rPr>
                <w:color w:val="0D0D0D" w:themeColor="text1" w:themeTint="F2"/>
                <w:spacing w:val="-4"/>
                <w:lang w:val="en-GB"/>
              </w:rPr>
              <w:t xml:space="preserve">gue </w:t>
            </w:r>
            <w:r w:rsidRPr="008D5CFF">
              <w:rPr>
                <w:color w:val="0D0D0D" w:themeColor="text1" w:themeTint="F2"/>
                <w:spacing w:val="-4"/>
                <w:lang w:val="en-GB"/>
              </w:rPr>
              <w:t>(</w:t>
            </w:r>
            <w:r>
              <w:rPr>
                <w:color w:val="0D0D0D" w:themeColor="text1" w:themeTint="F2"/>
                <w:spacing w:val="-4"/>
                <w:lang w:val="en-GB"/>
              </w:rPr>
              <w:t xml:space="preserve">by </w:t>
            </w:r>
            <w:r w:rsidRPr="008D5CFF">
              <w:rPr>
                <w:color w:val="0D0D0D" w:themeColor="text1" w:themeTint="F2"/>
                <w:spacing w:val="-4"/>
                <w:lang w:val="en-GB"/>
              </w:rPr>
              <w:t>1</w:t>
            </w:r>
            <w:r>
              <w:rPr>
                <w:color w:val="0D0D0D" w:themeColor="text1" w:themeTint="F2"/>
                <w:spacing w:val="-4"/>
                <w:lang w:val="en-GB"/>
              </w:rPr>
              <w:t>.</w:t>
            </w:r>
            <w:r w:rsidRPr="008D5CFF">
              <w:rPr>
                <w:color w:val="0D0D0D" w:themeColor="text1" w:themeTint="F2"/>
                <w:spacing w:val="-4"/>
                <w:lang w:val="en-GB"/>
              </w:rPr>
              <w:t>8 p.</w:t>
            </w:r>
            <w:r>
              <w:rPr>
                <w:color w:val="0D0D0D" w:themeColor="text1" w:themeTint="F2"/>
                <w:spacing w:val="-4"/>
                <w:lang w:val="en-GB"/>
              </w:rPr>
              <w:t>p.</w:t>
            </w:r>
            <w:r w:rsidRPr="008D5CFF">
              <w:rPr>
                <w:color w:val="0D0D0D" w:themeColor="text1" w:themeTint="F2"/>
                <w:spacing w:val="-4"/>
                <w:lang w:val="en-GB"/>
              </w:rPr>
              <w:t>) a</w:t>
            </w:r>
            <w:r>
              <w:rPr>
                <w:color w:val="0D0D0D" w:themeColor="text1" w:themeTint="F2"/>
                <w:spacing w:val="-4"/>
                <w:lang w:val="en-GB"/>
              </w:rPr>
              <w:t xml:space="preserve">nd Karlovarsky region </w:t>
            </w:r>
            <w:r w:rsidRPr="008D5CFF">
              <w:rPr>
                <w:color w:val="0D0D0D" w:themeColor="text1" w:themeTint="F2"/>
                <w:spacing w:val="-4"/>
                <w:lang w:val="en-GB"/>
              </w:rPr>
              <w:t>(2</w:t>
            </w:r>
            <w:r>
              <w:rPr>
                <w:color w:val="0D0D0D" w:themeColor="text1" w:themeTint="F2"/>
                <w:spacing w:val="-4"/>
                <w:lang w:val="en-GB"/>
              </w:rPr>
              <w:t>.</w:t>
            </w:r>
            <w:r w:rsidRPr="008D5CFF">
              <w:rPr>
                <w:color w:val="0D0D0D" w:themeColor="text1" w:themeTint="F2"/>
                <w:spacing w:val="-4"/>
                <w:lang w:val="en-GB"/>
              </w:rPr>
              <w:t>4 p.</w:t>
            </w:r>
            <w:r>
              <w:rPr>
                <w:color w:val="0D0D0D" w:themeColor="text1" w:themeTint="F2"/>
                <w:spacing w:val="-4"/>
                <w:lang w:val="en-GB"/>
              </w:rPr>
              <w:t>p</w:t>
            </w:r>
            <w:r w:rsidRPr="008D5CFF">
              <w:rPr>
                <w:color w:val="0D0D0D" w:themeColor="text1" w:themeTint="F2"/>
                <w:spacing w:val="-4"/>
                <w:lang w:val="en-GB"/>
              </w:rPr>
              <w:t>.)</w:t>
            </w:r>
            <w:r>
              <w:rPr>
                <w:color w:val="0D0D0D" w:themeColor="text1" w:themeTint="F2"/>
                <w:spacing w:val="-4"/>
                <w:lang w:val="en-GB"/>
              </w:rPr>
              <w:t xml:space="preserve"> recorded the highest year-on-year drop of unemployment</w:t>
            </w:r>
            <w:r w:rsidRPr="008D5CFF">
              <w:rPr>
                <w:color w:val="0D0D0D" w:themeColor="text1" w:themeTint="F2"/>
                <w:spacing w:val="-4"/>
                <w:lang w:val="en-GB"/>
              </w:rPr>
              <w:t>.</w:t>
            </w:r>
            <w:r>
              <w:rPr>
                <w:color w:val="0D0D0D" w:themeColor="text1" w:themeTint="F2"/>
                <w:spacing w:val="-4"/>
                <w:lang w:val="en-GB"/>
              </w:rPr>
              <w:t xml:space="preserve"> It represents the regions the most specialised on tourism in the CR </w:t>
            </w:r>
            <w:r w:rsidRPr="008D5CFF">
              <w:rPr>
                <w:color w:val="0D0D0D" w:themeColor="text1" w:themeTint="F2"/>
                <w:spacing w:val="-4"/>
                <w:lang w:val="en-GB"/>
              </w:rPr>
              <w:t>(a</w:t>
            </w:r>
            <w:r>
              <w:rPr>
                <w:color w:val="0D0D0D" w:themeColor="text1" w:themeTint="F2"/>
                <w:spacing w:val="-4"/>
                <w:lang w:val="en-GB"/>
              </w:rPr>
              <w:t>nd specifically on the foreign customer base</w:t>
            </w:r>
            <w:r w:rsidRPr="008D5CFF">
              <w:rPr>
                <w:color w:val="0D0D0D" w:themeColor="text1" w:themeTint="F2"/>
                <w:spacing w:val="-4"/>
                <w:lang w:val="en-GB"/>
              </w:rPr>
              <w:t>).</w:t>
            </w:r>
          </w:p>
        </w:tc>
      </w:tr>
      <w:tr w:rsidR="00AC7ACA" w:rsidRPr="00B43216" w14:paraId="19EE3F40" w14:textId="77777777" w:rsidTr="008E039E">
        <w:trPr>
          <w:trHeight w:val="671"/>
        </w:trPr>
        <w:tc>
          <w:tcPr>
            <w:tcW w:w="1600" w:type="dxa"/>
            <w:shd w:val="clear" w:color="auto" w:fill="auto"/>
            <w:tcMar>
              <w:left w:w="0" w:type="dxa"/>
            </w:tcMar>
          </w:tcPr>
          <w:p w14:paraId="3E854DAD" w14:textId="13ACA856" w:rsidR="00AC7ACA" w:rsidRPr="00447735" w:rsidRDefault="00AC7ACA" w:rsidP="00AC7ACA">
            <w:pPr>
              <w:pStyle w:val="Marginlie"/>
              <w:rPr>
                <w:spacing w:val="-4"/>
                <w:lang w:val="en-GB"/>
              </w:rPr>
            </w:pPr>
            <w:r>
              <w:rPr>
                <w:color w:val="0D0D0D" w:themeColor="text1" w:themeTint="F2"/>
                <w:spacing w:val="-5"/>
                <w:lang w:val="en-GB"/>
              </w:rPr>
              <w:t xml:space="preserve">Concerns of households from unemployment abated, number of job vacancies was growing. </w:t>
            </w:r>
          </w:p>
        </w:tc>
        <w:tc>
          <w:tcPr>
            <w:tcW w:w="189" w:type="dxa"/>
            <w:shd w:val="clear" w:color="auto" w:fill="auto"/>
            <w:tcMar>
              <w:left w:w="0" w:type="dxa"/>
            </w:tcMar>
          </w:tcPr>
          <w:p w14:paraId="1B01B965" w14:textId="77777777" w:rsidR="00AC7ACA" w:rsidRPr="00447735" w:rsidRDefault="00AC7ACA" w:rsidP="00AC7ACA">
            <w:pPr>
              <w:pStyle w:val="Textpoznpodarou"/>
              <w:spacing w:line="276" w:lineRule="auto"/>
              <w:jc w:val="both"/>
              <w:rPr>
                <w:spacing w:val="-4"/>
                <w:lang w:val="en-GB"/>
              </w:rPr>
            </w:pPr>
          </w:p>
        </w:tc>
        <w:tc>
          <w:tcPr>
            <w:tcW w:w="7880" w:type="dxa"/>
            <w:shd w:val="clear" w:color="auto" w:fill="auto"/>
            <w:tcMar>
              <w:left w:w="0" w:type="dxa"/>
            </w:tcMar>
          </w:tcPr>
          <w:p w14:paraId="2C321F79" w14:textId="3502D6C3" w:rsidR="00AC7ACA" w:rsidRPr="00447735" w:rsidRDefault="00AC7ACA" w:rsidP="00AC7ACA">
            <w:pPr>
              <w:spacing w:after="200"/>
              <w:rPr>
                <w:spacing w:val="-4"/>
                <w:lang w:val="en-GB"/>
              </w:rPr>
            </w:pPr>
            <w:r>
              <w:rPr>
                <w:color w:val="0D0D0D" w:themeColor="text1" w:themeTint="F2"/>
                <w:spacing w:val="-4"/>
                <w:lang w:val="en-GB"/>
              </w:rPr>
              <w:t xml:space="preserve">Household concerns regarding the unemployment growth </w:t>
            </w:r>
            <w:r w:rsidRPr="00447735">
              <w:rPr>
                <w:color w:val="0D0D0D" w:themeColor="text1" w:themeTint="F2"/>
                <w:spacing w:val="-4"/>
                <w:lang w:val="en-GB"/>
              </w:rPr>
              <w:t>(</w:t>
            </w:r>
            <w:r>
              <w:rPr>
                <w:color w:val="0D0D0D" w:themeColor="text1" w:themeTint="F2"/>
                <w:spacing w:val="-4"/>
                <w:lang w:val="en-GB"/>
              </w:rPr>
              <w:t>in the nearest twelve months</w:t>
            </w:r>
            <w:r w:rsidRPr="00447735">
              <w:rPr>
                <w:color w:val="0D0D0D" w:themeColor="text1" w:themeTint="F2"/>
                <w:spacing w:val="-4"/>
                <w:lang w:val="en-GB"/>
              </w:rPr>
              <w:t>)</w:t>
            </w:r>
            <w:r>
              <w:rPr>
                <w:color w:val="0D0D0D" w:themeColor="text1" w:themeTint="F2"/>
                <w:spacing w:val="-4"/>
                <w:lang w:val="en-GB"/>
              </w:rPr>
              <w:t xml:space="preserve"> sharply weakened during Q</w:t>
            </w:r>
            <w:r w:rsidRPr="00447735">
              <w:rPr>
                <w:color w:val="0D0D0D" w:themeColor="text1" w:themeTint="F2"/>
                <w:spacing w:val="-4"/>
                <w:lang w:val="en-GB"/>
              </w:rPr>
              <w:t>2</w:t>
            </w:r>
            <w:r>
              <w:rPr>
                <w:color w:val="0D0D0D" w:themeColor="text1" w:themeTint="F2"/>
                <w:spacing w:val="-4"/>
                <w:lang w:val="en-GB"/>
              </w:rPr>
              <w:t xml:space="preserve"> and returned to the lower level from the second half of year </w:t>
            </w:r>
            <w:r w:rsidRPr="00447735">
              <w:rPr>
                <w:color w:val="0D0D0D" w:themeColor="text1" w:themeTint="F2"/>
                <w:spacing w:val="-4"/>
                <w:lang w:val="en-GB"/>
              </w:rPr>
              <w:t>2019</w:t>
            </w:r>
            <w:r w:rsidRPr="00447735">
              <w:rPr>
                <w:rStyle w:val="Znakapoznpodarou"/>
                <w:color w:val="0D0D0D" w:themeColor="text1" w:themeTint="F2"/>
                <w:spacing w:val="-4"/>
                <w:lang w:val="en-GB"/>
              </w:rPr>
              <w:footnoteReference w:id="68"/>
            </w:r>
            <w:r w:rsidRPr="00447735">
              <w:rPr>
                <w:color w:val="0D0D0D" w:themeColor="text1" w:themeTint="F2"/>
                <w:spacing w:val="-4"/>
                <w:lang w:val="en-GB"/>
              </w:rPr>
              <w:t xml:space="preserve">. </w:t>
            </w:r>
            <w:r>
              <w:rPr>
                <w:color w:val="0D0D0D" w:themeColor="text1" w:themeTint="F2"/>
                <w:spacing w:val="-4"/>
                <w:lang w:val="en-GB"/>
              </w:rPr>
              <w:t xml:space="preserve">Number of job vacancies in the supply of labour offices arrived at </w:t>
            </w:r>
            <w:r w:rsidRPr="00447735">
              <w:rPr>
                <w:color w:val="0D0D0D" w:themeColor="text1" w:themeTint="F2"/>
                <w:spacing w:val="-4"/>
                <w:lang w:val="en-GB"/>
              </w:rPr>
              <w:t>343 t</w:t>
            </w:r>
            <w:r>
              <w:rPr>
                <w:color w:val="0D0D0D" w:themeColor="text1" w:themeTint="F2"/>
                <w:spacing w:val="-4"/>
                <w:lang w:val="en-GB"/>
              </w:rPr>
              <w:t>housand in December last year</w:t>
            </w:r>
            <w:r w:rsidRPr="00447735">
              <w:rPr>
                <w:rStyle w:val="Znakapoznpodarou"/>
                <w:color w:val="0D0D0D" w:themeColor="text1" w:themeTint="F2"/>
                <w:spacing w:val="-4"/>
                <w:lang w:val="en-GB"/>
              </w:rPr>
              <w:footnoteReference w:id="69"/>
            </w:r>
            <w:r>
              <w:rPr>
                <w:color w:val="0D0D0D" w:themeColor="text1" w:themeTint="F2"/>
                <w:spacing w:val="-4"/>
                <w:lang w:val="en-GB"/>
              </w:rPr>
              <w:t xml:space="preserve">. It was thus comparable with the end of year </w:t>
            </w:r>
            <w:r w:rsidRPr="00447735">
              <w:rPr>
                <w:color w:val="0D0D0D" w:themeColor="text1" w:themeTint="F2"/>
                <w:spacing w:val="-4"/>
                <w:lang w:val="en-GB"/>
              </w:rPr>
              <w:t>2019.</w:t>
            </w:r>
            <w:r>
              <w:rPr>
                <w:color w:val="0D0D0D" w:themeColor="text1" w:themeTint="F2"/>
                <w:spacing w:val="-4"/>
                <w:lang w:val="en-GB"/>
              </w:rPr>
              <w:t xml:space="preserve"> There were </w:t>
            </w:r>
            <w:r w:rsidRPr="00447735">
              <w:rPr>
                <w:color w:val="0D0D0D" w:themeColor="text1" w:themeTint="F2"/>
                <w:spacing w:val="-4"/>
                <w:lang w:val="en-GB"/>
              </w:rPr>
              <w:t>0</w:t>
            </w:r>
            <w:r>
              <w:rPr>
                <w:color w:val="0D0D0D" w:themeColor="text1" w:themeTint="F2"/>
                <w:spacing w:val="-4"/>
                <w:lang w:val="en-GB"/>
              </w:rPr>
              <w:t>.</w:t>
            </w:r>
            <w:r w:rsidRPr="00447735">
              <w:rPr>
                <w:color w:val="0D0D0D" w:themeColor="text1" w:themeTint="F2"/>
                <w:spacing w:val="-4"/>
                <w:lang w:val="en-GB"/>
              </w:rPr>
              <w:t>8</w:t>
            </w:r>
            <w:r>
              <w:rPr>
                <w:color w:val="0D0D0D" w:themeColor="text1" w:themeTint="F2"/>
                <w:spacing w:val="-4"/>
                <w:lang w:val="en-GB"/>
              </w:rPr>
              <w:t xml:space="preserve"> job applicants per one job vacancy. Approximately 60% of municipalities</w:t>
            </w:r>
            <w:r w:rsidRPr="00447735">
              <w:rPr>
                <w:rStyle w:val="Znakapoznpodarou"/>
                <w:color w:val="0D0D0D" w:themeColor="text1" w:themeTint="F2"/>
                <w:spacing w:val="-4"/>
                <w:lang w:val="en-GB"/>
              </w:rPr>
              <w:footnoteReference w:id="70"/>
            </w:r>
            <w:r>
              <w:rPr>
                <w:color w:val="0D0D0D" w:themeColor="text1" w:themeTint="F2"/>
                <w:spacing w:val="-4"/>
                <w:lang w:val="en-GB"/>
              </w:rPr>
              <w:t xml:space="preserve"> as well as regions in the CR signalled the excess of number of job vacancies over the registered applicants. Nearly two thirds from the total year-on-year increase represented the positions with very low qualification requirements. Supply for applicants with at least school leaving certificate however also mildly increased. Total supply of vacancies in the CR expanded mainly in Prague and Plzensky region last year. </w:t>
            </w:r>
          </w:p>
        </w:tc>
      </w:tr>
      <w:tr w:rsidR="00AC7ACA" w:rsidRPr="003D7E94" w14:paraId="3E5DFF42" w14:textId="77777777" w:rsidTr="008E039E">
        <w:trPr>
          <w:trHeight w:val="145"/>
        </w:trPr>
        <w:tc>
          <w:tcPr>
            <w:tcW w:w="1600" w:type="dxa"/>
            <w:shd w:val="clear" w:color="auto" w:fill="auto"/>
            <w:tcMar>
              <w:left w:w="0" w:type="dxa"/>
            </w:tcMar>
          </w:tcPr>
          <w:p w14:paraId="021AF265" w14:textId="76FFE86F" w:rsidR="00AC7ACA" w:rsidRPr="00447735" w:rsidRDefault="00AC7ACA" w:rsidP="00AC7ACA">
            <w:pPr>
              <w:pStyle w:val="Marginlie"/>
              <w:rPr>
                <w:color w:val="0D0D0D" w:themeColor="text1" w:themeTint="F2"/>
                <w:spacing w:val="-5"/>
                <w:lang w:val="en-GB"/>
              </w:rPr>
            </w:pPr>
            <w:r w:rsidRPr="00447735">
              <w:rPr>
                <w:color w:val="0D0D0D" w:themeColor="text1" w:themeTint="F2"/>
                <w:spacing w:val="-5"/>
                <w:lang w:val="en-GB"/>
              </w:rPr>
              <w:t>The average gross monthly wage broke the 40 CZK thousand boundary in Q4.</w:t>
            </w:r>
          </w:p>
          <w:p w14:paraId="5284DA31" w14:textId="4DB36AFB" w:rsidR="00AC7ACA" w:rsidRDefault="00AC7ACA" w:rsidP="00AC7ACA">
            <w:pPr>
              <w:pStyle w:val="Marginlie"/>
              <w:rPr>
                <w:color w:val="0D0D0D" w:themeColor="text1" w:themeTint="F2"/>
                <w:spacing w:val="-5"/>
              </w:rPr>
            </w:pPr>
          </w:p>
          <w:p w14:paraId="771C0F93" w14:textId="77777777" w:rsidR="00AC7ACA" w:rsidRDefault="00AC7ACA" w:rsidP="00AC7ACA">
            <w:pPr>
              <w:pStyle w:val="Marginlie"/>
              <w:rPr>
                <w:color w:val="0D0D0D" w:themeColor="text1" w:themeTint="F2"/>
                <w:spacing w:val="-5"/>
              </w:rPr>
            </w:pPr>
          </w:p>
          <w:p w14:paraId="5ED1B6CD" w14:textId="77777777" w:rsidR="00AC7ACA" w:rsidRDefault="00AC7ACA" w:rsidP="00AC7ACA">
            <w:pPr>
              <w:pStyle w:val="Marginlie"/>
              <w:rPr>
                <w:color w:val="0D0D0D" w:themeColor="text1" w:themeTint="F2"/>
                <w:spacing w:val="-5"/>
              </w:rPr>
            </w:pPr>
          </w:p>
          <w:p w14:paraId="2E5EB376" w14:textId="77777777" w:rsidR="00AC7ACA" w:rsidRDefault="00AC7ACA" w:rsidP="00AC7ACA">
            <w:pPr>
              <w:pStyle w:val="Marginlie"/>
              <w:rPr>
                <w:color w:val="0D0D0D" w:themeColor="text1" w:themeTint="F2"/>
                <w:spacing w:val="-5"/>
              </w:rPr>
            </w:pPr>
          </w:p>
          <w:p w14:paraId="0217904F" w14:textId="77777777" w:rsidR="00AC7ACA" w:rsidRDefault="00AC7ACA" w:rsidP="00AC7ACA">
            <w:pPr>
              <w:pStyle w:val="Marginlie"/>
              <w:rPr>
                <w:color w:val="0D0D0D" w:themeColor="text1" w:themeTint="F2"/>
                <w:spacing w:val="-5"/>
              </w:rPr>
            </w:pPr>
          </w:p>
          <w:p w14:paraId="5D07E364" w14:textId="77777777" w:rsidR="00AC7ACA" w:rsidRDefault="00AC7ACA" w:rsidP="00AC7ACA">
            <w:pPr>
              <w:pStyle w:val="Marginlie"/>
              <w:rPr>
                <w:color w:val="0D0D0D" w:themeColor="text1" w:themeTint="F2"/>
                <w:spacing w:val="-5"/>
              </w:rPr>
            </w:pPr>
          </w:p>
          <w:p w14:paraId="12AB521E" w14:textId="1703D499" w:rsidR="00AC7ACA" w:rsidRPr="003378EB" w:rsidRDefault="00AC7ACA" w:rsidP="00AC7ACA">
            <w:pPr>
              <w:pStyle w:val="Marginlie"/>
              <w:spacing w:after="120"/>
              <w:rPr>
                <w:color w:val="0D0D0D" w:themeColor="text1" w:themeTint="F2"/>
                <w:spacing w:val="-5"/>
                <w:lang w:val="en-GB"/>
              </w:rPr>
            </w:pPr>
            <w:r>
              <w:rPr>
                <w:lang w:val="en-GB"/>
              </w:rPr>
              <w:t xml:space="preserve">Pace of wages </w:t>
            </w:r>
            <w:proofErr w:type="gramStart"/>
            <w:r>
              <w:rPr>
                <w:lang w:val="en-GB"/>
              </w:rPr>
              <w:t>was affected</w:t>
            </w:r>
            <w:proofErr w:type="gramEnd"/>
            <w:r>
              <w:rPr>
                <w:lang w:val="en-GB"/>
              </w:rPr>
              <w:t xml:space="preserve"> by mixture of contradictory factors.</w:t>
            </w:r>
          </w:p>
        </w:tc>
        <w:tc>
          <w:tcPr>
            <w:tcW w:w="189" w:type="dxa"/>
            <w:shd w:val="clear" w:color="auto" w:fill="auto"/>
            <w:tcMar>
              <w:left w:w="0" w:type="dxa"/>
            </w:tcMar>
          </w:tcPr>
          <w:p w14:paraId="517A0AC2" w14:textId="77777777" w:rsidR="00AC7ACA" w:rsidRPr="00EA508C" w:rsidRDefault="00AC7ACA" w:rsidP="00AC7ACA">
            <w:pPr>
              <w:pStyle w:val="Textpoznpodarou"/>
              <w:spacing w:after="120"/>
              <w:jc w:val="both"/>
              <w:rPr>
                <w:color w:val="0D0D0D" w:themeColor="text1" w:themeTint="F2"/>
                <w:spacing w:val="-4"/>
              </w:rPr>
            </w:pPr>
          </w:p>
        </w:tc>
        <w:tc>
          <w:tcPr>
            <w:tcW w:w="7880" w:type="dxa"/>
            <w:shd w:val="clear" w:color="auto" w:fill="auto"/>
            <w:tcMar>
              <w:left w:w="0" w:type="dxa"/>
            </w:tcMar>
          </w:tcPr>
          <w:p w14:paraId="51FBA7B7" w14:textId="061E73B2" w:rsidR="00AC7ACA" w:rsidRPr="003D7E94" w:rsidRDefault="00AC7ACA" w:rsidP="00AC7ACA">
            <w:pPr>
              <w:spacing w:after="220"/>
              <w:rPr>
                <w:spacing w:val="-4"/>
                <w:lang w:val="en-GB"/>
              </w:rPr>
            </w:pPr>
            <w:r w:rsidRPr="003D7E94">
              <w:rPr>
                <w:spacing w:val="-4"/>
                <w:lang w:val="en-GB"/>
              </w:rPr>
              <w:t xml:space="preserve">The average gross monthly nominal wage (per employee </w:t>
            </w:r>
            <w:r>
              <w:rPr>
                <w:spacing w:val="-4"/>
                <w:lang w:val="en-GB"/>
              </w:rPr>
              <w:t xml:space="preserve">considering </w:t>
            </w:r>
            <w:r w:rsidRPr="003D7E94">
              <w:rPr>
                <w:spacing w:val="-4"/>
                <w:lang w:val="en-GB"/>
              </w:rPr>
              <w:t xml:space="preserve">the time of the job) rose by even 4% year-on-year last year in Q4 and for the first time in history, it crossed the boundary of 40 CZK thousand. Wage after adjustment for seasonal effects (e.g. also the paid out regular bonuses) increased by 0.9% quarter-on-quarter, i.e. </w:t>
            </w:r>
            <w:r>
              <w:rPr>
                <w:spacing w:val="-4"/>
                <w:lang w:val="en-GB"/>
              </w:rPr>
              <w:t xml:space="preserve">at </w:t>
            </w:r>
            <w:r w:rsidRPr="003D7E94">
              <w:rPr>
                <w:spacing w:val="-4"/>
                <w:lang w:val="en-GB"/>
              </w:rPr>
              <w:t xml:space="preserve">slightly lower pace compared to Q2 and </w:t>
            </w:r>
            <w:r w:rsidR="00A06545">
              <w:rPr>
                <w:spacing w:val="-4"/>
                <w:lang w:val="en-GB"/>
              </w:rPr>
              <w:t>Q</w:t>
            </w:r>
            <w:r w:rsidRPr="003D7E94">
              <w:rPr>
                <w:spacing w:val="-4"/>
                <w:lang w:val="en-GB"/>
              </w:rPr>
              <w:t xml:space="preserve">3 2021. The heighten tension on the labour market connected both to the low employment and high and further growing number of job vacancies exerted a pro-growth influence on the size of wage for a major part of the last year. </w:t>
            </w:r>
            <w:r>
              <w:rPr>
                <w:spacing w:val="-4"/>
                <w:lang w:val="en-GB"/>
              </w:rPr>
              <w:t>The shortage of employees limited the output in the majority of significant branches. The government measures also had some, even though opposite effect. While the continuing increase of the minimum wage (and derived system of guaranteed wages</w:t>
            </w:r>
            <w:r w:rsidRPr="003D7E94">
              <w:rPr>
                <w:spacing w:val="-4"/>
                <w:lang w:val="en-GB"/>
              </w:rPr>
              <w:t>)</w:t>
            </w:r>
            <w:r>
              <w:rPr>
                <w:spacing w:val="-4"/>
                <w:lang w:val="en-GB"/>
              </w:rPr>
              <w:t xml:space="preserve"> </w:t>
            </w:r>
            <w:r w:rsidRPr="003D7E94">
              <w:rPr>
                <w:spacing w:val="-4"/>
                <w:lang w:val="en-GB"/>
              </w:rPr>
              <w:t>had</w:t>
            </w:r>
            <w:r>
              <w:rPr>
                <w:spacing w:val="-4"/>
                <w:lang w:val="en-GB"/>
              </w:rPr>
              <w:t xml:space="preserve"> a stimulating effect mainly in branches with lower level of earnings</w:t>
            </w:r>
            <w:r w:rsidRPr="003D7E94">
              <w:rPr>
                <w:spacing w:val="-4"/>
                <w:lang w:val="en-GB"/>
              </w:rPr>
              <w:t>,</w:t>
            </w:r>
            <w:r>
              <w:rPr>
                <w:spacing w:val="-4"/>
                <w:lang w:val="en-GB"/>
              </w:rPr>
              <w:t xml:space="preserve"> the decrease of the effective taxation of workers, which enabled to firms to maintain high employment with lower pressure on the increase of labour costs, </w:t>
            </w:r>
            <w:proofErr w:type="gramStart"/>
            <w:r>
              <w:rPr>
                <w:spacing w:val="-4"/>
                <w:lang w:val="en-GB"/>
              </w:rPr>
              <w:t>likely</w:t>
            </w:r>
            <w:proofErr w:type="gramEnd"/>
            <w:r>
              <w:rPr>
                <w:spacing w:val="-4"/>
                <w:lang w:val="en-GB"/>
              </w:rPr>
              <w:t xml:space="preserve"> had an opposite effect. </w:t>
            </w:r>
            <w:r w:rsidRPr="003D7E94">
              <w:rPr>
                <w:spacing w:val="-4"/>
                <w:lang w:val="en-GB"/>
              </w:rPr>
              <w:t xml:space="preserve">Proportion of employers especially in market branches thus took into consideration the fact, </w:t>
            </w:r>
            <w:r w:rsidRPr="003D7E94">
              <w:rPr>
                <w:spacing w:val="-4"/>
                <w:lang w:val="en-GB"/>
              </w:rPr>
              <w:lastRenderedPageBreak/>
              <w:t xml:space="preserve">that people’ s earnings will rise even without the increase of gross wages. </w:t>
            </w:r>
            <w:r>
              <w:rPr>
                <w:spacing w:val="-4"/>
                <w:lang w:val="en-GB"/>
              </w:rPr>
              <w:t xml:space="preserve">In addition, many businesses in branches strongly hit by the pandemics faced financial difficulties despite the government stabilization programmes, which limited their options to improve their appraisal of both new and current workers. </w:t>
            </w:r>
          </w:p>
        </w:tc>
      </w:tr>
      <w:tr w:rsidR="00AC7ACA" w:rsidRPr="00191C35" w14:paraId="2B3ACB6E" w14:textId="77777777" w:rsidTr="008E039E">
        <w:trPr>
          <w:trHeight w:val="145"/>
        </w:trPr>
        <w:tc>
          <w:tcPr>
            <w:tcW w:w="1600" w:type="dxa"/>
            <w:shd w:val="clear" w:color="auto" w:fill="auto"/>
            <w:tcMar>
              <w:left w:w="0" w:type="dxa"/>
            </w:tcMar>
          </w:tcPr>
          <w:p w14:paraId="37165068" w14:textId="7D17E6EE" w:rsidR="00AC7ACA" w:rsidRPr="006B79EE" w:rsidRDefault="00AC7ACA" w:rsidP="00AC7ACA">
            <w:pPr>
              <w:pStyle w:val="Marginlie"/>
              <w:spacing w:after="120"/>
              <w:rPr>
                <w:lang w:val="en-GB"/>
              </w:rPr>
            </w:pPr>
            <w:r>
              <w:rPr>
                <w:lang w:val="en-GB"/>
              </w:rPr>
              <w:lastRenderedPageBreak/>
              <w:t xml:space="preserve">The wage growth was below average in manufacturing as well as construction during the whole year. </w:t>
            </w:r>
          </w:p>
        </w:tc>
        <w:tc>
          <w:tcPr>
            <w:tcW w:w="189" w:type="dxa"/>
            <w:shd w:val="clear" w:color="auto" w:fill="auto"/>
            <w:tcMar>
              <w:left w:w="0" w:type="dxa"/>
            </w:tcMar>
          </w:tcPr>
          <w:p w14:paraId="6E177FEB" w14:textId="77777777" w:rsidR="00AC7ACA" w:rsidRPr="006B79EE" w:rsidRDefault="00AC7ACA" w:rsidP="00AC7ACA">
            <w:pPr>
              <w:pStyle w:val="Textpoznpodarou"/>
              <w:spacing w:after="120"/>
              <w:jc w:val="both"/>
              <w:rPr>
                <w:spacing w:val="-4"/>
                <w:lang w:val="en-GB"/>
              </w:rPr>
            </w:pPr>
          </w:p>
        </w:tc>
        <w:tc>
          <w:tcPr>
            <w:tcW w:w="7880" w:type="dxa"/>
            <w:shd w:val="clear" w:color="auto" w:fill="auto"/>
            <w:tcMar>
              <w:left w:w="0" w:type="dxa"/>
            </w:tcMar>
          </w:tcPr>
          <w:p w14:paraId="169347EB" w14:textId="0E739A84" w:rsidR="00AC7ACA" w:rsidRPr="006B79EE" w:rsidRDefault="00AC7ACA" w:rsidP="00AC7ACA">
            <w:pPr>
              <w:spacing w:after="220"/>
              <w:rPr>
                <w:spacing w:val="-4"/>
                <w:lang w:val="en-GB"/>
              </w:rPr>
            </w:pPr>
            <w:r>
              <w:rPr>
                <w:spacing w:val="-4"/>
                <w:lang w:val="en-GB"/>
              </w:rPr>
              <w:t>The average wages increased by 3.9% in the weight most significant branch of manufacturing in Q</w:t>
            </w:r>
            <w:r w:rsidRPr="006B79EE">
              <w:rPr>
                <w:spacing w:val="-6"/>
                <w:lang w:val="en-GB"/>
              </w:rPr>
              <w:t>4</w:t>
            </w:r>
            <w:r>
              <w:rPr>
                <w:spacing w:val="-6"/>
                <w:lang w:val="en-GB"/>
              </w:rPr>
              <w:t xml:space="preserve"> </w:t>
            </w:r>
            <w:r w:rsidRPr="006B79EE">
              <w:rPr>
                <w:spacing w:val="-6"/>
                <w:lang w:val="en-GB"/>
              </w:rPr>
              <w:t>2021</w:t>
            </w:r>
            <w:r>
              <w:rPr>
                <w:spacing w:val="-6"/>
                <w:lang w:val="en-GB"/>
              </w:rPr>
              <w:t xml:space="preserve"> </w:t>
            </w:r>
            <w:r w:rsidRPr="006B79EE">
              <w:rPr>
                <w:spacing w:val="-6"/>
                <w:lang w:val="en-GB"/>
              </w:rPr>
              <w:t>(</w:t>
            </w:r>
            <w:r>
              <w:rPr>
                <w:spacing w:val="-6"/>
                <w:lang w:val="en-GB"/>
              </w:rPr>
              <w:t>the below average wage was recorded for the twelve quarter in a row</w:t>
            </w:r>
            <w:r w:rsidRPr="006B79EE">
              <w:rPr>
                <w:spacing w:val="-6"/>
                <w:lang w:val="en-GB"/>
              </w:rPr>
              <w:t>).</w:t>
            </w:r>
            <w:r>
              <w:rPr>
                <w:spacing w:val="-6"/>
                <w:lang w:val="en-GB"/>
              </w:rPr>
              <w:t xml:space="preserve"> In motor vehicle itself, the wages only stagnated, which could have been connected to the lower number of hours worked due to the unplanned production shutdown in October </w:t>
            </w:r>
            <w:r w:rsidRPr="006B79EE">
              <w:rPr>
                <w:spacing w:val="-6"/>
                <w:lang w:val="en-GB"/>
              </w:rPr>
              <w:t>(</w:t>
            </w:r>
            <w:r>
              <w:rPr>
                <w:spacing w:val="-6"/>
                <w:lang w:val="en-GB"/>
              </w:rPr>
              <w:t>the wage growth mildly lagged behind the whole industry here last year also in the yearly view</w:t>
            </w:r>
            <w:r w:rsidRPr="006B79EE">
              <w:rPr>
                <w:spacing w:val="-6"/>
                <w:lang w:val="en-GB"/>
              </w:rPr>
              <w:t>).</w:t>
            </w:r>
            <w:r>
              <w:rPr>
                <w:spacing w:val="-6"/>
                <w:lang w:val="en-GB"/>
              </w:rPr>
              <w:t xml:space="preserve"> In non-manufacturing industrial branches, the earnings grew by a faster pace. In case of mining and quarrying </w:t>
            </w:r>
            <w:r w:rsidRPr="006B79EE">
              <w:rPr>
                <w:spacing w:val="-6"/>
                <w:lang w:val="en-GB"/>
              </w:rPr>
              <w:t>(</w:t>
            </w:r>
            <w:proofErr w:type="gramStart"/>
            <w:r w:rsidRPr="006B79EE">
              <w:rPr>
                <w:spacing w:val="-6"/>
                <w:lang w:val="en-GB"/>
              </w:rPr>
              <w:t>+9</w:t>
            </w:r>
            <w:r>
              <w:rPr>
                <w:spacing w:val="-6"/>
                <w:lang w:val="en-GB"/>
              </w:rPr>
              <w:t>.</w:t>
            </w:r>
            <w:r w:rsidRPr="006B79EE">
              <w:rPr>
                <w:spacing w:val="-6"/>
                <w:lang w:val="en-GB"/>
              </w:rPr>
              <w:t>1%)</w:t>
            </w:r>
            <w:proofErr w:type="gramEnd"/>
            <w:r>
              <w:rPr>
                <w:spacing w:val="-6"/>
                <w:lang w:val="en-GB"/>
              </w:rPr>
              <w:t xml:space="preserve"> it was however accompanied by unprecedented deep drop of employment</w:t>
            </w:r>
            <w:r w:rsidRPr="006B79EE">
              <w:rPr>
                <w:spacing w:val="-6"/>
                <w:lang w:val="en-GB"/>
              </w:rPr>
              <w:t xml:space="preserve">. </w:t>
            </w:r>
            <w:r>
              <w:rPr>
                <w:spacing w:val="-6"/>
                <w:lang w:val="en-GB"/>
              </w:rPr>
              <w:t>Wages rose only by 3.7% in construction in Q</w:t>
            </w:r>
            <w:r w:rsidRPr="006B79EE">
              <w:rPr>
                <w:spacing w:val="-6"/>
                <w:lang w:val="en-GB"/>
              </w:rPr>
              <w:t>4</w:t>
            </w:r>
            <w:r>
              <w:rPr>
                <w:spacing w:val="-6"/>
                <w:lang w:val="en-GB"/>
              </w:rPr>
              <w:t xml:space="preserve"> </w:t>
            </w:r>
            <w:r w:rsidRPr="006B79EE">
              <w:rPr>
                <w:spacing w:val="-6"/>
                <w:lang w:val="en-GB"/>
              </w:rPr>
              <w:t>(</w:t>
            </w:r>
            <w:r>
              <w:rPr>
                <w:spacing w:val="-6"/>
                <w:lang w:val="en-GB"/>
              </w:rPr>
              <w:t xml:space="preserve">similarly to the rate for the whole year </w:t>
            </w:r>
            <w:r w:rsidRPr="006B79EE">
              <w:rPr>
                <w:spacing w:val="-6"/>
                <w:lang w:val="en-GB"/>
              </w:rPr>
              <w:t xml:space="preserve">2021), </w:t>
            </w:r>
            <w:r>
              <w:rPr>
                <w:spacing w:val="-6"/>
                <w:lang w:val="en-GB"/>
              </w:rPr>
              <w:t xml:space="preserve">despite strong demand for work accompanied by difficulties when searching for new employees. </w:t>
            </w:r>
          </w:p>
        </w:tc>
      </w:tr>
      <w:tr w:rsidR="00AC7ACA" w:rsidRPr="00191C35" w14:paraId="7EFF5E20" w14:textId="77777777" w:rsidTr="008E039E">
        <w:trPr>
          <w:trHeight w:val="145"/>
        </w:trPr>
        <w:tc>
          <w:tcPr>
            <w:tcW w:w="1600" w:type="dxa"/>
            <w:shd w:val="clear" w:color="auto" w:fill="auto"/>
            <w:tcMar>
              <w:left w:w="0" w:type="dxa"/>
            </w:tcMar>
          </w:tcPr>
          <w:p w14:paraId="099AF243" w14:textId="63293018" w:rsidR="00AC7ACA" w:rsidRPr="005F40CA" w:rsidRDefault="00AC7ACA" w:rsidP="00AC7ACA">
            <w:pPr>
              <w:pStyle w:val="Marginlie"/>
              <w:spacing w:after="120"/>
              <w:rPr>
                <w:lang w:val="en-GB"/>
              </w:rPr>
            </w:pPr>
            <w:r>
              <w:rPr>
                <w:lang w:val="en-GB"/>
              </w:rPr>
              <w:t xml:space="preserve">Wage growth </w:t>
            </w:r>
            <w:proofErr w:type="gramStart"/>
            <w:r>
              <w:rPr>
                <w:lang w:val="en-GB"/>
              </w:rPr>
              <w:t>was further noticeably differentiated</w:t>
            </w:r>
            <w:proofErr w:type="gramEnd"/>
            <w:r>
              <w:rPr>
                <w:lang w:val="en-GB"/>
              </w:rPr>
              <w:t xml:space="preserve"> in the public services. </w:t>
            </w:r>
          </w:p>
        </w:tc>
        <w:tc>
          <w:tcPr>
            <w:tcW w:w="189" w:type="dxa"/>
            <w:shd w:val="clear" w:color="auto" w:fill="auto"/>
            <w:tcMar>
              <w:left w:w="0" w:type="dxa"/>
            </w:tcMar>
          </w:tcPr>
          <w:p w14:paraId="184CA9C4" w14:textId="77777777" w:rsidR="00AC7ACA" w:rsidRPr="005F40CA" w:rsidRDefault="00AC7ACA" w:rsidP="00AC7ACA">
            <w:pPr>
              <w:pStyle w:val="Textpoznpodarou"/>
              <w:spacing w:after="120"/>
              <w:jc w:val="both"/>
              <w:rPr>
                <w:spacing w:val="-4"/>
                <w:lang w:val="en-GB"/>
              </w:rPr>
            </w:pPr>
          </w:p>
        </w:tc>
        <w:tc>
          <w:tcPr>
            <w:tcW w:w="7880" w:type="dxa"/>
            <w:shd w:val="clear" w:color="auto" w:fill="auto"/>
            <w:tcMar>
              <w:left w:w="0" w:type="dxa"/>
            </w:tcMar>
          </w:tcPr>
          <w:p w14:paraId="50198B3C" w14:textId="7DFD8AA8" w:rsidR="00AC7ACA" w:rsidRPr="005F40CA" w:rsidRDefault="00AC7ACA" w:rsidP="00506F4A">
            <w:pPr>
              <w:spacing w:after="200"/>
              <w:rPr>
                <w:spacing w:val="-4"/>
                <w:lang w:val="en-GB"/>
              </w:rPr>
            </w:pPr>
            <w:r>
              <w:rPr>
                <w:spacing w:val="-6"/>
                <w:lang w:val="en-GB"/>
              </w:rPr>
              <w:t>In the whole services sector, the average wage grew by a similar pace to manufacturing with its value (41.6 CZK thousand monthly) in Q</w:t>
            </w:r>
            <w:r w:rsidRPr="005F40CA">
              <w:rPr>
                <w:spacing w:val="-6"/>
                <w:lang w:val="en-GB"/>
              </w:rPr>
              <w:t>4</w:t>
            </w:r>
            <w:r>
              <w:rPr>
                <w:spacing w:val="-6"/>
                <w:lang w:val="en-GB"/>
              </w:rPr>
              <w:t xml:space="preserve"> </w:t>
            </w:r>
            <w:r w:rsidRPr="005F40CA">
              <w:rPr>
                <w:spacing w:val="-6"/>
                <w:lang w:val="en-GB"/>
              </w:rPr>
              <w:t>2021</w:t>
            </w:r>
            <w:r>
              <w:rPr>
                <w:spacing w:val="-6"/>
                <w:lang w:val="en-GB"/>
              </w:rPr>
              <w:t xml:space="preserve">, however it exceeded this branch by nearly one tenth. The development </w:t>
            </w:r>
            <w:proofErr w:type="gramStart"/>
            <w:r>
              <w:rPr>
                <w:spacing w:val="-6"/>
                <w:lang w:val="en-GB"/>
              </w:rPr>
              <w:t xml:space="preserve">was extraordinarily varied among services and oscillated considerably during the </w:t>
            </w:r>
            <w:r w:rsidRPr="00425EC2">
              <w:rPr>
                <w:spacing w:val="-6"/>
                <w:lang w:val="en-GB"/>
              </w:rPr>
              <w:t>year</w:t>
            </w:r>
            <w:proofErr w:type="gramEnd"/>
            <w:r w:rsidRPr="00425EC2">
              <w:rPr>
                <w:spacing w:val="-6"/>
                <w:lang w:val="en-GB"/>
              </w:rPr>
              <w:t xml:space="preserve">. The segment of services with a significant role of state illustrates this well. </w:t>
            </w:r>
            <w:proofErr w:type="gramStart"/>
            <w:r>
              <w:rPr>
                <w:spacing w:val="-6"/>
                <w:lang w:val="en-GB"/>
              </w:rPr>
              <w:t>If the wage growth was 6.2% in education thanks to the increase of the wage tariffs and paid out bonuses, in health and social care the average wages due to the high basis from the end of the year before the last</w:t>
            </w:r>
            <w:r w:rsidRPr="00425EC2">
              <w:rPr>
                <w:rStyle w:val="Znakapoznpodarou"/>
                <w:spacing w:val="-6"/>
                <w:lang w:val="en-GB"/>
              </w:rPr>
              <w:footnoteReference w:id="71"/>
            </w:r>
            <w:r w:rsidRPr="00425EC2">
              <w:rPr>
                <w:spacing w:val="-6"/>
                <w:lang w:val="en-GB"/>
              </w:rPr>
              <w:t xml:space="preserve"> </w:t>
            </w:r>
            <w:r>
              <w:rPr>
                <w:spacing w:val="-6"/>
                <w:lang w:val="en-GB"/>
              </w:rPr>
              <w:t xml:space="preserve">dropped by </w:t>
            </w:r>
            <w:r w:rsidRPr="00425EC2">
              <w:rPr>
                <w:spacing w:val="-6"/>
                <w:lang w:val="en-GB"/>
              </w:rPr>
              <w:t>8</w:t>
            </w:r>
            <w:r>
              <w:rPr>
                <w:spacing w:val="-6"/>
                <w:lang w:val="en-GB"/>
              </w:rPr>
              <w:t>.</w:t>
            </w:r>
            <w:r w:rsidRPr="00425EC2">
              <w:rPr>
                <w:spacing w:val="-6"/>
                <w:lang w:val="en-GB"/>
              </w:rPr>
              <w:t>1% (</w:t>
            </w:r>
            <w:r>
              <w:rPr>
                <w:spacing w:val="-6"/>
                <w:lang w:val="en-GB"/>
              </w:rPr>
              <w:t xml:space="preserve">they however increased by </w:t>
            </w:r>
            <w:r w:rsidRPr="00425EC2">
              <w:rPr>
                <w:spacing w:val="-6"/>
                <w:lang w:val="en-GB"/>
              </w:rPr>
              <w:t>12</w:t>
            </w:r>
            <w:r>
              <w:rPr>
                <w:spacing w:val="-6"/>
                <w:lang w:val="en-GB"/>
              </w:rPr>
              <w:t>.</w:t>
            </w:r>
            <w:r w:rsidRPr="00425EC2">
              <w:rPr>
                <w:spacing w:val="-6"/>
                <w:lang w:val="en-GB"/>
              </w:rPr>
              <w:t>2%</w:t>
            </w:r>
            <w:r>
              <w:rPr>
                <w:spacing w:val="-6"/>
                <w:lang w:val="en-GB"/>
              </w:rPr>
              <w:t xml:space="preserve"> for the whole last year</w:t>
            </w:r>
            <w:r w:rsidRPr="00425EC2">
              <w:rPr>
                <w:spacing w:val="-6"/>
                <w:lang w:val="en-GB"/>
              </w:rPr>
              <w:t xml:space="preserve">, </w:t>
            </w:r>
            <w:r>
              <w:rPr>
                <w:spacing w:val="-6"/>
                <w:lang w:val="en-GB"/>
              </w:rPr>
              <w:t>mainly thanks to the extraordinary Spring bonuses</w:t>
            </w:r>
            <w:r w:rsidRPr="00425EC2">
              <w:rPr>
                <w:spacing w:val="-6"/>
                <w:lang w:val="en-GB"/>
              </w:rPr>
              <w:t>).</w:t>
            </w:r>
            <w:proofErr w:type="gramEnd"/>
            <w:r w:rsidRPr="00425EC2">
              <w:rPr>
                <w:spacing w:val="-6"/>
                <w:lang w:val="en-GB"/>
              </w:rPr>
              <w:t xml:space="preserve"> The wages rose by 1.4% in p</w:t>
            </w:r>
            <w:r w:rsidRPr="00425EC2">
              <w:rPr>
                <w:rFonts w:cs="Arial"/>
                <w:szCs w:val="20"/>
                <w:lang w:val="en-GB"/>
              </w:rPr>
              <w:t>ublic administration, education, health and social work, the least in the last eight years.</w:t>
            </w:r>
            <w:r>
              <w:rPr>
                <w:rFonts w:cs="Arial"/>
                <w:szCs w:val="20"/>
              </w:rPr>
              <w:t xml:space="preserve"> </w:t>
            </w:r>
          </w:p>
        </w:tc>
      </w:tr>
      <w:tr w:rsidR="00AC7ACA" w:rsidRPr="00191C35" w14:paraId="6BE6939A" w14:textId="77777777" w:rsidTr="008E039E">
        <w:trPr>
          <w:trHeight w:val="145"/>
        </w:trPr>
        <w:tc>
          <w:tcPr>
            <w:tcW w:w="1600" w:type="dxa"/>
            <w:shd w:val="clear" w:color="auto" w:fill="auto"/>
            <w:tcMar>
              <w:left w:w="0" w:type="dxa"/>
            </w:tcMar>
          </w:tcPr>
          <w:p w14:paraId="25CAEFF5" w14:textId="46CCD437" w:rsidR="00AC7ACA" w:rsidRPr="00D931D5" w:rsidRDefault="00AC7ACA" w:rsidP="00AC7ACA">
            <w:pPr>
              <w:pStyle w:val="Marginlie"/>
              <w:spacing w:after="120"/>
              <w:rPr>
                <w:lang w:val="en-GB"/>
              </w:rPr>
            </w:pPr>
            <w:r>
              <w:rPr>
                <w:lang w:val="en-GB"/>
              </w:rPr>
              <w:t xml:space="preserve">Wages significantly strengthened after the decrease in the first year of the pandemics in trade, accommodation, food service and restaurants last year. </w:t>
            </w:r>
          </w:p>
        </w:tc>
        <w:tc>
          <w:tcPr>
            <w:tcW w:w="189" w:type="dxa"/>
            <w:shd w:val="clear" w:color="auto" w:fill="auto"/>
            <w:tcMar>
              <w:left w:w="0" w:type="dxa"/>
            </w:tcMar>
          </w:tcPr>
          <w:p w14:paraId="75644711" w14:textId="77777777" w:rsidR="00AC7ACA" w:rsidRPr="00D931D5" w:rsidRDefault="00AC7ACA" w:rsidP="00AC7ACA">
            <w:pPr>
              <w:pStyle w:val="Textpoznpodarou"/>
              <w:spacing w:after="120"/>
              <w:jc w:val="both"/>
              <w:rPr>
                <w:spacing w:val="-4"/>
                <w:lang w:val="en-GB"/>
              </w:rPr>
            </w:pPr>
          </w:p>
        </w:tc>
        <w:tc>
          <w:tcPr>
            <w:tcW w:w="7880" w:type="dxa"/>
            <w:shd w:val="clear" w:color="auto" w:fill="auto"/>
            <w:tcMar>
              <w:left w:w="0" w:type="dxa"/>
            </w:tcMar>
          </w:tcPr>
          <w:p w14:paraId="230758CE" w14:textId="48E4BBA5" w:rsidR="00AC7ACA" w:rsidRPr="00D931D5" w:rsidRDefault="00AC7ACA" w:rsidP="00AC7ACA">
            <w:pPr>
              <w:rPr>
                <w:spacing w:val="-4"/>
                <w:lang w:val="en-GB"/>
              </w:rPr>
            </w:pPr>
            <w:r>
              <w:rPr>
                <w:spacing w:val="-4"/>
                <w:lang w:val="en-GB"/>
              </w:rPr>
              <w:t>Real estate activities stood out among the services branches in Q</w:t>
            </w:r>
            <w:r w:rsidRPr="00D931D5">
              <w:rPr>
                <w:spacing w:val="-4"/>
                <w:lang w:val="en-GB"/>
              </w:rPr>
              <w:t>4</w:t>
            </w:r>
            <w:r>
              <w:rPr>
                <w:spacing w:val="-4"/>
                <w:lang w:val="en-GB"/>
              </w:rPr>
              <w:t xml:space="preserve"> </w:t>
            </w:r>
            <w:r w:rsidRPr="00D931D5">
              <w:rPr>
                <w:spacing w:val="-4"/>
                <w:lang w:val="en-GB"/>
              </w:rPr>
              <w:t>(</w:t>
            </w:r>
            <w:proofErr w:type="gramStart"/>
            <w:r>
              <w:rPr>
                <w:spacing w:val="-4"/>
                <w:lang w:val="en-GB"/>
              </w:rPr>
              <w:t>and also</w:t>
            </w:r>
            <w:proofErr w:type="gramEnd"/>
            <w:r>
              <w:rPr>
                <w:spacing w:val="-4"/>
                <w:lang w:val="en-GB"/>
              </w:rPr>
              <w:t xml:space="preserve"> during the whole last year</w:t>
            </w:r>
            <w:r w:rsidRPr="00D931D5">
              <w:rPr>
                <w:spacing w:val="-4"/>
                <w:lang w:val="en-GB"/>
              </w:rPr>
              <w:t>)</w:t>
            </w:r>
            <w:r>
              <w:rPr>
                <w:spacing w:val="-4"/>
                <w:lang w:val="en-GB"/>
              </w:rPr>
              <w:t xml:space="preserve"> and their </w:t>
            </w:r>
            <w:r>
              <w:rPr>
                <w:spacing w:val="-5"/>
                <w:lang w:val="en-GB"/>
              </w:rPr>
              <w:t>year-on-year growth of sales attained double digit values</w:t>
            </w:r>
            <w:r w:rsidRPr="00D931D5">
              <w:rPr>
                <w:rStyle w:val="Znakapoznpodarou"/>
                <w:spacing w:val="-5"/>
                <w:lang w:val="en-GB"/>
              </w:rPr>
              <w:footnoteReference w:id="72"/>
            </w:r>
            <w:r w:rsidRPr="00D931D5">
              <w:rPr>
                <w:spacing w:val="-5"/>
                <w:lang w:val="en-GB"/>
              </w:rPr>
              <w:t>. S</w:t>
            </w:r>
            <w:r>
              <w:rPr>
                <w:spacing w:val="-5"/>
                <w:lang w:val="en-GB"/>
              </w:rPr>
              <w:t xml:space="preserve">wift wage growth in the key branch of trade </w:t>
            </w:r>
            <w:r w:rsidRPr="00D931D5">
              <w:rPr>
                <w:spacing w:val="-5"/>
                <w:lang w:val="en-GB"/>
              </w:rPr>
              <w:t>(+8</w:t>
            </w:r>
            <w:r>
              <w:rPr>
                <w:spacing w:val="-5"/>
                <w:lang w:val="en-GB"/>
              </w:rPr>
              <w:t>.</w:t>
            </w:r>
            <w:r w:rsidRPr="00D931D5">
              <w:rPr>
                <w:spacing w:val="-5"/>
                <w:lang w:val="en-GB"/>
              </w:rPr>
              <w:t>9%)</w:t>
            </w:r>
            <w:r>
              <w:rPr>
                <w:spacing w:val="-5"/>
                <w:lang w:val="en-GB"/>
              </w:rPr>
              <w:t xml:space="preserve"> was associated with the lowered basis from year </w:t>
            </w:r>
            <w:r w:rsidRPr="00D931D5">
              <w:rPr>
                <w:spacing w:val="-5"/>
                <w:lang w:val="en-GB"/>
              </w:rPr>
              <w:t>2020</w:t>
            </w:r>
            <w:r>
              <w:rPr>
                <w:spacing w:val="-5"/>
                <w:lang w:val="en-GB"/>
              </w:rPr>
              <w:t xml:space="preserve"> </w:t>
            </w:r>
            <w:proofErr w:type="gramStart"/>
            <w:r>
              <w:rPr>
                <w:spacing w:val="-5"/>
                <w:lang w:val="en-GB"/>
              </w:rPr>
              <w:t>as a result</w:t>
            </w:r>
            <w:proofErr w:type="gramEnd"/>
            <w:r>
              <w:rPr>
                <w:spacing w:val="-5"/>
                <w:lang w:val="en-GB"/>
              </w:rPr>
              <w:t xml:space="preserve"> of considerable limitation of sale due to the government restrictions. The effect of the post crisis revival was even more visible in accommodation, food service and restaurants </w:t>
            </w:r>
            <w:r w:rsidRPr="00D931D5">
              <w:rPr>
                <w:spacing w:val="-5"/>
                <w:lang w:val="en-GB"/>
              </w:rPr>
              <w:t>(+9</w:t>
            </w:r>
            <w:r>
              <w:rPr>
                <w:spacing w:val="-5"/>
                <w:lang w:val="en-GB"/>
              </w:rPr>
              <w:t>.</w:t>
            </w:r>
            <w:r w:rsidRPr="00D931D5">
              <w:rPr>
                <w:spacing w:val="-5"/>
                <w:lang w:val="en-GB"/>
              </w:rPr>
              <w:t xml:space="preserve">7%), </w:t>
            </w:r>
            <w:r>
              <w:rPr>
                <w:spacing w:val="-5"/>
                <w:lang w:val="en-GB"/>
              </w:rPr>
              <w:t xml:space="preserve">the level of average wages was the lower from all branches here, when it reached only one third of earnings of branch information and communication (where it was </w:t>
            </w:r>
            <w:r w:rsidRPr="00D931D5">
              <w:rPr>
                <w:spacing w:val="-5"/>
                <w:lang w:val="en-GB"/>
              </w:rPr>
              <w:t>66 </w:t>
            </w:r>
            <w:r>
              <w:rPr>
                <w:spacing w:val="-5"/>
                <w:lang w:val="en-GB"/>
              </w:rPr>
              <w:t>CZK thousand monthly</w:t>
            </w:r>
            <w:r w:rsidRPr="00D931D5">
              <w:rPr>
                <w:spacing w:val="-5"/>
                <w:lang w:val="en-GB"/>
              </w:rPr>
              <w:t xml:space="preserve">). </w:t>
            </w:r>
            <w:r>
              <w:rPr>
                <w:spacing w:val="-5"/>
                <w:lang w:val="en-GB"/>
              </w:rPr>
              <w:t xml:space="preserve">Wages in financial and insurance activities remained tightly below </w:t>
            </w:r>
            <w:r w:rsidRPr="00D931D5">
              <w:rPr>
                <w:spacing w:val="-5"/>
                <w:lang w:val="en-GB"/>
              </w:rPr>
              <w:t>60 </w:t>
            </w:r>
            <w:r>
              <w:rPr>
                <w:spacing w:val="-5"/>
                <w:lang w:val="en-GB"/>
              </w:rPr>
              <w:t xml:space="preserve">CZK thousand. It is apparent especially from the annual view, that </w:t>
            </w:r>
            <w:proofErr w:type="gramStart"/>
            <w:r>
              <w:rPr>
                <w:spacing w:val="-5"/>
                <w:lang w:val="en-GB"/>
              </w:rPr>
              <w:t>both by</w:t>
            </w:r>
            <w:proofErr w:type="gramEnd"/>
            <w:r>
              <w:rPr>
                <w:spacing w:val="-5"/>
                <w:lang w:val="en-GB"/>
              </w:rPr>
              <w:t xml:space="preserve"> the level of earnings and especially creation of new job positions, this branch rather lags behind the dynamically developing ICT area. Wages of employees in administrative and support services activities improved on average by </w:t>
            </w:r>
            <w:r w:rsidRPr="00D931D5">
              <w:rPr>
                <w:spacing w:val="-5"/>
                <w:lang w:val="en-GB"/>
              </w:rPr>
              <w:t>8</w:t>
            </w:r>
            <w:r>
              <w:rPr>
                <w:spacing w:val="-5"/>
                <w:lang w:val="en-GB"/>
              </w:rPr>
              <w:t>.</w:t>
            </w:r>
            <w:r w:rsidRPr="00D931D5">
              <w:rPr>
                <w:spacing w:val="-5"/>
                <w:lang w:val="en-GB"/>
              </w:rPr>
              <w:t>5%</w:t>
            </w:r>
            <w:r>
              <w:rPr>
                <w:spacing w:val="-5"/>
                <w:lang w:val="en-GB"/>
              </w:rPr>
              <w:t xml:space="preserve"> year-on-year</w:t>
            </w:r>
            <w:r w:rsidRPr="00D931D5">
              <w:rPr>
                <w:spacing w:val="-5"/>
                <w:lang w:val="en-GB"/>
              </w:rPr>
              <w:t xml:space="preserve">, </w:t>
            </w:r>
            <w:r>
              <w:rPr>
                <w:spacing w:val="-5"/>
                <w:lang w:val="en-GB"/>
              </w:rPr>
              <w:t xml:space="preserve">the size of their earnings however reached only two thirds of the level of the national economy. </w:t>
            </w:r>
          </w:p>
        </w:tc>
      </w:tr>
      <w:tr w:rsidR="00AC7ACA" w:rsidRPr="00191C35" w14:paraId="7DA68FB2" w14:textId="77777777" w:rsidTr="008E039E">
        <w:trPr>
          <w:trHeight w:val="145"/>
        </w:trPr>
        <w:tc>
          <w:tcPr>
            <w:tcW w:w="1600" w:type="dxa"/>
            <w:shd w:val="clear" w:color="auto" w:fill="auto"/>
            <w:tcMar>
              <w:left w:w="0" w:type="dxa"/>
            </w:tcMar>
          </w:tcPr>
          <w:p w14:paraId="07B960B4" w14:textId="063DCAA3" w:rsidR="00AC7ACA" w:rsidRPr="00D931D5" w:rsidRDefault="00AC7ACA" w:rsidP="00AC7ACA">
            <w:pPr>
              <w:pStyle w:val="Marginlie"/>
              <w:spacing w:after="120"/>
              <w:rPr>
                <w:lang w:val="en-GB"/>
              </w:rPr>
            </w:pPr>
            <w:r>
              <w:rPr>
                <w:lang w:val="en-GB"/>
              </w:rPr>
              <w:t>The real wage decreased in the majority of significant branches in Q</w:t>
            </w:r>
            <w:r w:rsidRPr="00D931D5">
              <w:rPr>
                <w:lang w:val="en-GB"/>
              </w:rPr>
              <w:t>4.</w:t>
            </w:r>
          </w:p>
        </w:tc>
        <w:tc>
          <w:tcPr>
            <w:tcW w:w="189" w:type="dxa"/>
            <w:shd w:val="clear" w:color="auto" w:fill="auto"/>
            <w:tcMar>
              <w:left w:w="0" w:type="dxa"/>
            </w:tcMar>
          </w:tcPr>
          <w:p w14:paraId="6DBF8047" w14:textId="77777777" w:rsidR="00AC7ACA" w:rsidRPr="00D931D5" w:rsidRDefault="00AC7ACA" w:rsidP="00AC7ACA">
            <w:pPr>
              <w:pStyle w:val="Textpoznpodarou"/>
              <w:spacing w:after="120"/>
              <w:jc w:val="both"/>
              <w:rPr>
                <w:spacing w:val="-4"/>
                <w:lang w:val="en-GB"/>
              </w:rPr>
            </w:pPr>
          </w:p>
        </w:tc>
        <w:tc>
          <w:tcPr>
            <w:tcW w:w="7880" w:type="dxa"/>
            <w:shd w:val="clear" w:color="auto" w:fill="auto"/>
            <w:tcMar>
              <w:left w:w="0" w:type="dxa"/>
            </w:tcMar>
          </w:tcPr>
          <w:p w14:paraId="66A9080C" w14:textId="06C3112B" w:rsidR="00AC7ACA" w:rsidRPr="00D931D5" w:rsidRDefault="00AC7ACA" w:rsidP="00AC7ACA">
            <w:pPr>
              <w:rPr>
                <w:spacing w:val="-4"/>
                <w:lang w:val="en-GB"/>
              </w:rPr>
            </w:pPr>
            <w:r>
              <w:rPr>
                <w:spacing w:val="-4"/>
                <w:lang w:val="en-GB"/>
              </w:rPr>
              <w:t xml:space="preserve">The average nominal wage increased by 6.1% in total for the last year </w:t>
            </w:r>
            <w:r w:rsidRPr="00D931D5">
              <w:rPr>
                <w:spacing w:val="-4"/>
                <w:lang w:val="en-GB"/>
              </w:rPr>
              <w:t>(</w:t>
            </w:r>
            <w:r>
              <w:rPr>
                <w:spacing w:val="-4"/>
                <w:lang w:val="en-GB"/>
              </w:rPr>
              <w:t>doubled pace in comparison to the first year of pandemics</w:t>
            </w:r>
            <w:r w:rsidRPr="00D931D5">
              <w:rPr>
                <w:spacing w:val="-4"/>
                <w:lang w:val="en-GB"/>
              </w:rPr>
              <w:t>),</w:t>
            </w:r>
            <w:r>
              <w:rPr>
                <w:spacing w:val="-4"/>
                <w:lang w:val="en-GB"/>
              </w:rPr>
              <w:t xml:space="preserve"> which was sufficient to its return to real growth. </w:t>
            </w:r>
            <w:proofErr w:type="gramStart"/>
            <w:r>
              <w:rPr>
                <w:spacing w:val="-4"/>
                <w:lang w:val="en-GB"/>
              </w:rPr>
              <w:t>Nevertheless</w:t>
            </w:r>
            <w:proofErr w:type="gramEnd"/>
            <w:r>
              <w:rPr>
                <w:spacing w:val="-4"/>
                <w:lang w:val="en-GB"/>
              </w:rPr>
              <w:t xml:space="preserve"> due to the accelerating consumer inflation the </w:t>
            </w:r>
            <w:r w:rsidRPr="00C16556">
              <w:rPr>
                <w:spacing w:val="-4"/>
                <w:lang w:val="en-GB"/>
              </w:rPr>
              <w:t xml:space="preserve">last year’s real growth was the lowest after year 2013. </w:t>
            </w:r>
            <w:r>
              <w:rPr>
                <w:spacing w:val="-4"/>
                <w:lang w:val="en-GB"/>
              </w:rPr>
              <w:t>The purchasing power of average employee earnings however decreased by even 2% year-on-year in Q4 2021 itself</w:t>
            </w:r>
            <w:r w:rsidRPr="00C16556">
              <w:rPr>
                <w:spacing w:val="-4"/>
                <w:lang w:val="en-GB"/>
              </w:rPr>
              <w:t xml:space="preserve">. Among the more significant </w:t>
            </w:r>
            <w:proofErr w:type="gramStart"/>
            <w:r w:rsidRPr="00C16556">
              <w:rPr>
                <w:spacing w:val="-4"/>
                <w:lang w:val="en-GB"/>
              </w:rPr>
              <w:t>branches</w:t>
            </w:r>
            <w:proofErr w:type="gramEnd"/>
            <w:r w:rsidRPr="00C16556">
              <w:rPr>
                <w:rStyle w:val="Znakapoznpodarou"/>
                <w:spacing w:val="-4"/>
                <w:lang w:val="en-GB"/>
              </w:rPr>
              <w:footnoteReference w:id="73"/>
            </w:r>
            <w:r w:rsidRPr="00C16556">
              <w:rPr>
                <w:spacing w:val="-4"/>
                <w:lang w:val="en-GB"/>
              </w:rPr>
              <w:t xml:space="preserve"> thus only employees in trade, transportation and warehousing and also in education had at their disposal higher purchasing power.</w:t>
            </w:r>
            <w:r>
              <w:rPr>
                <w:spacing w:val="-4"/>
                <w:lang w:val="en-GB"/>
              </w:rPr>
              <w:t xml:space="preserve"> </w:t>
            </w:r>
          </w:p>
        </w:tc>
      </w:tr>
      <w:tr w:rsidR="00AC7ACA" w:rsidRPr="00191C35" w14:paraId="4185725E" w14:textId="77777777" w:rsidTr="008E039E">
        <w:trPr>
          <w:trHeight w:val="145"/>
        </w:trPr>
        <w:tc>
          <w:tcPr>
            <w:tcW w:w="1600" w:type="dxa"/>
            <w:shd w:val="clear" w:color="auto" w:fill="auto"/>
            <w:tcMar>
              <w:left w:w="0" w:type="dxa"/>
            </w:tcMar>
          </w:tcPr>
          <w:p w14:paraId="79E3899C" w14:textId="0CE6FAE5" w:rsidR="00AC7ACA" w:rsidRPr="00DF2AD9" w:rsidRDefault="00AC7ACA" w:rsidP="00AC7ACA">
            <w:pPr>
              <w:pStyle w:val="Marginlie"/>
              <w:spacing w:after="120"/>
              <w:rPr>
                <w:lang w:val="en-GB"/>
              </w:rPr>
            </w:pPr>
            <w:r>
              <w:rPr>
                <w:lang w:val="en-GB"/>
              </w:rPr>
              <w:t>Wage median grew faster than the average wage in Q</w:t>
            </w:r>
            <w:r w:rsidRPr="00DF2AD9">
              <w:rPr>
                <w:lang w:val="en-GB"/>
              </w:rPr>
              <w:t>4.</w:t>
            </w:r>
          </w:p>
        </w:tc>
        <w:tc>
          <w:tcPr>
            <w:tcW w:w="189" w:type="dxa"/>
            <w:shd w:val="clear" w:color="auto" w:fill="auto"/>
            <w:tcMar>
              <w:left w:w="0" w:type="dxa"/>
            </w:tcMar>
          </w:tcPr>
          <w:p w14:paraId="29231FE2" w14:textId="77777777" w:rsidR="00AC7ACA" w:rsidRPr="00DF2AD9" w:rsidRDefault="00AC7ACA" w:rsidP="00AC7ACA">
            <w:pPr>
              <w:pStyle w:val="Textpoznpodarou"/>
              <w:spacing w:after="120"/>
              <w:jc w:val="both"/>
              <w:rPr>
                <w:spacing w:val="-4"/>
                <w:lang w:val="en-GB"/>
              </w:rPr>
            </w:pPr>
          </w:p>
        </w:tc>
        <w:tc>
          <w:tcPr>
            <w:tcW w:w="7880" w:type="dxa"/>
            <w:shd w:val="clear" w:color="auto" w:fill="auto"/>
            <w:tcMar>
              <w:left w:w="0" w:type="dxa"/>
            </w:tcMar>
          </w:tcPr>
          <w:p w14:paraId="438ADE78" w14:textId="120AC825" w:rsidR="00AC7ACA" w:rsidRPr="00DF2AD9" w:rsidRDefault="00AC7ACA" w:rsidP="00AC7ACA">
            <w:pPr>
              <w:rPr>
                <w:spacing w:val="-4"/>
                <w:lang w:val="en-GB"/>
              </w:rPr>
            </w:pPr>
            <w:r>
              <w:rPr>
                <w:bCs/>
                <w:spacing w:val="-4"/>
                <w:lang w:val="en-GB"/>
              </w:rPr>
              <w:t xml:space="preserve">Wage median attained </w:t>
            </w:r>
            <w:r w:rsidRPr="00DF2AD9">
              <w:rPr>
                <w:bCs/>
                <w:spacing w:val="-4"/>
                <w:lang w:val="en-GB"/>
              </w:rPr>
              <w:t>36</w:t>
            </w:r>
            <w:r>
              <w:rPr>
                <w:bCs/>
                <w:spacing w:val="-4"/>
                <w:lang w:val="en-GB"/>
              </w:rPr>
              <w:t>.</w:t>
            </w:r>
            <w:r w:rsidRPr="00DF2AD9">
              <w:rPr>
                <w:bCs/>
                <w:spacing w:val="-4"/>
                <w:lang w:val="en-GB"/>
              </w:rPr>
              <w:t>8</w:t>
            </w:r>
            <w:r>
              <w:rPr>
                <w:bCs/>
                <w:spacing w:val="-4"/>
                <w:lang w:val="en-GB"/>
              </w:rPr>
              <w:t xml:space="preserve"> CZK thousand for males</w:t>
            </w:r>
            <w:r w:rsidRPr="00DF2AD9">
              <w:rPr>
                <w:bCs/>
                <w:spacing w:val="-4"/>
                <w:lang w:val="en-GB"/>
              </w:rPr>
              <w:t>,</w:t>
            </w:r>
            <w:r>
              <w:rPr>
                <w:bCs/>
                <w:spacing w:val="-4"/>
                <w:lang w:val="en-GB"/>
              </w:rPr>
              <w:t xml:space="preserve"> </w:t>
            </w:r>
            <w:r w:rsidRPr="00DF2AD9">
              <w:rPr>
                <w:bCs/>
                <w:spacing w:val="-4"/>
                <w:lang w:val="en-GB"/>
              </w:rPr>
              <w:t>31</w:t>
            </w:r>
            <w:r>
              <w:rPr>
                <w:bCs/>
                <w:spacing w:val="-4"/>
                <w:lang w:val="en-GB"/>
              </w:rPr>
              <w:t>.</w:t>
            </w:r>
            <w:r w:rsidRPr="00DF2AD9">
              <w:rPr>
                <w:bCs/>
                <w:spacing w:val="-4"/>
                <w:lang w:val="en-GB"/>
              </w:rPr>
              <w:t>7</w:t>
            </w:r>
            <w:r>
              <w:rPr>
                <w:bCs/>
                <w:spacing w:val="-4"/>
                <w:lang w:val="en-GB"/>
              </w:rPr>
              <w:t xml:space="preserve"> CZK thousand for females in Q4</w:t>
            </w:r>
            <w:r w:rsidRPr="00DF2AD9">
              <w:rPr>
                <w:bCs/>
                <w:spacing w:val="-4"/>
                <w:lang w:val="en-GB"/>
              </w:rPr>
              <w:t>.</w:t>
            </w:r>
            <w:r>
              <w:rPr>
                <w:bCs/>
                <w:spacing w:val="-4"/>
                <w:lang w:val="en-GB"/>
              </w:rPr>
              <w:t xml:space="preserve"> </w:t>
            </w:r>
            <w:r w:rsidRPr="00DF2AD9">
              <w:rPr>
                <w:bCs/>
                <w:spacing w:val="-4"/>
                <w:lang w:val="en-GB"/>
              </w:rPr>
              <w:t xml:space="preserve"> </w:t>
            </w:r>
            <w:r>
              <w:rPr>
                <w:bCs/>
                <w:spacing w:val="-4"/>
                <w:lang w:val="en-GB"/>
              </w:rPr>
              <w:t xml:space="preserve">In contrast to the previous part of the last </w:t>
            </w:r>
            <w:proofErr w:type="gramStart"/>
            <w:r>
              <w:rPr>
                <w:bCs/>
                <w:spacing w:val="-4"/>
                <w:lang w:val="en-GB"/>
              </w:rPr>
              <w:t>year</w:t>
            </w:r>
            <w:proofErr w:type="gramEnd"/>
            <w:r>
              <w:rPr>
                <w:bCs/>
                <w:spacing w:val="-4"/>
                <w:lang w:val="en-GB"/>
              </w:rPr>
              <w:t xml:space="preserve"> it increased more for males year-on-year </w:t>
            </w:r>
            <w:r w:rsidRPr="00DF2AD9">
              <w:rPr>
                <w:bCs/>
                <w:spacing w:val="-4"/>
                <w:lang w:val="en-GB"/>
              </w:rPr>
              <w:t>(5</w:t>
            </w:r>
            <w:r>
              <w:rPr>
                <w:bCs/>
                <w:spacing w:val="-4"/>
                <w:lang w:val="en-GB"/>
              </w:rPr>
              <w:t>.</w:t>
            </w:r>
            <w:r w:rsidRPr="00DF2AD9">
              <w:rPr>
                <w:bCs/>
                <w:spacing w:val="-4"/>
                <w:lang w:val="en-GB"/>
              </w:rPr>
              <w:t>4%)</w:t>
            </w:r>
            <w:r>
              <w:rPr>
                <w:bCs/>
                <w:spacing w:val="-4"/>
                <w:lang w:val="en-GB"/>
              </w:rPr>
              <w:t xml:space="preserve"> </w:t>
            </w:r>
            <w:r>
              <w:rPr>
                <w:bCs/>
                <w:spacing w:val="-4"/>
                <w:lang w:val="en-GB"/>
              </w:rPr>
              <w:lastRenderedPageBreak/>
              <w:t xml:space="preserve">than females </w:t>
            </w:r>
            <w:r w:rsidRPr="00DF2AD9">
              <w:rPr>
                <w:bCs/>
                <w:spacing w:val="-4"/>
                <w:lang w:val="en-GB"/>
              </w:rPr>
              <w:t>(4</w:t>
            </w:r>
            <w:r>
              <w:rPr>
                <w:bCs/>
                <w:spacing w:val="-4"/>
                <w:lang w:val="en-GB"/>
              </w:rPr>
              <w:t>.</w:t>
            </w:r>
            <w:r w:rsidRPr="00DF2AD9">
              <w:rPr>
                <w:bCs/>
                <w:spacing w:val="-4"/>
                <w:lang w:val="en-GB"/>
              </w:rPr>
              <w:t>6%). M</w:t>
            </w:r>
            <w:r>
              <w:rPr>
                <w:bCs/>
                <w:spacing w:val="-4"/>
                <w:lang w:val="en-GB"/>
              </w:rPr>
              <w:t xml:space="preserve">oderate widening of the wage differentiation signal in the preceding part of the year thus presumably halted. </w:t>
            </w:r>
          </w:p>
        </w:tc>
      </w:tr>
      <w:tr w:rsidR="00AC7ACA" w:rsidRPr="00191C35" w14:paraId="3E51F1BF" w14:textId="77777777" w:rsidTr="008E039E">
        <w:trPr>
          <w:trHeight w:val="145"/>
        </w:trPr>
        <w:tc>
          <w:tcPr>
            <w:tcW w:w="1600" w:type="dxa"/>
            <w:shd w:val="clear" w:color="auto" w:fill="auto"/>
            <w:tcMar>
              <w:left w:w="0" w:type="dxa"/>
            </w:tcMar>
          </w:tcPr>
          <w:p w14:paraId="378152A5" w14:textId="77777777" w:rsidR="00AC7ACA" w:rsidRDefault="00AC7ACA" w:rsidP="00AC7ACA">
            <w:pPr>
              <w:pStyle w:val="Marginlie"/>
              <w:spacing w:after="120"/>
            </w:pPr>
          </w:p>
        </w:tc>
        <w:tc>
          <w:tcPr>
            <w:tcW w:w="189" w:type="dxa"/>
            <w:shd w:val="clear" w:color="auto" w:fill="auto"/>
            <w:tcMar>
              <w:left w:w="0" w:type="dxa"/>
            </w:tcMar>
          </w:tcPr>
          <w:p w14:paraId="774C5D41"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47A2743C" w14:textId="16BA931D" w:rsidR="00AC7ACA" w:rsidRPr="00716203" w:rsidRDefault="00AC7ACA" w:rsidP="00AC7ACA">
            <w:pPr>
              <w:spacing w:after="0"/>
              <w:rPr>
                <w:spacing w:val="-4"/>
              </w:rPr>
            </w:pPr>
            <w:r>
              <w:rPr>
                <w:b/>
                <w:spacing w:val="-4"/>
              </w:rPr>
              <w:t>Chart 16</w:t>
            </w:r>
            <w:r w:rsidRPr="003E01D3">
              <w:rPr>
                <w:b/>
                <w:spacing w:val="-4"/>
              </w:rPr>
              <w:t xml:space="preserve">  </w:t>
            </w:r>
            <w:r>
              <w:rPr>
                <w:b/>
                <w:spacing w:val="-2"/>
                <w:lang w:val="en-GB"/>
              </w:rPr>
              <w:t xml:space="preserve">Average nominal and real wage and wage median </w:t>
            </w:r>
            <w:r>
              <w:rPr>
                <w:spacing w:val="-2"/>
                <w:lang w:val="en-GB"/>
              </w:rPr>
              <w:t>(year-on-year, in %)</w:t>
            </w:r>
          </w:p>
        </w:tc>
      </w:tr>
      <w:tr w:rsidR="00AC7ACA" w:rsidRPr="00191C35" w14:paraId="20724711" w14:textId="77777777" w:rsidTr="00D73223">
        <w:tblPrEx>
          <w:tblCellMar>
            <w:left w:w="70" w:type="dxa"/>
            <w:right w:w="70" w:type="dxa"/>
          </w:tblCellMar>
        </w:tblPrEx>
        <w:trPr>
          <w:trHeight w:val="145"/>
        </w:trPr>
        <w:tc>
          <w:tcPr>
            <w:tcW w:w="1600" w:type="dxa"/>
            <w:shd w:val="clear" w:color="auto" w:fill="auto"/>
          </w:tcPr>
          <w:p w14:paraId="68B3FEF5" w14:textId="77777777" w:rsidR="00AC7ACA" w:rsidRDefault="00AC7ACA" w:rsidP="00AC7ACA">
            <w:pPr>
              <w:pStyle w:val="Marginlie"/>
              <w:spacing w:after="120"/>
            </w:pPr>
          </w:p>
        </w:tc>
        <w:tc>
          <w:tcPr>
            <w:tcW w:w="189" w:type="dxa"/>
            <w:shd w:val="clear" w:color="auto" w:fill="auto"/>
          </w:tcPr>
          <w:p w14:paraId="5C48DD49" w14:textId="77777777" w:rsidR="00AC7ACA" w:rsidRPr="00B43216" w:rsidRDefault="00AC7ACA" w:rsidP="00AC7ACA">
            <w:pPr>
              <w:pStyle w:val="Textpoznpodarou"/>
              <w:spacing w:after="120"/>
              <w:jc w:val="both"/>
              <w:rPr>
                <w:spacing w:val="-4"/>
              </w:rPr>
            </w:pPr>
          </w:p>
        </w:tc>
        <w:tc>
          <w:tcPr>
            <w:tcW w:w="7880" w:type="dxa"/>
            <w:shd w:val="clear" w:color="auto" w:fill="auto"/>
          </w:tcPr>
          <w:p w14:paraId="725E2304" w14:textId="6B463AE7" w:rsidR="00AC7ACA" w:rsidRPr="003E01D3" w:rsidRDefault="00D73223" w:rsidP="00AC7ACA">
            <w:pPr>
              <w:spacing w:after="0"/>
              <w:rPr>
                <w:b/>
                <w:spacing w:val="-4"/>
              </w:rPr>
            </w:pPr>
            <w:r>
              <w:rPr>
                <w:noProof/>
              </w:rPr>
              <w:drawing>
                <wp:inline distT="0" distB="0" distL="0" distR="0" wp14:anchorId="004EB2D2" wp14:editId="54447A5F">
                  <wp:extent cx="4794389" cy="3616712"/>
                  <wp:effectExtent l="0" t="0" r="6350" b="31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C7ACA" w:rsidRPr="00191C35" w14:paraId="77FC60D3" w14:textId="77777777" w:rsidTr="008E039E">
        <w:trPr>
          <w:trHeight w:val="145"/>
        </w:trPr>
        <w:tc>
          <w:tcPr>
            <w:tcW w:w="1600" w:type="dxa"/>
            <w:shd w:val="clear" w:color="auto" w:fill="auto"/>
            <w:tcMar>
              <w:left w:w="0" w:type="dxa"/>
            </w:tcMar>
          </w:tcPr>
          <w:p w14:paraId="5B1D1F55" w14:textId="77777777" w:rsidR="00AC7ACA" w:rsidRDefault="00AC7ACA" w:rsidP="00AC7ACA">
            <w:pPr>
              <w:pStyle w:val="Marginlie"/>
              <w:spacing w:after="120"/>
            </w:pPr>
          </w:p>
        </w:tc>
        <w:tc>
          <w:tcPr>
            <w:tcW w:w="189" w:type="dxa"/>
            <w:shd w:val="clear" w:color="auto" w:fill="auto"/>
            <w:tcMar>
              <w:left w:w="0" w:type="dxa"/>
            </w:tcMar>
          </w:tcPr>
          <w:p w14:paraId="0747D6A6" w14:textId="77777777" w:rsidR="00AC7ACA" w:rsidRPr="00B43216" w:rsidRDefault="00AC7ACA" w:rsidP="00AC7ACA">
            <w:pPr>
              <w:pStyle w:val="Textpoznpodarou"/>
              <w:spacing w:after="120"/>
              <w:jc w:val="both"/>
              <w:rPr>
                <w:spacing w:val="-4"/>
              </w:rPr>
            </w:pPr>
          </w:p>
        </w:tc>
        <w:tc>
          <w:tcPr>
            <w:tcW w:w="7880" w:type="dxa"/>
            <w:shd w:val="clear" w:color="auto" w:fill="auto"/>
            <w:tcMar>
              <w:left w:w="0" w:type="dxa"/>
            </w:tcMar>
          </w:tcPr>
          <w:p w14:paraId="3AE8D685" w14:textId="77777777" w:rsidR="00AC7ACA" w:rsidRDefault="00AC7ACA" w:rsidP="00AC7ACA">
            <w:pPr>
              <w:spacing w:after="0"/>
              <w:rPr>
                <w:rFonts w:cs="Arial"/>
                <w:spacing w:val="-3"/>
                <w:sz w:val="14"/>
                <w:szCs w:val="14"/>
                <w:lang w:val="en-GB"/>
              </w:rPr>
            </w:pPr>
            <w:r w:rsidRPr="00F6560A">
              <w:rPr>
                <w:bCs/>
                <w:sz w:val="14"/>
                <w:szCs w:val="14"/>
              </w:rPr>
              <w:t>*</w:t>
            </w:r>
            <w:r w:rsidRPr="002D7496">
              <w:rPr>
                <w:rFonts w:cs="Arial"/>
                <w:spacing w:val="-3"/>
                <w:sz w:val="14"/>
                <w:szCs w:val="14"/>
                <w:lang w:val="en-GB"/>
              </w:rPr>
              <w:t xml:space="preserve"> Includes branches</w:t>
            </w:r>
            <w:r>
              <w:rPr>
                <w:rFonts w:cs="Arial"/>
                <w:spacing w:val="-3"/>
                <w:sz w:val="14"/>
                <w:szCs w:val="14"/>
                <w:lang w:val="en-GB"/>
              </w:rPr>
              <w:t xml:space="preserve"> with significant state role</w:t>
            </w:r>
            <w:r w:rsidRPr="002D7496">
              <w:rPr>
                <w:rFonts w:cs="Arial"/>
                <w:spacing w:val="-3"/>
                <w:sz w:val="14"/>
                <w:szCs w:val="14"/>
                <w:lang w:val="en-GB"/>
              </w:rPr>
              <w:t>: Public administration, defence, social security; Education</w:t>
            </w:r>
            <w:r>
              <w:rPr>
                <w:rFonts w:cs="Arial"/>
                <w:spacing w:val="-3"/>
                <w:sz w:val="14"/>
                <w:szCs w:val="14"/>
                <w:lang w:val="en-GB"/>
              </w:rPr>
              <w:t>;</w:t>
            </w:r>
            <w:r w:rsidRPr="002D7496">
              <w:rPr>
                <w:rFonts w:cs="Arial"/>
                <w:spacing w:val="-3"/>
                <w:sz w:val="14"/>
                <w:szCs w:val="14"/>
                <w:lang w:val="en-GB"/>
              </w:rPr>
              <w:t xml:space="preserve"> Hu</w:t>
            </w:r>
            <w:r>
              <w:rPr>
                <w:rFonts w:cs="Arial"/>
                <w:spacing w:val="-3"/>
                <w:sz w:val="14"/>
                <w:szCs w:val="14"/>
                <w:lang w:val="en-GB"/>
              </w:rPr>
              <w:t>m</w:t>
            </w:r>
            <w:r w:rsidRPr="002D7496">
              <w:rPr>
                <w:rFonts w:cs="Arial"/>
                <w:spacing w:val="-3"/>
                <w:sz w:val="14"/>
                <w:szCs w:val="14"/>
                <w:lang w:val="en-GB"/>
              </w:rPr>
              <w:t xml:space="preserve">an health and social work activities; </w:t>
            </w:r>
            <w:r>
              <w:rPr>
                <w:rFonts w:cs="Arial"/>
                <w:spacing w:val="-3"/>
                <w:sz w:val="14"/>
                <w:szCs w:val="14"/>
                <w:lang w:val="en-GB"/>
              </w:rPr>
              <w:t xml:space="preserve">Cultural, entertainment and recreational activities. </w:t>
            </w:r>
          </w:p>
          <w:p w14:paraId="04D9402C" w14:textId="3D031928" w:rsidR="00AC7ACA" w:rsidRDefault="00AC7ACA" w:rsidP="00AC7ACA">
            <w:pPr>
              <w:spacing w:after="0"/>
              <w:jc w:val="right"/>
              <w:rPr>
                <w:rFonts w:cs="Arial"/>
                <w:sz w:val="14"/>
                <w:szCs w:val="14"/>
                <w:lang w:val="en-GB"/>
              </w:rPr>
            </w:pPr>
            <w:r w:rsidRPr="002D7496">
              <w:rPr>
                <w:spacing w:val="-3"/>
                <w:sz w:val="14"/>
                <w:szCs w:val="14"/>
                <w:lang w:val="en-GB"/>
              </w:rPr>
              <w:t>Source:</w:t>
            </w:r>
            <w:r w:rsidRPr="002D7496">
              <w:rPr>
                <w:rFonts w:cs="Arial"/>
                <w:sz w:val="14"/>
                <w:szCs w:val="14"/>
                <w:lang w:val="en-GB"/>
              </w:rPr>
              <w:t xml:space="preserve"> CZSO</w:t>
            </w:r>
          </w:p>
          <w:p w14:paraId="6A025ED1" w14:textId="425F312E" w:rsidR="00AC7ACA" w:rsidRPr="00F6560A" w:rsidRDefault="00AC7ACA" w:rsidP="00D73223">
            <w:pPr>
              <w:spacing w:after="0"/>
              <w:rPr>
                <w:noProof/>
                <w:sz w:val="14"/>
                <w:szCs w:val="14"/>
              </w:rPr>
            </w:pPr>
          </w:p>
        </w:tc>
      </w:tr>
    </w:tbl>
    <w:p w14:paraId="34621BB4" w14:textId="77777777" w:rsidR="00E267F2" w:rsidRDefault="00E267F2">
      <w:pPr>
        <w:spacing w:after="0" w:line="240" w:lineRule="auto"/>
        <w:jc w:val="left"/>
        <w:rPr>
          <w:rFonts w:eastAsia="MS Gothic"/>
          <w:b/>
          <w:bCs/>
          <w:color w:val="71818C"/>
          <w:sz w:val="32"/>
          <w:szCs w:val="28"/>
        </w:rPr>
      </w:pPr>
      <w:bookmarkStart w:id="36" w:name="_Toc74643859"/>
      <w:bookmarkStart w:id="37" w:name="_Toc90395915"/>
      <w:bookmarkStart w:id="38" w:name="_Toc74643860"/>
      <w:r>
        <w:br w:type="page"/>
      </w:r>
    </w:p>
    <w:p w14:paraId="11D5C339" w14:textId="55DA57AB" w:rsidR="000200BE" w:rsidRPr="00F14C88" w:rsidRDefault="000200BE" w:rsidP="000200BE">
      <w:pPr>
        <w:pStyle w:val="Nadpis11"/>
        <w:spacing w:after="120"/>
        <w:rPr>
          <w:lang w:val="en-GB"/>
        </w:rPr>
      </w:pPr>
      <w:bookmarkStart w:id="39" w:name="_Toc101437437"/>
      <w:r>
        <w:lastRenderedPageBreak/>
        <w:t>7. </w:t>
      </w:r>
      <w:r w:rsidRPr="00F14C88">
        <w:rPr>
          <w:lang w:val="en-GB"/>
        </w:rPr>
        <w:t>M</w:t>
      </w:r>
      <w:r w:rsidR="00F14C88" w:rsidRPr="00F14C88">
        <w:rPr>
          <w:lang w:val="en-GB"/>
        </w:rPr>
        <w:t>onetary Conditions</w:t>
      </w:r>
      <w:bookmarkEnd w:id="36"/>
      <w:bookmarkEnd w:id="37"/>
      <w:bookmarkEnd w:id="39"/>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0200BE" w:rsidRPr="00F14C88" w14:paraId="0D5B1090" w14:textId="77777777" w:rsidTr="00913237">
        <w:trPr>
          <w:trHeight w:val="145"/>
        </w:trPr>
        <w:tc>
          <w:tcPr>
            <w:tcW w:w="1802" w:type="dxa"/>
          </w:tcPr>
          <w:p w14:paraId="50AF164E" w14:textId="2093CD69" w:rsidR="000200BE" w:rsidRPr="00F14C88" w:rsidRDefault="000D296A" w:rsidP="00913237">
            <w:pPr>
              <w:pStyle w:val="Marginlie"/>
              <w:rPr>
                <w:lang w:val="en-GB" w:eastAsia="en-US"/>
              </w:rPr>
            </w:pPr>
            <w:r>
              <w:rPr>
                <w:lang w:val="en-GB" w:eastAsia="en-US"/>
              </w:rPr>
              <w:t>Multiple increase of monetary policy-relevant interest rates occurred towards the end of year 2</w:t>
            </w:r>
            <w:r w:rsidR="000200BE" w:rsidRPr="00F14C88">
              <w:rPr>
                <w:lang w:val="en-GB" w:eastAsia="en-US"/>
              </w:rPr>
              <w:t>021</w:t>
            </w:r>
            <w:r>
              <w:rPr>
                <w:lang w:val="en-GB" w:eastAsia="en-US"/>
              </w:rPr>
              <w:t xml:space="preserve">. </w:t>
            </w:r>
          </w:p>
        </w:tc>
        <w:tc>
          <w:tcPr>
            <w:tcW w:w="229" w:type="dxa"/>
          </w:tcPr>
          <w:p w14:paraId="67F79BCE" w14:textId="77777777" w:rsidR="000200BE" w:rsidRPr="00F14C88" w:rsidRDefault="000200BE" w:rsidP="00913237">
            <w:pPr>
              <w:pStyle w:val="Textpoznpodarou"/>
              <w:jc w:val="both"/>
              <w:rPr>
                <w:spacing w:val="-4"/>
                <w:lang w:val="en-GB" w:eastAsia="en-US"/>
              </w:rPr>
            </w:pPr>
          </w:p>
        </w:tc>
        <w:tc>
          <w:tcPr>
            <w:tcW w:w="7610" w:type="dxa"/>
          </w:tcPr>
          <w:p w14:paraId="21211623" w14:textId="2F5EBA5C" w:rsidR="000200BE" w:rsidRPr="00F14C88" w:rsidRDefault="000D296A" w:rsidP="00E267F2">
            <w:pPr>
              <w:rPr>
                <w:spacing w:val="-2"/>
                <w:lang w:val="en-GB" w:eastAsia="en-US"/>
              </w:rPr>
            </w:pPr>
            <w:r>
              <w:rPr>
                <w:spacing w:val="-2"/>
                <w:lang w:val="en-GB" w:eastAsia="en-US"/>
              </w:rPr>
              <w:t>During Q</w:t>
            </w:r>
            <w:r w:rsidR="000200BE" w:rsidRPr="00F14C88">
              <w:rPr>
                <w:spacing w:val="-2"/>
                <w:lang w:val="en-GB" w:eastAsia="en-US"/>
              </w:rPr>
              <w:t>4</w:t>
            </w:r>
            <w:r>
              <w:rPr>
                <w:spacing w:val="-2"/>
                <w:lang w:val="en-GB" w:eastAsia="en-US"/>
              </w:rPr>
              <w:t xml:space="preserve"> </w:t>
            </w:r>
            <w:r w:rsidR="000200BE" w:rsidRPr="00F14C88">
              <w:rPr>
                <w:spacing w:val="-2"/>
                <w:lang w:val="en-GB" w:eastAsia="en-US"/>
              </w:rPr>
              <w:t>2021</w:t>
            </w:r>
            <w:r>
              <w:rPr>
                <w:spacing w:val="-2"/>
                <w:lang w:val="en-GB" w:eastAsia="en-US"/>
              </w:rPr>
              <w:t xml:space="preserve">, significant increase of the basic monetary policy-relevant rates eventuated in reaction to the price growth acceleration. The first increase </w:t>
            </w:r>
            <w:r w:rsidR="007563D7">
              <w:rPr>
                <w:spacing w:val="-2"/>
                <w:lang w:val="en-GB" w:eastAsia="en-US"/>
              </w:rPr>
              <w:t xml:space="preserve">occurred already at the end of October </w:t>
            </w:r>
            <w:r w:rsidR="000200BE" w:rsidRPr="00F14C88">
              <w:rPr>
                <w:spacing w:val="-2"/>
                <w:lang w:val="en-GB" w:eastAsia="en-US"/>
              </w:rPr>
              <w:t>(</w:t>
            </w:r>
            <w:r w:rsidR="007563D7">
              <w:rPr>
                <w:spacing w:val="-2"/>
                <w:lang w:val="en-GB" w:eastAsia="en-US"/>
              </w:rPr>
              <w:t xml:space="preserve">two-week repo rate </w:t>
            </w:r>
            <w:proofErr w:type="gramStart"/>
            <w:r w:rsidR="007563D7">
              <w:rPr>
                <w:spacing w:val="-2"/>
                <w:lang w:val="en-GB" w:eastAsia="en-US"/>
              </w:rPr>
              <w:t>was raised</w:t>
            </w:r>
            <w:proofErr w:type="gramEnd"/>
            <w:r w:rsidR="007563D7">
              <w:rPr>
                <w:spacing w:val="-2"/>
                <w:lang w:val="en-GB" w:eastAsia="en-US"/>
              </w:rPr>
              <w:t xml:space="preserve"> by 0.</w:t>
            </w:r>
            <w:r w:rsidR="000200BE" w:rsidRPr="00F14C88">
              <w:rPr>
                <w:spacing w:val="-2"/>
                <w:lang w:val="en-GB" w:eastAsia="en-US"/>
              </w:rPr>
              <w:t>75 p.</w:t>
            </w:r>
            <w:r w:rsidR="007563D7">
              <w:rPr>
                <w:spacing w:val="-2"/>
                <w:lang w:val="en-GB" w:eastAsia="en-US"/>
              </w:rPr>
              <w:t xml:space="preserve">p. to </w:t>
            </w:r>
            <w:r w:rsidR="000200BE" w:rsidRPr="00F14C88">
              <w:rPr>
                <w:spacing w:val="-2"/>
                <w:lang w:val="en-GB" w:eastAsia="en-US"/>
              </w:rPr>
              <w:t>1</w:t>
            </w:r>
            <w:r w:rsidR="007563D7">
              <w:rPr>
                <w:spacing w:val="-2"/>
                <w:lang w:val="en-GB" w:eastAsia="en-US"/>
              </w:rPr>
              <w:t>.</w:t>
            </w:r>
            <w:r w:rsidR="000200BE" w:rsidRPr="00F14C88">
              <w:rPr>
                <w:spacing w:val="-2"/>
                <w:lang w:val="en-GB" w:eastAsia="en-US"/>
              </w:rPr>
              <w:t>50%</w:t>
            </w:r>
            <w:r w:rsidR="000200BE" w:rsidRPr="00F14C88">
              <w:rPr>
                <w:rStyle w:val="Znakapoznpodarou"/>
                <w:spacing w:val="-2"/>
                <w:lang w:val="en-GB" w:eastAsia="en-US"/>
              </w:rPr>
              <w:footnoteReference w:id="74"/>
            </w:r>
            <w:r w:rsidR="000200BE" w:rsidRPr="00F14C88">
              <w:rPr>
                <w:spacing w:val="-2"/>
                <w:lang w:val="en-GB" w:eastAsia="en-US"/>
              </w:rPr>
              <w:t>)</w:t>
            </w:r>
            <w:r w:rsidR="007563D7">
              <w:rPr>
                <w:spacing w:val="-2"/>
                <w:lang w:val="en-GB" w:eastAsia="en-US"/>
              </w:rPr>
              <w:t xml:space="preserve"> and the next followed in November </w:t>
            </w:r>
            <w:r w:rsidR="000200BE" w:rsidRPr="00F14C88">
              <w:rPr>
                <w:spacing w:val="-2"/>
                <w:lang w:val="en-GB" w:eastAsia="en-US"/>
              </w:rPr>
              <w:t>(+1</w:t>
            </w:r>
            <w:r w:rsidR="007563D7">
              <w:rPr>
                <w:spacing w:val="-2"/>
                <w:lang w:val="en-GB" w:eastAsia="en-US"/>
              </w:rPr>
              <w:t>.</w:t>
            </w:r>
            <w:r w:rsidR="000200BE" w:rsidRPr="00F14C88">
              <w:rPr>
                <w:spacing w:val="-2"/>
                <w:lang w:val="en-GB" w:eastAsia="en-US"/>
              </w:rPr>
              <w:t>25 p.</w:t>
            </w:r>
            <w:r w:rsidR="007563D7">
              <w:rPr>
                <w:spacing w:val="-2"/>
                <w:lang w:val="en-GB" w:eastAsia="en-US"/>
              </w:rPr>
              <w:t xml:space="preserve">p. to </w:t>
            </w:r>
            <w:r w:rsidR="000200BE" w:rsidRPr="00F14C88">
              <w:rPr>
                <w:spacing w:val="-2"/>
                <w:lang w:val="en-GB" w:eastAsia="en-US"/>
              </w:rPr>
              <w:t>2</w:t>
            </w:r>
            <w:r w:rsidR="007563D7">
              <w:rPr>
                <w:spacing w:val="-2"/>
                <w:lang w:val="en-GB" w:eastAsia="en-US"/>
              </w:rPr>
              <w:t>.</w:t>
            </w:r>
            <w:r w:rsidR="000200BE" w:rsidRPr="00F14C88">
              <w:rPr>
                <w:spacing w:val="-2"/>
                <w:lang w:val="en-GB" w:eastAsia="en-US"/>
              </w:rPr>
              <w:t xml:space="preserve">75%). </w:t>
            </w:r>
            <w:r w:rsidR="00A4027D">
              <w:rPr>
                <w:spacing w:val="-2"/>
                <w:lang w:val="en-GB" w:eastAsia="en-US"/>
              </w:rPr>
              <w:t xml:space="preserve">The repo rate </w:t>
            </w:r>
            <w:proofErr w:type="gramStart"/>
            <w:r w:rsidR="00A4027D">
              <w:rPr>
                <w:spacing w:val="-2"/>
                <w:lang w:val="en-GB" w:eastAsia="en-US"/>
              </w:rPr>
              <w:t>was raised</w:t>
            </w:r>
            <w:proofErr w:type="gramEnd"/>
            <w:r w:rsidR="00A4027D">
              <w:rPr>
                <w:spacing w:val="-2"/>
                <w:lang w:val="en-GB" w:eastAsia="en-US"/>
              </w:rPr>
              <w:t xml:space="preserve"> for another </w:t>
            </w:r>
            <w:r w:rsidR="000200BE" w:rsidRPr="00F14C88">
              <w:rPr>
                <w:spacing w:val="-2"/>
                <w:lang w:val="en-GB" w:eastAsia="en-US"/>
              </w:rPr>
              <w:t>1 p.</w:t>
            </w:r>
            <w:r w:rsidR="00A4027D">
              <w:rPr>
                <w:spacing w:val="-2"/>
                <w:lang w:val="en-GB" w:eastAsia="en-US"/>
              </w:rPr>
              <w:t>p</w:t>
            </w:r>
            <w:r w:rsidR="000200BE" w:rsidRPr="00F14C88">
              <w:rPr>
                <w:spacing w:val="-2"/>
                <w:lang w:val="en-GB" w:eastAsia="en-US"/>
              </w:rPr>
              <w:t xml:space="preserve">. </w:t>
            </w:r>
            <w:r w:rsidR="00A4027D">
              <w:rPr>
                <w:spacing w:val="-2"/>
                <w:lang w:val="en-GB" w:eastAsia="en-US"/>
              </w:rPr>
              <w:t xml:space="preserve">to </w:t>
            </w:r>
            <w:r w:rsidR="000200BE" w:rsidRPr="00F14C88">
              <w:rPr>
                <w:spacing w:val="-2"/>
                <w:lang w:val="en-GB" w:eastAsia="en-US"/>
              </w:rPr>
              <w:t>3</w:t>
            </w:r>
            <w:r w:rsidR="00A4027D">
              <w:rPr>
                <w:spacing w:val="-2"/>
                <w:lang w:val="en-GB" w:eastAsia="en-US"/>
              </w:rPr>
              <w:t>.</w:t>
            </w:r>
            <w:r w:rsidR="000200BE" w:rsidRPr="00F14C88">
              <w:rPr>
                <w:spacing w:val="-2"/>
                <w:lang w:val="en-GB" w:eastAsia="en-US"/>
              </w:rPr>
              <w:t>75%</w:t>
            </w:r>
            <w:r w:rsidR="00A4027D">
              <w:rPr>
                <w:spacing w:val="-2"/>
                <w:lang w:val="en-GB" w:eastAsia="en-US"/>
              </w:rPr>
              <w:t xml:space="preserve"> at the end of the year</w:t>
            </w:r>
            <w:r w:rsidR="000200BE" w:rsidRPr="00F14C88">
              <w:rPr>
                <w:spacing w:val="-2"/>
                <w:lang w:val="en-GB" w:eastAsia="en-US"/>
              </w:rPr>
              <w:t xml:space="preserve">, </w:t>
            </w:r>
            <w:r w:rsidR="007E5ECB">
              <w:rPr>
                <w:spacing w:val="-2"/>
                <w:lang w:val="en-GB" w:eastAsia="en-US"/>
              </w:rPr>
              <w:t xml:space="preserve">which was the most since year </w:t>
            </w:r>
            <w:r w:rsidR="000200BE" w:rsidRPr="00F14C88">
              <w:rPr>
                <w:spacing w:val="-2"/>
                <w:lang w:val="en-GB" w:eastAsia="en-US"/>
              </w:rPr>
              <w:t xml:space="preserve">2008. </w:t>
            </w:r>
            <w:r w:rsidR="007E5ECB">
              <w:rPr>
                <w:spacing w:val="-2"/>
                <w:lang w:val="en-GB" w:eastAsia="en-US"/>
              </w:rPr>
              <w:t xml:space="preserve">For the whole year </w:t>
            </w:r>
            <w:r w:rsidR="000200BE" w:rsidRPr="00F14C88">
              <w:rPr>
                <w:spacing w:val="-2"/>
                <w:lang w:val="en-GB" w:eastAsia="en-US"/>
              </w:rPr>
              <w:t>2021</w:t>
            </w:r>
            <w:r w:rsidR="007E5ECB">
              <w:rPr>
                <w:spacing w:val="-2"/>
                <w:lang w:val="en-GB" w:eastAsia="en-US"/>
              </w:rPr>
              <w:t xml:space="preserve">, the two-week repo rate increased by </w:t>
            </w:r>
            <w:r w:rsidR="000200BE" w:rsidRPr="00F14C88">
              <w:rPr>
                <w:spacing w:val="-2"/>
                <w:lang w:val="en-GB" w:eastAsia="en-US"/>
              </w:rPr>
              <w:t>3</w:t>
            </w:r>
            <w:r w:rsidR="007E5ECB">
              <w:rPr>
                <w:spacing w:val="-2"/>
                <w:lang w:val="en-GB" w:eastAsia="en-US"/>
              </w:rPr>
              <w:t>.</w:t>
            </w:r>
            <w:r w:rsidR="000200BE" w:rsidRPr="00F14C88">
              <w:rPr>
                <w:spacing w:val="-2"/>
                <w:lang w:val="en-GB" w:eastAsia="en-US"/>
              </w:rPr>
              <w:t>25 p.</w:t>
            </w:r>
            <w:r w:rsidR="007E5ECB">
              <w:rPr>
                <w:spacing w:val="-2"/>
                <w:lang w:val="en-GB" w:eastAsia="en-US"/>
              </w:rPr>
              <w:t xml:space="preserve">p. </w:t>
            </w:r>
            <w:r w:rsidR="00E267F2">
              <w:rPr>
                <w:spacing w:val="-2"/>
                <w:lang w:val="en-GB" w:eastAsia="en-US"/>
              </w:rPr>
              <w:t>T</w:t>
            </w:r>
            <w:r w:rsidR="007E5ECB">
              <w:rPr>
                <w:spacing w:val="-2"/>
                <w:lang w:val="en-GB" w:eastAsia="en-US"/>
              </w:rPr>
              <w:t xml:space="preserve">he discount rate was 2.75% and </w:t>
            </w:r>
            <w:r w:rsidR="00975BAF">
              <w:rPr>
                <w:spacing w:val="-2"/>
                <w:lang w:val="en-GB" w:eastAsia="en-US"/>
              </w:rPr>
              <w:t>Lombard</w:t>
            </w:r>
            <w:r w:rsidR="007E5ECB">
              <w:rPr>
                <w:spacing w:val="-2"/>
                <w:lang w:val="en-GB" w:eastAsia="en-US"/>
              </w:rPr>
              <w:t xml:space="preserve"> rate 4.75% towards the end of year </w:t>
            </w:r>
            <w:r w:rsidR="000200BE" w:rsidRPr="00F14C88">
              <w:rPr>
                <w:spacing w:val="-2"/>
                <w:lang w:val="en-GB" w:eastAsia="en-US"/>
              </w:rPr>
              <w:t>2021</w:t>
            </w:r>
            <w:r w:rsidR="007E5ECB">
              <w:rPr>
                <w:spacing w:val="-2"/>
                <w:lang w:val="en-GB" w:eastAsia="en-US"/>
              </w:rPr>
              <w:t xml:space="preserve">. </w:t>
            </w:r>
            <w:r w:rsidR="00A4027D">
              <w:rPr>
                <w:spacing w:val="-2"/>
                <w:lang w:val="en-GB" w:eastAsia="en-US"/>
              </w:rPr>
              <w:t xml:space="preserve">Koruna foreign exchange against euro reached an average of </w:t>
            </w:r>
            <w:r w:rsidR="000200BE" w:rsidRPr="00F14C88">
              <w:rPr>
                <w:spacing w:val="-2"/>
                <w:lang w:val="en-GB" w:eastAsia="en-US"/>
              </w:rPr>
              <w:t>25</w:t>
            </w:r>
            <w:r w:rsidR="00A4027D">
              <w:rPr>
                <w:spacing w:val="-2"/>
                <w:lang w:val="en-GB" w:eastAsia="en-US"/>
              </w:rPr>
              <w:t>.</w:t>
            </w:r>
            <w:r w:rsidR="000200BE" w:rsidRPr="00F14C88">
              <w:rPr>
                <w:spacing w:val="-2"/>
                <w:lang w:val="en-GB" w:eastAsia="en-US"/>
              </w:rPr>
              <w:t xml:space="preserve">38 CZK/EUR </w:t>
            </w:r>
            <w:r w:rsidR="00A4027D">
              <w:rPr>
                <w:spacing w:val="-2"/>
                <w:lang w:val="en-GB" w:eastAsia="en-US"/>
              </w:rPr>
              <w:t xml:space="preserve">in Q4 and it strengthened by </w:t>
            </w:r>
            <w:r w:rsidR="000200BE" w:rsidRPr="00F14C88">
              <w:rPr>
                <w:spacing w:val="-2"/>
                <w:lang w:val="en-GB" w:eastAsia="en-US"/>
              </w:rPr>
              <w:t>4</w:t>
            </w:r>
            <w:r w:rsidR="00A4027D">
              <w:rPr>
                <w:spacing w:val="-2"/>
                <w:lang w:val="en-GB" w:eastAsia="en-US"/>
              </w:rPr>
              <w:t>.</w:t>
            </w:r>
            <w:r w:rsidR="000200BE" w:rsidRPr="00F14C88">
              <w:rPr>
                <w:spacing w:val="-2"/>
                <w:lang w:val="en-GB" w:eastAsia="en-US"/>
              </w:rPr>
              <w:t>8%</w:t>
            </w:r>
            <w:r w:rsidR="00A4027D">
              <w:rPr>
                <w:spacing w:val="-2"/>
                <w:lang w:val="en-GB" w:eastAsia="en-US"/>
              </w:rPr>
              <w:t xml:space="preserve"> year-on-year</w:t>
            </w:r>
            <w:r w:rsidR="000200BE" w:rsidRPr="00F14C88">
              <w:rPr>
                <w:spacing w:val="-2"/>
                <w:lang w:val="en-GB" w:eastAsia="en-US"/>
              </w:rPr>
              <w:t xml:space="preserve"> (</w:t>
            </w:r>
            <w:r w:rsidR="00A4027D">
              <w:rPr>
                <w:spacing w:val="-2"/>
                <w:lang w:val="en-GB" w:eastAsia="en-US"/>
              </w:rPr>
              <w:t xml:space="preserve">it corresponds to </w:t>
            </w:r>
            <w:r w:rsidR="000200BE" w:rsidRPr="00F14C88">
              <w:rPr>
                <w:spacing w:val="-2"/>
                <w:lang w:val="en-GB" w:eastAsia="en-US"/>
              </w:rPr>
              <w:t>1</w:t>
            </w:r>
            <w:r w:rsidR="00A4027D">
              <w:rPr>
                <w:spacing w:val="-2"/>
                <w:lang w:val="en-GB" w:eastAsia="en-US"/>
              </w:rPr>
              <w:t>.</w:t>
            </w:r>
            <w:r w:rsidR="000200BE" w:rsidRPr="00F14C88">
              <w:rPr>
                <w:spacing w:val="-2"/>
                <w:lang w:val="en-GB" w:eastAsia="en-US"/>
              </w:rPr>
              <w:t>29 </w:t>
            </w:r>
            <w:r w:rsidR="00A4027D">
              <w:rPr>
                <w:spacing w:val="-2"/>
                <w:lang w:val="en-GB" w:eastAsia="en-US"/>
              </w:rPr>
              <w:t>CZK</w:t>
            </w:r>
            <w:r w:rsidR="000200BE" w:rsidRPr="00F14C88">
              <w:rPr>
                <w:spacing w:val="-2"/>
                <w:lang w:val="en-GB" w:eastAsia="en-US"/>
              </w:rPr>
              <w:t xml:space="preserve">). </w:t>
            </w:r>
            <w:r w:rsidR="008525EE">
              <w:rPr>
                <w:spacing w:val="-2"/>
                <w:lang w:val="en-GB" w:eastAsia="en-US"/>
              </w:rPr>
              <w:t>Compared to Q</w:t>
            </w:r>
            <w:r w:rsidR="000200BE" w:rsidRPr="00F14C88">
              <w:rPr>
                <w:spacing w:val="-2"/>
                <w:lang w:val="en-GB" w:eastAsia="en-US"/>
              </w:rPr>
              <w:t>3</w:t>
            </w:r>
            <w:r w:rsidR="008525EE">
              <w:rPr>
                <w:spacing w:val="-2"/>
                <w:lang w:val="en-GB" w:eastAsia="en-US"/>
              </w:rPr>
              <w:t xml:space="preserve">, the koruna foreign exchange was stronger by </w:t>
            </w:r>
            <w:r w:rsidR="000200BE" w:rsidRPr="00F14C88">
              <w:rPr>
                <w:spacing w:val="-2"/>
                <w:lang w:val="en-GB" w:eastAsia="en-US"/>
              </w:rPr>
              <w:t>0</w:t>
            </w:r>
            <w:r w:rsidR="008525EE">
              <w:rPr>
                <w:spacing w:val="-2"/>
                <w:lang w:val="en-GB" w:eastAsia="en-US"/>
              </w:rPr>
              <w:t>.</w:t>
            </w:r>
            <w:r w:rsidR="000200BE" w:rsidRPr="00F14C88">
              <w:rPr>
                <w:spacing w:val="-2"/>
                <w:lang w:val="en-GB" w:eastAsia="en-US"/>
              </w:rPr>
              <w:t>5% (0</w:t>
            </w:r>
            <w:r w:rsidR="008525EE">
              <w:rPr>
                <w:spacing w:val="-2"/>
                <w:lang w:val="en-GB" w:eastAsia="en-US"/>
              </w:rPr>
              <w:t>.</w:t>
            </w:r>
            <w:r w:rsidR="000200BE" w:rsidRPr="00F14C88">
              <w:rPr>
                <w:spacing w:val="-2"/>
                <w:lang w:val="en-GB" w:eastAsia="en-US"/>
              </w:rPr>
              <w:t>12</w:t>
            </w:r>
            <w:r w:rsidR="008525EE">
              <w:rPr>
                <w:spacing w:val="-2"/>
                <w:lang w:val="en-GB" w:eastAsia="en-US"/>
              </w:rPr>
              <w:t xml:space="preserve"> CZK</w:t>
            </w:r>
            <w:r w:rsidR="000200BE" w:rsidRPr="00F14C88">
              <w:rPr>
                <w:spacing w:val="-2"/>
                <w:lang w:val="en-GB" w:eastAsia="en-US"/>
              </w:rPr>
              <w:t>).</w:t>
            </w:r>
            <w:r w:rsidR="008525EE">
              <w:rPr>
                <w:spacing w:val="-2"/>
                <w:lang w:val="en-GB" w:eastAsia="en-US"/>
              </w:rPr>
              <w:t xml:space="preserve"> The koruna foreign exchange strengthened especially during December </w:t>
            </w:r>
            <w:r w:rsidR="000200BE" w:rsidRPr="00F14C88">
              <w:rPr>
                <w:spacing w:val="-2"/>
                <w:lang w:val="en-GB" w:eastAsia="en-US"/>
              </w:rPr>
              <w:t>2021 a</w:t>
            </w:r>
            <w:r w:rsidR="008525EE">
              <w:rPr>
                <w:spacing w:val="-2"/>
                <w:lang w:val="en-GB" w:eastAsia="en-US"/>
              </w:rPr>
              <w:t xml:space="preserve">nd </w:t>
            </w:r>
            <w:proofErr w:type="gramStart"/>
            <w:r w:rsidR="008525EE">
              <w:rPr>
                <w:spacing w:val="-2"/>
                <w:lang w:val="en-GB" w:eastAsia="en-US"/>
              </w:rPr>
              <w:t>it also</w:t>
            </w:r>
            <w:proofErr w:type="gramEnd"/>
            <w:r w:rsidR="008525EE">
              <w:rPr>
                <w:spacing w:val="-2"/>
                <w:lang w:val="en-GB" w:eastAsia="en-US"/>
              </w:rPr>
              <w:t xml:space="preserve"> </w:t>
            </w:r>
            <w:r w:rsidR="004D45B7">
              <w:rPr>
                <w:spacing w:val="-2"/>
                <w:lang w:val="en-GB" w:eastAsia="en-US"/>
              </w:rPr>
              <w:t xml:space="preserve">broke the 25 CZK boundary for the first time since February 2020. Year </w:t>
            </w:r>
            <w:r w:rsidR="000200BE" w:rsidRPr="00F14C88">
              <w:rPr>
                <w:spacing w:val="-2"/>
                <w:lang w:val="en-GB" w:eastAsia="en-US"/>
              </w:rPr>
              <w:t>2021</w:t>
            </w:r>
            <w:r w:rsidR="004D45B7">
              <w:rPr>
                <w:spacing w:val="-2"/>
                <w:lang w:val="en-GB" w:eastAsia="en-US"/>
              </w:rPr>
              <w:t xml:space="preserve"> was closing the koruna foreign exchange against euro at </w:t>
            </w:r>
            <w:r w:rsidR="000200BE" w:rsidRPr="00F14C88">
              <w:rPr>
                <w:spacing w:val="-2"/>
                <w:lang w:val="en-GB" w:eastAsia="en-US"/>
              </w:rPr>
              <w:t>24</w:t>
            </w:r>
            <w:r w:rsidR="004D45B7">
              <w:rPr>
                <w:spacing w:val="-2"/>
                <w:lang w:val="en-GB" w:eastAsia="en-US"/>
              </w:rPr>
              <w:t>.</w:t>
            </w:r>
            <w:r w:rsidR="000200BE" w:rsidRPr="00F14C88">
              <w:rPr>
                <w:spacing w:val="-2"/>
                <w:lang w:val="en-GB" w:eastAsia="en-US"/>
              </w:rPr>
              <w:t xml:space="preserve">86 CZK/EUR. </w:t>
            </w:r>
            <w:r w:rsidR="004D45B7">
              <w:rPr>
                <w:spacing w:val="-2"/>
                <w:lang w:val="en-GB" w:eastAsia="en-US"/>
              </w:rPr>
              <w:t xml:space="preserve">Koruna foreign exchange against dollar attained an average of </w:t>
            </w:r>
            <w:r w:rsidR="000200BE" w:rsidRPr="00F14C88">
              <w:rPr>
                <w:spacing w:val="-2"/>
                <w:lang w:val="en-GB" w:eastAsia="en-US"/>
              </w:rPr>
              <w:t>22</w:t>
            </w:r>
            <w:r w:rsidR="004D45B7">
              <w:rPr>
                <w:spacing w:val="-2"/>
                <w:lang w:val="en-GB" w:eastAsia="en-US"/>
              </w:rPr>
              <w:t>.</w:t>
            </w:r>
            <w:r w:rsidR="000200BE" w:rsidRPr="00F14C88">
              <w:rPr>
                <w:spacing w:val="-2"/>
                <w:lang w:val="en-GB" w:eastAsia="en-US"/>
              </w:rPr>
              <w:t>19 CZK/USD</w:t>
            </w:r>
            <w:r w:rsidR="004D45B7">
              <w:rPr>
                <w:spacing w:val="-2"/>
                <w:lang w:val="en-GB" w:eastAsia="en-US"/>
              </w:rPr>
              <w:t xml:space="preserve"> in Q4</w:t>
            </w:r>
            <w:r w:rsidR="000200BE" w:rsidRPr="00F14C88">
              <w:rPr>
                <w:spacing w:val="-2"/>
                <w:lang w:val="en-GB" w:eastAsia="en-US"/>
              </w:rPr>
              <w:t xml:space="preserve"> a</w:t>
            </w:r>
            <w:r w:rsidR="004D45B7">
              <w:rPr>
                <w:spacing w:val="-2"/>
                <w:lang w:val="en-GB" w:eastAsia="en-US"/>
              </w:rPr>
              <w:t xml:space="preserve">nd it was by </w:t>
            </w:r>
            <w:r w:rsidR="000200BE" w:rsidRPr="00F14C88">
              <w:rPr>
                <w:spacing w:val="-2"/>
                <w:lang w:val="en-GB" w:eastAsia="en-US"/>
              </w:rPr>
              <w:t>0</w:t>
            </w:r>
            <w:r w:rsidR="004D45B7">
              <w:rPr>
                <w:spacing w:val="-2"/>
                <w:lang w:val="en-GB" w:eastAsia="en-US"/>
              </w:rPr>
              <w:t>.</w:t>
            </w:r>
            <w:r w:rsidR="000200BE" w:rsidRPr="00F14C88">
              <w:rPr>
                <w:spacing w:val="-2"/>
                <w:lang w:val="en-GB" w:eastAsia="en-US"/>
              </w:rPr>
              <w:t>8%</w:t>
            </w:r>
            <w:r w:rsidR="004D45B7">
              <w:rPr>
                <w:spacing w:val="-2"/>
                <w:lang w:val="en-GB" w:eastAsia="en-US"/>
              </w:rPr>
              <w:t xml:space="preserve"> stronger year-on-</w:t>
            </w:r>
            <w:r w:rsidR="00DC7F51">
              <w:rPr>
                <w:spacing w:val="-2"/>
                <w:lang w:val="en-GB" w:eastAsia="en-US"/>
              </w:rPr>
              <w:t xml:space="preserve">year </w:t>
            </w:r>
            <w:r w:rsidR="00DC7F51" w:rsidRPr="00F14C88">
              <w:rPr>
                <w:spacing w:val="-2"/>
                <w:lang w:val="en-GB" w:eastAsia="en-US"/>
              </w:rPr>
              <w:t>(</w:t>
            </w:r>
            <w:r w:rsidR="000200BE" w:rsidRPr="00F14C88">
              <w:rPr>
                <w:spacing w:val="-2"/>
                <w:lang w:val="en-GB" w:eastAsia="en-US"/>
              </w:rPr>
              <w:t>0</w:t>
            </w:r>
            <w:r w:rsidR="004D45B7">
              <w:rPr>
                <w:spacing w:val="-2"/>
                <w:lang w:val="en-GB" w:eastAsia="en-US"/>
              </w:rPr>
              <w:t>.</w:t>
            </w:r>
            <w:r w:rsidR="000200BE" w:rsidRPr="00F14C88">
              <w:rPr>
                <w:spacing w:val="-2"/>
                <w:lang w:val="en-GB" w:eastAsia="en-US"/>
              </w:rPr>
              <w:t>17</w:t>
            </w:r>
            <w:r w:rsidR="004D45B7">
              <w:rPr>
                <w:spacing w:val="-2"/>
                <w:lang w:val="en-GB" w:eastAsia="en-US"/>
              </w:rPr>
              <w:t xml:space="preserve"> CZK</w:t>
            </w:r>
            <w:r w:rsidR="000200BE" w:rsidRPr="00F14C88">
              <w:rPr>
                <w:spacing w:val="-2"/>
                <w:lang w:val="en-GB" w:eastAsia="en-US"/>
              </w:rPr>
              <w:t xml:space="preserve">). </w:t>
            </w:r>
            <w:r w:rsidR="003B6D10">
              <w:rPr>
                <w:spacing w:val="-2"/>
                <w:lang w:val="en-GB" w:eastAsia="en-US"/>
              </w:rPr>
              <w:t>Compared to Q</w:t>
            </w:r>
            <w:r w:rsidR="000200BE" w:rsidRPr="00F14C88">
              <w:rPr>
                <w:spacing w:val="-2"/>
                <w:lang w:val="en-GB" w:eastAsia="en-US"/>
              </w:rPr>
              <w:t>3</w:t>
            </w:r>
            <w:r w:rsidR="003B6D10">
              <w:rPr>
                <w:spacing w:val="-2"/>
                <w:lang w:val="en-GB" w:eastAsia="en-US"/>
              </w:rPr>
              <w:t xml:space="preserve"> </w:t>
            </w:r>
            <w:r w:rsidR="000200BE" w:rsidRPr="00F14C88">
              <w:rPr>
                <w:spacing w:val="-2"/>
                <w:lang w:val="en-GB" w:eastAsia="en-US"/>
              </w:rPr>
              <w:t>2021</w:t>
            </w:r>
            <w:r w:rsidR="003B6D10">
              <w:rPr>
                <w:spacing w:val="-2"/>
                <w:lang w:val="en-GB" w:eastAsia="en-US"/>
              </w:rPr>
              <w:t xml:space="preserve">, the koruna foreign exchange against dollar weakened by </w:t>
            </w:r>
            <w:r w:rsidR="000200BE" w:rsidRPr="00F14C88">
              <w:rPr>
                <w:spacing w:val="-2"/>
                <w:lang w:val="en-GB" w:eastAsia="en-US"/>
              </w:rPr>
              <w:t>2</w:t>
            </w:r>
            <w:r w:rsidR="003B6D10">
              <w:rPr>
                <w:spacing w:val="-2"/>
                <w:lang w:val="en-GB" w:eastAsia="en-US"/>
              </w:rPr>
              <w:t>.</w:t>
            </w:r>
            <w:r w:rsidR="000200BE" w:rsidRPr="00F14C88">
              <w:rPr>
                <w:spacing w:val="-2"/>
                <w:lang w:val="en-GB" w:eastAsia="en-US"/>
              </w:rPr>
              <w:t>6% (0</w:t>
            </w:r>
            <w:r w:rsidR="003B6D10">
              <w:rPr>
                <w:spacing w:val="-2"/>
                <w:lang w:val="en-GB" w:eastAsia="en-US"/>
              </w:rPr>
              <w:t>.</w:t>
            </w:r>
            <w:r w:rsidR="000200BE" w:rsidRPr="00F14C88">
              <w:rPr>
                <w:spacing w:val="-2"/>
                <w:lang w:val="en-GB" w:eastAsia="en-US"/>
              </w:rPr>
              <w:t>56</w:t>
            </w:r>
            <w:r w:rsidR="003B6D10">
              <w:rPr>
                <w:spacing w:val="-2"/>
                <w:lang w:val="en-GB" w:eastAsia="en-US"/>
              </w:rPr>
              <w:t xml:space="preserve"> CZK</w:t>
            </w:r>
            <w:r w:rsidR="000200BE" w:rsidRPr="00F14C88">
              <w:rPr>
                <w:spacing w:val="-2"/>
                <w:lang w:val="en-GB" w:eastAsia="en-US"/>
              </w:rPr>
              <w:t>).</w:t>
            </w:r>
            <w:r w:rsidR="003B6D10">
              <w:rPr>
                <w:spacing w:val="-2"/>
                <w:lang w:val="en-GB" w:eastAsia="en-US"/>
              </w:rPr>
              <w:t xml:space="preserve"> The koruna also strengthened against dollar during the December. </w:t>
            </w:r>
            <w:r w:rsidR="00665455">
              <w:rPr>
                <w:spacing w:val="-2"/>
                <w:lang w:val="en-GB" w:eastAsia="en-US"/>
              </w:rPr>
              <w:t>As of 3</w:t>
            </w:r>
            <w:r w:rsidR="000200BE" w:rsidRPr="00F14C88">
              <w:rPr>
                <w:spacing w:val="-2"/>
                <w:lang w:val="en-GB" w:eastAsia="en-US"/>
              </w:rPr>
              <w:t>1. 12. 2021</w:t>
            </w:r>
            <w:r w:rsidR="00665455">
              <w:rPr>
                <w:spacing w:val="-2"/>
                <w:lang w:val="en-GB" w:eastAsia="en-US"/>
              </w:rPr>
              <w:t xml:space="preserve">, the koruna foreign exchange against dollar reached </w:t>
            </w:r>
            <w:r w:rsidR="000200BE" w:rsidRPr="00F14C88">
              <w:rPr>
                <w:spacing w:val="-2"/>
                <w:lang w:val="en-GB" w:eastAsia="en-US"/>
              </w:rPr>
              <w:t>21</w:t>
            </w:r>
            <w:r w:rsidR="00665455">
              <w:rPr>
                <w:spacing w:val="-2"/>
                <w:lang w:val="en-GB" w:eastAsia="en-US"/>
              </w:rPr>
              <w:t>.</w:t>
            </w:r>
            <w:r w:rsidR="000200BE" w:rsidRPr="00F14C88">
              <w:rPr>
                <w:spacing w:val="-2"/>
                <w:lang w:val="en-GB" w:eastAsia="en-US"/>
              </w:rPr>
              <w:t>95 CZK/USD.</w:t>
            </w:r>
          </w:p>
        </w:tc>
      </w:tr>
      <w:tr w:rsidR="000200BE" w14:paraId="04446CFC" w14:textId="77777777" w:rsidTr="00913237">
        <w:trPr>
          <w:trHeight w:val="145"/>
        </w:trPr>
        <w:tc>
          <w:tcPr>
            <w:tcW w:w="1802" w:type="dxa"/>
          </w:tcPr>
          <w:p w14:paraId="7997219A" w14:textId="33C5E565" w:rsidR="000200BE" w:rsidRPr="000D296A" w:rsidRDefault="000676FF" w:rsidP="00913237">
            <w:pPr>
              <w:pStyle w:val="Marginlie"/>
              <w:rPr>
                <w:lang w:val="en-GB" w:eastAsia="en-US"/>
              </w:rPr>
            </w:pPr>
            <w:r>
              <w:rPr>
                <w:lang w:val="en-GB" w:eastAsia="en-US"/>
              </w:rPr>
              <w:t xml:space="preserve">The interbank market rates as well as the government bond yields also hiked up sharply. </w:t>
            </w:r>
          </w:p>
        </w:tc>
        <w:tc>
          <w:tcPr>
            <w:tcW w:w="229" w:type="dxa"/>
          </w:tcPr>
          <w:p w14:paraId="35F1011D" w14:textId="77777777" w:rsidR="000200BE" w:rsidRPr="000D296A" w:rsidRDefault="000200BE" w:rsidP="00913237">
            <w:pPr>
              <w:pStyle w:val="Textpoznpodarou"/>
              <w:jc w:val="both"/>
              <w:rPr>
                <w:spacing w:val="-4"/>
                <w:lang w:val="en-GB" w:eastAsia="en-US"/>
              </w:rPr>
            </w:pPr>
          </w:p>
        </w:tc>
        <w:tc>
          <w:tcPr>
            <w:tcW w:w="7610" w:type="dxa"/>
          </w:tcPr>
          <w:p w14:paraId="79C48C39" w14:textId="6F898EC0" w:rsidR="000200BE" w:rsidRPr="000D296A" w:rsidRDefault="007C4CDC" w:rsidP="00913237">
            <w:pPr>
              <w:rPr>
                <w:spacing w:val="-1"/>
                <w:lang w:val="en-GB" w:eastAsia="en-US"/>
              </w:rPr>
            </w:pPr>
            <w:r>
              <w:rPr>
                <w:spacing w:val="-1"/>
                <w:lang w:val="en-GB" w:eastAsia="en-US"/>
              </w:rPr>
              <w:t xml:space="preserve">Interest rates of the interbank market reacted to the steep increase of the monetary policy-relevant rates by strong increases. The three-month </w:t>
            </w:r>
            <w:r w:rsidR="000200BE" w:rsidRPr="000D296A">
              <w:rPr>
                <w:spacing w:val="-1"/>
                <w:lang w:val="en-GB" w:eastAsia="en-US"/>
              </w:rPr>
              <w:t>PRIBOR</w:t>
            </w:r>
            <w:r>
              <w:rPr>
                <w:spacing w:val="-1"/>
                <w:lang w:val="en-GB" w:eastAsia="en-US"/>
              </w:rPr>
              <w:t xml:space="preserve"> rate went up </w:t>
            </w:r>
            <w:r w:rsidR="00DC7F51">
              <w:rPr>
                <w:spacing w:val="-1"/>
                <w:lang w:val="en-GB" w:eastAsia="en-US"/>
              </w:rPr>
              <w:t xml:space="preserve">by </w:t>
            </w:r>
            <w:r w:rsidR="00DC7F51" w:rsidRPr="000D296A">
              <w:rPr>
                <w:spacing w:val="-1"/>
                <w:lang w:val="en-GB" w:eastAsia="en-US"/>
              </w:rPr>
              <w:t>2.39</w:t>
            </w:r>
            <w:r w:rsidR="000200BE" w:rsidRPr="000D296A">
              <w:rPr>
                <w:spacing w:val="-1"/>
                <w:lang w:val="en-GB" w:eastAsia="en-US"/>
              </w:rPr>
              <w:t> p.</w:t>
            </w:r>
            <w:r>
              <w:rPr>
                <w:spacing w:val="-1"/>
                <w:lang w:val="en-GB" w:eastAsia="en-US"/>
              </w:rPr>
              <w:t>p</w:t>
            </w:r>
            <w:r w:rsidR="000200BE" w:rsidRPr="000D296A">
              <w:rPr>
                <w:spacing w:val="-1"/>
                <w:lang w:val="en-GB" w:eastAsia="en-US"/>
              </w:rPr>
              <w:t>.</w:t>
            </w:r>
            <w:r w:rsidR="000200BE" w:rsidRPr="000D296A">
              <w:rPr>
                <w:rStyle w:val="Znakapoznpodarou"/>
                <w:spacing w:val="-1"/>
                <w:lang w:val="en-GB" w:eastAsia="en-US"/>
              </w:rPr>
              <w:footnoteReference w:id="75"/>
            </w:r>
            <w:r w:rsidR="000200BE" w:rsidRPr="000D296A">
              <w:rPr>
                <w:spacing w:val="-1"/>
                <w:lang w:val="en-GB" w:eastAsia="en-US"/>
              </w:rPr>
              <w:t xml:space="preserve"> </w:t>
            </w:r>
            <w:r>
              <w:rPr>
                <w:spacing w:val="-1"/>
                <w:lang w:val="en-GB" w:eastAsia="en-US"/>
              </w:rPr>
              <w:t xml:space="preserve">during Q4 and it reached 3.5% towards the end of year </w:t>
            </w:r>
            <w:r w:rsidR="000200BE" w:rsidRPr="000D296A">
              <w:rPr>
                <w:spacing w:val="-1"/>
                <w:lang w:val="en-GB" w:eastAsia="en-US"/>
              </w:rPr>
              <w:t>2021</w:t>
            </w:r>
            <w:r>
              <w:rPr>
                <w:spacing w:val="-1"/>
                <w:lang w:val="en-GB" w:eastAsia="en-US"/>
              </w:rPr>
              <w:t xml:space="preserve">. </w:t>
            </w:r>
            <w:r w:rsidR="006E1DF6">
              <w:rPr>
                <w:spacing w:val="-1"/>
                <w:lang w:val="en-GB" w:eastAsia="en-US"/>
              </w:rPr>
              <w:t xml:space="preserve">The rising of yields on domestic government bonds of all maturities also further continued. As of </w:t>
            </w:r>
            <w:r w:rsidR="000200BE" w:rsidRPr="000D296A">
              <w:rPr>
                <w:spacing w:val="-1"/>
                <w:lang w:val="en-GB" w:eastAsia="en-US"/>
              </w:rPr>
              <w:t>31. 12.</w:t>
            </w:r>
            <w:r w:rsidR="006E1DF6">
              <w:rPr>
                <w:spacing w:val="-1"/>
                <w:lang w:val="en-GB" w:eastAsia="en-US"/>
              </w:rPr>
              <w:t xml:space="preserve">, the interest rate attained 3.07% on bonds with short-term maturity </w:t>
            </w:r>
            <w:r w:rsidR="000200BE" w:rsidRPr="000D296A">
              <w:rPr>
                <w:spacing w:val="-1"/>
                <w:lang w:val="en-GB" w:eastAsia="en-US"/>
              </w:rPr>
              <w:t>(</w:t>
            </w:r>
            <w:r w:rsidR="006E1DF6">
              <w:rPr>
                <w:spacing w:val="-1"/>
                <w:lang w:val="en-GB" w:eastAsia="en-US"/>
              </w:rPr>
              <w:t xml:space="preserve">increase by </w:t>
            </w:r>
            <w:r w:rsidR="000200BE" w:rsidRPr="000D296A">
              <w:rPr>
                <w:spacing w:val="-1"/>
                <w:lang w:val="en-GB" w:eastAsia="en-US"/>
              </w:rPr>
              <w:t>1</w:t>
            </w:r>
            <w:r w:rsidR="006E1DF6">
              <w:rPr>
                <w:spacing w:val="-1"/>
                <w:lang w:val="en-GB" w:eastAsia="en-US"/>
              </w:rPr>
              <w:t>.</w:t>
            </w:r>
            <w:r w:rsidR="000200BE" w:rsidRPr="000D296A">
              <w:rPr>
                <w:spacing w:val="-1"/>
                <w:lang w:val="en-GB" w:eastAsia="en-US"/>
              </w:rPr>
              <w:t>47 p.</w:t>
            </w:r>
            <w:r w:rsidR="006E1DF6">
              <w:rPr>
                <w:spacing w:val="-1"/>
                <w:lang w:val="en-GB" w:eastAsia="en-US"/>
              </w:rPr>
              <w:t>p</w:t>
            </w:r>
            <w:r w:rsidR="000200BE" w:rsidRPr="000D296A">
              <w:rPr>
                <w:spacing w:val="-1"/>
                <w:lang w:val="en-GB" w:eastAsia="en-US"/>
              </w:rPr>
              <w:t>.),</w:t>
            </w:r>
            <w:r w:rsidR="006E1DF6">
              <w:rPr>
                <w:spacing w:val="-1"/>
                <w:lang w:val="en-GB" w:eastAsia="en-US"/>
              </w:rPr>
              <w:t xml:space="preserve"> which is the most since April </w:t>
            </w:r>
            <w:r w:rsidR="000200BE" w:rsidRPr="000D296A">
              <w:rPr>
                <w:spacing w:val="-1"/>
                <w:lang w:val="en-GB" w:eastAsia="en-US"/>
              </w:rPr>
              <w:t>2009.</w:t>
            </w:r>
            <w:r w:rsidR="006E1DF6">
              <w:rPr>
                <w:spacing w:val="-1"/>
                <w:lang w:val="en-GB" w:eastAsia="en-US"/>
              </w:rPr>
              <w:t xml:space="preserve"> Yields of medium-term bonds rose by </w:t>
            </w:r>
            <w:r w:rsidR="000200BE" w:rsidRPr="000D296A">
              <w:rPr>
                <w:spacing w:val="-1"/>
                <w:lang w:val="en-GB" w:eastAsia="en-US"/>
              </w:rPr>
              <w:t>0</w:t>
            </w:r>
            <w:r w:rsidR="006E1DF6">
              <w:rPr>
                <w:spacing w:val="-1"/>
                <w:lang w:val="en-GB" w:eastAsia="en-US"/>
              </w:rPr>
              <w:t>.</w:t>
            </w:r>
            <w:r w:rsidR="000200BE" w:rsidRPr="000D296A">
              <w:rPr>
                <w:spacing w:val="-1"/>
                <w:lang w:val="en-GB" w:eastAsia="en-US"/>
              </w:rPr>
              <w:t>97 p.</w:t>
            </w:r>
            <w:r w:rsidR="006E1DF6">
              <w:rPr>
                <w:spacing w:val="-1"/>
                <w:lang w:val="en-GB" w:eastAsia="en-US"/>
              </w:rPr>
              <w:t xml:space="preserve">p. to </w:t>
            </w:r>
            <w:r w:rsidR="000200BE" w:rsidRPr="000D296A">
              <w:rPr>
                <w:spacing w:val="-1"/>
                <w:lang w:val="en-GB" w:eastAsia="en-US"/>
              </w:rPr>
              <w:t>2</w:t>
            </w:r>
            <w:r w:rsidR="006E1DF6">
              <w:rPr>
                <w:spacing w:val="-1"/>
                <w:lang w:val="en-GB" w:eastAsia="en-US"/>
              </w:rPr>
              <w:t>.</w:t>
            </w:r>
            <w:r w:rsidR="000200BE" w:rsidRPr="000D296A">
              <w:rPr>
                <w:spacing w:val="-1"/>
                <w:lang w:val="en-GB" w:eastAsia="en-US"/>
              </w:rPr>
              <w:t>84% a</w:t>
            </w:r>
            <w:r w:rsidR="006E1DF6">
              <w:rPr>
                <w:spacing w:val="-1"/>
                <w:lang w:val="en-GB" w:eastAsia="en-US"/>
              </w:rPr>
              <w:t xml:space="preserve">nd the long-term by </w:t>
            </w:r>
            <w:r w:rsidR="000200BE" w:rsidRPr="000D296A">
              <w:rPr>
                <w:spacing w:val="-1"/>
                <w:lang w:val="en-GB" w:eastAsia="en-US"/>
              </w:rPr>
              <w:t>0</w:t>
            </w:r>
            <w:r w:rsidR="006E1DF6">
              <w:rPr>
                <w:spacing w:val="-1"/>
                <w:lang w:val="en-GB" w:eastAsia="en-US"/>
              </w:rPr>
              <w:t>.</w:t>
            </w:r>
            <w:r w:rsidR="000200BE" w:rsidRPr="000D296A">
              <w:rPr>
                <w:spacing w:val="-1"/>
                <w:lang w:val="en-GB" w:eastAsia="en-US"/>
              </w:rPr>
              <w:t>72 p.</w:t>
            </w:r>
            <w:r w:rsidR="006E1DF6">
              <w:rPr>
                <w:spacing w:val="-1"/>
                <w:lang w:val="en-GB" w:eastAsia="en-US"/>
              </w:rPr>
              <w:t>p</w:t>
            </w:r>
            <w:r w:rsidR="000200BE" w:rsidRPr="000D296A">
              <w:rPr>
                <w:spacing w:val="-1"/>
                <w:lang w:val="en-GB" w:eastAsia="en-US"/>
              </w:rPr>
              <w:t>.</w:t>
            </w:r>
            <w:r w:rsidR="006E1DF6">
              <w:rPr>
                <w:spacing w:val="-1"/>
                <w:lang w:val="en-GB" w:eastAsia="en-US"/>
              </w:rPr>
              <w:t xml:space="preserve"> to </w:t>
            </w:r>
            <w:r w:rsidR="000200BE" w:rsidRPr="000D296A">
              <w:rPr>
                <w:spacing w:val="-1"/>
                <w:lang w:val="en-GB" w:eastAsia="en-US"/>
              </w:rPr>
              <w:t>2</w:t>
            </w:r>
            <w:r w:rsidR="006E1DF6">
              <w:rPr>
                <w:spacing w:val="-1"/>
                <w:lang w:val="en-GB" w:eastAsia="en-US"/>
              </w:rPr>
              <w:t>.</w:t>
            </w:r>
            <w:r w:rsidR="000200BE" w:rsidRPr="000D296A">
              <w:rPr>
                <w:spacing w:val="-1"/>
                <w:lang w:val="en-GB" w:eastAsia="en-US"/>
              </w:rPr>
              <w:t>62%.</w:t>
            </w:r>
            <w:r w:rsidR="006E1DF6">
              <w:rPr>
                <w:spacing w:val="-1"/>
                <w:lang w:val="en-GB" w:eastAsia="en-US"/>
              </w:rPr>
              <w:t xml:space="preserve"> Yields of the bonds also mildly grew in the euro area. </w:t>
            </w:r>
            <w:r w:rsidR="003B1AC5">
              <w:rPr>
                <w:spacing w:val="-1"/>
                <w:lang w:val="en-GB" w:eastAsia="en-US"/>
              </w:rPr>
              <w:t xml:space="preserve">Those with ten-year maturity were having interest of 0.28% </w:t>
            </w:r>
            <w:r w:rsidR="000200BE" w:rsidRPr="000D296A">
              <w:rPr>
                <w:spacing w:val="-1"/>
                <w:lang w:val="en-GB" w:eastAsia="en-US"/>
              </w:rPr>
              <w:t>(+0</w:t>
            </w:r>
            <w:r w:rsidR="003B1AC5">
              <w:rPr>
                <w:spacing w:val="-1"/>
                <w:lang w:val="en-GB" w:eastAsia="en-US"/>
              </w:rPr>
              <w:t>.</w:t>
            </w:r>
            <w:r w:rsidR="000200BE" w:rsidRPr="000D296A">
              <w:rPr>
                <w:lang w:val="en-GB"/>
              </w:rPr>
              <w:t>08 p</w:t>
            </w:r>
            <w:r w:rsidR="000200BE" w:rsidRPr="000D296A">
              <w:rPr>
                <w:spacing w:val="-1"/>
                <w:lang w:val="en-GB" w:eastAsia="en-US"/>
              </w:rPr>
              <w:t>.</w:t>
            </w:r>
            <w:r w:rsidR="003B1AC5">
              <w:rPr>
                <w:spacing w:val="-1"/>
                <w:lang w:val="en-GB" w:eastAsia="en-US"/>
              </w:rPr>
              <w:t>p</w:t>
            </w:r>
            <w:r w:rsidR="000200BE" w:rsidRPr="000D296A">
              <w:rPr>
                <w:spacing w:val="-1"/>
                <w:lang w:val="en-GB" w:eastAsia="en-US"/>
              </w:rPr>
              <w:t>.)</w:t>
            </w:r>
            <w:r w:rsidR="003B1AC5">
              <w:rPr>
                <w:spacing w:val="-1"/>
                <w:lang w:val="en-GB" w:eastAsia="en-US"/>
              </w:rPr>
              <w:t xml:space="preserve"> towards the end of year 2021</w:t>
            </w:r>
            <w:r w:rsidR="000200BE" w:rsidRPr="000D296A">
              <w:rPr>
                <w:spacing w:val="-1"/>
                <w:lang w:val="en-GB" w:eastAsia="en-US"/>
              </w:rPr>
              <w:t>.</w:t>
            </w:r>
          </w:p>
        </w:tc>
      </w:tr>
      <w:tr w:rsidR="000200BE" w14:paraId="641836CF" w14:textId="77777777" w:rsidTr="00913237">
        <w:trPr>
          <w:trHeight w:val="145"/>
        </w:trPr>
        <w:tc>
          <w:tcPr>
            <w:tcW w:w="1802" w:type="dxa"/>
            <w:hideMark/>
          </w:tcPr>
          <w:p w14:paraId="50159FD7" w14:textId="25003E6D" w:rsidR="000200BE" w:rsidRPr="006E1DF6" w:rsidRDefault="0096547B" w:rsidP="00913237">
            <w:pPr>
              <w:pStyle w:val="Marginlie"/>
              <w:rPr>
                <w:lang w:val="en-GB" w:eastAsia="en-US"/>
              </w:rPr>
            </w:pPr>
            <w:r>
              <w:rPr>
                <w:lang w:val="en-GB" w:eastAsia="en-US"/>
              </w:rPr>
              <w:t xml:space="preserve">The interest on term deposits of households and non-financial businesses grew. </w:t>
            </w:r>
          </w:p>
        </w:tc>
        <w:tc>
          <w:tcPr>
            <w:tcW w:w="229" w:type="dxa"/>
          </w:tcPr>
          <w:p w14:paraId="68A1DFF5" w14:textId="77777777" w:rsidR="000200BE" w:rsidRPr="006E1DF6" w:rsidRDefault="000200BE" w:rsidP="00913237">
            <w:pPr>
              <w:pStyle w:val="Textpoznpodarou"/>
              <w:jc w:val="both"/>
              <w:rPr>
                <w:spacing w:val="-4"/>
                <w:lang w:val="en-GB" w:eastAsia="en-US"/>
              </w:rPr>
            </w:pPr>
          </w:p>
        </w:tc>
        <w:tc>
          <w:tcPr>
            <w:tcW w:w="7610" w:type="dxa"/>
          </w:tcPr>
          <w:p w14:paraId="2519A694" w14:textId="1FF2000D" w:rsidR="000200BE" w:rsidRPr="006E1DF6" w:rsidRDefault="0096547B" w:rsidP="00913237">
            <w:pPr>
              <w:rPr>
                <w:spacing w:val="-3"/>
                <w:lang w:val="en-GB" w:eastAsia="en-US"/>
              </w:rPr>
            </w:pPr>
            <w:r>
              <w:rPr>
                <w:spacing w:val="-3"/>
                <w:lang w:val="en-GB" w:eastAsia="en-US"/>
              </w:rPr>
              <w:t xml:space="preserve">The average interest on the current accounts of households very slightly increased, but it was still practically at a zero level (0.06%) towards the end of year </w:t>
            </w:r>
            <w:r w:rsidR="000200BE" w:rsidRPr="006E1DF6">
              <w:rPr>
                <w:spacing w:val="-3"/>
                <w:lang w:val="en-GB" w:eastAsia="en-US"/>
              </w:rPr>
              <w:t>2021</w:t>
            </w:r>
            <w:r>
              <w:rPr>
                <w:spacing w:val="-3"/>
                <w:lang w:val="en-GB" w:eastAsia="en-US"/>
              </w:rPr>
              <w:t>. The situation was different in case of deposits with agreed maturity. There the interest rates gradually increased during the whole year and it was the most just in Q</w:t>
            </w:r>
            <w:r w:rsidR="000200BE" w:rsidRPr="006E1DF6">
              <w:rPr>
                <w:spacing w:val="-3"/>
                <w:lang w:val="en-GB" w:eastAsia="en-US"/>
              </w:rPr>
              <w:t>4.</w:t>
            </w:r>
            <w:r>
              <w:rPr>
                <w:spacing w:val="-3"/>
                <w:lang w:val="en-GB" w:eastAsia="en-US"/>
              </w:rPr>
              <w:t xml:space="preserve"> </w:t>
            </w:r>
            <w:r w:rsidR="00845CE4">
              <w:rPr>
                <w:spacing w:val="-3"/>
                <w:lang w:val="en-GB" w:eastAsia="en-US"/>
              </w:rPr>
              <w:t xml:space="preserve">The average interest on the deposits of households with agreed maturity was </w:t>
            </w:r>
            <w:r w:rsidR="000200BE" w:rsidRPr="006E1DF6">
              <w:rPr>
                <w:spacing w:val="-3"/>
                <w:lang w:val="en-GB" w:eastAsia="en-US"/>
              </w:rPr>
              <w:t>2</w:t>
            </w:r>
            <w:r w:rsidR="00845CE4">
              <w:rPr>
                <w:spacing w:val="-3"/>
                <w:lang w:val="en-GB" w:eastAsia="en-US"/>
              </w:rPr>
              <w:t>.</w:t>
            </w:r>
            <w:r w:rsidR="000200BE" w:rsidRPr="006E1DF6">
              <w:rPr>
                <w:spacing w:val="-3"/>
                <w:lang w:val="en-GB" w:eastAsia="en-US"/>
              </w:rPr>
              <w:t>32% (</w:t>
            </w:r>
            <w:r w:rsidR="00845CE4">
              <w:rPr>
                <w:spacing w:val="-3"/>
                <w:lang w:val="en-GB" w:eastAsia="en-US"/>
              </w:rPr>
              <w:t xml:space="preserve">increase from </w:t>
            </w:r>
            <w:r w:rsidR="000200BE" w:rsidRPr="006E1DF6">
              <w:rPr>
                <w:spacing w:val="-3"/>
                <w:lang w:val="en-GB" w:eastAsia="en-US"/>
              </w:rPr>
              <w:t>30. </w:t>
            </w:r>
            <w:r w:rsidR="00845CE4">
              <w:rPr>
                <w:spacing w:val="-3"/>
                <w:lang w:val="en-GB" w:eastAsia="en-US"/>
              </w:rPr>
              <w:t xml:space="preserve">September by </w:t>
            </w:r>
            <w:r w:rsidR="000200BE" w:rsidRPr="006E1DF6">
              <w:rPr>
                <w:spacing w:val="-3"/>
                <w:lang w:val="en-GB" w:eastAsia="en-US"/>
              </w:rPr>
              <w:t>1</w:t>
            </w:r>
            <w:r w:rsidR="00845CE4">
              <w:rPr>
                <w:spacing w:val="-3"/>
                <w:lang w:val="en-GB" w:eastAsia="en-US"/>
              </w:rPr>
              <w:t>.</w:t>
            </w:r>
            <w:r w:rsidR="000200BE" w:rsidRPr="006E1DF6">
              <w:rPr>
                <w:spacing w:val="-3"/>
                <w:lang w:val="en-GB" w:eastAsia="en-US"/>
              </w:rPr>
              <w:t>59%)</w:t>
            </w:r>
            <w:r w:rsidR="00845CE4">
              <w:rPr>
                <w:spacing w:val="-3"/>
                <w:lang w:val="en-GB" w:eastAsia="en-US"/>
              </w:rPr>
              <w:t xml:space="preserve"> at the end of year 2021</w:t>
            </w:r>
            <w:r w:rsidR="000200BE" w:rsidRPr="006E1DF6">
              <w:rPr>
                <w:spacing w:val="-3"/>
                <w:lang w:val="en-GB" w:eastAsia="en-US"/>
              </w:rPr>
              <w:t xml:space="preserve">. </w:t>
            </w:r>
            <w:r w:rsidR="00845CE4">
              <w:rPr>
                <w:spacing w:val="-3"/>
                <w:lang w:val="en-GB" w:eastAsia="en-US"/>
              </w:rPr>
              <w:t xml:space="preserve">The interest on current accounts of non-financial businesses went up by </w:t>
            </w:r>
            <w:r w:rsidR="000200BE" w:rsidRPr="006E1DF6">
              <w:rPr>
                <w:spacing w:val="-3"/>
                <w:lang w:val="en-GB" w:eastAsia="en-US"/>
              </w:rPr>
              <w:t>0</w:t>
            </w:r>
            <w:r w:rsidR="00845CE4">
              <w:rPr>
                <w:spacing w:val="-3"/>
                <w:lang w:val="en-GB" w:eastAsia="en-US"/>
              </w:rPr>
              <w:t>.</w:t>
            </w:r>
            <w:r w:rsidR="000200BE" w:rsidRPr="006E1DF6">
              <w:rPr>
                <w:spacing w:val="-3"/>
                <w:lang w:val="en-GB" w:eastAsia="en-US"/>
              </w:rPr>
              <w:t>15 p.</w:t>
            </w:r>
            <w:r w:rsidR="00845CE4">
              <w:rPr>
                <w:spacing w:val="-3"/>
                <w:lang w:val="en-GB" w:eastAsia="en-US"/>
              </w:rPr>
              <w:t>p</w:t>
            </w:r>
            <w:r w:rsidR="000200BE" w:rsidRPr="006E1DF6">
              <w:rPr>
                <w:spacing w:val="-3"/>
                <w:lang w:val="en-GB" w:eastAsia="en-US"/>
              </w:rPr>
              <w:t xml:space="preserve">. </w:t>
            </w:r>
            <w:r w:rsidR="00845CE4">
              <w:rPr>
                <w:spacing w:val="-3"/>
                <w:lang w:val="en-GB" w:eastAsia="en-US"/>
              </w:rPr>
              <w:t xml:space="preserve">to </w:t>
            </w:r>
            <w:r w:rsidR="000200BE" w:rsidRPr="006E1DF6">
              <w:rPr>
                <w:spacing w:val="-3"/>
                <w:lang w:val="en-GB" w:eastAsia="en-US"/>
              </w:rPr>
              <w:t>0</w:t>
            </w:r>
            <w:r w:rsidR="00845CE4">
              <w:rPr>
                <w:spacing w:val="-3"/>
                <w:lang w:val="en-GB" w:eastAsia="en-US"/>
              </w:rPr>
              <w:t>.</w:t>
            </w:r>
            <w:r w:rsidR="000200BE" w:rsidRPr="006E1DF6">
              <w:rPr>
                <w:spacing w:val="-3"/>
                <w:lang w:val="en-GB" w:eastAsia="en-US"/>
              </w:rPr>
              <w:t>2%</w:t>
            </w:r>
            <w:r w:rsidR="00845CE4">
              <w:rPr>
                <w:spacing w:val="-3"/>
                <w:lang w:val="en-GB" w:eastAsia="en-US"/>
              </w:rPr>
              <w:t xml:space="preserve"> in Q4</w:t>
            </w:r>
            <w:r w:rsidR="000200BE" w:rsidRPr="006E1DF6">
              <w:rPr>
                <w:spacing w:val="-3"/>
                <w:lang w:val="en-GB" w:eastAsia="en-US"/>
              </w:rPr>
              <w:t>.</w:t>
            </w:r>
            <w:r w:rsidR="00555713">
              <w:rPr>
                <w:spacing w:val="-3"/>
                <w:lang w:val="en-GB" w:eastAsia="en-US"/>
              </w:rPr>
              <w:t xml:space="preserve"> The average interest rates of deposits with agreed maturity of non-financial businesses were </w:t>
            </w:r>
            <w:r w:rsidR="000200BE" w:rsidRPr="006E1DF6">
              <w:rPr>
                <w:spacing w:val="-3"/>
                <w:lang w:val="en-GB" w:eastAsia="en-US"/>
              </w:rPr>
              <w:t>2</w:t>
            </w:r>
            <w:r w:rsidR="00555713">
              <w:rPr>
                <w:spacing w:val="-3"/>
                <w:lang w:val="en-GB" w:eastAsia="en-US"/>
              </w:rPr>
              <w:t>.</w:t>
            </w:r>
            <w:r w:rsidR="000200BE" w:rsidRPr="006E1DF6">
              <w:rPr>
                <w:spacing w:val="-3"/>
                <w:lang w:val="en-GB" w:eastAsia="en-US"/>
              </w:rPr>
              <w:t>47%</w:t>
            </w:r>
            <w:r w:rsidR="00555713">
              <w:rPr>
                <w:spacing w:val="-3"/>
                <w:lang w:val="en-GB" w:eastAsia="en-US"/>
              </w:rPr>
              <w:t xml:space="preserve"> at the end of the year</w:t>
            </w:r>
            <w:r w:rsidR="000200BE" w:rsidRPr="006E1DF6">
              <w:rPr>
                <w:spacing w:val="-3"/>
                <w:lang w:val="en-GB" w:eastAsia="en-US"/>
              </w:rPr>
              <w:t xml:space="preserve">, </w:t>
            </w:r>
            <w:r w:rsidR="00555713">
              <w:rPr>
                <w:spacing w:val="-3"/>
                <w:lang w:val="en-GB" w:eastAsia="en-US"/>
              </w:rPr>
              <w:t xml:space="preserve">which was by </w:t>
            </w:r>
            <w:r w:rsidR="000200BE" w:rsidRPr="006E1DF6">
              <w:rPr>
                <w:spacing w:val="-3"/>
                <w:lang w:val="en-GB" w:eastAsia="en-US"/>
              </w:rPr>
              <w:t>1</w:t>
            </w:r>
            <w:r w:rsidR="00555713">
              <w:rPr>
                <w:spacing w:val="-3"/>
                <w:lang w:val="en-GB" w:eastAsia="en-US"/>
              </w:rPr>
              <w:t>.</w:t>
            </w:r>
            <w:r w:rsidR="000200BE" w:rsidRPr="006E1DF6">
              <w:rPr>
                <w:spacing w:val="-3"/>
                <w:lang w:val="en-GB" w:eastAsia="en-US"/>
              </w:rPr>
              <w:t>91 p.</w:t>
            </w:r>
            <w:r w:rsidR="00555713">
              <w:rPr>
                <w:spacing w:val="-3"/>
                <w:lang w:val="en-GB" w:eastAsia="en-US"/>
              </w:rPr>
              <w:t>p. more than at the end of September</w:t>
            </w:r>
            <w:r w:rsidR="000200BE" w:rsidRPr="006E1DF6">
              <w:rPr>
                <w:spacing w:val="-3"/>
                <w:lang w:val="en-GB" w:eastAsia="en-US"/>
              </w:rPr>
              <w:t xml:space="preserve">. </w:t>
            </w:r>
            <w:r w:rsidR="00555713">
              <w:rPr>
                <w:spacing w:val="-3"/>
                <w:lang w:val="en-GB" w:eastAsia="en-US"/>
              </w:rPr>
              <w:t xml:space="preserve">The total volume of non-term deposits of clients was year-on-year higher by </w:t>
            </w:r>
            <w:r w:rsidR="000200BE" w:rsidRPr="006E1DF6">
              <w:rPr>
                <w:spacing w:val="-3"/>
                <w:lang w:val="en-GB" w:eastAsia="en-US"/>
              </w:rPr>
              <w:t>5</w:t>
            </w:r>
            <w:r w:rsidR="00555713">
              <w:rPr>
                <w:spacing w:val="-3"/>
                <w:lang w:val="en-GB" w:eastAsia="en-US"/>
              </w:rPr>
              <w:t>.</w:t>
            </w:r>
            <w:r w:rsidR="000200BE" w:rsidRPr="006E1DF6">
              <w:rPr>
                <w:spacing w:val="-3"/>
                <w:lang w:val="en-GB" w:eastAsia="en-US"/>
              </w:rPr>
              <w:t>9%</w:t>
            </w:r>
            <w:r w:rsidR="00555713">
              <w:rPr>
                <w:spacing w:val="-3"/>
                <w:lang w:val="en-GB" w:eastAsia="en-US"/>
              </w:rPr>
              <w:t xml:space="preserve"> at the end of year 2021</w:t>
            </w:r>
            <w:r w:rsidR="000200BE" w:rsidRPr="006E1DF6">
              <w:rPr>
                <w:spacing w:val="-3"/>
                <w:lang w:val="en-GB" w:eastAsia="en-US"/>
              </w:rPr>
              <w:t>,</w:t>
            </w:r>
            <w:r w:rsidR="00555713">
              <w:rPr>
                <w:spacing w:val="-3"/>
                <w:lang w:val="en-GB" w:eastAsia="en-US"/>
              </w:rPr>
              <w:t xml:space="preserve"> which signified a considerable </w:t>
            </w:r>
            <w:r w:rsidR="00975BAF">
              <w:rPr>
                <w:spacing w:val="-3"/>
                <w:lang w:val="en-GB" w:eastAsia="en-US"/>
              </w:rPr>
              <w:t>slowdown</w:t>
            </w:r>
            <w:r w:rsidR="00555713">
              <w:rPr>
                <w:spacing w:val="-3"/>
                <w:lang w:val="en-GB" w:eastAsia="en-US"/>
              </w:rPr>
              <w:t xml:space="preserve"> of growth. Compared to the end of Q</w:t>
            </w:r>
            <w:r w:rsidR="000200BE" w:rsidRPr="006E1DF6">
              <w:rPr>
                <w:spacing w:val="-3"/>
                <w:lang w:val="en-GB" w:eastAsia="en-US"/>
              </w:rPr>
              <w:t>3</w:t>
            </w:r>
            <w:r w:rsidR="00555713">
              <w:rPr>
                <w:spacing w:val="-3"/>
                <w:lang w:val="en-GB" w:eastAsia="en-US"/>
              </w:rPr>
              <w:t xml:space="preserve">, it dropped by </w:t>
            </w:r>
            <w:r w:rsidR="000200BE" w:rsidRPr="006E1DF6">
              <w:rPr>
                <w:spacing w:val="-3"/>
                <w:lang w:val="en-GB" w:eastAsia="en-US"/>
              </w:rPr>
              <w:t>202</w:t>
            </w:r>
            <w:r w:rsidR="00555713">
              <w:rPr>
                <w:spacing w:val="-3"/>
                <w:lang w:val="en-GB" w:eastAsia="en-US"/>
              </w:rPr>
              <w:t>.</w:t>
            </w:r>
            <w:r w:rsidR="000200BE" w:rsidRPr="006E1DF6">
              <w:rPr>
                <w:spacing w:val="-3"/>
                <w:lang w:val="en-GB" w:eastAsia="en-US"/>
              </w:rPr>
              <w:t>1</w:t>
            </w:r>
            <w:r w:rsidR="00555713">
              <w:rPr>
                <w:spacing w:val="-3"/>
                <w:lang w:val="en-GB" w:eastAsia="en-US"/>
              </w:rPr>
              <w:t xml:space="preserve"> CZK bn, which is relatively atypical for non-term deposits. </w:t>
            </w:r>
            <w:r w:rsidR="00CA4D42">
              <w:rPr>
                <w:spacing w:val="-3"/>
                <w:lang w:val="en-GB" w:eastAsia="en-US"/>
              </w:rPr>
              <w:t>Mostly the non-term deposits of households</w:t>
            </w:r>
            <w:r w:rsidR="000200BE" w:rsidRPr="006E1DF6">
              <w:rPr>
                <w:rStyle w:val="Znakapoznpodarou"/>
                <w:spacing w:val="-3"/>
                <w:lang w:val="en-GB" w:eastAsia="en-US"/>
              </w:rPr>
              <w:footnoteReference w:id="76"/>
            </w:r>
            <w:r w:rsidR="000200BE" w:rsidRPr="006E1DF6">
              <w:rPr>
                <w:spacing w:val="-3"/>
                <w:lang w:val="en-GB" w:eastAsia="en-US"/>
              </w:rPr>
              <w:t xml:space="preserve"> (–59</w:t>
            </w:r>
            <w:r w:rsidR="00CA4D42">
              <w:rPr>
                <w:spacing w:val="-3"/>
                <w:lang w:val="en-GB" w:eastAsia="en-US"/>
              </w:rPr>
              <w:t>.</w:t>
            </w:r>
            <w:r w:rsidR="000200BE" w:rsidRPr="006E1DF6">
              <w:rPr>
                <w:spacing w:val="-3"/>
                <w:lang w:val="en-GB" w:eastAsia="en-US"/>
              </w:rPr>
              <w:t>6</w:t>
            </w:r>
            <w:r w:rsidR="00CA4D42">
              <w:rPr>
                <w:spacing w:val="-3"/>
                <w:lang w:val="en-GB" w:eastAsia="en-US"/>
              </w:rPr>
              <w:t xml:space="preserve"> CZK bn</w:t>
            </w:r>
            <w:r w:rsidR="000200BE" w:rsidRPr="006E1DF6">
              <w:rPr>
                <w:spacing w:val="-3"/>
                <w:lang w:val="en-GB" w:eastAsia="en-US"/>
              </w:rPr>
              <w:t xml:space="preserve">) </w:t>
            </w:r>
            <w:r w:rsidR="00CA4D42">
              <w:rPr>
                <w:spacing w:val="-3"/>
                <w:lang w:val="en-GB" w:eastAsia="en-US"/>
              </w:rPr>
              <w:t xml:space="preserve">and government </w:t>
            </w:r>
            <w:r w:rsidR="000200BE" w:rsidRPr="006E1DF6">
              <w:rPr>
                <w:spacing w:val="-3"/>
                <w:lang w:val="en-GB" w:eastAsia="en-US"/>
              </w:rPr>
              <w:t>(–110</w:t>
            </w:r>
            <w:r w:rsidR="00CA4D42">
              <w:rPr>
                <w:spacing w:val="-3"/>
                <w:lang w:val="en-GB" w:eastAsia="en-US"/>
              </w:rPr>
              <w:t>.</w:t>
            </w:r>
            <w:r w:rsidR="000200BE" w:rsidRPr="006E1DF6">
              <w:rPr>
                <w:spacing w:val="-3"/>
                <w:lang w:val="en-GB" w:eastAsia="en-US"/>
              </w:rPr>
              <w:t>5</w:t>
            </w:r>
            <w:r w:rsidR="00CA4D42">
              <w:rPr>
                <w:spacing w:val="-3"/>
                <w:lang w:val="en-GB" w:eastAsia="en-US"/>
              </w:rPr>
              <w:t xml:space="preserve"> bn</w:t>
            </w:r>
            <w:r w:rsidR="000200BE" w:rsidRPr="006E1DF6">
              <w:rPr>
                <w:spacing w:val="-3"/>
                <w:lang w:val="en-GB" w:eastAsia="en-US"/>
              </w:rPr>
              <w:t>)</w:t>
            </w:r>
            <w:r w:rsidR="00CA4D42">
              <w:rPr>
                <w:spacing w:val="-3"/>
                <w:lang w:val="en-GB" w:eastAsia="en-US"/>
              </w:rPr>
              <w:t xml:space="preserve"> participated on this decrease</w:t>
            </w:r>
            <w:r w:rsidR="000200BE" w:rsidRPr="006E1DF6">
              <w:rPr>
                <w:spacing w:val="-3"/>
                <w:lang w:val="en-GB" w:eastAsia="en-US"/>
              </w:rPr>
              <w:t xml:space="preserve">. </w:t>
            </w:r>
            <w:r w:rsidR="003242F7">
              <w:rPr>
                <w:spacing w:val="-3"/>
                <w:lang w:val="en-GB" w:eastAsia="en-US"/>
              </w:rPr>
              <w:t xml:space="preserve">Volume of term deposits was by 10.1% higher year-on-year at the end of the year, mainly thanks to the increase of short-term and long-term deposits. </w:t>
            </w:r>
          </w:p>
        </w:tc>
      </w:tr>
      <w:tr w:rsidR="000200BE" w14:paraId="0749CA96" w14:textId="77777777" w:rsidTr="00913237">
        <w:trPr>
          <w:trHeight w:val="145"/>
        </w:trPr>
        <w:tc>
          <w:tcPr>
            <w:tcW w:w="1802" w:type="dxa"/>
          </w:tcPr>
          <w:p w14:paraId="0FFB8223" w14:textId="35E16401" w:rsidR="000200BE" w:rsidRPr="00CA4D42" w:rsidRDefault="00A61210" w:rsidP="00913237">
            <w:pPr>
              <w:pStyle w:val="Marginlie"/>
              <w:rPr>
                <w:lang w:val="en-GB" w:eastAsia="en-US"/>
              </w:rPr>
            </w:pPr>
            <w:r>
              <w:rPr>
                <w:lang w:val="en-GB" w:eastAsia="en-US"/>
              </w:rPr>
              <w:t xml:space="preserve">Both credit financing and consumption became more expansive for households. </w:t>
            </w:r>
          </w:p>
        </w:tc>
        <w:tc>
          <w:tcPr>
            <w:tcW w:w="229" w:type="dxa"/>
          </w:tcPr>
          <w:p w14:paraId="3EBC3183" w14:textId="77777777" w:rsidR="000200BE" w:rsidRPr="00CA4D42" w:rsidRDefault="000200BE" w:rsidP="00913237">
            <w:pPr>
              <w:pStyle w:val="Textpoznpodarou"/>
              <w:jc w:val="both"/>
              <w:rPr>
                <w:spacing w:val="-4"/>
                <w:lang w:val="en-GB" w:eastAsia="en-US"/>
              </w:rPr>
            </w:pPr>
          </w:p>
        </w:tc>
        <w:tc>
          <w:tcPr>
            <w:tcW w:w="7610" w:type="dxa"/>
          </w:tcPr>
          <w:p w14:paraId="54C43C4A" w14:textId="74017EF8" w:rsidR="000200BE" w:rsidRPr="00CA4D42" w:rsidRDefault="00A61210" w:rsidP="00913237">
            <w:pPr>
              <w:rPr>
                <w:lang w:val="en-GB" w:eastAsia="en-US"/>
              </w:rPr>
            </w:pPr>
            <w:r>
              <w:rPr>
                <w:lang w:val="en-GB" w:eastAsia="en-US"/>
              </w:rPr>
              <w:t>The interest rates on credit for households also reacted to the general growth of interest rates in the economy.</w:t>
            </w:r>
            <w:r w:rsidR="001411A4">
              <w:rPr>
                <w:lang w:val="en-GB" w:eastAsia="en-US"/>
              </w:rPr>
              <w:t xml:space="preserve"> The average interest on consumer credit as of </w:t>
            </w:r>
            <w:r w:rsidR="000200BE" w:rsidRPr="00CA4D42">
              <w:rPr>
                <w:lang w:val="en-GB" w:eastAsia="en-US"/>
              </w:rPr>
              <w:t>31. 12.</w:t>
            </w:r>
            <w:r w:rsidR="001411A4">
              <w:rPr>
                <w:lang w:val="en-GB" w:eastAsia="en-US"/>
              </w:rPr>
              <w:t xml:space="preserve"> Reached </w:t>
            </w:r>
            <w:r w:rsidR="000200BE" w:rsidRPr="00CA4D42">
              <w:rPr>
                <w:lang w:val="en-GB" w:eastAsia="en-US"/>
              </w:rPr>
              <w:t>7</w:t>
            </w:r>
            <w:r w:rsidR="001411A4">
              <w:rPr>
                <w:lang w:val="en-GB" w:eastAsia="en-US"/>
              </w:rPr>
              <w:t>.</w:t>
            </w:r>
            <w:r w:rsidR="000200BE" w:rsidRPr="00CA4D42">
              <w:rPr>
                <w:lang w:val="en-GB" w:eastAsia="en-US"/>
              </w:rPr>
              <w:t xml:space="preserve">91%, </w:t>
            </w:r>
            <w:r w:rsidR="001411A4">
              <w:rPr>
                <w:lang w:val="en-GB" w:eastAsia="en-US"/>
              </w:rPr>
              <w:t xml:space="preserve">which was by </w:t>
            </w:r>
            <w:r w:rsidR="000200BE" w:rsidRPr="00CA4D42">
              <w:rPr>
                <w:lang w:val="en-GB" w:eastAsia="en-US"/>
              </w:rPr>
              <w:t>0</w:t>
            </w:r>
            <w:r w:rsidR="001411A4">
              <w:rPr>
                <w:lang w:val="en-GB" w:eastAsia="en-US"/>
              </w:rPr>
              <w:t>.</w:t>
            </w:r>
            <w:r w:rsidR="000200BE" w:rsidRPr="00CA4D42">
              <w:rPr>
                <w:lang w:val="en-GB" w:eastAsia="en-US"/>
              </w:rPr>
              <w:t>32 p.</w:t>
            </w:r>
            <w:r w:rsidR="001411A4">
              <w:rPr>
                <w:lang w:val="en-GB" w:eastAsia="en-US"/>
              </w:rPr>
              <w:t>p</w:t>
            </w:r>
            <w:r w:rsidR="000200BE" w:rsidRPr="00CA4D42">
              <w:rPr>
                <w:lang w:val="en-GB" w:eastAsia="en-US"/>
              </w:rPr>
              <w:t xml:space="preserve">. </w:t>
            </w:r>
            <w:r w:rsidR="001411A4">
              <w:rPr>
                <w:lang w:val="en-GB" w:eastAsia="en-US"/>
              </w:rPr>
              <w:t>more than at the end of September</w:t>
            </w:r>
            <w:r w:rsidR="000200BE" w:rsidRPr="00CA4D42">
              <w:rPr>
                <w:lang w:val="en-GB" w:eastAsia="en-US"/>
              </w:rPr>
              <w:t xml:space="preserve">. </w:t>
            </w:r>
            <w:r w:rsidR="001411A4">
              <w:rPr>
                <w:lang w:val="en-GB" w:eastAsia="en-US"/>
              </w:rPr>
              <w:t xml:space="preserve">The gradual increase of rates, which lasted for the whole last year, thus continued. The average </w:t>
            </w:r>
            <w:r w:rsidR="001411A4">
              <w:rPr>
                <w:lang w:val="en-GB" w:eastAsia="en-US"/>
              </w:rPr>
              <w:lastRenderedPageBreak/>
              <w:t xml:space="preserve">interest rate on mortgages was also higher. </w:t>
            </w:r>
            <w:r w:rsidR="00CC4408">
              <w:rPr>
                <w:lang w:val="en-GB" w:eastAsia="en-US"/>
              </w:rPr>
              <w:t>It increased by 0.47% to 2.92% in Q4</w:t>
            </w:r>
            <w:r w:rsidR="000200BE" w:rsidRPr="00CA4D42">
              <w:rPr>
                <w:lang w:val="en-GB" w:eastAsia="en-US"/>
              </w:rPr>
              <w:t>.</w:t>
            </w:r>
            <w:r w:rsidR="00CC4408">
              <w:rPr>
                <w:lang w:val="en-GB" w:eastAsia="en-US"/>
              </w:rPr>
              <w:t xml:space="preserve"> </w:t>
            </w:r>
            <w:r w:rsidR="000200BE" w:rsidRPr="00CA4D42">
              <w:rPr>
                <w:lang w:val="en-GB" w:eastAsia="en-US"/>
              </w:rPr>
              <w:t xml:space="preserve"> </w:t>
            </w:r>
            <w:r w:rsidR="004C258C">
              <w:rPr>
                <w:lang w:val="en-GB" w:eastAsia="en-US"/>
              </w:rPr>
              <w:t xml:space="preserve">The interest on credit with the shortest fixation of the rate </w:t>
            </w:r>
            <w:r w:rsidR="000200BE" w:rsidRPr="00CA4D42">
              <w:rPr>
                <w:lang w:val="en-GB" w:eastAsia="en-US"/>
              </w:rPr>
              <w:t>(</w:t>
            </w:r>
            <w:r w:rsidR="004C258C">
              <w:rPr>
                <w:lang w:val="en-GB" w:eastAsia="en-US"/>
              </w:rPr>
              <w:t xml:space="preserve">up to </w:t>
            </w:r>
            <w:r w:rsidR="000200BE" w:rsidRPr="00CA4D42">
              <w:rPr>
                <w:lang w:val="en-GB" w:eastAsia="en-US"/>
              </w:rPr>
              <w:t>1</w:t>
            </w:r>
            <w:r w:rsidR="004C258C">
              <w:rPr>
                <w:lang w:val="en-GB" w:eastAsia="en-US"/>
              </w:rPr>
              <w:t xml:space="preserve"> year</w:t>
            </w:r>
            <w:r w:rsidR="000200BE" w:rsidRPr="00CA4D42">
              <w:rPr>
                <w:lang w:val="en-GB" w:eastAsia="en-US"/>
              </w:rPr>
              <w:t xml:space="preserve">). </w:t>
            </w:r>
            <w:r w:rsidR="004C258C">
              <w:rPr>
                <w:lang w:val="en-GB" w:eastAsia="en-US"/>
              </w:rPr>
              <w:t xml:space="preserve">During the last year, the year-on-year growth of the volume of credit provided on consumption gradually accelerated. </w:t>
            </w:r>
            <w:r w:rsidR="005F353D">
              <w:rPr>
                <w:lang w:val="en-GB" w:eastAsia="en-US"/>
              </w:rPr>
              <w:t xml:space="preserve">There were by </w:t>
            </w:r>
            <w:r w:rsidR="000200BE" w:rsidRPr="00CA4D42">
              <w:rPr>
                <w:lang w:val="en-GB" w:eastAsia="en-US"/>
              </w:rPr>
              <w:t>6</w:t>
            </w:r>
            <w:r w:rsidR="005F353D">
              <w:rPr>
                <w:lang w:val="en-GB" w:eastAsia="en-US"/>
              </w:rPr>
              <w:t>.</w:t>
            </w:r>
            <w:r w:rsidR="000200BE" w:rsidRPr="00CA4D42">
              <w:rPr>
                <w:lang w:val="en-GB" w:eastAsia="en-US"/>
              </w:rPr>
              <w:t>5%</w:t>
            </w:r>
            <w:r w:rsidR="005F353D">
              <w:rPr>
                <w:lang w:val="en-GB" w:eastAsia="en-US"/>
              </w:rPr>
              <w:t xml:space="preserve"> more of it at the end of year 2021</w:t>
            </w:r>
            <w:r w:rsidR="000200BE" w:rsidRPr="00CA4D42">
              <w:rPr>
                <w:lang w:val="en-GB" w:eastAsia="en-US"/>
              </w:rPr>
              <w:t xml:space="preserve">. </w:t>
            </w:r>
            <w:r w:rsidR="005F353D">
              <w:rPr>
                <w:lang w:val="en-GB" w:eastAsia="en-US"/>
              </w:rPr>
              <w:t xml:space="preserve">Mainly the restriction of retail trade and subsequent slump of </w:t>
            </w:r>
            <w:proofErr w:type="gramStart"/>
            <w:r w:rsidR="005F353D">
              <w:rPr>
                <w:lang w:val="en-GB" w:eastAsia="en-US"/>
              </w:rPr>
              <w:t>households</w:t>
            </w:r>
            <w:proofErr w:type="gramEnd"/>
            <w:r w:rsidR="005F353D">
              <w:rPr>
                <w:lang w:val="en-GB" w:eastAsia="en-US"/>
              </w:rPr>
              <w:t xml:space="preserve"> consumption halted their growth in 2</w:t>
            </w:r>
            <w:r w:rsidR="000200BE" w:rsidRPr="00CA4D42">
              <w:rPr>
                <w:lang w:val="en-GB" w:eastAsia="en-US"/>
              </w:rPr>
              <w:t>020</w:t>
            </w:r>
            <w:r w:rsidR="005F353D">
              <w:rPr>
                <w:lang w:val="en-GB" w:eastAsia="en-US"/>
              </w:rPr>
              <w:t xml:space="preserve">. </w:t>
            </w:r>
            <w:r w:rsidR="00995D25">
              <w:rPr>
                <w:lang w:val="en-GB" w:eastAsia="en-US"/>
              </w:rPr>
              <w:t xml:space="preserve">On the contrary, the growth of mortgages further accelerated. </w:t>
            </w:r>
            <w:r w:rsidR="009B039B">
              <w:rPr>
                <w:lang w:val="en-GB" w:eastAsia="en-US"/>
              </w:rPr>
              <w:t xml:space="preserve">The year-on-year increase of their volume arrived at record 11.1% at the end of year </w:t>
            </w:r>
            <w:r w:rsidR="000200BE" w:rsidRPr="00CA4D42">
              <w:rPr>
                <w:lang w:val="en-GB" w:eastAsia="en-US"/>
              </w:rPr>
              <w:t>2021</w:t>
            </w:r>
            <w:r w:rsidR="009B039B">
              <w:rPr>
                <w:lang w:val="en-GB" w:eastAsia="en-US"/>
              </w:rPr>
              <w:t xml:space="preserve">. </w:t>
            </w:r>
            <w:r>
              <w:rPr>
                <w:lang w:val="en-GB" w:eastAsia="en-US"/>
              </w:rPr>
              <w:t>With respect to new mortgages</w:t>
            </w:r>
            <w:r w:rsidR="000200BE" w:rsidRPr="00CA4D42">
              <w:rPr>
                <w:rStyle w:val="Znakapoznpodarou"/>
                <w:lang w:val="en-GB" w:eastAsia="en-US"/>
              </w:rPr>
              <w:footnoteReference w:id="77"/>
            </w:r>
            <w:r w:rsidR="000200BE" w:rsidRPr="00CA4D42">
              <w:rPr>
                <w:lang w:val="en-GB" w:eastAsia="en-US"/>
              </w:rPr>
              <w:t xml:space="preserve">, </w:t>
            </w:r>
            <w:r w:rsidR="009B039B">
              <w:rPr>
                <w:lang w:val="en-GB" w:eastAsia="en-US"/>
              </w:rPr>
              <w:t>a further growth manifested following the preceding slump of the volume of net new credit. The volume of refinanced credit and other new contracts was also higher. The household indebtedness reached 2 108.8 CZK bn at the end of December and increased by 9.5% year-on-year, the most since September 2</w:t>
            </w:r>
            <w:r w:rsidR="000200BE" w:rsidRPr="00CA4D42">
              <w:rPr>
                <w:lang w:val="en-GB" w:eastAsia="en-US"/>
              </w:rPr>
              <w:t>009.</w:t>
            </w:r>
          </w:p>
        </w:tc>
      </w:tr>
      <w:tr w:rsidR="000200BE" w14:paraId="545173FF" w14:textId="77777777" w:rsidTr="00913237">
        <w:trPr>
          <w:trHeight w:val="145"/>
        </w:trPr>
        <w:tc>
          <w:tcPr>
            <w:tcW w:w="1802" w:type="dxa"/>
          </w:tcPr>
          <w:p w14:paraId="34ED9EF4" w14:textId="44B97BB1" w:rsidR="000200BE" w:rsidRPr="00A46650" w:rsidRDefault="00A46650" w:rsidP="00913237">
            <w:pPr>
              <w:pStyle w:val="Marginlie"/>
              <w:rPr>
                <w:lang w:val="en-GB" w:eastAsia="en-US"/>
              </w:rPr>
            </w:pPr>
            <w:r w:rsidRPr="00A46650">
              <w:rPr>
                <w:lang w:val="en-GB" w:eastAsia="en-US"/>
              </w:rPr>
              <w:lastRenderedPageBreak/>
              <w:t xml:space="preserve">Sharp increase of interest rates also concerned the credit for businesses. </w:t>
            </w:r>
          </w:p>
        </w:tc>
        <w:tc>
          <w:tcPr>
            <w:tcW w:w="229" w:type="dxa"/>
          </w:tcPr>
          <w:p w14:paraId="1AF7D4E7" w14:textId="77777777" w:rsidR="000200BE" w:rsidRDefault="000200BE" w:rsidP="00913237">
            <w:pPr>
              <w:pStyle w:val="Textpoznpodarou"/>
              <w:jc w:val="both"/>
              <w:rPr>
                <w:spacing w:val="-4"/>
                <w:lang w:eastAsia="en-US"/>
              </w:rPr>
            </w:pPr>
          </w:p>
        </w:tc>
        <w:tc>
          <w:tcPr>
            <w:tcW w:w="7610" w:type="dxa"/>
          </w:tcPr>
          <w:p w14:paraId="30AF68BA" w14:textId="4B3BB29E" w:rsidR="000200BE" w:rsidRPr="009B039B" w:rsidRDefault="002F7756" w:rsidP="00674B62">
            <w:pPr>
              <w:rPr>
                <w:lang w:val="en-GB" w:eastAsia="en-US"/>
              </w:rPr>
            </w:pPr>
            <w:r>
              <w:rPr>
                <w:lang w:val="en-GB" w:eastAsia="en-US"/>
              </w:rPr>
              <w:t xml:space="preserve">The cost of credit financing to non-financial businesses also jumped up. The average interest of credit with volume up to </w:t>
            </w:r>
            <w:r w:rsidR="000200BE" w:rsidRPr="009B039B">
              <w:rPr>
                <w:lang w:val="en-GB" w:eastAsia="en-US"/>
              </w:rPr>
              <w:t>7</w:t>
            </w:r>
            <w:r>
              <w:rPr>
                <w:lang w:val="en-GB" w:eastAsia="en-US"/>
              </w:rPr>
              <w:t>.</w:t>
            </w:r>
            <w:r w:rsidR="000200BE" w:rsidRPr="009B039B">
              <w:rPr>
                <w:lang w:val="en-GB" w:eastAsia="en-US"/>
              </w:rPr>
              <w:t>5</w:t>
            </w:r>
            <w:r>
              <w:rPr>
                <w:lang w:val="en-GB" w:eastAsia="en-US"/>
              </w:rPr>
              <w:t xml:space="preserve"> CZK mil increased by </w:t>
            </w:r>
            <w:r w:rsidR="000200BE" w:rsidRPr="009B039B">
              <w:rPr>
                <w:lang w:val="en-GB" w:eastAsia="en-US"/>
              </w:rPr>
              <w:t>1</w:t>
            </w:r>
            <w:r>
              <w:rPr>
                <w:lang w:val="en-GB" w:eastAsia="en-US"/>
              </w:rPr>
              <w:t>.</w:t>
            </w:r>
            <w:r w:rsidR="000200BE" w:rsidRPr="009B039B">
              <w:rPr>
                <w:lang w:val="en-GB" w:eastAsia="en-US"/>
              </w:rPr>
              <w:t>09 p.</w:t>
            </w:r>
            <w:r>
              <w:rPr>
                <w:lang w:val="en-GB" w:eastAsia="en-US"/>
              </w:rPr>
              <w:t xml:space="preserve">p. to </w:t>
            </w:r>
            <w:r w:rsidR="000200BE" w:rsidRPr="009B039B">
              <w:rPr>
                <w:lang w:val="en-GB" w:eastAsia="en-US"/>
              </w:rPr>
              <w:t>4</w:t>
            </w:r>
            <w:r>
              <w:rPr>
                <w:lang w:val="en-GB" w:eastAsia="en-US"/>
              </w:rPr>
              <w:t>.</w:t>
            </w:r>
            <w:r w:rsidR="000200BE" w:rsidRPr="009B039B">
              <w:rPr>
                <w:lang w:val="en-GB" w:eastAsia="en-US"/>
              </w:rPr>
              <w:t>86%</w:t>
            </w:r>
            <w:r>
              <w:rPr>
                <w:lang w:val="en-GB" w:eastAsia="en-US"/>
              </w:rPr>
              <w:t xml:space="preserve"> in Q4</w:t>
            </w:r>
            <w:r w:rsidR="000200BE" w:rsidRPr="009B039B">
              <w:rPr>
                <w:lang w:val="en-GB" w:eastAsia="en-US"/>
              </w:rPr>
              <w:t>.</w:t>
            </w:r>
            <w:r>
              <w:rPr>
                <w:lang w:val="en-GB" w:eastAsia="en-US"/>
              </w:rPr>
              <w:t xml:space="preserve"> </w:t>
            </w:r>
            <w:r w:rsidR="000200BE" w:rsidRPr="009B039B">
              <w:rPr>
                <w:lang w:val="en-GB" w:eastAsia="en-US"/>
              </w:rPr>
              <w:t xml:space="preserve"> </w:t>
            </w:r>
            <w:r>
              <w:rPr>
                <w:lang w:val="en-GB" w:eastAsia="en-US"/>
              </w:rPr>
              <w:t xml:space="preserve">For the medium category of credit with volume between </w:t>
            </w:r>
            <w:r w:rsidR="000200BE" w:rsidRPr="009B039B">
              <w:rPr>
                <w:lang w:val="en-GB" w:eastAsia="en-US"/>
              </w:rPr>
              <w:t>7</w:t>
            </w:r>
            <w:r>
              <w:rPr>
                <w:lang w:val="en-GB" w:eastAsia="en-US"/>
              </w:rPr>
              <w:t>.</w:t>
            </w:r>
            <w:r w:rsidR="000200BE" w:rsidRPr="009B039B">
              <w:rPr>
                <w:lang w:val="en-GB" w:eastAsia="en-US"/>
              </w:rPr>
              <w:t>5 </w:t>
            </w:r>
            <w:r w:rsidR="00DC7F51" w:rsidRPr="009B039B">
              <w:rPr>
                <w:lang w:val="en-GB" w:eastAsia="en-US"/>
              </w:rPr>
              <w:t>a</w:t>
            </w:r>
            <w:r w:rsidR="00DC7F51">
              <w:rPr>
                <w:lang w:val="en-GB" w:eastAsia="en-US"/>
              </w:rPr>
              <w:t xml:space="preserve">nd </w:t>
            </w:r>
            <w:r w:rsidR="00DC7F51" w:rsidRPr="009B039B">
              <w:rPr>
                <w:lang w:val="en-GB" w:eastAsia="en-US"/>
              </w:rPr>
              <w:t>30</w:t>
            </w:r>
            <w:r>
              <w:rPr>
                <w:lang w:val="en-GB" w:eastAsia="en-US"/>
              </w:rPr>
              <w:t xml:space="preserve"> CZK mil the interest rates </w:t>
            </w:r>
            <w:proofErr w:type="gramStart"/>
            <w:r>
              <w:rPr>
                <w:lang w:val="en-GB" w:eastAsia="en-US"/>
              </w:rPr>
              <w:t>were raised</w:t>
            </w:r>
            <w:proofErr w:type="gramEnd"/>
            <w:r>
              <w:rPr>
                <w:lang w:val="en-GB" w:eastAsia="en-US"/>
              </w:rPr>
              <w:t xml:space="preserve"> by </w:t>
            </w:r>
            <w:r w:rsidR="000200BE" w:rsidRPr="009B039B">
              <w:rPr>
                <w:lang w:val="en-GB" w:eastAsia="en-US"/>
              </w:rPr>
              <w:t>1</w:t>
            </w:r>
            <w:r>
              <w:rPr>
                <w:lang w:val="en-GB" w:eastAsia="en-US"/>
              </w:rPr>
              <w:t>.</w:t>
            </w:r>
            <w:r w:rsidR="000200BE" w:rsidRPr="009B039B">
              <w:rPr>
                <w:lang w:val="en-GB" w:eastAsia="en-US"/>
              </w:rPr>
              <w:t>77 p.</w:t>
            </w:r>
            <w:r>
              <w:rPr>
                <w:lang w:val="en-GB" w:eastAsia="en-US"/>
              </w:rPr>
              <w:t xml:space="preserve">p. to </w:t>
            </w:r>
            <w:r w:rsidR="000200BE" w:rsidRPr="009B039B">
              <w:rPr>
                <w:lang w:val="en-GB" w:eastAsia="en-US"/>
              </w:rPr>
              <w:t>4</w:t>
            </w:r>
            <w:r>
              <w:rPr>
                <w:lang w:val="en-GB" w:eastAsia="en-US"/>
              </w:rPr>
              <w:t>.</w:t>
            </w:r>
            <w:r w:rsidR="000200BE" w:rsidRPr="009B039B">
              <w:rPr>
                <w:lang w:val="en-GB" w:eastAsia="en-US"/>
              </w:rPr>
              <w:t xml:space="preserve">71%. </w:t>
            </w:r>
            <w:r>
              <w:rPr>
                <w:lang w:val="en-GB" w:eastAsia="en-US"/>
              </w:rPr>
              <w:t xml:space="preserve">The rates increased the most </w:t>
            </w:r>
            <w:r w:rsidR="000200BE" w:rsidRPr="009B039B">
              <w:rPr>
                <w:lang w:val="en-GB" w:eastAsia="en-US"/>
              </w:rPr>
              <w:t>(</w:t>
            </w:r>
            <w:r>
              <w:rPr>
                <w:lang w:val="en-GB" w:eastAsia="en-US"/>
              </w:rPr>
              <w:t>by 2.</w:t>
            </w:r>
            <w:r w:rsidR="000200BE" w:rsidRPr="009B039B">
              <w:rPr>
                <w:lang w:val="en-GB" w:eastAsia="en-US"/>
              </w:rPr>
              <w:t>61 p.</w:t>
            </w:r>
            <w:r>
              <w:rPr>
                <w:lang w:val="en-GB" w:eastAsia="en-US"/>
              </w:rPr>
              <w:t>p.</w:t>
            </w:r>
            <w:r w:rsidR="000200BE" w:rsidRPr="009B039B">
              <w:rPr>
                <w:lang w:val="en-GB" w:eastAsia="en-US"/>
              </w:rPr>
              <w:t>)</w:t>
            </w:r>
            <w:r>
              <w:rPr>
                <w:lang w:val="en-GB" w:eastAsia="en-US"/>
              </w:rPr>
              <w:t xml:space="preserve"> for rates on credit above </w:t>
            </w:r>
            <w:r w:rsidR="000200BE" w:rsidRPr="009B039B">
              <w:rPr>
                <w:lang w:val="en-GB" w:eastAsia="en-US"/>
              </w:rPr>
              <w:t>30</w:t>
            </w:r>
            <w:r>
              <w:rPr>
                <w:lang w:val="en-GB" w:eastAsia="en-US"/>
              </w:rPr>
              <w:t xml:space="preserve"> CZK mil, which reached </w:t>
            </w:r>
            <w:r w:rsidR="000200BE" w:rsidRPr="009B039B">
              <w:rPr>
                <w:lang w:val="en-GB" w:eastAsia="en-US"/>
              </w:rPr>
              <w:t>4</w:t>
            </w:r>
            <w:r>
              <w:rPr>
                <w:lang w:val="en-GB" w:eastAsia="en-US"/>
              </w:rPr>
              <w:t>.</w:t>
            </w:r>
            <w:r w:rsidR="000200BE" w:rsidRPr="009B039B">
              <w:rPr>
                <w:lang w:val="en-GB" w:eastAsia="en-US"/>
              </w:rPr>
              <w:t>35%.</w:t>
            </w:r>
            <w:r>
              <w:rPr>
                <w:lang w:val="en-GB" w:eastAsia="en-US"/>
              </w:rPr>
              <w:t xml:space="preserve"> The year-on-year growth of volume of credit provided to non-financial businesses sharply accelerated to 6.0% at the end of the year. At the same time the volume of short-term credit increased the most </w:t>
            </w:r>
            <w:r w:rsidR="000200BE" w:rsidRPr="009B039B">
              <w:rPr>
                <w:lang w:val="en-GB" w:eastAsia="en-US"/>
              </w:rPr>
              <w:t>(13</w:t>
            </w:r>
            <w:r>
              <w:rPr>
                <w:lang w:val="en-GB" w:eastAsia="en-US"/>
              </w:rPr>
              <w:t>.</w:t>
            </w:r>
            <w:r w:rsidR="000200BE" w:rsidRPr="009B039B">
              <w:rPr>
                <w:lang w:val="en-GB" w:eastAsia="en-US"/>
              </w:rPr>
              <w:t xml:space="preserve">9%), </w:t>
            </w:r>
            <w:r>
              <w:rPr>
                <w:lang w:val="en-GB" w:eastAsia="en-US"/>
              </w:rPr>
              <w:t>especially those denominated in foreign currency.</w:t>
            </w:r>
            <w:r w:rsidR="00911A66">
              <w:rPr>
                <w:lang w:val="en-GB" w:eastAsia="en-US"/>
              </w:rPr>
              <w:t xml:space="preserve"> The increase of the volume of medium term </w:t>
            </w:r>
            <w:r w:rsidR="000200BE" w:rsidRPr="009B039B">
              <w:rPr>
                <w:lang w:val="en-GB" w:eastAsia="en-US"/>
              </w:rPr>
              <w:t>(6</w:t>
            </w:r>
            <w:r w:rsidR="00911A66">
              <w:rPr>
                <w:lang w:val="en-GB" w:eastAsia="en-US"/>
              </w:rPr>
              <w:t>.</w:t>
            </w:r>
            <w:r w:rsidR="000200BE" w:rsidRPr="009B039B">
              <w:rPr>
                <w:lang w:val="en-GB" w:eastAsia="en-US"/>
              </w:rPr>
              <w:t>7%) a</w:t>
            </w:r>
            <w:r w:rsidR="00911A66">
              <w:rPr>
                <w:lang w:val="en-GB" w:eastAsia="en-US"/>
              </w:rPr>
              <w:t xml:space="preserve">nd long-term </w:t>
            </w:r>
            <w:r w:rsidR="000200BE" w:rsidRPr="009B039B">
              <w:rPr>
                <w:lang w:val="en-GB" w:eastAsia="en-US"/>
              </w:rPr>
              <w:t>(2</w:t>
            </w:r>
            <w:r w:rsidR="00911A66">
              <w:rPr>
                <w:lang w:val="en-GB" w:eastAsia="en-US"/>
              </w:rPr>
              <w:t>.</w:t>
            </w:r>
            <w:r w:rsidR="000200BE" w:rsidRPr="009B039B">
              <w:rPr>
                <w:lang w:val="en-GB" w:eastAsia="en-US"/>
              </w:rPr>
              <w:t>9 %</w:t>
            </w:r>
            <w:proofErr w:type="gramStart"/>
            <w:r w:rsidR="000200BE" w:rsidRPr="009B039B">
              <w:rPr>
                <w:lang w:val="en-GB" w:eastAsia="en-US"/>
              </w:rPr>
              <w:t>)</w:t>
            </w:r>
            <w:r w:rsidR="00DC7F51">
              <w:rPr>
                <w:lang w:val="en-GB" w:eastAsia="en-US"/>
              </w:rPr>
              <w:t xml:space="preserve"> </w:t>
            </w:r>
            <w:r w:rsidR="00911A66">
              <w:rPr>
                <w:lang w:val="en-GB" w:eastAsia="en-US"/>
              </w:rPr>
              <w:t>also</w:t>
            </w:r>
            <w:proofErr w:type="gramEnd"/>
            <w:r w:rsidR="00911A66">
              <w:rPr>
                <w:lang w:val="en-GB" w:eastAsia="en-US"/>
              </w:rPr>
              <w:t xml:space="preserve"> strengthened. </w:t>
            </w:r>
            <w:r w:rsidR="0024224D">
              <w:rPr>
                <w:lang w:val="en-GB" w:eastAsia="en-US"/>
              </w:rPr>
              <w:t xml:space="preserve">The volume of provided credit expanded year-on-year the most in transportation and warehousing </w:t>
            </w:r>
            <w:r w:rsidR="000200BE" w:rsidRPr="009B039B">
              <w:rPr>
                <w:lang w:val="en-GB" w:eastAsia="en-US"/>
              </w:rPr>
              <w:t>(34</w:t>
            </w:r>
            <w:r w:rsidR="0024224D">
              <w:rPr>
                <w:lang w:val="en-GB" w:eastAsia="en-US"/>
              </w:rPr>
              <w:t>.</w:t>
            </w:r>
            <w:r w:rsidR="000200BE" w:rsidRPr="009B039B">
              <w:rPr>
                <w:lang w:val="en-GB" w:eastAsia="en-US"/>
              </w:rPr>
              <w:t xml:space="preserve">2%; </w:t>
            </w:r>
            <w:r w:rsidR="0024224D">
              <w:rPr>
                <w:lang w:val="en-GB" w:eastAsia="en-US"/>
              </w:rPr>
              <w:t xml:space="preserve">the additions exceeded the </w:t>
            </w:r>
            <w:r w:rsidR="000200BE" w:rsidRPr="009B039B">
              <w:rPr>
                <w:lang w:val="en-GB" w:eastAsia="en-US"/>
              </w:rPr>
              <w:t xml:space="preserve">30% </w:t>
            </w:r>
            <w:r w:rsidR="0024224D">
              <w:rPr>
                <w:lang w:val="en-GB" w:eastAsia="en-US"/>
              </w:rPr>
              <w:t>level in both Q2 and Q3</w:t>
            </w:r>
            <w:r w:rsidR="000200BE" w:rsidRPr="009B039B">
              <w:rPr>
                <w:lang w:val="en-GB" w:eastAsia="en-US"/>
              </w:rPr>
              <w:t>),</w:t>
            </w:r>
            <w:r w:rsidR="0024224D">
              <w:rPr>
                <w:lang w:val="en-GB" w:eastAsia="en-US"/>
              </w:rPr>
              <w:t xml:space="preserve"> in professional, scientific, technical and administrative activities </w:t>
            </w:r>
            <w:r w:rsidR="000200BE" w:rsidRPr="009B039B">
              <w:rPr>
                <w:lang w:val="en-GB" w:eastAsia="en-US"/>
              </w:rPr>
              <w:t>(15</w:t>
            </w:r>
            <w:r w:rsidR="0024224D">
              <w:rPr>
                <w:lang w:val="en-GB" w:eastAsia="en-US"/>
              </w:rPr>
              <w:t>.</w:t>
            </w:r>
            <w:r w:rsidR="000200BE" w:rsidRPr="009B039B">
              <w:rPr>
                <w:lang w:val="en-GB" w:eastAsia="en-US"/>
              </w:rPr>
              <w:t>2%)</w:t>
            </w:r>
            <w:r w:rsidR="0024224D">
              <w:rPr>
                <w:lang w:val="en-GB" w:eastAsia="en-US"/>
              </w:rPr>
              <w:t xml:space="preserve"> and wholesale, retail, repairs and maintenance of motor vehicles </w:t>
            </w:r>
            <w:r w:rsidR="000200BE" w:rsidRPr="009B039B">
              <w:rPr>
                <w:lang w:val="en-GB" w:eastAsia="en-US"/>
              </w:rPr>
              <w:t>(11</w:t>
            </w:r>
            <w:r w:rsidR="0024224D">
              <w:rPr>
                <w:lang w:val="en-GB" w:eastAsia="en-US"/>
              </w:rPr>
              <w:t>.</w:t>
            </w:r>
            <w:r w:rsidR="000200BE" w:rsidRPr="009B039B">
              <w:rPr>
                <w:lang w:val="en-GB" w:eastAsia="en-US"/>
              </w:rPr>
              <w:t>1%).</w:t>
            </w:r>
            <w:r w:rsidR="00110978">
              <w:rPr>
                <w:lang w:val="en-GB" w:eastAsia="en-US"/>
              </w:rPr>
              <w:t xml:space="preserve"> Apart from the long-term declining credit in mining and quarrying</w:t>
            </w:r>
            <w:r w:rsidR="003E6DEE">
              <w:rPr>
                <w:lang w:val="en-GB" w:eastAsia="en-US"/>
              </w:rPr>
              <w:t xml:space="preserve"> </w:t>
            </w:r>
            <w:r w:rsidR="000200BE" w:rsidRPr="009B039B">
              <w:rPr>
                <w:lang w:val="en-GB" w:eastAsia="en-US"/>
              </w:rPr>
              <w:t>(–20</w:t>
            </w:r>
            <w:r w:rsidR="003E6DEE">
              <w:rPr>
                <w:lang w:val="en-GB" w:eastAsia="en-US"/>
              </w:rPr>
              <w:t>.</w:t>
            </w:r>
            <w:r w:rsidR="000200BE" w:rsidRPr="009B039B">
              <w:rPr>
                <w:lang w:val="en-GB" w:eastAsia="en-US"/>
              </w:rPr>
              <w:t xml:space="preserve">3%) </w:t>
            </w:r>
            <w:r w:rsidR="00110978">
              <w:rPr>
                <w:lang w:val="en-GB" w:eastAsia="en-US"/>
              </w:rPr>
              <w:t xml:space="preserve">the volume of credit slumped in accommodation, food service and restaurants </w:t>
            </w:r>
            <w:r w:rsidR="000200BE" w:rsidRPr="009B039B">
              <w:rPr>
                <w:lang w:val="en-GB" w:eastAsia="en-US"/>
              </w:rPr>
              <w:t>(–10</w:t>
            </w:r>
            <w:r w:rsidR="00110978">
              <w:rPr>
                <w:lang w:val="en-GB" w:eastAsia="en-US"/>
              </w:rPr>
              <w:t>.</w:t>
            </w:r>
            <w:r w:rsidR="000200BE" w:rsidRPr="009B039B">
              <w:rPr>
                <w:lang w:val="en-GB" w:eastAsia="en-US"/>
              </w:rPr>
              <w:t xml:space="preserve">3%, </w:t>
            </w:r>
            <w:r w:rsidR="00110978">
              <w:rPr>
                <w:lang w:val="en-GB" w:eastAsia="en-US"/>
              </w:rPr>
              <w:t xml:space="preserve">mainly the comparison with the sharp increases in year 2020 had an effect), </w:t>
            </w:r>
            <w:r w:rsidR="003E6DEE">
              <w:rPr>
                <w:lang w:val="en-GB" w:eastAsia="en-US"/>
              </w:rPr>
              <w:t>manufacturing</w:t>
            </w:r>
            <w:r w:rsidR="00110978">
              <w:rPr>
                <w:lang w:val="en-GB" w:eastAsia="en-US"/>
              </w:rPr>
              <w:t xml:space="preserve"> </w:t>
            </w:r>
            <w:r w:rsidR="000200BE" w:rsidRPr="009B039B">
              <w:rPr>
                <w:lang w:val="en-GB" w:eastAsia="en-US"/>
              </w:rPr>
              <w:t>(–3</w:t>
            </w:r>
            <w:r w:rsidR="00110978">
              <w:rPr>
                <w:lang w:val="en-GB" w:eastAsia="en-US"/>
              </w:rPr>
              <w:t>.</w:t>
            </w:r>
            <w:r w:rsidR="000200BE" w:rsidRPr="009B039B">
              <w:rPr>
                <w:lang w:val="en-GB" w:eastAsia="en-US"/>
              </w:rPr>
              <w:t xml:space="preserve">8%), </w:t>
            </w:r>
            <w:r w:rsidR="00110978">
              <w:rPr>
                <w:lang w:val="en-GB" w:eastAsia="en-US"/>
              </w:rPr>
              <w:t xml:space="preserve">production and distribution of electricity, gas, heat and waste management </w:t>
            </w:r>
            <w:r w:rsidR="000200BE" w:rsidRPr="009B039B">
              <w:rPr>
                <w:lang w:val="en-GB" w:eastAsia="en-US"/>
              </w:rPr>
              <w:t>(–3</w:t>
            </w:r>
            <w:r w:rsidR="00110978">
              <w:rPr>
                <w:lang w:val="en-GB" w:eastAsia="en-US"/>
              </w:rPr>
              <w:t>.</w:t>
            </w:r>
            <w:r w:rsidR="000200BE" w:rsidRPr="009B039B">
              <w:rPr>
                <w:lang w:val="en-GB" w:eastAsia="en-US"/>
              </w:rPr>
              <w:t>1%) a</w:t>
            </w:r>
            <w:r w:rsidR="00110978">
              <w:rPr>
                <w:lang w:val="en-GB" w:eastAsia="en-US"/>
              </w:rPr>
              <w:t xml:space="preserve">nd information and communication </w:t>
            </w:r>
            <w:r w:rsidR="000200BE" w:rsidRPr="009B039B">
              <w:rPr>
                <w:lang w:val="en-GB" w:eastAsia="en-US"/>
              </w:rPr>
              <w:t>(–2</w:t>
            </w:r>
            <w:r w:rsidR="00110978">
              <w:rPr>
                <w:lang w:val="en-GB" w:eastAsia="en-US"/>
              </w:rPr>
              <w:t>.</w:t>
            </w:r>
            <w:r w:rsidR="000200BE" w:rsidRPr="009B039B">
              <w:rPr>
                <w:lang w:val="en-GB" w:eastAsia="en-US"/>
              </w:rPr>
              <w:t>5%).</w:t>
            </w:r>
          </w:p>
        </w:tc>
      </w:tr>
      <w:tr w:rsidR="000200BE" w14:paraId="59199D5E" w14:textId="77777777" w:rsidTr="00913237">
        <w:trPr>
          <w:trHeight w:val="304"/>
        </w:trPr>
        <w:tc>
          <w:tcPr>
            <w:tcW w:w="1802" w:type="dxa"/>
            <w:vMerge w:val="restart"/>
          </w:tcPr>
          <w:p w14:paraId="53DBE1F7" w14:textId="77777777" w:rsidR="000200BE" w:rsidRDefault="000200BE" w:rsidP="00913237">
            <w:pPr>
              <w:pStyle w:val="Marginlie"/>
              <w:rPr>
                <w:lang w:eastAsia="en-US"/>
              </w:rPr>
            </w:pPr>
          </w:p>
        </w:tc>
        <w:tc>
          <w:tcPr>
            <w:tcW w:w="229" w:type="dxa"/>
            <w:vMerge w:val="restart"/>
          </w:tcPr>
          <w:p w14:paraId="3578A2E3" w14:textId="77777777" w:rsidR="000200BE" w:rsidRDefault="000200BE" w:rsidP="00913237">
            <w:pPr>
              <w:pStyle w:val="Textpoznpodarou"/>
              <w:jc w:val="both"/>
              <w:rPr>
                <w:spacing w:val="-4"/>
                <w:lang w:eastAsia="en-US"/>
              </w:rPr>
            </w:pPr>
          </w:p>
        </w:tc>
        <w:tc>
          <w:tcPr>
            <w:tcW w:w="7610" w:type="dxa"/>
            <w:hideMark/>
          </w:tcPr>
          <w:p w14:paraId="700DB65A" w14:textId="07A6B2F0" w:rsidR="000200BE" w:rsidRPr="00932DB3" w:rsidRDefault="00911A66" w:rsidP="00913237">
            <w:pPr>
              <w:spacing w:after="0"/>
              <w:rPr>
                <w:szCs w:val="20"/>
                <w:lang w:val="en-GB" w:eastAsia="en-US"/>
              </w:rPr>
            </w:pPr>
            <w:r w:rsidRPr="00932DB3">
              <w:rPr>
                <w:rFonts w:cs="Arial"/>
                <w:b/>
                <w:bCs/>
                <w:color w:val="000000"/>
                <w:szCs w:val="20"/>
                <w:lang w:val="en-GB" w:eastAsia="en-US"/>
              </w:rPr>
              <w:t xml:space="preserve">Chart </w:t>
            </w:r>
            <w:r w:rsidR="00A02E8B" w:rsidRPr="00932DB3">
              <w:rPr>
                <w:rFonts w:cs="Arial"/>
                <w:b/>
                <w:bCs/>
                <w:color w:val="000000"/>
                <w:szCs w:val="20"/>
                <w:lang w:val="en-GB" w:eastAsia="en-US"/>
              </w:rPr>
              <w:t>17</w:t>
            </w:r>
            <w:r w:rsidR="000200BE" w:rsidRPr="00932DB3">
              <w:rPr>
                <w:rFonts w:cs="Arial"/>
                <w:b/>
                <w:bCs/>
                <w:color w:val="000000"/>
                <w:szCs w:val="20"/>
                <w:lang w:val="en-GB" w:eastAsia="en-US"/>
              </w:rPr>
              <w:t xml:space="preserve"> </w:t>
            </w:r>
            <w:r w:rsidR="00932DB3" w:rsidRPr="00932DB3">
              <w:rPr>
                <w:rFonts w:cs="Arial"/>
                <w:b/>
                <w:bCs/>
                <w:color w:val="000000"/>
                <w:szCs w:val="20"/>
                <w:lang w:val="en-GB" w:eastAsia="en-US"/>
              </w:rPr>
              <w:t xml:space="preserve">Market interest rates </w:t>
            </w:r>
            <w:r w:rsidR="000200BE" w:rsidRPr="00932DB3">
              <w:rPr>
                <w:bCs/>
                <w:spacing w:val="-4"/>
                <w:szCs w:val="20"/>
                <w:lang w:val="en-GB" w:eastAsia="en-US"/>
              </w:rPr>
              <w:t>(</w:t>
            </w:r>
            <w:r w:rsidR="00932DB3" w:rsidRPr="00932DB3">
              <w:rPr>
                <w:bCs/>
                <w:spacing w:val="-4"/>
                <w:szCs w:val="20"/>
                <w:lang w:val="en-GB" w:eastAsia="en-US"/>
              </w:rPr>
              <w:t>in</w:t>
            </w:r>
            <w:r w:rsidR="000200BE" w:rsidRPr="00932DB3">
              <w:rPr>
                <w:bCs/>
                <w:spacing w:val="-4"/>
                <w:szCs w:val="20"/>
                <w:lang w:val="en-GB" w:eastAsia="en-US"/>
              </w:rPr>
              <w:t> %)</w:t>
            </w:r>
          </w:p>
        </w:tc>
      </w:tr>
      <w:tr w:rsidR="000200BE" w14:paraId="660A11B9" w14:textId="77777777" w:rsidTr="00E267F2">
        <w:tblPrEx>
          <w:tblCellMar>
            <w:left w:w="70" w:type="dxa"/>
            <w:right w:w="70" w:type="dxa"/>
          </w:tblCellMar>
        </w:tblPrEx>
        <w:trPr>
          <w:trHeight w:val="170"/>
        </w:trPr>
        <w:tc>
          <w:tcPr>
            <w:tcW w:w="1802" w:type="dxa"/>
            <w:vMerge/>
            <w:vAlign w:val="center"/>
            <w:hideMark/>
          </w:tcPr>
          <w:p w14:paraId="46B716F5" w14:textId="77777777" w:rsidR="000200BE" w:rsidRDefault="000200BE" w:rsidP="00913237">
            <w:pPr>
              <w:spacing w:after="0" w:line="240" w:lineRule="auto"/>
              <w:jc w:val="left"/>
              <w:rPr>
                <w:spacing w:val="-2"/>
                <w:sz w:val="16"/>
                <w:szCs w:val="16"/>
                <w:lang w:eastAsia="en-US"/>
              </w:rPr>
            </w:pPr>
          </w:p>
        </w:tc>
        <w:tc>
          <w:tcPr>
            <w:tcW w:w="229" w:type="dxa"/>
            <w:vMerge/>
            <w:vAlign w:val="center"/>
            <w:hideMark/>
          </w:tcPr>
          <w:p w14:paraId="78F89FD9" w14:textId="77777777" w:rsidR="000200BE" w:rsidRDefault="000200BE" w:rsidP="00913237">
            <w:pPr>
              <w:spacing w:after="0" w:line="240" w:lineRule="auto"/>
              <w:jc w:val="left"/>
              <w:rPr>
                <w:rFonts w:eastAsia="Calibri"/>
                <w:spacing w:val="-4"/>
                <w:szCs w:val="20"/>
                <w:lang w:eastAsia="en-US"/>
              </w:rPr>
            </w:pPr>
          </w:p>
        </w:tc>
        <w:tc>
          <w:tcPr>
            <w:tcW w:w="7610" w:type="dxa"/>
            <w:hideMark/>
          </w:tcPr>
          <w:p w14:paraId="751948C8" w14:textId="5ECFF851" w:rsidR="000200BE" w:rsidRDefault="00E267F2" w:rsidP="00913237">
            <w:pPr>
              <w:spacing w:after="0"/>
              <w:rPr>
                <w:sz w:val="14"/>
                <w:szCs w:val="14"/>
                <w:lang w:eastAsia="en-US"/>
              </w:rPr>
            </w:pPr>
            <w:r>
              <w:rPr>
                <w:noProof/>
              </w:rPr>
              <w:drawing>
                <wp:inline distT="0" distB="0" distL="0" distR="0" wp14:anchorId="6B762D17" wp14:editId="28C26507">
                  <wp:extent cx="4737600" cy="3096000"/>
                  <wp:effectExtent l="0" t="0" r="6350" b="0"/>
                  <wp:docPr id="46" name="Graf 4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200BE" w14:paraId="73B405F8" w14:textId="77777777" w:rsidTr="00913237">
        <w:trPr>
          <w:trHeight w:val="170"/>
        </w:trPr>
        <w:tc>
          <w:tcPr>
            <w:tcW w:w="0" w:type="auto"/>
            <w:vMerge/>
            <w:vAlign w:val="center"/>
            <w:hideMark/>
          </w:tcPr>
          <w:p w14:paraId="2B56C3CB" w14:textId="77777777" w:rsidR="000200BE" w:rsidRDefault="000200BE" w:rsidP="00913237">
            <w:pPr>
              <w:spacing w:after="0" w:line="240" w:lineRule="auto"/>
              <w:jc w:val="left"/>
              <w:rPr>
                <w:spacing w:val="-2"/>
                <w:sz w:val="16"/>
                <w:szCs w:val="16"/>
                <w:lang w:eastAsia="en-US"/>
              </w:rPr>
            </w:pPr>
          </w:p>
        </w:tc>
        <w:tc>
          <w:tcPr>
            <w:tcW w:w="0" w:type="auto"/>
            <w:vMerge/>
            <w:vAlign w:val="center"/>
            <w:hideMark/>
          </w:tcPr>
          <w:p w14:paraId="3AA21791" w14:textId="77777777" w:rsidR="000200BE" w:rsidRDefault="000200BE" w:rsidP="00913237">
            <w:pPr>
              <w:spacing w:after="0" w:line="240" w:lineRule="auto"/>
              <w:jc w:val="left"/>
              <w:rPr>
                <w:rFonts w:eastAsia="Calibri"/>
                <w:spacing w:val="-4"/>
                <w:szCs w:val="20"/>
                <w:lang w:eastAsia="en-US"/>
              </w:rPr>
            </w:pPr>
          </w:p>
        </w:tc>
        <w:tc>
          <w:tcPr>
            <w:tcW w:w="7610" w:type="dxa"/>
            <w:hideMark/>
          </w:tcPr>
          <w:p w14:paraId="776EE0D3" w14:textId="37F323B2" w:rsidR="00725647" w:rsidRPr="003E6DEE" w:rsidRDefault="003E6DEE" w:rsidP="00E267F2">
            <w:pPr>
              <w:spacing w:after="0"/>
              <w:rPr>
                <w:b/>
                <w:bCs/>
                <w:sz w:val="16"/>
                <w:szCs w:val="16"/>
                <w:lang w:eastAsia="en-US"/>
              </w:rPr>
            </w:pPr>
            <w:r>
              <w:rPr>
                <w:sz w:val="14"/>
                <w:szCs w:val="14"/>
                <w:lang w:eastAsia="en-US"/>
              </w:rPr>
              <w:t>Source</w:t>
            </w:r>
            <w:r w:rsidR="000200BE">
              <w:rPr>
                <w:sz w:val="14"/>
                <w:szCs w:val="14"/>
                <w:lang w:eastAsia="en-US"/>
              </w:rPr>
              <w:t xml:space="preserve">: </w:t>
            </w:r>
            <w:r>
              <w:rPr>
                <w:sz w:val="14"/>
                <w:szCs w:val="14"/>
                <w:lang w:eastAsia="en-US"/>
              </w:rPr>
              <w:t>C</w:t>
            </w:r>
            <w:r w:rsidR="000200BE">
              <w:rPr>
                <w:sz w:val="14"/>
                <w:szCs w:val="14"/>
                <w:lang w:eastAsia="en-US"/>
              </w:rPr>
              <w:t>NB</w:t>
            </w:r>
          </w:p>
        </w:tc>
      </w:tr>
    </w:tbl>
    <w:p w14:paraId="18CA6ED5" w14:textId="45CC86F1" w:rsidR="00144108" w:rsidRPr="003E6DEE" w:rsidRDefault="00144108" w:rsidP="00144108">
      <w:pPr>
        <w:pStyle w:val="Nadpis11"/>
        <w:rPr>
          <w:lang w:val="en-GB"/>
        </w:rPr>
      </w:pPr>
      <w:bookmarkStart w:id="40" w:name="_Toc101437438"/>
      <w:bookmarkEnd w:id="38"/>
      <w:r w:rsidRPr="00787441">
        <w:rPr>
          <w:szCs w:val="32"/>
        </w:rPr>
        <w:lastRenderedPageBreak/>
        <w:t>8</w:t>
      </w:r>
      <w:r>
        <w:t>. </w:t>
      </w:r>
      <w:r w:rsidRPr="003E6DEE">
        <w:rPr>
          <w:lang w:val="en-GB"/>
        </w:rPr>
        <w:t>St</w:t>
      </w:r>
      <w:r w:rsidR="003E6DEE" w:rsidRPr="003E6DEE">
        <w:rPr>
          <w:lang w:val="en-GB"/>
        </w:rPr>
        <w:t>ate Budget</w:t>
      </w:r>
      <w:bookmarkEnd w:id="40"/>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144108" w:rsidRPr="003E6DEE" w14:paraId="45B8425E" w14:textId="77777777" w:rsidTr="008E039E">
        <w:trPr>
          <w:trHeight w:val="145"/>
        </w:trPr>
        <w:tc>
          <w:tcPr>
            <w:tcW w:w="1732" w:type="dxa"/>
            <w:shd w:val="clear" w:color="auto" w:fill="auto"/>
            <w:tcMar>
              <w:left w:w="0" w:type="dxa"/>
            </w:tcMar>
          </w:tcPr>
          <w:p w14:paraId="290A9741" w14:textId="18D1C32B" w:rsidR="00144108" w:rsidRPr="003E6DEE" w:rsidRDefault="00144108" w:rsidP="008E039E">
            <w:pPr>
              <w:pStyle w:val="Marginlie"/>
              <w:rPr>
                <w:spacing w:val="-3"/>
                <w:lang w:val="en-GB"/>
              </w:rPr>
            </w:pPr>
            <w:r w:rsidRPr="003E6DEE">
              <w:rPr>
                <w:spacing w:val="-3"/>
                <w:lang w:val="en-GB"/>
              </w:rPr>
              <w:t>St</w:t>
            </w:r>
            <w:r w:rsidR="00CE3695">
              <w:rPr>
                <w:spacing w:val="-3"/>
                <w:lang w:val="en-GB"/>
              </w:rPr>
              <w:t xml:space="preserve">ate budget ended in record deficit in year </w:t>
            </w:r>
            <w:r w:rsidRPr="003E6DEE">
              <w:rPr>
                <w:spacing w:val="-3"/>
                <w:lang w:val="en-GB"/>
              </w:rPr>
              <w:t>2021</w:t>
            </w:r>
            <w:r w:rsidR="00CE3695">
              <w:rPr>
                <w:spacing w:val="-3"/>
                <w:lang w:val="en-GB"/>
              </w:rPr>
              <w:t xml:space="preserve">, which was however lower than the budget anticipations. </w:t>
            </w:r>
          </w:p>
        </w:tc>
        <w:tc>
          <w:tcPr>
            <w:tcW w:w="217" w:type="dxa"/>
            <w:shd w:val="clear" w:color="auto" w:fill="auto"/>
            <w:tcMar>
              <w:left w:w="0" w:type="dxa"/>
            </w:tcMar>
          </w:tcPr>
          <w:p w14:paraId="16596318" w14:textId="77777777" w:rsidR="00144108" w:rsidRPr="003E6DEE" w:rsidRDefault="00144108" w:rsidP="008E039E">
            <w:pPr>
              <w:pStyle w:val="Textpoznpodarou"/>
              <w:jc w:val="both"/>
              <w:rPr>
                <w:spacing w:val="-4"/>
                <w:lang w:val="en-GB"/>
              </w:rPr>
            </w:pPr>
          </w:p>
        </w:tc>
        <w:tc>
          <w:tcPr>
            <w:tcW w:w="7720" w:type="dxa"/>
            <w:shd w:val="clear" w:color="auto" w:fill="auto"/>
            <w:tcMar>
              <w:left w:w="0" w:type="dxa"/>
            </w:tcMar>
          </w:tcPr>
          <w:p w14:paraId="7E3B5852" w14:textId="5E817D5E" w:rsidR="00144108" w:rsidRPr="003D472E" w:rsidRDefault="00CE3695" w:rsidP="008E039E">
            <w:pPr>
              <w:spacing w:after="200"/>
              <w:rPr>
                <w:spacing w:val="-2"/>
                <w:lang w:val="en-GB"/>
              </w:rPr>
            </w:pPr>
            <w:r w:rsidRPr="003D472E">
              <w:rPr>
                <w:spacing w:val="-2"/>
                <w:lang w:val="en-GB"/>
              </w:rPr>
              <w:t xml:space="preserve">State budget </w:t>
            </w:r>
            <w:r w:rsidR="00144108" w:rsidRPr="003D472E">
              <w:rPr>
                <w:spacing w:val="-2"/>
                <w:lang w:val="en-GB"/>
              </w:rPr>
              <w:t>(SR)</w:t>
            </w:r>
            <w:r w:rsidR="00144108" w:rsidRPr="003D472E">
              <w:rPr>
                <w:spacing w:val="-2"/>
                <w:vertAlign w:val="superscript"/>
                <w:lang w:val="en-GB"/>
              </w:rPr>
              <w:footnoteReference w:id="78"/>
            </w:r>
            <w:r w:rsidR="00144108" w:rsidRPr="003D472E">
              <w:rPr>
                <w:spacing w:val="-2"/>
                <w:lang w:val="en-GB"/>
              </w:rPr>
              <w:t xml:space="preserve"> </w:t>
            </w:r>
            <w:r w:rsidRPr="003D472E">
              <w:rPr>
                <w:spacing w:val="-2"/>
                <w:lang w:val="en-GB"/>
              </w:rPr>
              <w:t xml:space="preserve">ended </w:t>
            </w:r>
            <w:r w:rsidR="00A25FAC" w:rsidRPr="003D472E">
              <w:rPr>
                <w:spacing w:val="-2"/>
                <w:lang w:val="en-GB"/>
              </w:rPr>
              <w:t xml:space="preserve">in deep deficit </w:t>
            </w:r>
            <w:proofErr w:type="gramStart"/>
            <w:r w:rsidR="00A25FAC" w:rsidRPr="003D472E">
              <w:rPr>
                <w:spacing w:val="-2"/>
                <w:lang w:val="en-GB"/>
              </w:rPr>
              <w:t xml:space="preserve">in the amount of </w:t>
            </w:r>
            <w:r w:rsidR="00144108" w:rsidRPr="003D472E">
              <w:rPr>
                <w:spacing w:val="-2"/>
                <w:lang w:val="en-GB"/>
              </w:rPr>
              <w:t>419</w:t>
            </w:r>
            <w:r w:rsidR="00A25FAC" w:rsidRPr="003D472E">
              <w:rPr>
                <w:spacing w:val="-2"/>
                <w:lang w:val="en-GB"/>
              </w:rPr>
              <w:t>.</w:t>
            </w:r>
            <w:r w:rsidR="00144108" w:rsidRPr="003D472E">
              <w:rPr>
                <w:spacing w:val="-2"/>
                <w:lang w:val="en-GB"/>
              </w:rPr>
              <w:t>7</w:t>
            </w:r>
            <w:r w:rsidR="00A25FAC" w:rsidRPr="003D472E">
              <w:rPr>
                <w:spacing w:val="-2"/>
                <w:lang w:val="en-GB"/>
              </w:rPr>
              <w:t xml:space="preserve"> CZK</w:t>
            </w:r>
            <w:proofErr w:type="gramEnd"/>
            <w:r w:rsidR="00A25FAC" w:rsidRPr="003D472E">
              <w:rPr>
                <w:spacing w:val="-2"/>
                <w:lang w:val="en-GB"/>
              </w:rPr>
              <w:t xml:space="preserve"> bn in 2021</w:t>
            </w:r>
            <w:r w:rsidR="00144108" w:rsidRPr="003D472E">
              <w:rPr>
                <w:spacing w:val="-2"/>
                <w:lang w:val="en-GB"/>
              </w:rPr>
              <w:t>,</w:t>
            </w:r>
            <w:r w:rsidR="00A25FAC" w:rsidRPr="003D472E">
              <w:rPr>
                <w:spacing w:val="-2"/>
                <w:lang w:val="en-GB"/>
              </w:rPr>
              <w:t xml:space="preserve"> which was by </w:t>
            </w:r>
            <w:r w:rsidR="00144108" w:rsidRPr="003D472E">
              <w:rPr>
                <w:spacing w:val="-2"/>
                <w:lang w:val="en-GB"/>
              </w:rPr>
              <w:t>52</w:t>
            </w:r>
            <w:r w:rsidR="00A25FAC" w:rsidRPr="003D472E">
              <w:rPr>
                <w:spacing w:val="-2"/>
                <w:lang w:val="en-GB"/>
              </w:rPr>
              <w:t>.</w:t>
            </w:r>
            <w:r w:rsidR="00144108" w:rsidRPr="003D472E">
              <w:rPr>
                <w:spacing w:val="-2"/>
                <w:lang w:val="en-GB"/>
              </w:rPr>
              <w:t>2</w:t>
            </w:r>
            <w:r w:rsidR="00A25FAC" w:rsidRPr="003D472E">
              <w:rPr>
                <w:spacing w:val="-2"/>
                <w:lang w:val="en-GB"/>
              </w:rPr>
              <w:t xml:space="preserve"> bn higher</w:t>
            </w:r>
            <w:r w:rsidR="00144108" w:rsidRPr="003D472E">
              <w:rPr>
                <w:rStyle w:val="Znakapoznpodarou"/>
                <w:spacing w:val="-2"/>
                <w:lang w:val="en-GB"/>
              </w:rPr>
              <w:footnoteReference w:id="79"/>
            </w:r>
            <w:r w:rsidR="00A25FAC" w:rsidRPr="003D472E">
              <w:rPr>
                <w:spacing w:val="-2"/>
                <w:lang w:val="en-GB"/>
              </w:rPr>
              <w:t xml:space="preserve"> compared to the previously record deficit from year 2020</w:t>
            </w:r>
            <w:r w:rsidR="00144108" w:rsidRPr="003D472E">
              <w:rPr>
                <w:spacing w:val="-2"/>
                <w:lang w:val="en-GB"/>
              </w:rPr>
              <w:t>.</w:t>
            </w:r>
            <w:r w:rsidR="00A25FAC" w:rsidRPr="003D472E">
              <w:rPr>
                <w:spacing w:val="-2"/>
                <w:lang w:val="en-GB"/>
              </w:rPr>
              <w:t xml:space="preserve"> Mainly the growth of current expenditures contributed to the deepening of the deficit. Even though the budget deficit </w:t>
            </w:r>
            <w:proofErr w:type="gramStart"/>
            <w:r w:rsidR="00A25FAC" w:rsidRPr="003D472E">
              <w:rPr>
                <w:spacing w:val="-2"/>
                <w:lang w:val="en-GB"/>
              </w:rPr>
              <w:t>was achieved</w:t>
            </w:r>
            <w:proofErr w:type="gramEnd"/>
            <w:r w:rsidR="00A25FAC" w:rsidRPr="003D472E">
              <w:rPr>
                <w:spacing w:val="-2"/>
                <w:lang w:val="en-GB"/>
              </w:rPr>
              <w:t xml:space="preserve"> in all last year’s months, </w:t>
            </w:r>
            <w:r w:rsidR="00F45EEF">
              <w:rPr>
                <w:spacing w:val="-2"/>
                <w:lang w:val="en-GB"/>
              </w:rPr>
              <w:t>the measures realised during the Spring pandemic wave, which put a major strain on the budget expenditures</w:t>
            </w:r>
            <w:r w:rsidR="00144108" w:rsidRPr="003D472E">
              <w:rPr>
                <w:rStyle w:val="Znakapoznpodarou"/>
                <w:spacing w:val="-2"/>
                <w:lang w:val="en-GB"/>
              </w:rPr>
              <w:footnoteReference w:id="80"/>
            </w:r>
            <w:r w:rsidR="00F45EEF">
              <w:rPr>
                <w:spacing w:val="-2"/>
                <w:lang w:val="en-GB"/>
              </w:rPr>
              <w:t xml:space="preserve"> </w:t>
            </w:r>
            <w:r w:rsidR="00F15C73">
              <w:rPr>
                <w:spacing w:val="-2"/>
                <w:lang w:val="en-GB"/>
              </w:rPr>
              <w:t>fundamentally participated on the total deficit size</w:t>
            </w:r>
            <w:r w:rsidR="00144108" w:rsidRPr="003D472E">
              <w:rPr>
                <w:spacing w:val="-2"/>
                <w:lang w:val="en-GB"/>
              </w:rPr>
              <w:t xml:space="preserve">. </w:t>
            </w:r>
            <w:r w:rsidR="00A25FAC" w:rsidRPr="003D472E">
              <w:rPr>
                <w:spacing w:val="-2"/>
                <w:lang w:val="en-GB"/>
              </w:rPr>
              <w:t xml:space="preserve">Partial loosening of pressure on some current budget expenditures occurred and gradual recovery started to </w:t>
            </w:r>
            <w:proofErr w:type="gramStart"/>
            <w:r w:rsidR="00A25FAC" w:rsidRPr="003D472E">
              <w:rPr>
                <w:spacing w:val="-2"/>
                <w:lang w:val="en-GB"/>
              </w:rPr>
              <w:t>be favourably reflected</w:t>
            </w:r>
            <w:proofErr w:type="gramEnd"/>
            <w:r w:rsidR="00A25FAC" w:rsidRPr="003D472E">
              <w:rPr>
                <w:spacing w:val="-2"/>
                <w:lang w:val="en-GB"/>
              </w:rPr>
              <w:t xml:space="preserve"> in total tax collection in the remaining part of the year</w:t>
            </w:r>
            <w:r w:rsidR="00144108" w:rsidRPr="003D472E">
              <w:rPr>
                <w:spacing w:val="-2"/>
                <w:lang w:val="en-GB"/>
              </w:rPr>
              <w:t>.</w:t>
            </w:r>
          </w:p>
        </w:tc>
      </w:tr>
      <w:tr w:rsidR="00144108" w:rsidRPr="003C07E6" w14:paraId="5E3395FC" w14:textId="77777777" w:rsidTr="008E039E">
        <w:trPr>
          <w:trHeight w:val="145"/>
        </w:trPr>
        <w:tc>
          <w:tcPr>
            <w:tcW w:w="1732" w:type="dxa"/>
            <w:shd w:val="clear" w:color="auto" w:fill="auto"/>
            <w:tcMar>
              <w:left w:w="0" w:type="dxa"/>
            </w:tcMar>
          </w:tcPr>
          <w:p w14:paraId="48D6DE4C" w14:textId="712B2188" w:rsidR="00144108" w:rsidRPr="003D472E" w:rsidRDefault="003D472E" w:rsidP="008E039E">
            <w:pPr>
              <w:pStyle w:val="Marginlie"/>
              <w:rPr>
                <w:spacing w:val="-3"/>
                <w:lang w:val="en-GB"/>
              </w:rPr>
            </w:pPr>
            <w:r>
              <w:rPr>
                <w:spacing w:val="-3"/>
                <w:lang w:val="en-GB"/>
              </w:rPr>
              <w:t xml:space="preserve">Continuing revival of economy as well as the absence of more significant restrictions during the Autumn pandemic wave led to the situation, when the </w:t>
            </w:r>
            <w:proofErr w:type="gramStart"/>
            <w:r>
              <w:rPr>
                <w:spacing w:val="-3"/>
                <w:lang w:val="en-GB"/>
              </w:rPr>
              <w:t>state-wide</w:t>
            </w:r>
            <w:proofErr w:type="gramEnd"/>
            <w:r>
              <w:rPr>
                <w:spacing w:val="-3"/>
                <w:lang w:val="en-GB"/>
              </w:rPr>
              <w:t xml:space="preserve"> tax collection already evened up the pre pandemic level at the end of the year. </w:t>
            </w:r>
          </w:p>
        </w:tc>
        <w:tc>
          <w:tcPr>
            <w:tcW w:w="217" w:type="dxa"/>
            <w:shd w:val="clear" w:color="auto" w:fill="auto"/>
            <w:tcMar>
              <w:left w:w="0" w:type="dxa"/>
            </w:tcMar>
          </w:tcPr>
          <w:p w14:paraId="761AF4C1" w14:textId="77777777" w:rsidR="00144108" w:rsidRDefault="00144108" w:rsidP="008E039E">
            <w:pPr>
              <w:pStyle w:val="Textpoznpodarou"/>
              <w:jc w:val="both"/>
              <w:rPr>
                <w:spacing w:val="-4"/>
              </w:rPr>
            </w:pPr>
          </w:p>
        </w:tc>
        <w:tc>
          <w:tcPr>
            <w:tcW w:w="7720" w:type="dxa"/>
            <w:shd w:val="clear" w:color="auto" w:fill="auto"/>
            <w:tcMar>
              <w:left w:w="0" w:type="dxa"/>
            </w:tcMar>
          </w:tcPr>
          <w:p w14:paraId="032C8694" w14:textId="25DCAA31" w:rsidR="00144108" w:rsidRPr="003D472E" w:rsidRDefault="003E0487" w:rsidP="008E039E">
            <w:pPr>
              <w:spacing w:after="200"/>
              <w:rPr>
                <w:spacing w:val="-2"/>
                <w:lang w:val="en-GB"/>
              </w:rPr>
            </w:pPr>
            <w:r>
              <w:rPr>
                <w:color w:val="0D0D0D" w:themeColor="text1" w:themeTint="F2"/>
                <w:spacing w:val="-2"/>
                <w:lang w:val="en-GB"/>
              </w:rPr>
              <w:t xml:space="preserve">The total SR revenues increased by </w:t>
            </w:r>
            <w:r w:rsidR="00144108" w:rsidRPr="003D472E">
              <w:rPr>
                <w:spacing w:val="-2"/>
                <w:lang w:val="en-GB"/>
              </w:rPr>
              <w:t>0</w:t>
            </w:r>
            <w:r>
              <w:rPr>
                <w:spacing w:val="-2"/>
                <w:lang w:val="en-GB"/>
              </w:rPr>
              <w:t>.</w:t>
            </w:r>
            <w:r w:rsidR="00144108" w:rsidRPr="003D472E">
              <w:rPr>
                <w:spacing w:val="-2"/>
                <w:lang w:val="en-GB"/>
              </w:rPr>
              <w:t>8% (+11</w:t>
            </w:r>
            <w:r>
              <w:rPr>
                <w:spacing w:val="-2"/>
                <w:lang w:val="en-GB"/>
              </w:rPr>
              <w:t>.</w:t>
            </w:r>
            <w:r w:rsidR="00144108" w:rsidRPr="003D472E">
              <w:rPr>
                <w:spacing w:val="-2"/>
                <w:lang w:val="en-GB"/>
              </w:rPr>
              <w:t>8</w:t>
            </w:r>
            <w:r>
              <w:rPr>
                <w:spacing w:val="-2"/>
                <w:lang w:val="en-GB"/>
              </w:rPr>
              <w:t xml:space="preserve"> CZK bn</w:t>
            </w:r>
            <w:r w:rsidR="00144108" w:rsidRPr="003D472E">
              <w:rPr>
                <w:spacing w:val="-2"/>
                <w:lang w:val="en-GB"/>
              </w:rPr>
              <w:t>)</w:t>
            </w:r>
            <w:r>
              <w:rPr>
                <w:spacing w:val="-2"/>
                <w:lang w:val="en-GB"/>
              </w:rPr>
              <w:t xml:space="preserve"> year-on-year last year</w:t>
            </w:r>
            <w:r w:rsidR="00144108" w:rsidRPr="003D472E">
              <w:rPr>
                <w:spacing w:val="-2"/>
                <w:lang w:val="en-GB"/>
              </w:rPr>
              <w:t>.</w:t>
            </w:r>
            <w:r>
              <w:rPr>
                <w:spacing w:val="-2"/>
                <w:lang w:val="en-GB"/>
              </w:rPr>
              <w:t xml:space="preserve"> Mild increase was associated with higher tax income here </w:t>
            </w:r>
            <w:r w:rsidR="00144108" w:rsidRPr="003D472E">
              <w:rPr>
                <w:spacing w:val="-2"/>
                <w:lang w:val="en-GB"/>
              </w:rPr>
              <w:t>(</w:t>
            </w:r>
            <w:r>
              <w:rPr>
                <w:spacing w:val="-2"/>
                <w:lang w:val="en-GB"/>
              </w:rPr>
              <w:t>including insurance</w:t>
            </w:r>
            <w:r w:rsidR="00144108" w:rsidRPr="003D472E">
              <w:rPr>
                <w:spacing w:val="-2"/>
                <w:lang w:val="en-GB"/>
              </w:rPr>
              <w:t xml:space="preserve">), </w:t>
            </w:r>
            <w:r>
              <w:rPr>
                <w:spacing w:val="-2"/>
                <w:lang w:val="en-GB"/>
              </w:rPr>
              <w:t xml:space="preserve">since both the non-tax and capital income and received transfers did not reach the level from year </w:t>
            </w:r>
            <w:r w:rsidR="00144108" w:rsidRPr="003D472E">
              <w:rPr>
                <w:spacing w:val="-2"/>
                <w:lang w:val="en-GB"/>
              </w:rPr>
              <w:t>2020</w:t>
            </w:r>
            <w:r>
              <w:rPr>
                <w:spacing w:val="-2"/>
                <w:lang w:val="en-GB"/>
              </w:rPr>
              <w:t xml:space="preserve">. </w:t>
            </w:r>
            <w:r w:rsidR="00627A5F">
              <w:rPr>
                <w:spacing w:val="-2"/>
                <w:lang w:val="en-GB"/>
              </w:rPr>
              <w:t xml:space="preserve">Mainly the low comparative bases </w:t>
            </w:r>
            <w:proofErr w:type="gramStart"/>
            <w:r w:rsidR="00627A5F">
              <w:rPr>
                <w:spacing w:val="-2"/>
                <w:lang w:val="en-GB"/>
              </w:rPr>
              <w:t>were reflected</w:t>
            </w:r>
            <w:proofErr w:type="gramEnd"/>
            <w:r w:rsidR="00627A5F">
              <w:rPr>
                <w:spacing w:val="-2"/>
                <w:lang w:val="en-GB"/>
              </w:rPr>
              <w:t xml:space="preserve"> in the strengthened tax revenues </w:t>
            </w:r>
            <w:r w:rsidR="00144108" w:rsidRPr="003D472E">
              <w:rPr>
                <w:spacing w:val="-2"/>
                <w:lang w:val="en-GB"/>
              </w:rPr>
              <w:t>(+35</w:t>
            </w:r>
            <w:r w:rsidR="00627A5F">
              <w:rPr>
                <w:spacing w:val="-2"/>
                <w:lang w:val="en-GB"/>
              </w:rPr>
              <w:t>.</w:t>
            </w:r>
            <w:r w:rsidR="00144108" w:rsidRPr="003D472E">
              <w:rPr>
                <w:spacing w:val="-2"/>
                <w:lang w:val="en-GB"/>
              </w:rPr>
              <w:t>4</w:t>
            </w:r>
            <w:r w:rsidR="00627A5F">
              <w:rPr>
                <w:spacing w:val="-2"/>
                <w:lang w:val="en-GB"/>
              </w:rPr>
              <w:t xml:space="preserve"> CZK bn</w:t>
            </w:r>
            <w:r w:rsidR="00F53E9C" w:rsidRPr="003D472E">
              <w:rPr>
                <w:spacing w:val="-2"/>
                <w:lang w:val="en-GB"/>
              </w:rPr>
              <w:t>)</w:t>
            </w:r>
            <w:r w:rsidR="00F53E9C">
              <w:rPr>
                <w:spacing w:val="-2"/>
                <w:lang w:val="en-GB"/>
              </w:rPr>
              <w:t xml:space="preserve"> since</w:t>
            </w:r>
            <w:r w:rsidR="00627A5F">
              <w:rPr>
                <w:spacing w:val="-2"/>
                <w:lang w:val="en-GB"/>
              </w:rPr>
              <w:t xml:space="preserve"> an exceptional deferral of legal deadlines on the due date of weight significant taxes as well as insurance on social security (SS) was put in place in Q2 </w:t>
            </w:r>
            <w:r w:rsidR="00144108" w:rsidRPr="003D472E">
              <w:rPr>
                <w:spacing w:val="-2"/>
                <w:lang w:val="en-GB"/>
              </w:rPr>
              <w:t>2020</w:t>
            </w:r>
            <w:r w:rsidR="00627A5F">
              <w:rPr>
                <w:spacing w:val="-2"/>
                <w:lang w:val="en-GB"/>
              </w:rPr>
              <w:t xml:space="preserve">. </w:t>
            </w:r>
            <w:r w:rsidR="00701373">
              <w:rPr>
                <w:spacing w:val="-2"/>
                <w:lang w:val="en-GB"/>
              </w:rPr>
              <w:t xml:space="preserve">Lowering of tax burden on labour and property </w:t>
            </w:r>
            <w:proofErr w:type="gramStart"/>
            <w:r w:rsidR="00701373">
              <w:rPr>
                <w:spacing w:val="-2"/>
                <w:lang w:val="en-GB"/>
              </w:rPr>
              <w:t>and also</w:t>
            </w:r>
            <w:proofErr w:type="gramEnd"/>
            <w:r w:rsidR="00701373">
              <w:rPr>
                <w:spacing w:val="-2"/>
                <w:lang w:val="en-GB"/>
              </w:rPr>
              <w:t xml:space="preserve"> the change of the</w:t>
            </w:r>
            <w:r w:rsidR="0055230D">
              <w:rPr>
                <w:spacing w:val="-2"/>
                <w:lang w:val="en-GB"/>
              </w:rPr>
              <w:t xml:space="preserve"> budgetary determination of the tax to the benefit of the regional budgets</w:t>
            </w:r>
            <w:r w:rsidR="00144108" w:rsidRPr="003D472E">
              <w:rPr>
                <w:rStyle w:val="Znakapoznpodarou"/>
                <w:color w:val="0D0D0D" w:themeColor="text1" w:themeTint="F2"/>
                <w:spacing w:val="-2"/>
                <w:lang w:val="en-GB"/>
              </w:rPr>
              <w:footnoteReference w:id="81"/>
            </w:r>
            <w:r w:rsidR="00701373">
              <w:rPr>
                <w:color w:val="0D0D0D" w:themeColor="text1" w:themeTint="F2"/>
                <w:spacing w:val="-2"/>
                <w:lang w:val="en-GB"/>
              </w:rPr>
              <w:t xml:space="preserve"> had an adverse effect on the SB revenues for year 2021</w:t>
            </w:r>
            <w:r w:rsidR="00144108" w:rsidRPr="003D472E">
              <w:rPr>
                <w:color w:val="0D0D0D" w:themeColor="text1" w:themeTint="F2"/>
                <w:spacing w:val="-2"/>
                <w:lang w:val="en-GB"/>
              </w:rPr>
              <w:t xml:space="preserve">. </w:t>
            </w:r>
            <w:r w:rsidR="00D17137">
              <w:rPr>
                <w:color w:val="0D0D0D" w:themeColor="text1" w:themeTint="F2"/>
                <w:spacing w:val="-2"/>
                <w:lang w:val="en-GB"/>
              </w:rPr>
              <w:t xml:space="preserve">The total state wide collection of taxes </w:t>
            </w:r>
            <w:r w:rsidR="00144108" w:rsidRPr="003D472E">
              <w:rPr>
                <w:color w:val="0D0D0D" w:themeColor="text1" w:themeTint="F2"/>
                <w:spacing w:val="-2"/>
                <w:lang w:val="en-GB"/>
              </w:rPr>
              <w:t>(</w:t>
            </w:r>
            <w:r w:rsidR="00D17137">
              <w:rPr>
                <w:color w:val="0D0D0D" w:themeColor="text1" w:themeTint="F2"/>
                <w:spacing w:val="-2"/>
                <w:lang w:val="en-GB"/>
              </w:rPr>
              <w:t>without the insurance on SS</w:t>
            </w:r>
            <w:r w:rsidR="00144108" w:rsidRPr="003D472E">
              <w:rPr>
                <w:color w:val="0D0D0D" w:themeColor="text1" w:themeTint="F2"/>
                <w:spacing w:val="-2"/>
                <w:lang w:val="en-GB"/>
              </w:rPr>
              <w:t xml:space="preserve">) </w:t>
            </w:r>
            <w:r w:rsidR="00193706">
              <w:rPr>
                <w:color w:val="0D0D0D" w:themeColor="text1" w:themeTint="F2"/>
                <w:spacing w:val="-2"/>
                <w:lang w:val="en-GB"/>
              </w:rPr>
              <w:t xml:space="preserve">at the level of all public budgets did strengthen by 1.2% year-on-year last year, nevertheless it still lagged behind the level from year 2019 </w:t>
            </w:r>
            <w:r w:rsidR="00144108" w:rsidRPr="003D472E">
              <w:rPr>
                <w:spacing w:val="-2"/>
                <w:lang w:val="en-GB"/>
              </w:rPr>
              <w:t>(</w:t>
            </w:r>
            <w:r w:rsidR="00193706">
              <w:rPr>
                <w:spacing w:val="-2"/>
                <w:lang w:val="en-GB"/>
              </w:rPr>
              <w:t xml:space="preserve">by </w:t>
            </w:r>
            <w:r w:rsidR="00144108" w:rsidRPr="003D472E">
              <w:rPr>
                <w:spacing w:val="-2"/>
                <w:lang w:val="en-GB"/>
              </w:rPr>
              <w:t>4</w:t>
            </w:r>
            <w:r w:rsidR="00193706">
              <w:rPr>
                <w:spacing w:val="-2"/>
                <w:lang w:val="en-GB"/>
              </w:rPr>
              <w:t>.</w:t>
            </w:r>
            <w:r w:rsidR="00144108" w:rsidRPr="003D472E">
              <w:rPr>
                <w:spacing w:val="-2"/>
                <w:lang w:val="en-GB"/>
              </w:rPr>
              <w:t xml:space="preserve">2%). </w:t>
            </w:r>
            <w:r w:rsidR="00193706">
              <w:rPr>
                <w:spacing w:val="-2"/>
                <w:lang w:val="en-GB"/>
              </w:rPr>
              <w:t xml:space="preserve">In the course of the last </w:t>
            </w:r>
            <w:proofErr w:type="gramStart"/>
            <w:r w:rsidR="00193706">
              <w:rPr>
                <w:spacing w:val="-2"/>
                <w:lang w:val="en-GB"/>
              </w:rPr>
              <w:t>year</w:t>
            </w:r>
            <w:proofErr w:type="gramEnd"/>
            <w:r w:rsidR="00193706">
              <w:rPr>
                <w:spacing w:val="-2"/>
                <w:lang w:val="en-GB"/>
              </w:rPr>
              <w:t xml:space="preserve"> the collection however gradually improved. </w:t>
            </w:r>
            <w:r w:rsidR="00144108" w:rsidRPr="003D472E">
              <w:rPr>
                <w:spacing w:val="-2"/>
                <w:lang w:val="en-GB"/>
              </w:rPr>
              <w:t xml:space="preserve"> </w:t>
            </w:r>
            <w:r w:rsidR="00193706">
              <w:rPr>
                <w:spacing w:val="-2"/>
                <w:lang w:val="en-GB"/>
              </w:rPr>
              <w:t xml:space="preserve">The revival of economy </w:t>
            </w:r>
            <w:proofErr w:type="gramStart"/>
            <w:r w:rsidR="00193706">
              <w:rPr>
                <w:spacing w:val="-2"/>
                <w:lang w:val="en-GB"/>
              </w:rPr>
              <w:t>was not even majorly disrupted</w:t>
            </w:r>
            <w:proofErr w:type="gramEnd"/>
            <w:r w:rsidR="00193706">
              <w:rPr>
                <w:spacing w:val="-2"/>
                <w:lang w:val="en-GB"/>
              </w:rPr>
              <w:t xml:space="preserve"> by the Autumn pandemic wave, which was not anymore accompanied by more significant restrictions of the economic activity in services. T</w:t>
            </w:r>
            <w:r w:rsidR="00701373">
              <w:rPr>
                <w:color w:val="0D0D0D" w:themeColor="text1" w:themeTint="F2"/>
                <w:spacing w:val="-2"/>
                <w:lang w:val="en-GB"/>
              </w:rPr>
              <w:t xml:space="preserve">he </w:t>
            </w:r>
            <w:proofErr w:type="gramStart"/>
            <w:r w:rsidR="00701373">
              <w:rPr>
                <w:color w:val="0D0D0D" w:themeColor="text1" w:themeTint="F2"/>
                <w:spacing w:val="-2"/>
                <w:lang w:val="en-GB"/>
              </w:rPr>
              <w:t>state</w:t>
            </w:r>
            <w:r w:rsidR="00193706">
              <w:rPr>
                <w:color w:val="0D0D0D" w:themeColor="text1" w:themeTint="F2"/>
                <w:spacing w:val="-2"/>
                <w:lang w:val="en-GB"/>
              </w:rPr>
              <w:t xml:space="preserve"> </w:t>
            </w:r>
            <w:r w:rsidR="00701373">
              <w:rPr>
                <w:color w:val="0D0D0D" w:themeColor="text1" w:themeTint="F2"/>
                <w:spacing w:val="-2"/>
                <w:lang w:val="en-GB"/>
              </w:rPr>
              <w:t>wide</w:t>
            </w:r>
            <w:proofErr w:type="gramEnd"/>
            <w:r w:rsidR="00701373">
              <w:rPr>
                <w:color w:val="0D0D0D" w:themeColor="text1" w:themeTint="F2"/>
                <w:spacing w:val="-2"/>
                <w:lang w:val="en-GB"/>
              </w:rPr>
              <w:t xml:space="preserve"> collection of taxes thus lagged behind only by 0.7% behind the same period of year </w:t>
            </w:r>
            <w:r w:rsidR="00144108" w:rsidRPr="003D472E">
              <w:rPr>
                <w:spacing w:val="-2"/>
                <w:lang w:val="en-GB"/>
              </w:rPr>
              <w:t>2019</w:t>
            </w:r>
            <w:r w:rsidR="00701373">
              <w:rPr>
                <w:spacing w:val="-2"/>
                <w:lang w:val="en-GB"/>
              </w:rPr>
              <w:t xml:space="preserve"> and it was comparable with this level in Q</w:t>
            </w:r>
            <w:r w:rsidR="00144108" w:rsidRPr="003D472E">
              <w:rPr>
                <w:spacing w:val="-2"/>
                <w:lang w:val="en-GB"/>
              </w:rPr>
              <w:t>4.</w:t>
            </w:r>
          </w:p>
        </w:tc>
      </w:tr>
      <w:tr w:rsidR="00144108" w:rsidRPr="003C07E6" w14:paraId="30D0A5B3" w14:textId="77777777" w:rsidTr="008E039E">
        <w:trPr>
          <w:trHeight w:val="145"/>
        </w:trPr>
        <w:tc>
          <w:tcPr>
            <w:tcW w:w="1732" w:type="dxa"/>
            <w:shd w:val="clear" w:color="auto" w:fill="auto"/>
            <w:tcMar>
              <w:left w:w="0" w:type="dxa"/>
            </w:tcMar>
          </w:tcPr>
          <w:p w14:paraId="7C0DC38E" w14:textId="4721C786" w:rsidR="00144108" w:rsidRPr="00F15C73" w:rsidRDefault="00B77117" w:rsidP="008E039E">
            <w:pPr>
              <w:pStyle w:val="Marginlie"/>
              <w:rPr>
                <w:spacing w:val="-3"/>
                <w:lang w:val="en-GB"/>
              </w:rPr>
            </w:pPr>
            <w:r>
              <w:rPr>
                <w:spacing w:val="-3"/>
                <w:lang w:val="en-GB"/>
              </w:rPr>
              <w:t xml:space="preserve">Growing </w:t>
            </w:r>
            <w:r w:rsidR="00F82670">
              <w:rPr>
                <w:spacing w:val="-3"/>
                <w:lang w:val="en-GB"/>
              </w:rPr>
              <w:t xml:space="preserve">VAT collection reflected the impact of fast recovery of private consumption as well as the acceleration of prices in the economy. </w:t>
            </w:r>
          </w:p>
        </w:tc>
        <w:tc>
          <w:tcPr>
            <w:tcW w:w="217" w:type="dxa"/>
            <w:shd w:val="clear" w:color="auto" w:fill="auto"/>
            <w:tcMar>
              <w:left w:w="0" w:type="dxa"/>
            </w:tcMar>
          </w:tcPr>
          <w:p w14:paraId="37141BB8" w14:textId="77777777" w:rsidR="00144108" w:rsidRPr="00F15C73" w:rsidRDefault="00144108" w:rsidP="008E039E">
            <w:pPr>
              <w:pStyle w:val="Textpoznpodarou"/>
              <w:jc w:val="both"/>
              <w:rPr>
                <w:spacing w:val="-4"/>
                <w:lang w:val="en-GB"/>
              </w:rPr>
            </w:pPr>
          </w:p>
        </w:tc>
        <w:tc>
          <w:tcPr>
            <w:tcW w:w="7720" w:type="dxa"/>
            <w:shd w:val="clear" w:color="auto" w:fill="auto"/>
            <w:tcMar>
              <w:left w:w="0" w:type="dxa"/>
            </w:tcMar>
          </w:tcPr>
          <w:p w14:paraId="19782282" w14:textId="66C9FAAE" w:rsidR="00144108" w:rsidRPr="00F15C73" w:rsidRDefault="00301FD5" w:rsidP="008E039E">
            <w:pPr>
              <w:spacing w:after="200"/>
              <w:rPr>
                <w:spacing w:val="-5"/>
                <w:lang w:val="en-GB"/>
              </w:rPr>
            </w:pPr>
            <w:r>
              <w:rPr>
                <w:spacing w:val="-5"/>
                <w:lang w:val="en-GB"/>
              </w:rPr>
              <w:t>From the VAT</w:t>
            </w:r>
            <w:r w:rsidR="00144108" w:rsidRPr="00F15C73">
              <w:rPr>
                <w:spacing w:val="-5"/>
                <w:lang w:val="en-GB"/>
              </w:rPr>
              <w:t xml:space="preserve">, </w:t>
            </w:r>
            <w:r w:rsidR="00730DA9">
              <w:rPr>
                <w:spacing w:val="-5"/>
                <w:lang w:val="en-GB"/>
              </w:rPr>
              <w:t xml:space="preserve">which traditionally represents the significantly weight dominant tax, flew by 3.7% more </w:t>
            </w:r>
            <w:r w:rsidR="00730DA9" w:rsidRPr="00F15C73">
              <w:rPr>
                <w:spacing w:val="-5"/>
                <w:lang w:val="en-GB"/>
              </w:rPr>
              <w:t>(+10</w:t>
            </w:r>
            <w:r w:rsidR="00730DA9">
              <w:rPr>
                <w:spacing w:val="-5"/>
                <w:lang w:val="en-GB"/>
              </w:rPr>
              <w:t>.</w:t>
            </w:r>
            <w:r w:rsidR="00730DA9" w:rsidRPr="00F15C73">
              <w:rPr>
                <w:spacing w:val="-5"/>
                <w:lang w:val="en-GB"/>
              </w:rPr>
              <w:t>7</w:t>
            </w:r>
            <w:r w:rsidR="00730DA9">
              <w:rPr>
                <w:spacing w:val="-5"/>
                <w:lang w:val="en-GB"/>
              </w:rPr>
              <w:t xml:space="preserve"> CZK bn</w:t>
            </w:r>
            <w:r w:rsidR="00730DA9" w:rsidRPr="00F15C73">
              <w:rPr>
                <w:spacing w:val="-5"/>
                <w:lang w:val="en-GB"/>
              </w:rPr>
              <w:t>)</w:t>
            </w:r>
            <w:r w:rsidR="00730DA9">
              <w:rPr>
                <w:spacing w:val="-5"/>
                <w:lang w:val="en-GB"/>
              </w:rPr>
              <w:t xml:space="preserve"> into the SB year-on-year last year. The collection at the level of all public budgets strengthened by </w:t>
            </w:r>
            <w:r w:rsidR="00144108" w:rsidRPr="00F15C73">
              <w:rPr>
                <w:spacing w:val="-5"/>
                <w:lang w:val="en-GB"/>
              </w:rPr>
              <w:t>8</w:t>
            </w:r>
            <w:r w:rsidR="00730DA9">
              <w:rPr>
                <w:spacing w:val="-5"/>
                <w:lang w:val="en-GB"/>
              </w:rPr>
              <w:t>.</w:t>
            </w:r>
            <w:r w:rsidR="00144108" w:rsidRPr="00F15C73">
              <w:rPr>
                <w:spacing w:val="-5"/>
                <w:lang w:val="en-GB"/>
              </w:rPr>
              <w:t>7% (</w:t>
            </w:r>
            <w:r w:rsidR="00730DA9">
              <w:rPr>
                <w:spacing w:val="-5"/>
                <w:lang w:val="en-GB"/>
              </w:rPr>
              <w:t xml:space="preserve">by </w:t>
            </w:r>
            <w:r w:rsidR="00144108" w:rsidRPr="00F15C73">
              <w:rPr>
                <w:spacing w:val="-5"/>
                <w:lang w:val="en-GB"/>
              </w:rPr>
              <w:t>7</w:t>
            </w:r>
            <w:r w:rsidR="00730DA9">
              <w:rPr>
                <w:spacing w:val="-5"/>
                <w:lang w:val="en-GB"/>
              </w:rPr>
              <w:t>.</w:t>
            </w:r>
            <w:r w:rsidR="00144108" w:rsidRPr="00F15C73">
              <w:rPr>
                <w:spacing w:val="-5"/>
                <w:lang w:val="en-GB"/>
              </w:rPr>
              <w:t>4%</w:t>
            </w:r>
            <w:r w:rsidR="00730DA9">
              <w:rPr>
                <w:spacing w:val="-5"/>
                <w:lang w:val="en-GB"/>
              </w:rPr>
              <w:t xml:space="preserve"> in two years</w:t>
            </w:r>
            <w:r w:rsidR="00144108" w:rsidRPr="00F15C73">
              <w:rPr>
                <w:spacing w:val="-5"/>
                <w:lang w:val="en-GB"/>
              </w:rPr>
              <w:t>).</w:t>
            </w:r>
            <w:r w:rsidR="00730DA9">
              <w:rPr>
                <w:spacing w:val="-5"/>
                <w:lang w:val="en-GB"/>
              </w:rPr>
              <w:t xml:space="preserve"> The effect of fast revival of private consumption </w:t>
            </w:r>
            <w:r w:rsidR="00144108" w:rsidRPr="00F15C73">
              <w:rPr>
                <w:spacing w:val="-5"/>
                <w:lang w:val="en-GB"/>
              </w:rPr>
              <w:t>(</w:t>
            </w:r>
            <w:r w:rsidR="00730DA9">
              <w:rPr>
                <w:spacing w:val="-5"/>
                <w:lang w:val="en-GB"/>
              </w:rPr>
              <w:t>supported by swift growth of volume of paid out wages and salaries in the economy</w:t>
            </w:r>
            <w:r w:rsidR="00144108" w:rsidRPr="00F15C73">
              <w:rPr>
                <w:spacing w:val="-5"/>
                <w:lang w:val="en-GB"/>
              </w:rPr>
              <w:t xml:space="preserve">) </w:t>
            </w:r>
            <w:r w:rsidR="007562AA">
              <w:rPr>
                <w:spacing w:val="-5"/>
                <w:lang w:val="en-GB"/>
              </w:rPr>
              <w:t>overshadowed the impact of lowering of rate of this tax for some services</w:t>
            </w:r>
            <w:r w:rsidR="00144108" w:rsidRPr="00F15C73">
              <w:rPr>
                <w:rStyle w:val="Znakapoznpodarou"/>
                <w:spacing w:val="-5"/>
                <w:lang w:val="en-GB"/>
              </w:rPr>
              <w:footnoteReference w:id="82"/>
            </w:r>
            <w:r w:rsidR="00144108" w:rsidRPr="00F15C73">
              <w:rPr>
                <w:spacing w:val="-5"/>
                <w:lang w:val="en-GB"/>
              </w:rPr>
              <w:t xml:space="preserve">. </w:t>
            </w:r>
            <w:r w:rsidR="007562AA">
              <w:rPr>
                <w:spacing w:val="-5"/>
                <w:lang w:val="en-GB"/>
              </w:rPr>
              <w:t xml:space="preserve">Especially at the end of the last year, the large collection of tax more and more reflected the accelerating price growth pervading the whole economy. </w:t>
            </w:r>
            <w:proofErr w:type="gramStart"/>
            <w:r w:rsidR="00263F44">
              <w:rPr>
                <w:spacing w:val="-5"/>
                <w:lang w:val="en-GB"/>
              </w:rPr>
              <w:t>State wide</w:t>
            </w:r>
            <w:proofErr w:type="gramEnd"/>
            <w:r w:rsidR="00263F44">
              <w:rPr>
                <w:spacing w:val="-5"/>
                <w:lang w:val="en-GB"/>
              </w:rPr>
              <w:t xml:space="preserve"> VAT collection thus exceeded the corresponding level from year 2019 by more than 15% in both November and December. </w:t>
            </w:r>
          </w:p>
        </w:tc>
      </w:tr>
      <w:tr w:rsidR="00144108" w:rsidRPr="003C07E6" w14:paraId="3739E974" w14:textId="77777777" w:rsidTr="008E039E">
        <w:trPr>
          <w:trHeight w:val="145"/>
        </w:trPr>
        <w:tc>
          <w:tcPr>
            <w:tcW w:w="1732" w:type="dxa"/>
            <w:shd w:val="clear" w:color="auto" w:fill="auto"/>
            <w:tcMar>
              <w:left w:w="0" w:type="dxa"/>
            </w:tcMar>
          </w:tcPr>
          <w:p w14:paraId="4F71A103" w14:textId="62DFF086" w:rsidR="00144108" w:rsidRPr="00193706" w:rsidRDefault="005F5B50" w:rsidP="008E039E">
            <w:pPr>
              <w:pStyle w:val="Marginlie"/>
              <w:rPr>
                <w:spacing w:val="-3"/>
                <w:lang w:val="en-GB"/>
              </w:rPr>
            </w:pPr>
            <w:r>
              <w:rPr>
                <w:spacing w:val="-3"/>
                <w:lang w:val="en-GB"/>
              </w:rPr>
              <w:t xml:space="preserve">Collection of consumption tax on mineral oils and tobacco fell year-on-year and did not fulfil the budget anticipations. </w:t>
            </w:r>
          </w:p>
        </w:tc>
        <w:tc>
          <w:tcPr>
            <w:tcW w:w="217" w:type="dxa"/>
            <w:shd w:val="clear" w:color="auto" w:fill="auto"/>
            <w:tcMar>
              <w:left w:w="0" w:type="dxa"/>
            </w:tcMar>
          </w:tcPr>
          <w:p w14:paraId="553AD9E3" w14:textId="77777777" w:rsidR="00144108" w:rsidRPr="00193706" w:rsidRDefault="00144108" w:rsidP="008E039E">
            <w:pPr>
              <w:pStyle w:val="Textpoznpodarou"/>
              <w:jc w:val="both"/>
              <w:rPr>
                <w:spacing w:val="-4"/>
                <w:lang w:val="en-GB"/>
              </w:rPr>
            </w:pPr>
          </w:p>
        </w:tc>
        <w:tc>
          <w:tcPr>
            <w:tcW w:w="7720" w:type="dxa"/>
            <w:shd w:val="clear" w:color="auto" w:fill="auto"/>
            <w:tcMar>
              <w:left w:w="0" w:type="dxa"/>
            </w:tcMar>
          </w:tcPr>
          <w:p w14:paraId="4DC5C596" w14:textId="40F990C1" w:rsidR="00144108" w:rsidRPr="00193706" w:rsidRDefault="005F5B50" w:rsidP="00A06545">
            <w:pPr>
              <w:spacing w:after="200"/>
              <w:rPr>
                <w:spacing w:val="-2"/>
                <w:lang w:val="en-GB"/>
              </w:rPr>
            </w:pPr>
            <w:r>
              <w:rPr>
                <w:color w:val="0D0D0D" w:themeColor="text1" w:themeTint="F2"/>
                <w:spacing w:val="-5"/>
                <w:lang w:val="en-GB"/>
              </w:rPr>
              <w:t>SB revenues from all consumption taxes decreased by even 3% last year and slightly deepened their decrease from</w:t>
            </w:r>
            <w:r w:rsidR="00012F79">
              <w:rPr>
                <w:color w:val="0D0D0D" w:themeColor="text1" w:themeTint="F2"/>
                <w:spacing w:val="-5"/>
                <w:lang w:val="en-GB"/>
              </w:rPr>
              <w:t xml:space="preserve"> the</w:t>
            </w:r>
            <w:r>
              <w:rPr>
                <w:color w:val="0D0D0D" w:themeColor="text1" w:themeTint="F2"/>
                <w:spacing w:val="-5"/>
                <w:lang w:val="en-GB"/>
              </w:rPr>
              <w:t xml:space="preserve"> first year of the pandemics. </w:t>
            </w:r>
            <w:r w:rsidR="00012F79">
              <w:rPr>
                <w:color w:val="0D0D0D" w:themeColor="text1" w:themeTint="F2"/>
                <w:spacing w:val="-5"/>
                <w:lang w:val="en-GB"/>
              </w:rPr>
              <w:t xml:space="preserve">The lower collection of tax on tobacco products was the most evident last year </w:t>
            </w:r>
            <w:r w:rsidR="00144108" w:rsidRPr="00193706">
              <w:rPr>
                <w:color w:val="0D0D0D" w:themeColor="text1" w:themeTint="F2"/>
                <w:spacing w:val="-4"/>
                <w:lang w:val="en-GB"/>
              </w:rPr>
              <w:t>(</w:t>
            </w:r>
            <w:r w:rsidR="00144108" w:rsidRPr="00193706">
              <w:rPr>
                <w:spacing w:val="-4"/>
                <w:lang w:val="en-GB"/>
              </w:rPr>
              <w:t>–</w:t>
            </w:r>
            <w:r w:rsidR="00144108" w:rsidRPr="00193706">
              <w:rPr>
                <w:color w:val="0D0D0D" w:themeColor="text1" w:themeTint="F2"/>
                <w:spacing w:val="-4"/>
                <w:lang w:val="en-GB"/>
              </w:rPr>
              <w:t>5</w:t>
            </w:r>
            <w:r w:rsidR="00012F79">
              <w:rPr>
                <w:color w:val="0D0D0D" w:themeColor="text1" w:themeTint="F2"/>
                <w:spacing w:val="-4"/>
                <w:lang w:val="en-GB"/>
              </w:rPr>
              <w:t>.</w:t>
            </w:r>
            <w:r w:rsidR="00144108" w:rsidRPr="00193706">
              <w:rPr>
                <w:color w:val="0D0D0D" w:themeColor="text1" w:themeTint="F2"/>
                <w:spacing w:val="-4"/>
                <w:lang w:val="en-GB"/>
              </w:rPr>
              <w:t>5%),</w:t>
            </w:r>
            <w:r w:rsidR="00012F79">
              <w:rPr>
                <w:color w:val="0D0D0D" w:themeColor="text1" w:themeTint="F2"/>
                <w:spacing w:val="-4"/>
                <w:lang w:val="en-GB"/>
              </w:rPr>
              <w:t xml:space="preserve"> despite the </w:t>
            </w:r>
            <w:r w:rsidR="00144108" w:rsidRPr="00193706">
              <w:rPr>
                <w:spacing w:val="-4"/>
                <w:lang w:val="en-GB"/>
              </w:rPr>
              <w:t xml:space="preserve">10% </w:t>
            </w:r>
            <w:r w:rsidR="00012F79">
              <w:rPr>
                <w:spacing w:val="-4"/>
                <w:lang w:val="en-GB"/>
              </w:rPr>
              <w:t xml:space="preserve">increase of the tax rate. </w:t>
            </w:r>
            <w:r w:rsidR="00012F79">
              <w:rPr>
                <w:color w:val="0D0D0D" w:themeColor="text1" w:themeTint="F2"/>
                <w:spacing w:val="-5"/>
                <w:lang w:val="en-GB"/>
              </w:rPr>
              <w:t xml:space="preserve">By contrast, for mineral oils the decrease of the tax rate </w:t>
            </w:r>
            <w:r w:rsidR="00144108" w:rsidRPr="00193706">
              <w:rPr>
                <w:color w:val="0D0D0D" w:themeColor="text1" w:themeTint="F2"/>
                <w:spacing w:val="-5"/>
                <w:lang w:val="en-GB"/>
              </w:rPr>
              <w:t>(</w:t>
            </w:r>
            <w:r w:rsidR="00012F79">
              <w:rPr>
                <w:color w:val="0D0D0D" w:themeColor="text1" w:themeTint="F2"/>
                <w:spacing w:val="-5"/>
                <w:lang w:val="en-GB"/>
              </w:rPr>
              <w:t xml:space="preserve">by </w:t>
            </w:r>
            <w:r w:rsidR="00144108" w:rsidRPr="00193706">
              <w:rPr>
                <w:color w:val="0D0D0D" w:themeColor="text1" w:themeTint="F2"/>
                <w:spacing w:val="-5"/>
                <w:lang w:val="en-GB"/>
              </w:rPr>
              <w:t>1 </w:t>
            </w:r>
            <w:r w:rsidR="00012F79">
              <w:rPr>
                <w:color w:val="0D0D0D" w:themeColor="text1" w:themeTint="F2"/>
                <w:spacing w:val="-5"/>
                <w:lang w:val="en-GB"/>
              </w:rPr>
              <w:t xml:space="preserve">CZK for </w:t>
            </w:r>
            <w:r w:rsidR="009F150E">
              <w:rPr>
                <w:color w:val="0D0D0D" w:themeColor="text1" w:themeTint="F2"/>
                <w:spacing w:val="-5"/>
                <w:lang w:val="en-GB"/>
              </w:rPr>
              <w:t>diesel fuels</w:t>
            </w:r>
            <w:r w:rsidR="00144108" w:rsidRPr="00193706">
              <w:rPr>
                <w:color w:val="0D0D0D" w:themeColor="text1" w:themeTint="F2"/>
                <w:spacing w:val="-5"/>
                <w:lang w:val="en-GB"/>
              </w:rPr>
              <w:t>)</w:t>
            </w:r>
            <w:r w:rsidR="009F150E">
              <w:rPr>
                <w:color w:val="0D0D0D" w:themeColor="text1" w:themeTint="F2"/>
                <w:spacing w:val="-5"/>
                <w:lang w:val="en-GB"/>
              </w:rPr>
              <w:t xml:space="preserve"> had a visible impact, since the collection of tax would grow without it</w:t>
            </w:r>
            <w:r w:rsidR="00144108" w:rsidRPr="00193706">
              <w:rPr>
                <w:rStyle w:val="Znakapoznpodarou"/>
                <w:color w:val="0D0D0D" w:themeColor="text1" w:themeTint="F2"/>
                <w:spacing w:val="-5"/>
                <w:lang w:val="en-GB"/>
              </w:rPr>
              <w:footnoteReference w:id="83"/>
            </w:r>
            <w:r w:rsidR="00144108" w:rsidRPr="00193706">
              <w:rPr>
                <w:color w:val="0D0D0D" w:themeColor="text1" w:themeTint="F2"/>
                <w:spacing w:val="-5"/>
                <w:lang w:val="en-GB"/>
              </w:rPr>
              <w:t xml:space="preserve">, </w:t>
            </w:r>
            <w:r w:rsidR="009F150E">
              <w:rPr>
                <w:color w:val="0D0D0D" w:themeColor="text1" w:themeTint="F2"/>
                <w:spacing w:val="-5"/>
                <w:lang w:val="en-GB"/>
              </w:rPr>
              <w:t xml:space="preserve">as suggested by (so </w:t>
            </w:r>
            <w:r w:rsidR="009F150E">
              <w:rPr>
                <w:color w:val="0D0D0D" w:themeColor="text1" w:themeTint="F2"/>
                <w:spacing w:val="-5"/>
                <w:lang w:val="en-GB"/>
              </w:rPr>
              <w:lastRenderedPageBreak/>
              <w:t>far incomplete</w:t>
            </w:r>
            <w:r w:rsidR="00144108" w:rsidRPr="00193706">
              <w:rPr>
                <w:color w:val="0D0D0D" w:themeColor="text1" w:themeTint="F2"/>
                <w:spacing w:val="-5"/>
                <w:lang w:val="en-GB"/>
              </w:rPr>
              <w:t>)</w:t>
            </w:r>
            <w:r w:rsidR="009F150E">
              <w:rPr>
                <w:color w:val="0D0D0D" w:themeColor="text1" w:themeTint="F2"/>
                <w:spacing w:val="-5"/>
                <w:lang w:val="en-GB"/>
              </w:rPr>
              <w:t xml:space="preserve"> data regarding the consumption of oil products</w:t>
            </w:r>
            <w:r w:rsidR="00144108" w:rsidRPr="00193706">
              <w:rPr>
                <w:rStyle w:val="Znakapoznpodarou"/>
                <w:spacing w:val="-4"/>
                <w:lang w:val="en-GB"/>
              </w:rPr>
              <w:footnoteReference w:id="84"/>
            </w:r>
            <w:r w:rsidR="00144108" w:rsidRPr="00193706">
              <w:rPr>
                <w:spacing w:val="-4"/>
                <w:lang w:val="en-GB"/>
              </w:rPr>
              <w:t xml:space="preserve">. </w:t>
            </w:r>
            <w:r w:rsidR="009F150E">
              <w:rPr>
                <w:spacing w:val="-4"/>
                <w:lang w:val="en-GB"/>
              </w:rPr>
              <w:t xml:space="preserve">In Q4, the collection of this tax was higher year-on-year </w:t>
            </w:r>
            <w:r w:rsidR="00144108" w:rsidRPr="00193706">
              <w:rPr>
                <w:spacing w:val="-4"/>
                <w:lang w:val="en-GB"/>
              </w:rPr>
              <w:t>(+5</w:t>
            </w:r>
            <w:r w:rsidR="009F150E">
              <w:rPr>
                <w:spacing w:val="-4"/>
                <w:lang w:val="en-GB"/>
              </w:rPr>
              <w:t>.</w:t>
            </w:r>
            <w:r w:rsidR="00144108" w:rsidRPr="00193706">
              <w:rPr>
                <w:spacing w:val="-4"/>
                <w:lang w:val="en-GB"/>
              </w:rPr>
              <w:t>1%)</w:t>
            </w:r>
            <w:proofErr w:type="gramStart"/>
            <w:r w:rsidR="00144108" w:rsidRPr="00193706">
              <w:rPr>
                <w:spacing w:val="-4"/>
                <w:lang w:val="en-GB"/>
              </w:rPr>
              <w:t>,</w:t>
            </w:r>
            <w:proofErr w:type="gramEnd"/>
            <w:r w:rsidR="00144108" w:rsidRPr="00193706">
              <w:rPr>
                <w:spacing w:val="-4"/>
                <w:lang w:val="en-GB"/>
              </w:rPr>
              <w:t xml:space="preserve"> </w:t>
            </w:r>
            <w:r w:rsidR="004701E1">
              <w:rPr>
                <w:spacing w:val="-4"/>
                <w:lang w:val="en-GB"/>
              </w:rPr>
              <w:t xml:space="preserve">however it still slightly lagged behind the level from the pre pandemic year. Despite revival at the end of the last year, the collection of both above mentioned consumption taxes, in contrast to all other weight </w:t>
            </w:r>
            <w:proofErr w:type="gramStart"/>
            <w:r w:rsidR="004701E1">
              <w:rPr>
                <w:spacing w:val="-4"/>
                <w:lang w:val="en-GB"/>
              </w:rPr>
              <w:t>more significant taxes, behind the budget anticipations</w:t>
            </w:r>
            <w:proofErr w:type="gramEnd"/>
            <w:r w:rsidR="004701E1">
              <w:rPr>
                <w:spacing w:val="-4"/>
                <w:lang w:val="en-GB"/>
              </w:rPr>
              <w:t xml:space="preserve">. </w:t>
            </w:r>
          </w:p>
        </w:tc>
      </w:tr>
      <w:tr w:rsidR="00144108" w:rsidRPr="003C07E6" w14:paraId="3B8C0163" w14:textId="77777777" w:rsidTr="008E039E">
        <w:trPr>
          <w:trHeight w:val="145"/>
        </w:trPr>
        <w:tc>
          <w:tcPr>
            <w:tcW w:w="1732" w:type="dxa"/>
            <w:shd w:val="clear" w:color="auto" w:fill="auto"/>
            <w:tcMar>
              <w:left w:w="0" w:type="dxa"/>
            </w:tcMar>
          </w:tcPr>
          <w:p w14:paraId="43BDD870" w14:textId="45FE7081" w:rsidR="00144108" w:rsidRPr="004701E1" w:rsidRDefault="002744B9" w:rsidP="008E039E">
            <w:pPr>
              <w:pStyle w:val="Marginlie"/>
              <w:rPr>
                <w:lang w:val="en-GB"/>
              </w:rPr>
            </w:pPr>
            <w:r>
              <w:rPr>
                <w:lang w:val="en-GB"/>
              </w:rPr>
              <w:lastRenderedPageBreak/>
              <w:t xml:space="preserve">Collection of consumption tax on alcohol </w:t>
            </w:r>
            <w:r w:rsidR="008A1A3B">
              <w:rPr>
                <w:lang w:val="en-GB"/>
              </w:rPr>
              <w:t>grew</w:t>
            </w:r>
            <w:r>
              <w:rPr>
                <w:lang w:val="en-GB"/>
              </w:rPr>
              <w:t xml:space="preserve"> from tax on beer it fell</w:t>
            </w:r>
          </w:p>
        </w:tc>
        <w:tc>
          <w:tcPr>
            <w:tcW w:w="217" w:type="dxa"/>
            <w:shd w:val="clear" w:color="auto" w:fill="auto"/>
            <w:tcMar>
              <w:left w:w="0" w:type="dxa"/>
            </w:tcMar>
          </w:tcPr>
          <w:p w14:paraId="65251D99" w14:textId="77777777" w:rsidR="00144108" w:rsidRPr="004701E1" w:rsidRDefault="00144108" w:rsidP="008E039E">
            <w:pPr>
              <w:pStyle w:val="Textpoznpodarou"/>
              <w:jc w:val="both"/>
              <w:rPr>
                <w:spacing w:val="-4"/>
                <w:lang w:val="en-GB"/>
              </w:rPr>
            </w:pPr>
          </w:p>
        </w:tc>
        <w:tc>
          <w:tcPr>
            <w:tcW w:w="7720" w:type="dxa"/>
            <w:shd w:val="clear" w:color="auto" w:fill="auto"/>
            <w:tcMar>
              <w:left w:w="0" w:type="dxa"/>
            </w:tcMar>
          </w:tcPr>
          <w:p w14:paraId="5BED5969" w14:textId="3936C8C2" w:rsidR="00144108" w:rsidRPr="004701E1" w:rsidRDefault="008A1A3B" w:rsidP="008E039E">
            <w:pPr>
              <w:spacing w:after="200"/>
              <w:rPr>
                <w:color w:val="0D0D0D" w:themeColor="text1" w:themeTint="F2"/>
                <w:spacing w:val="-2"/>
                <w:lang w:val="en-GB"/>
              </w:rPr>
            </w:pPr>
            <w:r>
              <w:rPr>
                <w:color w:val="0D0D0D" w:themeColor="text1" w:themeTint="F2"/>
                <w:spacing w:val="-2"/>
                <w:lang w:val="en-GB"/>
              </w:rPr>
              <w:t>Collection</w:t>
            </w:r>
            <w:r w:rsidR="002744B9">
              <w:rPr>
                <w:color w:val="0D0D0D" w:themeColor="text1" w:themeTint="F2"/>
                <w:spacing w:val="-2"/>
                <w:lang w:val="en-GB"/>
              </w:rPr>
              <w:t xml:space="preserve"> of other, less significant by weight consumption taxes slightly grew last year, mainly due to the newly introduced tax on digital services and higher collection of tax on alcohol (also thanks to increased rate). On the contrary, the collection of tax on beer  fell </w:t>
            </w:r>
            <w:r w:rsidR="00144108" w:rsidRPr="004701E1">
              <w:rPr>
                <w:color w:val="0D0D0D" w:themeColor="text1" w:themeTint="F2"/>
                <w:spacing w:val="-2"/>
                <w:lang w:val="en-GB"/>
              </w:rPr>
              <w:t>(</w:t>
            </w:r>
            <w:r w:rsidR="002744B9">
              <w:rPr>
                <w:color w:val="0D0D0D" w:themeColor="text1" w:themeTint="F2"/>
                <w:spacing w:val="-2"/>
                <w:lang w:val="en-GB"/>
              </w:rPr>
              <w:t xml:space="preserve">by </w:t>
            </w:r>
            <w:r w:rsidR="00144108" w:rsidRPr="004701E1">
              <w:rPr>
                <w:color w:val="0D0D0D" w:themeColor="text1" w:themeTint="F2"/>
                <w:spacing w:val="-2"/>
                <w:lang w:val="en-GB"/>
              </w:rPr>
              <w:t>5</w:t>
            </w:r>
            <w:r w:rsidR="002744B9">
              <w:rPr>
                <w:color w:val="0D0D0D" w:themeColor="text1" w:themeTint="F2"/>
                <w:spacing w:val="-2"/>
                <w:lang w:val="en-GB"/>
              </w:rPr>
              <w:t>.</w:t>
            </w:r>
            <w:r w:rsidR="00144108" w:rsidRPr="004701E1">
              <w:rPr>
                <w:color w:val="0D0D0D" w:themeColor="text1" w:themeTint="F2"/>
                <w:spacing w:val="-2"/>
                <w:lang w:val="en-GB"/>
              </w:rPr>
              <w:t>5%</w:t>
            </w:r>
            <w:r w:rsidR="00AC7578" w:rsidRPr="004701E1">
              <w:rPr>
                <w:color w:val="0D0D0D" w:themeColor="text1" w:themeTint="F2"/>
                <w:spacing w:val="-2"/>
                <w:lang w:val="en-GB"/>
              </w:rPr>
              <w:t>) since</w:t>
            </w:r>
            <w:r w:rsidR="002744B9">
              <w:rPr>
                <w:color w:val="0D0D0D" w:themeColor="text1" w:themeTint="F2"/>
                <w:spacing w:val="-2"/>
                <w:lang w:val="en-GB"/>
              </w:rPr>
              <w:t xml:space="preserve"> some administrative measures affecting the attendance of restaurant facilities as well as the arrival tourism were in place also in the last months of year </w:t>
            </w:r>
            <w:r w:rsidR="00144108" w:rsidRPr="004701E1">
              <w:rPr>
                <w:color w:val="0D0D0D" w:themeColor="text1" w:themeTint="F2"/>
                <w:spacing w:val="-2"/>
                <w:lang w:val="en-GB"/>
              </w:rPr>
              <w:t>2021.</w:t>
            </w:r>
          </w:p>
        </w:tc>
      </w:tr>
      <w:tr w:rsidR="00144108" w:rsidRPr="003C07E6" w14:paraId="447615D6" w14:textId="77777777" w:rsidTr="008E039E">
        <w:trPr>
          <w:trHeight w:val="145"/>
        </w:trPr>
        <w:tc>
          <w:tcPr>
            <w:tcW w:w="1732" w:type="dxa"/>
            <w:shd w:val="clear" w:color="auto" w:fill="auto"/>
            <w:tcMar>
              <w:left w:w="0" w:type="dxa"/>
            </w:tcMar>
          </w:tcPr>
          <w:p w14:paraId="051E108E" w14:textId="5E15F6D9" w:rsidR="00144108" w:rsidRPr="002744B9" w:rsidRDefault="00144108" w:rsidP="008E039E">
            <w:pPr>
              <w:pStyle w:val="Marginlie"/>
              <w:rPr>
                <w:lang w:val="en-GB"/>
              </w:rPr>
            </w:pPr>
            <w:proofErr w:type="gramStart"/>
            <w:r w:rsidRPr="002744B9">
              <w:rPr>
                <w:lang w:val="en-GB"/>
              </w:rPr>
              <w:t>S</w:t>
            </w:r>
            <w:r w:rsidR="00AC7578">
              <w:rPr>
                <w:lang w:val="en-GB"/>
              </w:rPr>
              <w:t>wift growth of the collection of corporate tax was significantly affected by the transfer of part of payments from year 2020 to year 2021</w:t>
            </w:r>
            <w:proofErr w:type="gramEnd"/>
            <w:r w:rsidR="00AC7578">
              <w:rPr>
                <w:lang w:val="en-GB"/>
              </w:rPr>
              <w:t xml:space="preserve">. </w:t>
            </w:r>
          </w:p>
        </w:tc>
        <w:tc>
          <w:tcPr>
            <w:tcW w:w="217" w:type="dxa"/>
            <w:shd w:val="clear" w:color="auto" w:fill="auto"/>
            <w:tcMar>
              <w:left w:w="0" w:type="dxa"/>
            </w:tcMar>
          </w:tcPr>
          <w:p w14:paraId="6D6DC60A" w14:textId="77777777" w:rsidR="00144108" w:rsidRPr="002744B9" w:rsidRDefault="00144108" w:rsidP="008E039E">
            <w:pPr>
              <w:pStyle w:val="Textpoznpodarou"/>
              <w:jc w:val="both"/>
              <w:rPr>
                <w:spacing w:val="-4"/>
                <w:lang w:val="en-GB"/>
              </w:rPr>
            </w:pPr>
          </w:p>
        </w:tc>
        <w:tc>
          <w:tcPr>
            <w:tcW w:w="7720" w:type="dxa"/>
            <w:shd w:val="clear" w:color="auto" w:fill="auto"/>
            <w:tcMar>
              <w:left w:w="0" w:type="dxa"/>
            </w:tcMar>
          </w:tcPr>
          <w:p w14:paraId="27535F27" w14:textId="51EA2435" w:rsidR="00144108" w:rsidRPr="002744B9" w:rsidRDefault="00906E5F" w:rsidP="00C23909">
            <w:pPr>
              <w:spacing w:after="220"/>
              <w:rPr>
                <w:spacing w:val="-4"/>
                <w:lang w:val="en-GB"/>
              </w:rPr>
            </w:pPr>
            <w:r>
              <w:rPr>
                <w:color w:val="0D0D0D" w:themeColor="text1" w:themeTint="F2"/>
                <w:spacing w:val="-5"/>
                <w:lang w:val="en-GB"/>
              </w:rPr>
              <w:t xml:space="preserve">SB acquired by </w:t>
            </w:r>
            <w:r w:rsidR="00144108" w:rsidRPr="002744B9">
              <w:rPr>
                <w:spacing w:val="-5"/>
                <w:lang w:val="en-GB"/>
              </w:rPr>
              <w:t>19% (20</w:t>
            </w:r>
            <w:r>
              <w:rPr>
                <w:spacing w:val="-5"/>
                <w:lang w:val="en-GB"/>
              </w:rPr>
              <w:t>.</w:t>
            </w:r>
            <w:r w:rsidR="00144108" w:rsidRPr="002744B9">
              <w:rPr>
                <w:spacing w:val="-5"/>
                <w:lang w:val="en-GB"/>
              </w:rPr>
              <w:t>8</w:t>
            </w:r>
            <w:r>
              <w:rPr>
                <w:spacing w:val="-5"/>
                <w:lang w:val="en-GB"/>
              </w:rPr>
              <w:t xml:space="preserve"> CZK bn</w:t>
            </w:r>
            <w:r w:rsidR="00144108" w:rsidRPr="002744B9">
              <w:rPr>
                <w:spacing w:val="-5"/>
                <w:lang w:val="en-GB"/>
              </w:rPr>
              <w:t>)</w:t>
            </w:r>
            <w:r>
              <w:rPr>
                <w:spacing w:val="-5"/>
                <w:lang w:val="en-GB"/>
              </w:rPr>
              <w:t xml:space="preserve"> more on the corporate tax</w:t>
            </w:r>
            <w:r w:rsidR="00144108" w:rsidRPr="002744B9">
              <w:rPr>
                <w:spacing w:val="-5"/>
                <w:lang w:val="en-GB"/>
              </w:rPr>
              <w:t xml:space="preserve">. </w:t>
            </w:r>
            <w:r>
              <w:rPr>
                <w:spacing w:val="-5"/>
                <w:lang w:val="en-GB"/>
              </w:rPr>
              <w:t xml:space="preserve">Together with higher collection of insurance on SS </w:t>
            </w:r>
            <w:r w:rsidR="00144108" w:rsidRPr="002744B9">
              <w:rPr>
                <w:spacing w:val="-5"/>
                <w:lang w:val="en-GB"/>
              </w:rPr>
              <w:t>(</w:t>
            </w:r>
            <w:proofErr w:type="gramStart"/>
            <w:r w:rsidR="00144108" w:rsidRPr="002744B9">
              <w:rPr>
                <w:spacing w:val="-5"/>
                <w:lang w:val="en-GB"/>
              </w:rPr>
              <w:t>+55 </w:t>
            </w:r>
            <w:r>
              <w:rPr>
                <w:spacing w:val="-5"/>
                <w:lang w:val="en-GB"/>
              </w:rPr>
              <w:t>bn</w:t>
            </w:r>
            <w:r w:rsidR="00144108" w:rsidRPr="002744B9">
              <w:rPr>
                <w:spacing w:val="-5"/>
                <w:lang w:val="en-GB"/>
              </w:rPr>
              <w:t>)</w:t>
            </w:r>
            <w:proofErr w:type="gramEnd"/>
            <w:r w:rsidR="00144108" w:rsidRPr="002744B9">
              <w:rPr>
                <w:spacing w:val="-5"/>
                <w:lang w:val="en-GB"/>
              </w:rPr>
              <w:t xml:space="preserve"> </w:t>
            </w:r>
            <w:r>
              <w:rPr>
                <w:spacing w:val="-5"/>
                <w:lang w:val="en-GB"/>
              </w:rPr>
              <w:t xml:space="preserve">it concerned the items, which contributed to the growth of the total SB revenue the most. </w:t>
            </w:r>
            <w:proofErr w:type="gramStart"/>
            <w:r>
              <w:rPr>
                <w:spacing w:val="-5"/>
                <w:lang w:val="en-GB"/>
              </w:rPr>
              <w:t xml:space="preserve">Swift growth of the corporate tax collection </w:t>
            </w:r>
            <w:r w:rsidR="00095B8B">
              <w:rPr>
                <w:spacing w:val="-5"/>
                <w:lang w:val="en-GB"/>
              </w:rPr>
              <w:t xml:space="preserve">was significantly affected by the transfer of part of payments from year </w:t>
            </w:r>
            <w:r w:rsidR="00144108" w:rsidRPr="002744B9">
              <w:rPr>
                <w:spacing w:val="-5"/>
                <w:lang w:val="en-GB"/>
              </w:rPr>
              <w:t>2020</w:t>
            </w:r>
            <w:r w:rsidR="00095B8B">
              <w:rPr>
                <w:spacing w:val="-5"/>
                <w:lang w:val="en-GB"/>
              </w:rPr>
              <w:t xml:space="preserve"> into the subsequent year</w:t>
            </w:r>
            <w:proofErr w:type="gramEnd"/>
            <w:r w:rsidR="00144108" w:rsidRPr="002744B9">
              <w:rPr>
                <w:rStyle w:val="Znakapoznpodarou"/>
                <w:spacing w:val="-5"/>
                <w:lang w:val="en-GB"/>
              </w:rPr>
              <w:footnoteReference w:id="85"/>
            </w:r>
            <w:r w:rsidR="00144108" w:rsidRPr="002744B9">
              <w:rPr>
                <w:spacing w:val="-5"/>
                <w:lang w:val="en-GB"/>
              </w:rPr>
              <w:t xml:space="preserve">. </w:t>
            </w:r>
            <w:r w:rsidR="00095B8B">
              <w:rPr>
                <w:spacing w:val="-5"/>
                <w:lang w:val="en-GB"/>
              </w:rPr>
              <w:t>Collection of this tax adversely affected the individual requests of firms for adjustment of the advance payments</w:t>
            </w:r>
            <w:r w:rsidR="00144108" w:rsidRPr="002744B9">
              <w:rPr>
                <w:rStyle w:val="Znakapoznpodarou"/>
                <w:spacing w:val="-5"/>
                <w:lang w:val="en-GB"/>
              </w:rPr>
              <w:footnoteReference w:id="86"/>
            </w:r>
            <w:r w:rsidR="00095B8B">
              <w:rPr>
                <w:spacing w:val="-5"/>
                <w:lang w:val="en-GB"/>
              </w:rPr>
              <w:t xml:space="preserve"> in both pandemic years</w:t>
            </w:r>
            <w:r w:rsidR="00144108" w:rsidRPr="002744B9">
              <w:rPr>
                <w:spacing w:val="-5"/>
                <w:lang w:val="en-GB"/>
              </w:rPr>
              <w:t xml:space="preserve">. </w:t>
            </w:r>
            <w:r w:rsidR="00A934FB">
              <w:rPr>
                <w:spacing w:val="-5"/>
                <w:lang w:val="en-GB"/>
              </w:rPr>
              <w:t xml:space="preserve">The comparison of state wide collection of the corporate tax (at the level of all public budgets) presents a relatively non-distorted picture for H2 2021 with the same period of year </w:t>
            </w:r>
            <w:r w:rsidR="00144108" w:rsidRPr="002744B9">
              <w:rPr>
                <w:spacing w:val="-5"/>
                <w:lang w:val="en-GB"/>
              </w:rPr>
              <w:t>2019 (+6</w:t>
            </w:r>
            <w:r w:rsidR="00A934FB">
              <w:rPr>
                <w:spacing w:val="-5"/>
                <w:lang w:val="en-GB"/>
              </w:rPr>
              <w:t>.</w:t>
            </w:r>
            <w:r w:rsidR="00144108" w:rsidRPr="002744B9">
              <w:rPr>
                <w:spacing w:val="-5"/>
                <w:lang w:val="en-GB"/>
              </w:rPr>
              <w:t>2%).</w:t>
            </w:r>
          </w:p>
        </w:tc>
      </w:tr>
      <w:tr w:rsidR="00144108" w:rsidRPr="00F704D2" w14:paraId="43FED60F" w14:textId="77777777" w:rsidTr="008E039E">
        <w:trPr>
          <w:trHeight w:val="170"/>
        </w:trPr>
        <w:tc>
          <w:tcPr>
            <w:tcW w:w="1732" w:type="dxa"/>
            <w:vMerge w:val="restart"/>
            <w:shd w:val="clear" w:color="auto" w:fill="auto"/>
            <w:tcMar>
              <w:left w:w="0" w:type="dxa"/>
            </w:tcMar>
          </w:tcPr>
          <w:p w14:paraId="729F92FD" w14:textId="77777777" w:rsidR="00144108" w:rsidRDefault="00144108" w:rsidP="008E039E">
            <w:pPr>
              <w:pStyle w:val="Marginlie"/>
            </w:pPr>
          </w:p>
        </w:tc>
        <w:tc>
          <w:tcPr>
            <w:tcW w:w="217" w:type="dxa"/>
            <w:vMerge w:val="restart"/>
            <w:shd w:val="clear" w:color="auto" w:fill="auto"/>
            <w:tcMar>
              <w:left w:w="0" w:type="dxa"/>
            </w:tcMar>
          </w:tcPr>
          <w:p w14:paraId="6ED6DE75" w14:textId="77777777" w:rsidR="00144108" w:rsidRDefault="00144108" w:rsidP="008E039E">
            <w:pPr>
              <w:pStyle w:val="Textpoznpodarou"/>
              <w:jc w:val="both"/>
              <w:rPr>
                <w:spacing w:val="-4"/>
              </w:rPr>
            </w:pPr>
          </w:p>
        </w:tc>
        <w:tc>
          <w:tcPr>
            <w:tcW w:w="7720" w:type="dxa"/>
            <w:shd w:val="clear" w:color="auto" w:fill="auto"/>
            <w:tcMar>
              <w:left w:w="0" w:type="dxa"/>
            </w:tcMar>
          </w:tcPr>
          <w:p w14:paraId="442113BB" w14:textId="62112C5D" w:rsidR="00144108" w:rsidRPr="001C3794" w:rsidRDefault="00AC7578" w:rsidP="00A02E8B">
            <w:pPr>
              <w:spacing w:after="0" w:line="240" w:lineRule="auto"/>
              <w:rPr>
                <w:rFonts w:cs="Arial"/>
                <w:bCs/>
              </w:rPr>
            </w:pPr>
            <w:r>
              <w:rPr>
                <w:rFonts w:cs="Arial"/>
                <w:b/>
                <w:bCs/>
                <w:color w:val="000000"/>
                <w:szCs w:val="20"/>
              </w:rPr>
              <w:t xml:space="preserve">Chart </w:t>
            </w:r>
            <w:r w:rsidR="001C3794" w:rsidRPr="001C3794">
              <w:rPr>
                <w:rFonts w:cs="Arial"/>
                <w:b/>
                <w:bCs/>
                <w:color w:val="000000"/>
                <w:szCs w:val="20"/>
              </w:rPr>
              <w:t>1</w:t>
            </w:r>
            <w:r w:rsidR="00A02E8B">
              <w:rPr>
                <w:rFonts w:cs="Arial"/>
                <w:b/>
                <w:bCs/>
                <w:color w:val="000000"/>
                <w:szCs w:val="20"/>
              </w:rPr>
              <w:t>8</w:t>
            </w:r>
            <w:r w:rsidR="00144108" w:rsidRPr="001C3794">
              <w:rPr>
                <w:rFonts w:cs="Arial"/>
                <w:b/>
                <w:bCs/>
                <w:color w:val="000000"/>
                <w:szCs w:val="20"/>
              </w:rPr>
              <w:t xml:space="preserve">  </w:t>
            </w:r>
            <w:r w:rsidR="00AA7FEB" w:rsidRPr="00D970F7">
              <w:rPr>
                <w:rFonts w:cs="Arial"/>
                <w:b/>
                <w:bCs/>
                <w:spacing w:val="-2"/>
                <w:lang w:val="en-GB"/>
              </w:rPr>
              <w:t>State wide collection of selected tax incomes</w:t>
            </w:r>
            <w:r w:rsidR="00AA7FEB" w:rsidRPr="00D970F7">
              <w:rPr>
                <w:rFonts w:cs="Arial"/>
                <w:b/>
                <w:bCs/>
                <w:color w:val="000000"/>
                <w:spacing w:val="-2"/>
                <w:sz w:val="18"/>
                <w:lang w:val="en-GB"/>
              </w:rPr>
              <w:t xml:space="preserve"> </w:t>
            </w:r>
            <w:r w:rsidR="00AA7FEB" w:rsidRPr="00D970F7">
              <w:rPr>
                <w:rFonts w:cs="Arial"/>
                <w:bCs/>
                <w:spacing w:val="-2"/>
                <w:lang w:val="en-GB"/>
              </w:rPr>
              <w:t xml:space="preserve">(year-on-year in </w:t>
            </w:r>
            <w:r w:rsidR="00AA7FEB" w:rsidRPr="00D970F7">
              <w:rPr>
                <w:bCs/>
                <w:spacing w:val="-2"/>
                <w:lang w:val="en-GB"/>
              </w:rPr>
              <w:t>%)</w:t>
            </w:r>
            <w:r w:rsidR="00AA7FEB" w:rsidRPr="00D970F7">
              <w:rPr>
                <w:bCs/>
                <w:spacing w:val="-2"/>
                <w:lang w:val="en-GB"/>
              </w:rPr>
              <w:br/>
            </w:r>
            <w:r w:rsidR="00AA7FEB" w:rsidRPr="00D970F7">
              <w:rPr>
                <w:rFonts w:cs="Arial"/>
                <w:b/>
                <w:bCs/>
                <w:spacing w:val="-2"/>
                <w:lang w:val="en-GB"/>
              </w:rPr>
              <w:t xml:space="preserve">and state budget balance </w:t>
            </w:r>
            <w:r w:rsidR="00AA7FEB" w:rsidRPr="00D970F7">
              <w:rPr>
                <w:rFonts w:cs="Arial"/>
                <w:bCs/>
                <w:spacing w:val="-6"/>
                <w:lang w:val="en-GB"/>
              </w:rPr>
              <w:t>(in CZK bn</w:t>
            </w:r>
            <w:r w:rsidR="007910A8">
              <w:rPr>
                <w:rFonts w:cs="Arial"/>
                <w:bCs/>
                <w:spacing w:val="-6"/>
                <w:lang w:val="en-GB"/>
              </w:rPr>
              <w:t xml:space="preserve">) </w:t>
            </w:r>
          </w:p>
        </w:tc>
      </w:tr>
      <w:tr w:rsidR="00144108" w14:paraId="3939DF9F" w14:textId="77777777" w:rsidTr="00C23909">
        <w:tblPrEx>
          <w:tblCellMar>
            <w:left w:w="70" w:type="dxa"/>
            <w:right w:w="70" w:type="dxa"/>
          </w:tblCellMar>
        </w:tblPrEx>
        <w:trPr>
          <w:trHeight w:val="170"/>
        </w:trPr>
        <w:tc>
          <w:tcPr>
            <w:tcW w:w="1732" w:type="dxa"/>
            <w:vMerge/>
            <w:shd w:val="clear" w:color="auto" w:fill="auto"/>
          </w:tcPr>
          <w:p w14:paraId="2266D139" w14:textId="77777777" w:rsidR="00144108" w:rsidRDefault="00144108" w:rsidP="008E039E">
            <w:pPr>
              <w:pStyle w:val="Marginlie"/>
            </w:pPr>
          </w:p>
        </w:tc>
        <w:tc>
          <w:tcPr>
            <w:tcW w:w="217" w:type="dxa"/>
            <w:vMerge/>
            <w:shd w:val="clear" w:color="auto" w:fill="auto"/>
          </w:tcPr>
          <w:p w14:paraId="5D752E07" w14:textId="77777777" w:rsidR="00144108" w:rsidRDefault="00144108" w:rsidP="008E039E">
            <w:pPr>
              <w:pStyle w:val="Textpoznpodarou"/>
              <w:jc w:val="both"/>
              <w:rPr>
                <w:spacing w:val="-4"/>
              </w:rPr>
            </w:pPr>
          </w:p>
        </w:tc>
        <w:tc>
          <w:tcPr>
            <w:tcW w:w="7720" w:type="dxa"/>
            <w:shd w:val="clear" w:color="auto" w:fill="auto"/>
          </w:tcPr>
          <w:p w14:paraId="7373B6D4" w14:textId="3BAA9D3D" w:rsidR="00144108" w:rsidRPr="0067514E" w:rsidRDefault="00C23909" w:rsidP="008E039E">
            <w:pPr>
              <w:spacing w:after="0"/>
              <w:rPr>
                <w:spacing w:val="-6"/>
              </w:rPr>
            </w:pPr>
            <w:r>
              <w:rPr>
                <w:noProof/>
              </w:rPr>
              <w:drawing>
                <wp:inline distT="0" distB="0" distL="0" distR="0" wp14:anchorId="1B5EEEA6" wp14:editId="43A7D7ED">
                  <wp:extent cx="4733925" cy="36004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44108" w:rsidRPr="007B3A78" w14:paraId="2B2C05BA" w14:textId="77777777" w:rsidTr="008E039E">
        <w:trPr>
          <w:trHeight w:val="170"/>
        </w:trPr>
        <w:tc>
          <w:tcPr>
            <w:tcW w:w="1732" w:type="dxa"/>
            <w:vMerge/>
            <w:shd w:val="clear" w:color="auto" w:fill="auto"/>
            <w:tcMar>
              <w:left w:w="0" w:type="dxa"/>
            </w:tcMar>
          </w:tcPr>
          <w:p w14:paraId="7C44B34B" w14:textId="77777777" w:rsidR="00144108" w:rsidRDefault="00144108" w:rsidP="008E039E">
            <w:pPr>
              <w:pStyle w:val="Marginlie"/>
            </w:pPr>
          </w:p>
        </w:tc>
        <w:tc>
          <w:tcPr>
            <w:tcW w:w="217" w:type="dxa"/>
            <w:vMerge/>
            <w:shd w:val="clear" w:color="auto" w:fill="auto"/>
            <w:tcMar>
              <w:left w:w="0" w:type="dxa"/>
            </w:tcMar>
          </w:tcPr>
          <w:p w14:paraId="729F50F5" w14:textId="77777777" w:rsidR="00144108" w:rsidRDefault="00144108" w:rsidP="008E039E">
            <w:pPr>
              <w:pStyle w:val="Textpoznpodarou"/>
              <w:jc w:val="both"/>
              <w:rPr>
                <w:spacing w:val="-4"/>
              </w:rPr>
            </w:pPr>
          </w:p>
        </w:tc>
        <w:tc>
          <w:tcPr>
            <w:tcW w:w="7720" w:type="dxa"/>
            <w:shd w:val="clear" w:color="auto" w:fill="auto"/>
            <w:tcMar>
              <w:left w:w="0" w:type="dxa"/>
            </w:tcMar>
          </w:tcPr>
          <w:p w14:paraId="64F1CC00" w14:textId="522EB495" w:rsidR="00725647" w:rsidRPr="00C23909" w:rsidRDefault="00AC0580" w:rsidP="00C23909">
            <w:pPr>
              <w:tabs>
                <w:tab w:val="right" w:pos="7683"/>
              </w:tabs>
              <w:spacing w:after="220" w:line="240" w:lineRule="auto"/>
              <w:jc w:val="left"/>
              <w:rPr>
                <w:spacing w:val="-2"/>
                <w:sz w:val="14"/>
                <w:szCs w:val="14"/>
              </w:rPr>
            </w:pPr>
            <w:r>
              <w:rPr>
                <w:spacing w:val="-2"/>
                <w:sz w:val="14"/>
                <w:szCs w:val="14"/>
              </w:rPr>
              <w:t>Source</w:t>
            </w:r>
            <w:r w:rsidR="00144108" w:rsidRPr="00A66749">
              <w:rPr>
                <w:spacing w:val="-2"/>
                <w:sz w:val="14"/>
                <w:szCs w:val="14"/>
              </w:rPr>
              <w:t>: MF </w:t>
            </w:r>
            <w:r>
              <w:rPr>
                <w:spacing w:val="-2"/>
                <w:sz w:val="14"/>
                <w:szCs w:val="14"/>
              </w:rPr>
              <w:t>C</w:t>
            </w:r>
            <w:r w:rsidR="00C23909">
              <w:rPr>
                <w:spacing w:val="-2"/>
                <w:sz w:val="14"/>
                <w:szCs w:val="14"/>
              </w:rPr>
              <w:t>R</w:t>
            </w:r>
          </w:p>
        </w:tc>
      </w:tr>
      <w:tr w:rsidR="00C23909" w:rsidRPr="008266F0" w14:paraId="3ACB6E1C" w14:textId="77777777" w:rsidTr="008E039E">
        <w:trPr>
          <w:trHeight w:val="145"/>
        </w:trPr>
        <w:tc>
          <w:tcPr>
            <w:tcW w:w="1732" w:type="dxa"/>
            <w:shd w:val="clear" w:color="auto" w:fill="auto"/>
            <w:tcMar>
              <w:left w:w="0" w:type="dxa"/>
            </w:tcMar>
          </w:tcPr>
          <w:p w14:paraId="66A2019C" w14:textId="059967C7" w:rsidR="00C23909" w:rsidRDefault="00C23909" w:rsidP="00C23909">
            <w:pPr>
              <w:pStyle w:val="Marginlie"/>
              <w:rPr>
                <w:lang w:val="en-GB"/>
              </w:rPr>
            </w:pPr>
            <w:r>
              <w:rPr>
                <w:lang w:val="en-GB"/>
              </w:rPr>
              <w:t xml:space="preserve">Extraordinary budget slump for income tax of </w:t>
            </w:r>
            <w:r>
              <w:rPr>
                <w:lang w:val="en-GB"/>
              </w:rPr>
              <w:lastRenderedPageBreak/>
              <w:t xml:space="preserve">natural persons </w:t>
            </w:r>
            <w:proofErr w:type="gramStart"/>
            <w:r>
              <w:rPr>
                <w:lang w:val="en-GB"/>
              </w:rPr>
              <w:t>was completely caused</w:t>
            </w:r>
            <w:proofErr w:type="gramEnd"/>
            <w:r>
              <w:rPr>
                <w:lang w:val="en-GB"/>
              </w:rPr>
              <w:t xml:space="preserve"> by the legislative amendments. </w:t>
            </w:r>
          </w:p>
        </w:tc>
        <w:tc>
          <w:tcPr>
            <w:tcW w:w="217" w:type="dxa"/>
            <w:shd w:val="clear" w:color="auto" w:fill="auto"/>
            <w:tcMar>
              <w:left w:w="0" w:type="dxa"/>
            </w:tcMar>
          </w:tcPr>
          <w:p w14:paraId="7024A91E" w14:textId="77777777" w:rsidR="00C23909" w:rsidRPr="008D77D6" w:rsidRDefault="00C23909" w:rsidP="00C23909">
            <w:pPr>
              <w:pStyle w:val="Textpoznpodarou"/>
              <w:jc w:val="both"/>
              <w:rPr>
                <w:spacing w:val="-4"/>
                <w:lang w:val="en-GB"/>
              </w:rPr>
            </w:pPr>
          </w:p>
        </w:tc>
        <w:tc>
          <w:tcPr>
            <w:tcW w:w="7720" w:type="dxa"/>
            <w:shd w:val="clear" w:color="auto" w:fill="auto"/>
            <w:tcMar>
              <w:left w:w="0" w:type="dxa"/>
            </w:tcMar>
          </w:tcPr>
          <w:p w14:paraId="4978CFDF" w14:textId="692EE9B9" w:rsidR="00C23909" w:rsidRPr="008D77D6" w:rsidRDefault="00C23909" w:rsidP="00C23909">
            <w:pPr>
              <w:spacing w:after="200"/>
              <w:rPr>
                <w:color w:val="0D0D0D" w:themeColor="text1" w:themeTint="F2"/>
                <w:spacing w:val="-5"/>
                <w:lang w:val="en-GB"/>
              </w:rPr>
            </w:pPr>
            <w:r>
              <w:rPr>
                <w:color w:val="0D0D0D" w:themeColor="text1" w:themeTint="F2"/>
                <w:spacing w:val="-5"/>
                <w:lang w:val="en-GB"/>
              </w:rPr>
              <w:t xml:space="preserve">The lowering of the tax burden on labour </w:t>
            </w:r>
            <w:r>
              <w:rPr>
                <w:spacing w:val="-4"/>
                <w:lang w:val="en-GB"/>
              </w:rPr>
              <w:t xml:space="preserve">was next to the change of the budget determination of taxes the most reflected in the extraordinary last </w:t>
            </w:r>
            <w:r w:rsidRPr="000D2312">
              <w:rPr>
                <w:spacing w:val="-4"/>
                <w:lang w:val="en-GB"/>
              </w:rPr>
              <w:t xml:space="preserve">year’s slump of SB revenues (by 29.2%, </w:t>
            </w:r>
            <w:r w:rsidRPr="000D2312">
              <w:rPr>
                <w:spacing w:val="-4"/>
                <w:lang w:val="en-GB"/>
              </w:rPr>
              <w:lastRenderedPageBreak/>
              <w:t>resp. 45 CZK bn)</w:t>
            </w:r>
            <w:r w:rsidRPr="000D2312">
              <w:rPr>
                <w:rStyle w:val="Znakapoznpodarou"/>
                <w:spacing w:val="-5"/>
                <w:lang w:val="en-GB"/>
              </w:rPr>
              <w:footnoteReference w:id="87"/>
            </w:r>
            <w:r w:rsidRPr="000D2312">
              <w:rPr>
                <w:spacing w:val="-4"/>
                <w:lang w:val="en-GB"/>
              </w:rPr>
              <w:t>. The rescue programmes also still affected the size of collection (compensatory bonuses – especially self-employed persons)</w:t>
            </w:r>
            <w:proofErr w:type="gramStart"/>
            <w:r w:rsidRPr="000D2312">
              <w:rPr>
                <w:spacing w:val="-4"/>
                <w:lang w:val="en-GB"/>
              </w:rPr>
              <w:t>,</w:t>
            </w:r>
            <w:proofErr w:type="gramEnd"/>
            <w:r w:rsidRPr="000D2312">
              <w:rPr>
                <w:spacing w:val="-4"/>
                <w:lang w:val="en-GB"/>
              </w:rPr>
              <w:t xml:space="preserve"> their negative budget impact was however</w:t>
            </w:r>
            <w:r>
              <w:rPr>
                <w:spacing w:val="-4"/>
                <w:lang w:val="en-GB"/>
              </w:rPr>
              <w:t xml:space="preserve"> weaker last year compared to year </w:t>
            </w:r>
            <w:r w:rsidRPr="002744B9">
              <w:rPr>
                <w:spacing w:val="-5"/>
                <w:lang w:val="en-GB"/>
              </w:rPr>
              <w:t>2020</w:t>
            </w:r>
            <w:r w:rsidRPr="002744B9">
              <w:rPr>
                <w:rStyle w:val="Znakapoznpodarou"/>
                <w:spacing w:val="-4"/>
                <w:lang w:val="en-GB"/>
              </w:rPr>
              <w:footnoteReference w:id="88"/>
            </w:r>
            <w:r w:rsidRPr="002744B9">
              <w:rPr>
                <w:spacing w:val="-4"/>
                <w:lang w:val="en-GB"/>
              </w:rPr>
              <w:t xml:space="preserve">. </w:t>
            </w:r>
            <w:r>
              <w:rPr>
                <w:spacing w:val="-4"/>
                <w:lang w:val="en-GB"/>
              </w:rPr>
              <w:t xml:space="preserve">The slump of collection </w:t>
            </w:r>
            <w:proofErr w:type="gramStart"/>
            <w:r>
              <w:rPr>
                <w:spacing w:val="-4"/>
                <w:lang w:val="en-GB"/>
              </w:rPr>
              <w:t>was subdued</w:t>
            </w:r>
            <w:proofErr w:type="gramEnd"/>
            <w:r>
              <w:rPr>
                <w:spacing w:val="-4"/>
                <w:lang w:val="en-GB"/>
              </w:rPr>
              <w:t xml:space="preserve"> by the growing employment, further increase of the minimum wage, as well as the Spring payment of extraordinary bonuses to workers of the public sector standing in the front line of fight with the pandemics. </w:t>
            </w:r>
          </w:p>
        </w:tc>
      </w:tr>
      <w:tr w:rsidR="00C23909" w:rsidRPr="008266F0" w14:paraId="5AB3DE73" w14:textId="77777777" w:rsidTr="008E039E">
        <w:trPr>
          <w:trHeight w:val="145"/>
        </w:trPr>
        <w:tc>
          <w:tcPr>
            <w:tcW w:w="1732" w:type="dxa"/>
            <w:shd w:val="clear" w:color="auto" w:fill="auto"/>
            <w:tcMar>
              <w:left w:w="0" w:type="dxa"/>
            </w:tcMar>
          </w:tcPr>
          <w:p w14:paraId="52E46F5C" w14:textId="3BEFA075" w:rsidR="00C23909" w:rsidRPr="008D77D6" w:rsidRDefault="00C23909" w:rsidP="00C23909">
            <w:pPr>
              <w:pStyle w:val="Marginlie"/>
              <w:rPr>
                <w:spacing w:val="-5"/>
                <w:lang w:val="en-GB"/>
              </w:rPr>
            </w:pPr>
            <w:r>
              <w:rPr>
                <w:lang w:val="en-GB"/>
              </w:rPr>
              <w:lastRenderedPageBreak/>
              <w:t xml:space="preserve">Year-on-year growth of revenues from the EU budget halted in year </w:t>
            </w:r>
            <w:r w:rsidRPr="008D77D6">
              <w:rPr>
                <w:lang w:val="en-GB"/>
              </w:rPr>
              <w:t>2021.</w:t>
            </w:r>
          </w:p>
        </w:tc>
        <w:tc>
          <w:tcPr>
            <w:tcW w:w="217" w:type="dxa"/>
            <w:shd w:val="clear" w:color="auto" w:fill="auto"/>
            <w:tcMar>
              <w:left w:w="0" w:type="dxa"/>
            </w:tcMar>
          </w:tcPr>
          <w:p w14:paraId="2090FE81" w14:textId="77777777" w:rsidR="00C23909" w:rsidRPr="008D77D6" w:rsidRDefault="00C23909" w:rsidP="00C23909">
            <w:pPr>
              <w:pStyle w:val="Textpoznpodarou"/>
              <w:jc w:val="both"/>
              <w:rPr>
                <w:spacing w:val="-4"/>
                <w:lang w:val="en-GB"/>
              </w:rPr>
            </w:pPr>
          </w:p>
        </w:tc>
        <w:tc>
          <w:tcPr>
            <w:tcW w:w="7720" w:type="dxa"/>
            <w:shd w:val="clear" w:color="auto" w:fill="auto"/>
            <w:tcMar>
              <w:left w:w="0" w:type="dxa"/>
            </w:tcMar>
          </w:tcPr>
          <w:p w14:paraId="75806BC8" w14:textId="74EA42F9" w:rsidR="00C23909" w:rsidRPr="008D77D6" w:rsidRDefault="00C23909" w:rsidP="00C23909">
            <w:pPr>
              <w:spacing w:after="200"/>
              <w:rPr>
                <w:spacing w:val="-2"/>
                <w:lang w:val="en-GB"/>
              </w:rPr>
            </w:pPr>
            <w:r w:rsidRPr="008D77D6">
              <w:rPr>
                <w:color w:val="0D0D0D" w:themeColor="text1" w:themeTint="F2"/>
                <w:spacing w:val="-5"/>
                <w:lang w:val="en-GB"/>
              </w:rPr>
              <w:t>S</w:t>
            </w:r>
            <w:r>
              <w:rPr>
                <w:color w:val="0D0D0D" w:themeColor="text1" w:themeTint="F2"/>
                <w:spacing w:val="-5"/>
                <w:lang w:val="en-GB"/>
              </w:rPr>
              <w:t xml:space="preserve">wift growth of the non-tax and capital revenues and SB transfer after year 2017 halted last year. </w:t>
            </w:r>
            <w:proofErr w:type="gramStart"/>
            <w:r>
              <w:rPr>
                <w:color w:val="0D0D0D" w:themeColor="text1" w:themeTint="F2"/>
                <w:spacing w:val="-5"/>
                <w:lang w:val="en-GB"/>
              </w:rPr>
              <w:t xml:space="preserve">Their year-on-year decrease </w:t>
            </w:r>
            <w:r w:rsidRPr="008D77D6">
              <w:rPr>
                <w:spacing w:val="-2"/>
                <w:lang w:val="en-GB"/>
              </w:rPr>
              <w:t>(</w:t>
            </w:r>
            <w:r>
              <w:rPr>
                <w:spacing w:val="-2"/>
                <w:lang w:val="en-GB"/>
              </w:rPr>
              <w:t xml:space="preserve">by </w:t>
            </w:r>
            <w:r w:rsidRPr="008D77D6">
              <w:rPr>
                <w:spacing w:val="-2"/>
                <w:lang w:val="en-GB"/>
              </w:rPr>
              <w:t>23</w:t>
            </w:r>
            <w:r>
              <w:rPr>
                <w:spacing w:val="-2"/>
                <w:lang w:val="en-GB"/>
              </w:rPr>
              <w:t>.</w:t>
            </w:r>
            <w:r w:rsidRPr="008D77D6">
              <w:rPr>
                <w:spacing w:val="-2"/>
                <w:lang w:val="en-GB"/>
              </w:rPr>
              <w:t>7</w:t>
            </w:r>
            <w:r>
              <w:rPr>
                <w:spacing w:val="-2"/>
                <w:lang w:val="en-GB"/>
              </w:rPr>
              <w:t xml:space="preserve"> CZK bn</w:t>
            </w:r>
            <w:r w:rsidRPr="008D77D6">
              <w:rPr>
                <w:spacing w:val="-2"/>
                <w:lang w:val="en-GB"/>
              </w:rPr>
              <w:t>)</w:t>
            </w:r>
            <w:r>
              <w:rPr>
                <w:spacing w:val="-2"/>
                <w:lang w:val="en-GB"/>
              </w:rPr>
              <w:t xml:space="preserve"> was from nearly one half affected by lower revenues from the EU budget </w:t>
            </w:r>
            <w:r w:rsidRPr="008D77D6">
              <w:rPr>
                <w:spacing w:val="-2"/>
                <w:lang w:val="en-GB"/>
              </w:rPr>
              <w:t>(</w:t>
            </w:r>
            <w:r>
              <w:rPr>
                <w:spacing w:val="-2"/>
                <w:lang w:val="en-GB"/>
              </w:rPr>
              <w:t>serving to cover the expenditures previously already prefinanced by the state</w:t>
            </w:r>
            <w:proofErr w:type="gramEnd"/>
            <w:r w:rsidRPr="008D77D6">
              <w:rPr>
                <w:spacing w:val="-2"/>
                <w:lang w:val="en-GB"/>
              </w:rPr>
              <w:t>)</w:t>
            </w:r>
            <w:r w:rsidRPr="008D77D6">
              <w:rPr>
                <w:rStyle w:val="Znakapoznpodarou"/>
                <w:spacing w:val="-2"/>
                <w:lang w:val="en-GB"/>
              </w:rPr>
              <w:footnoteReference w:id="89"/>
            </w:r>
            <w:r w:rsidRPr="008D77D6">
              <w:rPr>
                <w:spacing w:val="-2"/>
                <w:lang w:val="en-GB"/>
              </w:rPr>
              <w:t xml:space="preserve">. </w:t>
            </w:r>
            <w:proofErr w:type="gramStart"/>
            <w:r w:rsidRPr="008D77D6">
              <w:rPr>
                <w:spacing w:val="-2"/>
                <w:lang w:val="en-GB"/>
              </w:rPr>
              <w:t>Pl</w:t>
            </w:r>
            <w:r>
              <w:rPr>
                <w:spacing w:val="-2"/>
                <w:lang w:val="en-GB"/>
              </w:rPr>
              <w:t>anned year-on-year decrease of the volume of transfer of funds of the privatisation account into the SB was broadly compensated by extraordinary last year</w:t>
            </w:r>
            <w:r>
              <w:rPr>
                <w:spacing w:val="-2"/>
                <w:lang w:val="en-US"/>
              </w:rPr>
              <w:t xml:space="preserve">’s revenues from the auction of radio frequencies </w:t>
            </w:r>
            <w:r w:rsidRPr="008D77D6">
              <w:rPr>
                <w:spacing w:val="-2"/>
                <w:lang w:val="en-GB"/>
              </w:rPr>
              <w:t>(+5</w:t>
            </w:r>
            <w:r>
              <w:rPr>
                <w:spacing w:val="-2"/>
                <w:lang w:val="en-GB"/>
              </w:rPr>
              <w:t>.</w:t>
            </w:r>
            <w:r w:rsidRPr="008D77D6">
              <w:rPr>
                <w:spacing w:val="-2"/>
                <w:lang w:val="en-GB"/>
              </w:rPr>
              <w:t>6</w:t>
            </w:r>
            <w:r>
              <w:rPr>
                <w:spacing w:val="-2"/>
                <w:lang w:val="en-GB"/>
              </w:rPr>
              <w:t xml:space="preserve"> bn</w:t>
            </w:r>
            <w:r w:rsidRPr="008D77D6">
              <w:rPr>
                <w:spacing w:val="-2"/>
                <w:lang w:val="en-GB"/>
              </w:rPr>
              <w:t>)</w:t>
            </w:r>
            <w:proofErr w:type="gramEnd"/>
            <w:r w:rsidRPr="008D77D6">
              <w:rPr>
                <w:spacing w:val="-2"/>
                <w:lang w:val="en-GB"/>
              </w:rPr>
              <w:t>.</w:t>
            </w:r>
          </w:p>
        </w:tc>
      </w:tr>
      <w:tr w:rsidR="00C23909" w:rsidRPr="008266F0" w14:paraId="5D1765FB" w14:textId="77777777" w:rsidTr="008E039E">
        <w:trPr>
          <w:trHeight w:val="145"/>
        </w:trPr>
        <w:tc>
          <w:tcPr>
            <w:tcW w:w="1732" w:type="dxa"/>
            <w:shd w:val="clear" w:color="auto" w:fill="auto"/>
            <w:tcMar>
              <w:left w:w="0" w:type="dxa"/>
            </w:tcMar>
          </w:tcPr>
          <w:p w14:paraId="4169D94A" w14:textId="0C236249" w:rsidR="00C23909" w:rsidRPr="00557B02" w:rsidRDefault="00C23909" w:rsidP="00C23909">
            <w:pPr>
              <w:pStyle w:val="Marginlie"/>
              <w:rPr>
                <w:spacing w:val="-5"/>
                <w:lang w:val="en-GB"/>
              </w:rPr>
            </w:pPr>
            <w:r>
              <w:rPr>
                <w:spacing w:val="-5"/>
                <w:lang w:val="en-GB"/>
              </w:rPr>
              <w:t xml:space="preserve">Lower need for support programmes and measures thanks to the improved epidemic situation </w:t>
            </w:r>
            <w:proofErr w:type="gramStart"/>
            <w:r>
              <w:rPr>
                <w:spacing w:val="-5"/>
                <w:lang w:val="en-GB"/>
              </w:rPr>
              <w:t>was reflected</w:t>
            </w:r>
            <w:proofErr w:type="gramEnd"/>
            <w:r>
              <w:rPr>
                <w:spacing w:val="-5"/>
                <w:lang w:val="en-GB"/>
              </w:rPr>
              <w:t xml:space="preserve"> in the considerable slowdown of growth of the SB current expenditures in H2. </w:t>
            </w:r>
          </w:p>
        </w:tc>
        <w:tc>
          <w:tcPr>
            <w:tcW w:w="217" w:type="dxa"/>
            <w:shd w:val="clear" w:color="auto" w:fill="auto"/>
            <w:tcMar>
              <w:left w:w="0" w:type="dxa"/>
            </w:tcMar>
          </w:tcPr>
          <w:p w14:paraId="14C1BADC" w14:textId="77777777" w:rsidR="00C23909" w:rsidRPr="00557B02" w:rsidRDefault="00C23909" w:rsidP="00C23909">
            <w:pPr>
              <w:pStyle w:val="Textpoznpodarou"/>
              <w:jc w:val="both"/>
              <w:rPr>
                <w:spacing w:val="-4"/>
                <w:lang w:val="en-GB"/>
              </w:rPr>
            </w:pPr>
          </w:p>
        </w:tc>
        <w:tc>
          <w:tcPr>
            <w:tcW w:w="7720" w:type="dxa"/>
            <w:shd w:val="clear" w:color="auto" w:fill="auto"/>
            <w:tcMar>
              <w:left w:w="0" w:type="dxa"/>
            </w:tcMar>
          </w:tcPr>
          <w:p w14:paraId="672A4EA1" w14:textId="447E3095" w:rsidR="00C23909" w:rsidRPr="00557B02" w:rsidRDefault="00C23909" w:rsidP="00C23909">
            <w:pPr>
              <w:spacing w:after="200"/>
              <w:rPr>
                <w:spacing w:val="-2"/>
                <w:lang w:val="en-GB"/>
              </w:rPr>
            </w:pPr>
            <w:r>
              <w:rPr>
                <w:color w:val="0D0D0D" w:themeColor="text1" w:themeTint="F2"/>
                <w:spacing w:val="-2"/>
                <w:lang w:val="en-GB"/>
              </w:rPr>
              <w:t xml:space="preserve">Total SB expenditures slightly increased by 3.5% </w:t>
            </w:r>
            <w:r w:rsidRPr="00557B02">
              <w:rPr>
                <w:spacing w:val="-2"/>
                <w:lang w:val="en-GB"/>
              </w:rPr>
              <w:t>(+64 </w:t>
            </w:r>
            <w:r>
              <w:rPr>
                <w:spacing w:val="-2"/>
                <w:lang w:val="en-GB"/>
              </w:rPr>
              <w:t>CZK bn</w:t>
            </w:r>
            <w:r w:rsidRPr="00557B02">
              <w:rPr>
                <w:spacing w:val="-2"/>
                <w:lang w:val="en-GB"/>
              </w:rPr>
              <w:t>)</w:t>
            </w:r>
            <w:r>
              <w:rPr>
                <w:spacing w:val="-2"/>
                <w:lang w:val="en-GB"/>
              </w:rPr>
              <w:t xml:space="preserve"> in line with the budget anticipations in year 2021</w:t>
            </w:r>
            <w:r w:rsidRPr="00557B02">
              <w:rPr>
                <w:spacing w:val="-2"/>
                <w:lang w:val="en-GB"/>
              </w:rPr>
              <w:t xml:space="preserve">. </w:t>
            </w:r>
            <w:r>
              <w:rPr>
                <w:spacing w:val="-2"/>
                <w:lang w:val="en-GB"/>
              </w:rPr>
              <w:t xml:space="preserve">Compared to the sharp increase in the first pandemic year </w:t>
            </w:r>
            <w:r w:rsidRPr="00557B02">
              <w:rPr>
                <w:spacing w:val="-2"/>
                <w:lang w:val="en-GB"/>
              </w:rPr>
              <w:t>(+291</w:t>
            </w:r>
            <w:r>
              <w:rPr>
                <w:spacing w:val="-2"/>
                <w:lang w:val="en-GB"/>
              </w:rPr>
              <w:t>.</w:t>
            </w:r>
            <w:r w:rsidRPr="00557B02">
              <w:rPr>
                <w:spacing w:val="-2"/>
                <w:lang w:val="en-GB"/>
              </w:rPr>
              <w:t>2</w:t>
            </w:r>
            <w:r>
              <w:rPr>
                <w:spacing w:val="-2"/>
                <w:lang w:val="en-GB"/>
              </w:rPr>
              <w:t xml:space="preserve"> bn</w:t>
            </w:r>
            <w:r w:rsidRPr="00557B02">
              <w:rPr>
                <w:spacing w:val="-2"/>
                <w:lang w:val="en-GB"/>
              </w:rPr>
              <w:t>)</w:t>
            </w:r>
            <w:r>
              <w:rPr>
                <w:spacing w:val="-2"/>
                <w:lang w:val="en-GB"/>
              </w:rPr>
              <w:t xml:space="preserve"> it represented a significant moderation of the fiscal expansion. The pace of expenditures also slowed down during the last year – while it was compared to the same period of the </w:t>
            </w:r>
            <w:r w:rsidRPr="00557B02">
              <w:rPr>
                <w:spacing w:val="-2"/>
                <w:lang w:val="en-GB"/>
              </w:rPr>
              <w:t>„</w:t>
            </w:r>
            <w:r>
              <w:rPr>
                <w:spacing w:val="-2"/>
                <w:lang w:val="en-GB"/>
              </w:rPr>
              <w:t>common</w:t>
            </w:r>
            <w:proofErr w:type="gramStart"/>
            <w:r w:rsidRPr="00557B02">
              <w:rPr>
                <w:spacing w:val="-2"/>
                <w:lang w:val="en-GB"/>
              </w:rPr>
              <w:t xml:space="preserve">“ </w:t>
            </w:r>
            <w:r>
              <w:rPr>
                <w:spacing w:val="-2"/>
                <w:lang w:val="en-GB"/>
              </w:rPr>
              <w:t>year</w:t>
            </w:r>
            <w:proofErr w:type="gramEnd"/>
            <w:r>
              <w:rPr>
                <w:spacing w:val="-2"/>
                <w:lang w:val="en-GB"/>
              </w:rPr>
              <w:t xml:space="preserve"> </w:t>
            </w:r>
            <w:r w:rsidRPr="00557B02">
              <w:rPr>
                <w:spacing w:val="-2"/>
                <w:lang w:val="en-GB"/>
              </w:rPr>
              <w:t xml:space="preserve">2019 </w:t>
            </w:r>
            <w:r>
              <w:rPr>
                <w:spacing w:val="-2"/>
                <w:lang w:val="en-GB"/>
              </w:rPr>
              <w:t xml:space="preserve">higher by </w:t>
            </w:r>
            <w:r w:rsidRPr="00557B02">
              <w:rPr>
                <w:spacing w:val="-2"/>
                <w:lang w:val="en-GB"/>
              </w:rPr>
              <w:t>31%</w:t>
            </w:r>
            <w:r>
              <w:rPr>
                <w:spacing w:val="-2"/>
                <w:lang w:val="en-GB"/>
              </w:rPr>
              <w:t xml:space="preserve"> in Q2 2021</w:t>
            </w:r>
            <w:r w:rsidRPr="00557B02">
              <w:rPr>
                <w:spacing w:val="-2"/>
                <w:lang w:val="en-GB"/>
              </w:rPr>
              <w:t xml:space="preserve">, </w:t>
            </w:r>
            <w:r>
              <w:rPr>
                <w:spacing w:val="-2"/>
                <w:lang w:val="en-GB"/>
              </w:rPr>
              <w:t xml:space="preserve">it was already </w:t>
            </w:r>
            <w:r w:rsidRPr="00557B02">
              <w:rPr>
                <w:spacing w:val="-2"/>
                <w:lang w:val="en-GB"/>
              </w:rPr>
              <w:t>„</w:t>
            </w:r>
            <w:r>
              <w:rPr>
                <w:spacing w:val="-2"/>
                <w:lang w:val="en-GB"/>
              </w:rPr>
              <w:t>only</w:t>
            </w:r>
            <w:r w:rsidRPr="00557B02">
              <w:rPr>
                <w:spacing w:val="-2"/>
                <w:lang w:val="en-GB"/>
              </w:rPr>
              <w:t xml:space="preserve">“ </w:t>
            </w:r>
            <w:r>
              <w:rPr>
                <w:spacing w:val="-2"/>
                <w:lang w:val="en-GB"/>
              </w:rPr>
              <w:t xml:space="preserve">by </w:t>
            </w:r>
            <w:r w:rsidRPr="00557B02">
              <w:rPr>
                <w:spacing w:val="-2"/>
                <w:lang w:val="en-GB"/>
              </w:rPr>
              <w:t>17%</w:t>
            </w:r>
            <w:r>
              <w:rPr>
                <w:spacing w:val="-2"/>
                <w:lang w:val="en-GB"/>
              </w:rPr>
              <w:t xml:space="preserve"> in Q4</w:t>
            </w:r>
            <w:r w:rsidRPr="00557B02">
              <w:rPr>
                <w:spacing w:val="-2"/>
                <w:lang w:val="en-GB"/>
              </w:rPr>
              <w:t xml:space="preserve">. </w:t>
            </w:r>
            <w:r>
              <w:rPr>
                <w:spacing w:val="-2"/>
                <w:lang w:val="en-GB"/>
              </w:rPr>
              <w:t>It was associated with the loosening of the counter pandemic measures. Out of the wide spectrum of the support programmes and measures</w:t>
            </w:r>
            <w:r w:rsidRPr="00557B02">
              <w:rPr>
                <w:rStyle w:val="Znakapoznpodarou"/>
                <w:color w:val="0D0D0D" w:themeColor="text1" w:themeTint="F2"/>
                <w:spacing w:val="-5"/>
                <w:lang w:val="en-GB"/>
              </w:rPr>
              <w:footnoteReference w:id="90"/>
            </w:r>
            <w:r w:rsidRPr="00557B02">
              <w:rPr>
                <w:color w:val="0D0D0D" w:themeColor="text1" w:themeTint="F2"/>
                <w:spacing w:val="-2"/>
                <w:lang w:val="en-GB"/>
              </w:rPr>
              <w:t xml:space="preserve"> </w:t>
            </w:r>
            <w:r>
              <w:rPr>
                <w:color w:val="0D0D0D" w:themeColor="text1" w:themeTint="F2"/>
                <w:spacing w:val="-2"/>
                <w:lang w:val="en-GB"/>
              </w:rPr>
              <w:t xml:space="preserve">thus some of them </w:t>
            </w:r>
            <w:proofErr w:type="gramStart"/>
            <w:r>
              <w:rPr>
                <w:color w:val="0D0D0D" w:themeColor="text1" w:themeTint="F2"/>
                <w:spacing w:val="-2"/>
                <w:lang w:val="en-GB"/>
              </w:rPr>
              <w:t>were in effect suspended</w:t>
            </w:r>
            <w:proofErr w:type="gramEnd"/>
            <w:r>
              <w:rPr>
                <w:color w:val="0D0D0D" w:themeColor="text1" w:themeTint="F2"/>
                <w:spacing w:val="-2"/>
                <w:lang w:val="en-GB"/>
              </w:rPr>
              <w:t xml:space="preserve"> at the beginning of Summer, alternatively significantly reduced </w:t>
            </w:r>
            <w:r w:rsidRPr="00557B02">
              <w:rPr>
                <w:spacing w:val="-2"/>
                <w:lang w:val="en-GB"/>
              </w:rPr>
              <w:t>(</w:t>
            </w:r>
            <w:r>
              <w:rPr>
                <w:spacing w:val="-2"/>
                <w:lang w:val="en-GB"/>
              </w:rPr>
              <w:t>e.g. care benefits or the Antivirus programme</w:t>
            </w:r>
            <w:r w:rsidRPr="00557B02">
              <w:rPr>
                <w:spacing w:val="-2"/>
                <w:lang w:val="en-GB"/>
              </w:rPr>
              <w:t>).</w:t>
            </w:r>
            <w:r>
              <w:rPr>
                <w:spacing w:val="-2"/>
                <w:lang w:val="en-GB"/>
              </w:rPr>
              <w:t xml:space="preserve"> In H</w:t>
            </w:r>
            <w:r w:rsidRPr="00557B02">
              <w:rPr>
                <w:spacing w:val="-2"/>
                <w:lang w:val="en-GB"/>
              </w:rPr>
              <w:t>2</w:t>
            </w:r>
            <w:r>
              <w:rPr>
                <w:spacing w:val="-2"/>
                <w:lang w:val="en-GB"/>
              </w:rPr>
              <w:t xml:space="preserve">, the drawing of special programmes on the direct support of the afflicted branches of the economy also fell. Only increased payments per state insured persons </w:t>
            </w:r>
            <w:proofErr w:type="gramStart"/>
            <w:r>
              <w:rPr>
                <w:spacing w:val="-2"/>
                <w:lang w:val="en-GB"/>
              </w:rPr>
              <w:t>and also</w:t>
            </w:r>
            <w:proofErr w:type="gramEnd"/>
            <w:r>
              <w:rPr>
                <w:spacing w:val="-2"/>
                <w:lang w:val="en-GB"/>
              </w:rPr>
              <w:t xml:space="preserve"> the purchases of protective equipment </w:t>
            </w:r>
            <w:r w:rsidRPr="00557B02">
              <w:rPr>
                <w:spacing w:val="-2"/>
                <w:lang w:val="en-GB"/>
              </w:rPr>
              <w:t>(</w:t>
            </w:r>
            <w:r>
              <w:rPr>
                <w:spacing w:val="-2"/>
                <w:lang w:val="en-GB"/>
              </w:rPr>
              <w:t>e.g. vaccines</w:t>
            </w:r>
            <w:r w:rsidRPr="00557B02">
              <w:rPr>
                <w:spacing w:val="-2"/>
                <w:lang w:val="en-GB"/>
              </w:rPr>
              <w:t>)</w:t>
            </w:r>
            <w:r>
              <w:rPr>
                <w:spacing w:val="-2"/>
                <w:lang w:val="en-GB"/>
              </w:rPr>
              <w:t xml:space="preserve"> burdened the SB evenly throughout the whole last year</w:t>
            </w:r>
            <w:r w:rsidRPr="00557B02">
              <w:rPr>
                <w:spacing w:val="-2"/>
                <w:lang w:val="en-GB"/>
              </w:rPr>
              <w:t>.</w:t>
            </w:r>
          </w:p>
        </w:tc>
      </w:tr>
      <w:tr w:rsidR="00C23909" w:rsidRPr="008266F0" w14:paraId="37366BE8" w14:textId="77777777" w:rsidTr="008E039E">
        <w:trPr>
          <w:trHeight w:val="145"/>
        </w:trPr>
        <w:tc>
          <w:tcPr>
            <w:tcW w:w="1732" w:type="dxa"/>
            <w:shd w:val="clear" w:color="auto" w:fill="auto"/>
            <w:tcMar>
              <w:left w:w="0" w:type="dxa"/>
            </w:tcMar>
          </w:tcPr>
          <w:p w14:paraId="339A2D3B" w14:textId="086342C4" w:rsidR="00C23909" w:rsidRDefault="00C23909" w:rsidP="00C23909">
            <w:pPr>
              <w:pStyle w:val="Marginlie"/>
              <w:rPr>
                <w:spacing w:val="-3"/>
                <w:lang w:val="en-GB"/>
              </w:rPr>
            </w:pPr>
            <w:r>
              <w:rPr>
                <w:spacing w:val="-3"/>
                <w:lang w:val="en-GB"/>
              </w:rPr>
              <w:t>Increase of the SB current expenditures mirrored especially the heightened payments into the health care per state insured persons</w:t>
            </w:r>
            <w:r w:rsidRPr="00225255">
              <w:rPr>
                <w:spacing w:val="-3"/>
                <w:lang w:val="en-GB"/>
              </w:rPr>
              <w:t xml:space="preserve"> </w:t>
            </w:r>
            <w:proofErr w:type="gramStart"/>
            <w:r w:rsidRPr="00225255">
              <w:rPr>
                <w:spacing w:val="-3"/>
                <w:lang w:val="en-GB"/>
              </w:rPr>
              <w:t>a</w:t>
            </w:r>
            <w:r>
              <w:rPr>
                <w:spacing w:val="-3"/>
                <w:lang w:val="en-GB"/>
              </w:rPr>
              <w:t>nd also</w:t>
            </w:r>
            <w:proofErr w:type="gramEnd"/>
            <w:r>
              <w:rPr>
                <w:spacing w:val="-3"/>
                <w:lang w:val="en-GB"/>
              </w:rPr>
              <w:t xml:space="preserve"> the higher transfers to entrepreneur entities. </w:t>
            </w:r>
          </w:p>
          <w:p w14:paraId="7772B0C0" w14:textId="77777777" w:rsidR="00C23909" w:rsidRPr="00225255" w:rsidRDefault="00C23909" w:rsidP="00C23909">
            <w:pPr>
              <w:pStyle w:val="Marginlie"/>
              <w:rPr>
                <w:spacing w:val="-3"/>
                <w:lang w:val="en-GB"/>
              </w:rPr>
            </w:pPr>
          </w:p>
          <w:p w14:paraId="3CC5F7D7" w14:textId="77777777" w:rsidR="00C23909" w:rsidRPr="00225255" w:rsidRDefault="00C23909" w:rsidP="00C23909">
            <w:pPr>
              <w:pStyle w:val="Marginlie"/>
              <w:rPr>
                <w:spacing w:val="-3"/>
                <w:lang w:val="en-GB"/>
              </w:rPr>
            </w:pPr>
          </w:p>
          <w:p w14:paraId="11C1D0EB" w14:textId="77777777" w:rsidR="00C23909" w:rsidRPr="00225255" w:rsidRDefault="00C23909" w:rsidP="00C23909">
            <w:pPr>
              <w:pStyle w:val="Marginlie"/>
              <w:rPr>
                <w:spacing w:val="-3"/>
                <w:lang w:val="en-GB"/>
              </w:rPr>
            </w:pPr>
          </w:p>
          <w:p w14:paraId="53788ABB" w14:textId="77777777" w:rsidR="00C23909" w:rsidRPr="00225255" w:rsidRDefault="00C23909" w:rsidP="00C23909">
            <w:pPr>
              <w:pStyle w:val="Marginlie"/>
              <w:rPr>
                <w:spacing w:val="-3"/>
                <w:lang w:val="en-GB"/>
              </w:rPr>
            </w:pPr>
          </w:p>
          <w:p w14:paraId="526F0D16" w14:textId="77777777" w:rsidR="00C23909" w:rsidRPr="00225255" w:rsidRDefault="00C23909" w:rsidP="00C23909">
            <w:pPr>
              <w:pStyle w:val="Marginlie"/>
              <w:rPr>
                <w:spacing w:val="-3"/>
                <w:lang w:val="en-GB"/>
              </w:rPr>
            </w:pPr>
          </w:p>
          <w:p w14:paraId="0955E714" w14:textId="77777777" w:rsidR="00C23909" w:rsidRPr="00225255" w:rsidRDefault="00C23909" w:rsidP="00C23909">
            <w:pPr>
              <w:pStyle w:val="Marginlie"/>
              <w:rPr>
                <w:spacing w:val="-3"/>
                <w:lang w:val="en-GB"/>
              </w:rPr>
            </w:pPr>
          </w:p>
          <w:p w14:paraId="3F8E94D3" w14:textId="77777777" w:rsidR="00C23909" w:rsidRPr="00225255" w:rsidRDefault="00C23909" w:rsidP="00C23909">
            <w:pPr>
              <w:pStyle w:val="Marginlie"/>
              <w:rPr>
                <w:spacing w:val="-3"/>
                <w:lang w:val="en-GB"/>
              </w:rPr>
            </w:pPr>
          </w:p>
          <w:p w14:paraId="5BF04315" w14:textId="07E8903D" w:rsidR="00C23909" w:rsidRPr="00225255" w:rsidRDefault="00C23909" w:rsidP="00C23909">
            <w:pPr>
              <w:pStyle w:val="Marginlie"/>
              <w:rPr>
                <w:spacing w:val="-5"/>
                <w:lang w:val="en-GB"/>
              </w:rPr>
            </w:pPr>
            <w:r>
              <w:rPr>
                <w:spacing w:val="-3"/>
                <w:lang w:val="en-GB"/>
              </w:rPr>
              <w:lastRenderedPageBreak/>
              <w:t>Sharp growth for the non-investment purchases in the year before the last markedly dampened in year 2</w:t>
            </w:r>
            <w:r w:rsidRPr="00225255">
              <w:rPr>
                <w:spacing w:val="-3"/>
                <w:lang w:val="en-GB"/>
              </w:rPr>
              <w:t>021</w:t>
            </w:r>
            <w:r>
              <w:rPr>
                <w:spacing w:val="-3"/>
                <w:lang w:val="en-GB"/>
              </w:rPr>
              <w:t xml:space="preserve">. </w:t>
            </w:r>
          </w:p>
        </w:tc>
        <w:tc>
          <w:tcPr>
            <w:tcW w:w="217" w:type="dxa"/>
            <w:shd w:val="clear" w:color="auto" w:fill="auto"/>
            <w:tcMar>
              <w:left w:w="0" w:type="dxa"/>
            </w:tcMar>
          </w:tcPr>
          <w:p w14:paraId="2B4A7411" w14:textId="77777777" w:rsidR="00C23909" w:rsidRPr="00225255" w:rsidRDefault="00C23909" w:rsidP="00C23909">
            <w:pPr>
              <w:pStyle w:val="Textpoznpodarou"/>
              <w:jc w:val="both"/>
              <w:rPr>
                <w:spacing w:val="-4"/>
                <w:lang w:val="en-GB"/>
              </w:rPr>
            </w:pPr>
          </w:p>
        </w:tc>
        <w:tc>
          <w:tcPr>
            <w:tcW w:w="7720" w:type="dxa"/>
            <w:shd w:val="clear" w:color="auto" w:fill="auto"/>
            <w:tcMar>
              <w:left w:w="0" w:type="dxa"/>
            </w:tcMar>
          </w:tcPr>
          <w:p w14:paraId="6253782E" w14:textId="39125574" w:rsidR="00C23909" w:rsidRPr="00225255" w:rsidRDefault="00C23909" w:rsidP="00C23909">
            <w:pPr>
              <w:spacing w:after="200"/>
              <w:rPr>
                <w:spacing w:val="-2"/>
                <w:lang w:val="en-GB"/>
              </w:rPr>
            </w:pPr>
            <w:r>
              <w:rPr>
                <w:spacing w:val="-2"/>
                <w:lang w:val="en-GB"/>
              </w:rPr>
              <w:t xml:space="preserve">Raised payments per state insured persons </w:t>
            </w:r>
            <w:r w:rsidRPr="00225255">
              <w:rPr>
                <w:color w:val="0D0D0D" w:themeColor="text1" w:themeTint="F2"/>
                <w:spacing w:val="-2"/>
                <w:lang w:val="en-GB"/>
              </w:rPr>
              <w:t>(</w:t>
            </w:r>
            <w:r>
              <w:rPr>
                <w:color w:val="0D0D0D" w:themeColor="text1" w:themeTint="F2"/>
                <w:spacing w:val="-2"/>
                <w:lang w:val="en-GB"/>
              </w:rPr>
              <w:t xml:space="preserve">with growth of </w:t>
            </w:r>
            <w:r w:rsidRPr="00225255">
              <w:rPr>
                <w:color w:val="0D0D0D" w:themeColor="text1" w:themeTint="F2"/>
                <w:spacing w:val="-2"/>
                <w:lang w:val="en-GB"/>
              </w:rPr>
              <w:t>30%)</w:t>
            </w:r>
            <w:r>
              <w:rPr>
                <w:color w:val="0D0D0D" w:themeColor="text1" w:themeTint="F2"/>
                <w:spacing w:val="-2"/>
                <w:lang w:val="en-GB"/>
              </w:rPr>
              <w:t xml:space="preserve"> and further the non-investment transfers to commercial entities </w:t>
            </w:r>
            <w:r w:rsidRPr="00225255">
              <w:rPr>
                <w:color w:val="0D0D0D" w:themeColor="text1" w:themeTint="F2"/>
                <w:spacing w:val="-5"/>
                <w:lang w:val="en-GB"/>
              </w:rPr>
              <w:t>(+18%),</w:t>
            </w:r>
            <w:r>
              <w:rPr>
                <w:color w:val="0D0D0D" w:themeColor="text1" w:themeTint="F2"/>
                <w:spacing w:val="-5"/>
                <w:lang w:val="en-GB"/>
              </w:rPr>
              <w:t xml:space="preserve"> whose drawing significantly overtook the budget </w:t>
            </w:r>
            <w:r w:rsidRPr="00FC79D0">
              <w:rPr>
                <w:color w:val="0D0D0D" w:themeColor="text1" w:themeTint="F2"/>
                <w:spacing w:val="-5"/>
                <w:lang w:val="en-GB"/>
              </w:rPr>
              <w:t xml:space="preserve">anticipations (+19 CZK bn), were instrumental in the last year’s strengthening of the </w:t>
            </w:r>
            <w:r w:rsidR="00A06545">
              <w:rPr>
                <w:color w:val="0D0D0D" w:themeColor="text1" w:themeTint="F2"/>
                <w:spacing w:val="-5"/>
                <w:lang w:val="en-GB"/>
              </w:rPr>
              <w:t xml:space="preserve">total </w:t>
            </w:r>
            <w:r w:rsidRPr="00FC79D0">
              <w:rPr>
                <w:color w:val="0D0D0D" w:themeColor="text1" w:themeTint="F2"/>
                <w:spacing w:val="-5"/>
                <w:lang w:val="en-GB"/>
              </w:rPr>
              <w:t xml:space="preserve">current expenditures </w:t>
            </w:r>
            <w:r w:rsidRPr="00FC79D0">
              <w:rPr>
                <w:color w:val="0D0D0D" w:themeColor="text1" w:themeTint="F2"/>
                <w:spacing w:val="-2"/>
                <w:lang w:val="en-GB"/>
              </w:rPr>
              <w:t xml:space="preserve">(+59.2 CZK bn) </w:t>
            </w:r>
            <w:r w:rsidRPr="00FC79D0">
              <w:rPr>
                <w:color w:val="0D0D0D" w:themeColor="text1" w:themeTint="F2"/>
                <w:spacing w:val="-5"/>
                <w:lang w:val="en-GB"/>
              </w:rPr>
              <w:t>year-on-year.</w:t>
            </w:r>
            <w:r w:rsidRPr="00FC79D0">
              <w:rPr>
                <w:spacing w:val="-5"/>
                <w:lang w:val="en-GB"/>
              </w:rPr>
              <w:t xml:space="preserve"> T</w:t>
            </w:r>
            <w:r>
              <w:rPr>
                <w:spacing w:val="-5"/>
                <w:lang w:val="en-GB"/>
              </w:rPr>
              <w:t xml:space="preserve">hese transfers concentrate the decisive part of the support measures </w:t>
            </w:r>
            <w:r w:rsidRPr="00FC79D0">
              <w:rPr>
                <w:spacing w:val="-5"/>
                <w:lang w:val="en-GB"/>
              </w:rPr>
              <w:t>(program</w:t>
            </w:r>
            <w:r>
              <w:rPr>
                <w:spacing w:val="-5"/>
                <w:lang w:val="en-GB"/>
              </w:rPr>
              <w:t>me</w:t>
            </w:r>
            <w:r w:rsidRPr="00FC79D0">
              <w:rPr>
                <w:spacing w:val="-5"/>
                <w:lang w:val="en-GB"/>
              </w:rPr>
              <w:t xml:space="preserve"> Antivirus, </w:t>
            </w:r>
            <w:r>
              <w:rPr>
                <w:spacing w:val="-5"/>
                <w:lang w:val="en-GB"/>
              </w:rPr>
              <w:t>support of companies in the most hit branches, care benefits for the self-employed</w:t>
            </w:r>
            <w:r w:rsidRPr="00FC79D0">
              <w:rPr>
                <w:spacing w:val="-5"/>
                <w:lang w:val="en-GB"/>
              </w:rPr>
              <w:t>).</w:t>
            </w:r>
            <w:r>
              <w:rPr>
                <w:spacing w:val="-5"/>
                <w:lang w:val="en-GB"/>
              </w:rPr>
              <w:t xml:space="preserve"> Even despite milder growth </w:t>
            </w:r>
            <w:r w:rsidRPr="00FC79D0">
              <w:rPr>
                <w:spacing w:val="-5"/>
                <w:lang w:val="en-GB"/>
              </w:rPr>
              <w:t>(+5</w:t>
            </w:r>
            <w:r>
              <w:rPr>
                <w:spacing w:val="-5"/>
                <w:lang w:val="en-GB"/>
              </w:rPr>
              <w:t>.</w:t>
            </w:r>
            <w:r w:rsidRPr="00FC79D0">
              <w:rPr>
                <w:spacing w:val="-5"/>
                <w:lang w:val="en-GB"/>
              </w:rPr>
              <w:t>9%)</w:t>
            </w:r>
            <w:r>
              <w:rPr>
                <w:spacing w:val="-5"/>
                <w:lang w:val="en-GB"/>
              </w:rPr>
              <w:t>, the current transfers to regional budgets significant by volume also had substantial impact, which was associated with the continuing growth of wages in the regional education</w:t>
            </w:r>
            <w:r w:rsidRPr="00FC79D0">
              <w:rPr>
                <w:rStyle w:val="Znakapoznpodarou"/>
                <w:spacing w:val="-5"/>
                <w:lang w:val="en-GB"/>
              </w:rPr>
              <w:footnoteReference w:id="91"/>
            </w:r>
            <w:r w:rsidRPr="00FC79D0">
              <w:rPr>
                <w:spacing w:val="-5"/>
                <w:lang w:val="en-GB"/>
              </w:rPr>
              <w:t>,</w:t>
            </w:r>
            <w:r>
              <w:rPr>
                <w:spacing w:val="-5"/>
                <w:lang w:val="en-GB"/>
              </w:rPr>
              <w:t xml:space="preserve"> with increased financing of the social services and to a lesser extent also with the extraordinary bonuses to employees in the hospital bed care</w:t>
            </w:r>
            <w:r w:rsidRPr="00FC79D0">
              <w:rPr>
                <w:spacing w:val="-5"/>
                <w:lang w:val="en-GB"/>
              </w:rPr>
              <w:t>. T</w:t>
            </w:r>
            <w:r>
              <w:rPr>
                <w:spacing w:val="-5"/>
                <w:lang w:val="en-GB"/>
              </w:rPr>
              <w:t xml:space="preserve">hese bonuses were also reflected in the transfers to the state cofinanced organisations, which however slightly fell in total </w:t>
            </w:r>
            <w:r w:rsidRPr="00FC79D0">
              <w:rPr>
                <w:spacing w:val="-5"/>
                <w:lang w:val="en-GB"/>
              </w:rPr>
              <w:t>(</w:t>
            </w:r>
            <w:r>
              <w:rPr>
                <w:spacing w:val="-5"/>
                <w:lang w:val="en-GB"/>
              </w:rPr>
              <w:t xml:space="preserve">by </w:t>
            </w:r>
            <w:r w:rsidRPr="00FC79D0">
              <w:rPr>
                <w:spacing w:val="-5"/>
                <w:lang w:val="en-GB"/>
              </w:rPr>
              <w:t>3</w:t>
            </w:r>
            <w:r>
              <w:rPr>
                <w:spacing w:val="-5"/>
                <w:lang w:val="en-GB"/>
              </w:rPr>
              <w:t>.</w:t>
            </w:r>
            <w:r w:rsidRPr="00FC79D0">
              <w:rPr>
                <w:spacing w:val="-5"/>
                <w:lang w:val="en-GB"/>
              </w:rPr>
              <w:t>5%),</w:t>
            </w:r>
            <w:r>
              <w:rPr>
                <w:spacing w:val="-5"/>
                <w:lang w:val="en-GB"/>
              </w:rPr>
              <w:t xml:space="preserve"> since the expenditures on the debt elimination realised in year </w:t>
            </w:r>
            <w:r w:rsidRPr="00FC79D0">
              <w:rPr>
                <w:spacing w:val="-5"/>
                <w:lang w:val="en-GB"/>
              </w:rPr>
              <w:t>2020</w:t>
            </w:r>
            <w:r>
              <w:rPr>
                <w:spacing w:val="-5"/>
                <w:lang w:val="en-GB"/>
              </w:rPr>
              <w:t xml:space="preserve"> did not repeat last year. </w:t>
            </w:r>
            <w:r>
              <w:rPr>
                <w:spacing w:val="-5"/>
                <w:lang w:val="en-GB"/>
              </w:rPr>
              <w:lastRenderedPageBreak/>
              <w:t xml:space="preserve">The expenditures on non-investment purchases </w:t>
            </w:r>
            <w:proofErr w:type="gramStart"/>
            <w:r>
              <w:rPr>
                <w:spacing w:val="-5"/>
                <w:lang w:val="en-GB"/>
              </w:rPr>
              <w:t>were also linked</w:t>
            </w:r>
            <w:proofErr w:type="gramEnd"/>
            <w:r>
              <w:rPr>
                <w:spacing w:val="-5"/>
                <w:lang w:val="en-GB"/>
              </w:rPr>
              <w:t xml:space="preserve"> to the pandemics</w:t>
            </w:r>
            <w:r w:rsidRPr="00FC79D0">
              <w:rPr>
                <w:rStyle w:val="Znakapoznpodarou"/>
                <w:spacing w:val="-5"/>
                <w:lang w:val="en-GB"/>
              </w:rPr>
              <w:footnoteReference w:id="92"/>
            </w:r>
            <w:r w:rsidRPr="00FC79D0">
              <w:rPr>
                <w:spacing w:val="-5"/>
                <w:lang w:val="en-GB"/>
              </w:rPr>
              <w:t>.</w:t>
            </w:r>
            <w:r>
              <w:rPr>
                <w:spacing w:val="-5"/>
                <w:lang w:val="en-GB"/>
              </w:rPr>
              <w:t xml:space="preserve"> Compared to their record size from year 2020 </w:t>
            </w:r>
            <w:r w:rsidRPr="00FC79D0">
              <w:rPr>
                <w:spacing w:val="-5"/>
                <w:lang w:val="en-GB"/>
              </w:rPr>
              <w:t>(77</w:t>
            </w:r>
            <w:r>
              <w:rPr>
                <w:spacing w:val="-5"/>
                <w:lang w:val="en-GB"/>
              </w:rPr>
              <w:t>.</w:t>
            </w:r>
            <w:r w:rsidRPr="00FC79D0">
              <w:rPr>
                <w:spacing w:val="-5"/>
                <w:lang w:val="en-GB"/>
              </w:rPr>
              <w:t>9</w:t>
            </w:r>
            <w:r>
              <w:rPr>
                <w:spacing w:val="-5"/>
                <w:lang w:val="en-GB"/>
              </w:rPr>
              <w:t xml:space="preserve"> CZK bn</w:t>
            </w:r>
            <w:r w:rsidRPr="00FC79D0">
              <w:rPr>
                <w:spacing w:val="-5"/>
                <w:lang w:val="en-GB"/>
              </w:rPr>
              <w:t>)</w:t>
            </w:r>
            <w:r>
              <w:rPr>
                <w:spacing w:val="-5"/>
                <w:lang w:val="en-GB"/>
              </w:rPr>
              <w:t xml:space="preserve">, they increased only slightly </w:t>
            </w:r>
            <w:r w:rsidRPr="00FC79D0">
              <w:rPr>
                <w:spacing w:val="-5"/>
                <w:lang w:val="en-GB"/>
              </w:rPr>
              <w:t>(+1</w:t>
            </w:r>
            <w:r>
              <w:rPr>
                <w:spacing w:val="-5"/>
                <w:lang w:val="en-GB"/>
              </w:rPr>
              <w:t>.</w:t>
            </w:r>
            <w:r w:rsidRPr="00FC79D0">
              <w:rPr>
                <w:spacing w:val="-5"/>
                <w:lang w:val="en-GB"/>
              </w:rPr>
              <w:t>6%).</w:t>
            </w:r>
            <w:r>
              <w:rPr>
                <w:spacing w:val="-5"/>
                <w:lang w:val="en-GB"/>
              </w:rPr>
              <w:t xml:space="preserve"> Lower need of protective equipment and medical goods was to a large part substituted by higher expenditures on purchases of vaccines</w:t>
            </w:r>
            <w:r w:rsidRPr="00FC79D0">
              <w:rPr>
                <w:spacing w:val="-5"/>
                <w:lang w:val="en-GB"/>
              </w:rPr>
              <w:t>.</w:t>
            </w:r>
            <w:r>
              <w:rPr>
                <w:spacing w:val="-5"/>
                <w:lang w:val="en-GB"/>
              </w:rPr>
              <w:t xml:space="preserve"> The rate of growth of expenditures on wages </w:t>
            </w:r>
            <w:r w:rsidRPr="00FC79D0">
              <w:rPr>
                <w:spacing w:val="-5"/>
                <w:lang w:val="en-GB"/>
              </w:rPr>
              <w:t>(</w:t>
            </w:r>
            <w:r>
              <w:rPr>
                <w:spacing w:val="-5"/>
                <w:lang w:val="en-GB"/>
              </w:rPr>
              <w:t>and related expenditures</w:t>
            </w:r>
            <w:r w:rsidRPr="00FC79D0">
              <w:rPr>
                <w:spacing w:val="-5"/>
                <w:lang w:val="en-GB"/>
              </w:rPr>
              <w:t>)</w:t>
            </w:r>
            <w:r>
              <w:rPr>
                <w:spacing w:val="-5"/>
                <w:lang w:val="en-GB"/>
              </w:rPr>
              <w:t xml:space="preserve"> in the organisational units of the state eased pace for the third year in a row. These expenditures increased by </w:t>
            </w:r>
            <w:r w:rsidRPr="00FC79D0">
              <w:rPr>
                <w:spacing w:val="-5"/>
                <w:lang w:val="en-GB"/>
              </w:rPr>
              <w:t>1</w:t>
            </w:r>
            <w:r>
              <w:rPr>
                <w:spacing w:val="-5"/>
                <w:lang w:val="en-GB"/>
              </w:rPr>
              <w:t>.</w:t>
            </w:r>
            <w:r w:rsidRPr="00FC79D0">
              <w:rPr>
                <w:spacing w:val="-5"/>
                <w:lang w:val="en-GB"/>
              </w:rPr>
              <w:t>3%</w:t>
            </w:r>
            <w:r>
              <w:rPr>
                <w:spacing w:val="-5"/>
                <w:lang w:val="en-GB"/>
              </w:rPr>
              <w:t xml:space="preserve"> year-on-year last year</w:t>
            </w:r>
            <w:r w:rsidRPr="00FC79D0">
              <w:rPr>
                <w:spacing w:val="-5"/>
                <w:lang w:val="en-GB"/>
              </w:rPr>
              <w:t xml:space="preserve">, </w:t>
            </w:r>
            <w:r>
              <w:rPr>
                <w:spacing w:val="-5"/>
                <w:lang w:val="en-GB"/>
              </w:rPr>
              <w:t>the least in the last nine years</w:t>
            </w:r>
            <w:r w:rsidRPr="00FC79D0">
              <w:rPr>
                <w:spacing w:val="-5"/>
                <w:lang w:val="en-GB"/>
              </w:rPr>
              <w:t>.</w:t>
            </w:r>
            <w:r>
              <w:rPr>
                <w:spacing w:val="-5"/>
                <w:lang w:val="en-GB"/>
              </w:rPr>
              <w:t xml:space="preserve"> The majority of growth was associated to the agendas more intensively employed in the fight with the pandemics </w:t>
            </w:r>
            <w:r w:rsidRPr="00FC79D0">
              <w:rPr>
                <w:spacing w:val="-5"/>
                <w:lang w:val="en-GB"/>
              </w:rPr>
              <w:t>(</w:t>
            </w:r>
            <w:r>
              <w:rPr>
                <w:spacing w:val="-5"/>
                <w:lang w:val="en-GB"/>
              </w:rPr>
              <w:t>e.g. police, army, sanitary services</w:t>
            </w:r>
            <w:r w:rsidRPr="00FC79D0">
              <w:rPr>
                <w:spacing w:val="-5"/>
                <w:lang w:val="en-GB"/>
              </w:rPr>
              <w:t>).</w:t>
            </w:r>
          </w:p>
        </w:tc>
      </w:tr>
      <w:tr w:rsidR="00C23909" w:rsidRPr="008266F0" w14:paraId="41B376FA" w14:textId="77777777" w:rsidTr="008E039E">
        <w:trPr>
          <w:trHeight w:val="145"/>
        </w:trPr>
        <w:tc>
          <w:tcPr>
            <w:tcW w:w="1732" w:type="dxa"/>
            <w:shd w:val="clear" w:color="auto" w:fill="auto"/>
            <w:tcMar>
              <w:left w:w="0" w:type="dxa"/>
            </w:tcMar>
          </w:tcPr>
          <w:p w14:paraId="3DD66C09" w14:textId="776A016F" w:rsidR="00C23909" w:rsidRPr="001C064B" w:rsidRDefault="00C23909" w:rsidP="00C23909">
            <w:pPr>
              <w:pStyle w:val="Marginlie"/>
              <w:rPr>
                <w:spacing w:val="-3"/>
                <w:lang w:val="en-GB"/>
              </w:rPr>
            </w:pPr>
            <w:r>
              <w:rPr>
                <w:spacing w:val="-3"/>
                <w:lang w:val="en-GB"/>
              </w:rPr>
              <w:lastRenderedPageBreak/>
              <w:t xml:space="preserve">Proportion of SB expenditures allocated on the social benefits kept falling further. The pension account returned into a mild surplus. </w:t>
            </w:r>
          </w:p>
        </w:tc>
        <w:tc>
          <w:tcPr>
            <w:tcW w:w="217" w:type="dxa"/>
            <w:shd w:val="clear" w:color="auto" w:fill="auto"/>
            <w:tcMar>
              <w:left w:w="0" w:type="dxa"/>
            </w:tcMar>
          </w:tcPr>
          <w:p w14:paraId="65FB7D6B" w14:textId="77777777" w:rsidR="00C23909" w:rsidRPr="001C064B" w:rsidRDefault="00C23909" w:rsidP="00C23909">
            <w:pPr>
              <w:pStyle w:val="Textpoznpodarou"/>
              <w:jc w:val="both"/>
              <w:rPr>
                <w:spacing w:val="-4"/>
                <w:lang w:val="en-GB"/>
              </w:rPr>
            </w:pPr>
          </w:p>
        </w:tc>
        <w:tc>
          <w:tcPr>
            <w:tcW w:w="7720" w:type="dxa"/>
            <w:shd w:val="clear" w:color="auto" w:fill="auto"/>
            <w:tcMar>
              <w:left w:w="0" w:type="dxa"/>
            </w:tcMar>
          </w:tcPr>
          <w:p w14:paraId="7C075E24" w14:textId="0B70FA8B" w:rsidR="00C23909" w:rsidRPr="001C064B" w:rsidRDefault="00C23909" w:rsidP="00C23909">
            <w:pPr>
              <w:spacing w:after="200"/>
              <w:rPr>
                <w:spacing w:val="-3"/>
                <w:lang w:val="en-GB"/>
              </w:rPr>
            </w:pPr>
            <w:r>
              <w:rPr>
                <w:spacing w:val="-3"/>
                <w:lang w:val="en-GB"/>
              </w:rPr>
              <w:t>Resources on social benefits, which represent the weight dominant SB expenditure</w:t>
            </w:r>
            <w:r w:rsidRPr="001C064B">
              <w:rPr>
                <w:rStyle w:val="Znakapoznpodarou"/>
                <w:spacing w:val="-3"/>
                <w:lang w:val="en-GB"/>
              </w:rPr>
              <w:footnoteReference w:id="93"/>
            </w:r>
            <w:r>
              <w:rPr>
                <w:spacing w:val="-3"/>
                <w:lang w:val="en-GB"/>
              </w:rPr>
              <w:t xml:space="preserve"> in the long-term</w:t>
            </w:r>
            <w:r w:rsidRPr="001C064B">
              <w:rPr>
                <w:spacing w:val="-3"/>
                <w:lang w:val="en-GB"/>
              </w:rPr>
              <w:t>,</w:t>
            </w:r>
            <w:r>
              <w:rPr>
                <w:spacing w:val="-3"/>
                <w:lang w:val="en-GB"/>
              </w:rPr>
              <w:t xml:space="preserve"> increased by </w:t>
            </w:r>
            <w:r w:rsidRPr="001C064B">
              <w:rPr>
                <w:spacing w:val="-3"/>
                <w:lang w:val="en-GB"/>
              </w:rPr>
              <w:t>0</w:t>
            </w:r>
            <w:r>
              <w:rPr>
                <w:spacing w:val="-3"/>
                <w:lang w:val="en-GB"/>
              </w:rPr>
              <w:t>.</w:t>
            </w:r>
            <w:r w:rsidRPr="001C064B">
              <w:rPr>
                <w:spacing w:val="-3"/>
                <w:lang w:val="en-GB"/>
              </w:rPr>
              <w:t>8%</w:t>
            </w:r>
            <w:r>
              <w:rPr>
                <w:spacing w:val="-3"/>
                <w:lang w:val="en-GB"/>
              </w:rPr>
              <w:t xml:space="preserve"> year-on-year last year</w:t>
            </w:r>
            <w:r w:rsidRPr="001C064B">
              <w:rPr>
                <w:spacing w:val="-3"/>
                <w:lang w:val="en-GB"/>
              </w:rPr>
              <w:t>,</w:t>
            </w:r>
            <w:r>
              <w:rPr>
                <w:spacing w:val="-3"/>
                <w:lang w:val="en-GB"/>
              </w:rPr>
              <w:t xml:space="preserve"> when they escalated to </w:t>
            </w:r>
            <w:r w:rsidRPr="001C064B">
              <w:rPr>
                <w:spacing w:val="-3"/>
                <w:lang w:val="en-GB"/>
              </w:rPr>
              <w:t>14</w:t>
            </w:r>
            <w:r>
              <w:rPr>
                <w:spacing w:val="-3"/>
                <w:lang w:val="en-GB"/>
              </w:rPr>
              <w:t>.</w:t>
            </w:r>
            <w:r w:rsidRPr="001C064B">
              <w:rPr>
                <w:spacing w:val="-3"/>
                <w:lang w:val="en-GB"/>
              </w:rPr>
              <w:t>2%</w:t>
            </w:r>
            <w:r w:rsidRPr="001C064B">
              <w:rPr>
                <w:rStyle w:val="Znakapoznpodarou"/>
                <w:spacing w:val="-3"/>
                <w:lang w:val="en-GB"/>
              </w:rPr>
              <w:footnoteReference w:id="94"/>
            </w:r>
            <w:r>
              <w:rPr>
                <w:spacing w:val="-3"/>
                <w:lang w:val="en-GB"/>
              </w:rPr>
              <w:t xml:space="preserve"> in year 2020</w:t>
            </w:r>
            <w:r w:rsidRPr="001C064B">
              <w:rPr>
                <w:spacing w:val="-3"/>
                <w:lang w:val="en-GB"/>
              </w:rPr>
              <w:t xml:space="preserve">. </w:t>
            </w:r>
            <w:r>
              <w:rPr>
                <w:spacing w:val="-3"/>
                <w:lang w:val="en-GB"/>
              </w:rPr>
              <w:t xml:space="preserve">In contrast to year </w:t>
            </w:r>
            <w:r w:rsidRPr="001C064B">
              <w:rPr>
                <w:spacing w:val="-3"/>
                <w:lang w:val="en-GB"/>
              </w:rPr>
              <w:t>2020</w:t>
            </w:r>
            <w:r>
              <w:rPr>
                <w:spacing w:val="-3"/>
                <w:lang w:val="en-GB"/>
              </w:rPr>
              <w:t xml:space="preserve">, the last year’s growth </w:t>
            </w:r>
            <w:proofErr w:type="gramStart"/>
            <w:r>
              <w:rPr>
                <w:spacing w:val="-3"/>
                <w:lang w:val="en-GB"/>
              </w:rPr>
              <w:t>was saturated</w:t>
            </w:r>
            <w:proofErr w:type="gramEnd"/>
            <w:r>
              <w:rPr>
                <w:spacing w:val="-3"/>
                <w:lang w:val="en-GB"/>
              </w:rPr>
              <w:t xml:space="preserve"> exclusively by higher expenditure on pensions </w:t>
            </w:r>
            <w:r w:rsidRPr="001C064B">
              <w:rPr>
                <w:spacing w:val="-3"/>
                <w:lang w:val="en-GB"/>
              </w:rPr>
              <w:t>(+2</w:t>
            </w:r>
            <w:r>
              <w:rPr>
                <w:spacing w:val="-3"/>
                <w:lang w:val="en-GB"/>
              </w:rPr>
              <w:t>.</w:t>
            </w:r>
            <w:r w:rsidRPr="001C064B">
              <w:rPr>
                <w:spacing w:val="-3"/>
                <w:lang w:val="en-GB"/>
              </w:rPr>
              <w:t xml:space="preserve">1%). </w:t>
            </w:r>
            <w:r>
              <w:rPr>
                <w:spacing w:val="-3"/>
                <w:lang w:val="en-GB"/>
              </w:rPr>
              <w:t xml:space="preserve">Weaker pace of the growth of pensions </w:t>
            </w:r>
            <w:proofErr w:type="gramStart"/>
            <w:r>
              <w:rPr>
                <w:spacing w:val="-3"/>
                <w:lang w:val="en-GB"/>
              </w:rPr>
              <w:t>is connected</w:t>
            </w:r>
            <w:proofErr w:type="gramEnd"/>
            <w:r>
              <w:rPr>
                <w:spacing w:val="-3"/>
                <w:lang w:val="en-GB"/>
              </w:rPr>
              <w:t xml:space="preserve"> to the pay out of one-off allowance to all pensioners in December </w:t>
            </w:r>
            <w:r w:rsidRPr="001C064B">
              <w:rPr>
                <w:spacing w:val="-3"/>
                <w:lang w:val="en-GB"/>
              </w:rPr>
              <w:t>2020</w:t>
            </w:r>
            <w:r w:rsidRPr="001C064B">
              <w:rPr>
                <w:rStyle w:val="Znakapoznpodarou"/>
                <w:spacing w:val="-3"/>
                <w:lang w:val="en-GB"/>
              </w:rPr>
              <w:footnoteReference w:id="95"/>
            </w:r>
            <w:r w:rsidRPr="001C064B">
              <w:rPr>
                <w:spacing w:val="-3"/>
                <w:lang w:val="en-GB"/>
              </w:rPr>
              <w:t>.</w:t>
            </w:r>
            <w:r>
              <w:rPr>
                <w:spacing w:val="-3"/>
                <w:lang w:val="en-GB"/>
              </w:rPr>
              <w:t xml:space="preserve"> </w:t>
            </w:r>
            <w:r w:rsidRPr="001C064B">
              <w:rPr>
                <w:spacing w:val="-3"/>
                <w:lang w:val="en-GB"/>
              </w:rPr>
              <w:t xml:space="preserve"> </w:t>
            </w:r>
            <w:r>
              <w:rPr>
                <w:spacing w:val="-3"/>
                <w:lang w:val="en-GB"/>
              </w:rPr>
              <w:t>The decline of the number of pension recipients (by nearly 1%) also had an effect to a lesser extent. Revenues of the pension insurance compared to weaker basis of year 2</w:t>
            </w:r>
            <w:r w:rsidRPr="001C064B">
              <w:rPr>
                <w:rFonts w:cs="Arial"/>
                <w:color w:val="0D0D0D" w:themeColor="text1" w:themeTint="F2"/>
                <w:spacing w:val="-5"/>
                <w:lang w:val="en-GB"/>
              </w:rPr>
              <w:t>020</w:t>
            </w:r>
            <w:r w:rsidRPr="001C064B">
              <w:rPr>
                <w:rStyle w:val="Znakapoznpodarou"/>
                <w:color w:val="0D0D0D" w:themeColor="text1" w:themeTint="F2"/>
                <w:spacing w:val="-5"/>
                <w:lang w:val="en-GB"/>
              </w:rPr>
              <w:footnoteReference w:id="96"/>
            </w:r>
            <w:r>
              <w:rPr>
                <w:rFonts w:cs="Arial"/>
                <w:color w:val="0D0D0D" w:themeColor="text1" w:themeTint="F2"/>
                <w:spacing w:val="-5"/>
                <w:lang w:val="en-GB"/>
              </w:rPr>
              <w:t xml:space="preserve"> increased by </w:t>
            </w:r>
            <w:r w:rsidRPr="001C064B">
              <w:rPr>
                <w:rFonts w:cs="Arial"/>
                <w:color w:val="0D0D0D" w:themeColor="text1" w:themeTint="F2"/>
                <w:spacing w:val="-5"/>
                <w:lang w:val="en-GB"/>
              </w:rPr>
              <w:t>9</w:t>
            </w:r>
            <w:r>
              <w:rPr>
                <w:rFonts w:cs="Arial"/>
                <w:color w:val="0D0D0D" w:themeColor="text1" w:themeTint="F2"/>
                <w:spacing w:val="-5"/>
                <w:lang w:val="en-GB"/>
              </w:rPr>
              <w:t>.</w:t>
            </w:r>
            <w:r w:rsidRPr="001C064B">
              <w:rPr>
                <w:rFonts w:cs="Arial"/>
                <w:color w:val="0D0D0D" w:themeColor="text1" w:themeTint="F2"/>
                <w:spacing w:val="-5"/>
                <w:lang w:val="en-GB"/>
              </w:rPr>
              <w:t>8%</w:t>
            </w:r>
            <w:r>
              <w:rPr>
                <w:rFonts w:cs="Arial"/>
                <w:color w:val="0D0D0D" w:themeColor="text1" w:themeTint="F2"/>
                <w:spacing w:val="-5"/>
                <w:lang w:val="en-GB"/>
              </w:rPr>
              <w:t xml:space="preserve"> last year</w:t>
            </w:r>
            <w:r w:rsidRPr="001C064B">
              <w:rPr>
                <w:rFonts w:cs="Arial"/>
                <w:color w:val="0D0D0D" w:themeColor="text1" w:themeTint="F2"/>
                <w:spacing w:val="-5"/>
                <w:lang w:val="en-GB"/>
              </w:rPr>
              <w:t>.</w:t>
            </w:r>
            <w:r>
              <w:rPr>
                <w:rFonts w:cs="Arial"/>
                <w:color w:val="0D0D0D" w:themeColor="text1" w:themeTint="F2"/>
                <w:spacing w:val="-5"/>
                <w:lang w:val="en-GB"/>
              </w:rPr>
              <w:t xml:space="preserve"> The pension account balance</w:t>
            </w:r>
            <w:r w:rsidRPr="001C064B">
              <w:rPr>
                <w:rStyle w:val="Znakapoznpodarou"/>
                <w:color w:val="0D0D0D" w:themeColor="text1" w:themeTint="F2"/>
                <w:spacing w:val="-5"/>
                <w:lang w:val="en-GB"/>
              </w:rPr>
              <w:footnoteReference w:id="97"/>
            </w:r>
            <w:r w:rsidRPr="001C064B">
              <w:rPr>
                <w:rFonts w:cs="Arial"/>
                <w:color w:val="0D0D0D" w:themeColor="text1" w:themeTint="F2"/>
                <w:spacing w:val="-5"/>
                <w:lang w:val="en-GB"/>
              </w:rPr>
              <w:t xml:space="preserve"> </w:t>
            </w:r>
            <w:r>
              <w:rPr>
                <w:rFonts w:cs="Arial"/>
                <w:color w:val="0D0D0D" w:themeColor="text1" w:themeTint="F2"/>
                <w:spacing w:val="-5"/>
                <w:lang w:val="en-GB"/>
              </w:rPr>
              <w:t xml:space="preserve">thus following a mild slump in the first pandemic year </w:t>
            </w:r>
            <w:r w:rsidRPr="001C064B">
              <w:rPr>
                <w:rFonts w:cs="Arial"/>
                <w:color w:val="0D0D0D" w:themeColor="text1" w:themeTint="F2"/>
                <w:spacing w:val="-5"/>
                <w:lang w:val="en-GB"/>
              </w:rPr>
              <w:t>(</w:t>
            </w:r>
            <w:r w:rsidRPr="001C064B">
              <w:rPr>
                <w:spacing w:val="-4"/>
                <w:lang w:val="en-GB"/>
              </w:rPr>
              <w:t>–</w:t>
            </w:r>
            <w:r w:rsidRPr="001C064B">
              <w:rPr>
                <w:rFonts w:cs="Arial"/>
                <w:color w:val="0D0D0D" w:themeColor="text1" w:themeTint="F2"/>
                <w:spacing w:val="-5"/>
                <w:lang w:val="en-GB"/>
              </w:rPr>
              <w:t>34 </w:t>
            </w:r>
            <w:r>
              <w:rPr>
                <w:rFonts w:cs="Arial"/>
                <w:color w:val="0D0D0D" w:themeColor="text1" w:themeTint="F2"/>
                <w:spacing w:val="-5"/>
                <w:lang w:val="en-GB"/>
              </w:rPr>
              <w:t>CZK bn</w:t>
            </w:r>
            <w:r w:rsidRPr="001C064B">
              <w:rPr>
                <w:rFonts w:cs="Arial"/>
                <w:color w:val="0D0D0D" w:themeColor="text1" w:themeTint="F2"/>
                <w:spacing w:val="-5"/>
                <w:lang w:val="en-GB"/>
              </w:rPr>
              <w:t xml:space="preserve">) </w:t>
            </w:r>
            <w:r>
              <w:rPr>
                <w:rFonts w:cs="Arial"/>
                <w:color w:val="0D0D0D" w:themeColor="text1" w:themeTint="F2"/>
                <w:spacing w:val="-5"/>
                <w:lang w:val="en-GB"/>
              </w:rPr>
              <w:t xml:space="preserve">returned to a mild surplus last year </w:t>
            </w:r>
            <w:r w:rsidRPr="001C064B">
              <w:rPr>
                <w:rFonts w:cs="Arial"/>
                <w:color w:val="0D0D0D" w:themeColor="text1" w:themeTint="F2"/>
                <w:spacing w:val="-5"/>
                <w:lang w:val="en-GB"/>
              </w:rPr>
              <w:t>(+2 </w:t>
            </w:r>
            <w:r>
              <w:rPr>
                <w:rFonts w:cs="Arial"/>
                <w:color w:val="0D0D0D" w:themeColor="text1" w:themeTint="F2"/>
                <w:spacing w:val="-5"/>
                <w:lang w:val="en-GB"/>
              </w:rPr>
              <w:t>bn</w:t>
            </w:r>
            <w:r w:rsidRPr="001C064B">
              <w:rPr>
                <w:rFonts w:cs="Arial"/>
                <w:color w:val="0D0D0D" w:themeColor="text1" w:themeTint="F2"/>
                <w:spacing w:val="-5"/>
                <w:lang w:val="en-GB"/>
              </w:rPr>
              <w:t>).</w:t>
            </w:r>
          </w:p>
        </w:tc>
      </w:tr>
      <w:tr w:rsidR="00C23909" w:rsidRPr="008266F0" w14:paraId="61E6A1FE" w14:textId="77777777" w:rsidTr="008E039E">
        <w:trPr>
          <w:trHeight w:val="145"/>
        </w:trPr>
        <w:tc>
          <w:tcPr>
            <w:tcW w:w="1732" w:type="dxa"/>
            <w:shd w:val="clear" w:color="auto" w:fill="auto"/>
            <w:tcMar>
              <w:left w:w="0" w:type="dxa"/>
            </w:tcMar>
          </w:tcPr>
          <w:p w14:paraId="0FCEF80A" w14:textId="3BFF6EA7" w:rsidR="00C23909" w:rsidRDefault="00C23909" w:rsidP="00C23909">
            <w:pPr>
              <w:pStyle w:val="Marginlie"/>
              <w:rPr>
                <w:lang w:val="en-GB"/>
              </w:rPr>
            </w:pPr>
            <w:r>
              <w:rPr>
                <w:lang w:val="en-GB"/>
              </w:rPr>
              <w:t xml:space="preserve">Drawing of majority of non-pension social benefits went down thanks to the economic revival in year </w:t>
            </w:r>
            <w:r w:rsidRPr="007E4AC8">
              <w:rPr>
                <w:lang w:val="en-GB"/>
              </w:rPr>
              <w:t>2021</w:t>
            </w:r>
            <w:r>
              <w:rPr>
                <w:lang w:val="en-GB"/>
              </w:rPr>
              <w:t xml:space="preserve">. </w:t>
            </w:r>
          </w:p>
          <w:p w14:paraId="5144BEFB" w14:textId="77777777" w:rsidR="00C23909" w:rsidRPr="007E4AC8" w:rsidRDefault="00C23909" w:rsidP="00C23909">
            <w:pPr>
              <w:pStyle w:val="Marginlie"/>
              <w:rPr>
                <w:lang w:val="en-GB"/>
              </w:rPr>
            </w:pPr>
          </w:p>
          <w:p w14:paraId="120E4D0F" w14:textId="77777777" w:rsidR="00C23909" w:rsidRPr="007E4AC8" w:rsidRDefault="00C23909" w:rsidP="00C23909">
            <w:pPr>
              <w:pStyle w:val="Marginlie"/>
              <w:rPr>
                <w:lang w:val="en-GB"/>
              </w:rPr>
            </w:pPr>
          </w:p>
          <w:p w14:paraId="49AEFF7B" w14:textId="77777777" w:rsidR="00C23909" w:rsidRPr="007E4AC8" w:rsidRDefault="00C23909" w:rsidP="00C23909">
            <w:pPr>
              <w:pStyle w:val="Marginlie"/>
              <w:rPr>
                <w:lang w:val="en-GB"/>
              </w:rPr>
            </w:pPr>
          </w:p>
          <w:p w14:paraId="598BF304" w14:textId="77777777" w:rsidR="00C23909" w:rsidRPr="007E4AC8" w:rsidRDefault="00C23909" w:rsidP="00C23909">
            <w:pPr>
              <w:pStyle w:val="Marginlie"/>
              <w:rPr>
                <w:lang w:val="en-GB"/>
              </w:rPr>
            </w:pPr>
          </w:p>
          <w:p w14:paraId="68F6B86B" w14:textId="591C165C" w:rsidR="00C23909" w:rsidRPr="007E4AC8" w:rsidRDefault="00C23909" w:rsidP="00C23909">
            <w:pPr>
              <w:pStyle w:val="Marginlie"/>
              <w:rPr>
                <w:lang w:val="en-GB"/>
              </w:rPr>
            </w:pPr>
            <w:r>
              <w:rPr>
                <w:lang w:val="en-GB"/>
              </w:rPr>
              <w:t xml:space="preserve">Growth of expenditures on sickness benefits, maternity benefits as well as material deprivation benefits however continued. </w:t>
            </w:r>
          </w:p>
        </w:tc>
        <w:tc>
          <w:tcPr>
            <w:tcW w:w="217" w:type="dxa"/>
            <w:shd w:val="clear" w:color="auto" w:fill="auto"/>
            <w:tcMar>
              <w:left w:w="0" w:type="dxa"/>
            </w:tcMar>
          </w:tcPr>
          <w:p w14:paraId="5C0DC426" w14:textId="77777777" w:rsidR="00C23909" w:rsidRPr="007E4AC8" w:rsidRDefault="00C23909" w:rsidP="00C23909">
            <w:pPr>
              <w:pStyle w:val="Textpoznpodarou"/>
              <w:jc w:val="both"/>
              <w:rPr>
                <w:spacing w:val="-4"/>
                <w:lang w:val="en-GB"/>
              </w:rPr>
            </w:pPr>
          </w:p>
        </w:tc>
        <w:tc>
          <w:tcPr>
            <w:tcW w:w="7720" w:type="dxa"/>
            <w:shd w:val="clear" w:color="auto" w:fill="auto"/>
            <w:tcMar>
              <w:left w:w="0" w:type="dxa"/>
            </w:tcMar>
          </w:tcPr>
          <w:p w14:paraId="172AD97F" w14:textId="65F7A958" w:rsidR="00C23909" w:rsidRPr="007E4AC8" w:rsidRDefault="00C23909" w:rsidP="00C23909">
            <w:pPr>
              <w:spacing w:after="200"/>
              <w:rPr>
                <w:spacing w:val="-5"/>
                <w:lang w:val="en-GB"/>
              </w:rPr>
            </w:pPr>
            <w:r w:rsidRPr="007E4AC8">
              <w:rPr>
                <w:spacing w:val="-5"/>
                <w:lang w:val="en-GB"/>
              </w:rPr>
              <w:t>162 </w:t>
            </w:r>
            <w:r>
              <w:rPr>
                <w:spacing w:val="-5"/>
                <w:lang w:val="en-GB"/>
              </w:rPr>
              <w:t>CZK bn was directed on the non-pension social benefits last year</w:t>
            </w:r>
            <w:r w:rsidRPr="007E4AC8">
              <w:rPr>
                <w:spacing w:val="-5"/>
                <w:lang w:val="en-GB"/>
              </w:rPr>
              <w:t xml:space="preserve">, </w:t>
            </w:r>
            <w:r>
              <w:rPr>
                <w:spacing w:val="-5"/>
                <w:lang w:val="en-GB"/>
              </w:rPr>
              <w:t xml:space="preserve">by </w:t>
            </w:r>
            <w:r w:rsidRPr="007E4AC8">
              <w:rPr>
                <w:spacing w:val="-5"/>
                <w:lang w:val="en-GB"/>
              </w:rPr>
              <w:t>5</w:t>
            </w:r>
            <w:r>
              <w:rPr>
                <w:spacing w:val="-5"/>
                <w:lang w:val="en-GB"/>
              </w:rPr>
              <w:t>.</w:t>
            </w:r>
            <w:r w:rsidRPr="007E4AC8">
              <w:rPr>
                <w:spacing w:val="-5"/>
                <w:lang w:val="en-GB"/>
              </w:rPr>
              <w:t xml:space="preserve">7% </w:t>
            </w:r>
            <w:r>
              <w:rPr>
                <w:spacing w:val="-5"/>
                <w:lang w:val="en-GB"/>
              </w:rPr>
              <w:t xml:space="preserve">less year-on-year </w:t>
            </w:r>
            <w:r w:rsidRPr="007E4AC8">
              <w:rPr>
                <w:spacing w:val="-5"/>
                <w:lang w:val="en-GB"/>
              </w:rPr>
              <w:t>(</w:t>
            </w:r>
            <w:proofErr w:type="gramStart"/>
            <w:r>
              <w:rPr>
                <w:spacing w:val="-5"/>
                <w:lang w:val="en-GB"/>
              </w:rPr>
              <w:t>however</w:t>
            </w:r>
            <w:proofErr w:type="gramEnd"/>
            <w:r>
              <w:rPr>
                <w:spacing w:val="-5"/>
                <w:lang w:val="en-GB"/>
              </w:rPr>
              <w:t xml:space="preserve"> expenditures rose by nearly one third compared to year </w:t>
            </w:r>
            <w:r w:rsidRPr="007E4AC8">
              <w:rPr>
                <w:spacing w:val="-5"/>
                <w:lang w:val="en-GB"/>
              </w:rPr>
              <w:t xml:space="preserve">2019). </w:t>
            </w:r>
            <w:r>
              <w:rPr>
                <w:spacing w:val="-5"/>
                <w:lang w:val="en-GB"/>
              </w:rPr>
              <w:t>Primarily the lower drawing of care benefits became evident</w:t>
            </w:r>
            <w:r w:rsidRPr="007E4AC8">
              <w:rPr>
                <w:spacing w:val="-5"/>
                <w:lang w:val="en-GB"/>
              </w:rPr>
              <w:t xml:space="preserve">, </w:t>
            </w:r>
            <w:r>
              <w:rPr>
                <w:spacing w:val="-5"/>
                <w:lang w:val="en-GB"/>
              </w:rPr>
              <w:t>which compared to the record level from year 2</w:t>
            </w:r>
            <w:r w:rsidRPr="007E4AC8">
              <w:rPr>
                <w:spacing w:val="-5"/>
                <w:lang w:val="en-GB"/>
              </w:rPr>
              <w:t>020 (11</w:t>
            </w:r>
            <w:r>
              <w:rPr>
                <w:spacing w:val="-5"/>
                <w:lang w:val="en-GB"/>
              </w:rPr>
              <w:t>.</w:t>
            </w:r>
            <w:r w:rsidRPr="007E4AC8">
              <w:rPr>
                <w:spacing w:val="-5"/>
                <w:lang w:val="en-GB"/>
              </w:rPr>
              <w:t>5</w:t>
            </w:r>
            <w:r>
              <w:rPr>
                <w:spacing w:val="-5"/>
                <w:lang w:val="en-GB"/>
              </w:rPr>
              <w:t xml:space="preserve"> CZK bn</w:t>
            </w:r>
            <w:r w:rsidRPr="007E4AC8">
              <w:rPr>
                <w:spacing w:val="-5"/>
                <w:lang w:val="en-GB"/>
              </w:rPr>
              <w:t>)</w:t>
            </w:r>
            <w:r>
              <w:rPr>
                <w:spacing w:val="-5"/>
                <w:lang w:val="en-GB"/>
              </w:rPr>
              <w:t xml:space="preserve"> slumped by more than one half</w:t>
            </w:r>
            <w:r w:rsidRPr="007E4AC8">
              <w:rPr>
                <w:spacing w:val="-5"/>
                <w:lang w:val="en-GB"/>
              </w:rPr>
              <w:t xml:space="preserve">. </w:t>
            </w:r>
            <w:r>
              <w:rPr>
                <w:spacing w:val="-5"/>
                <w:lang w:val="en-GB"/>
              </w:rPr>
              <w:t xml:space="preserve">Monetary benefits </w:t>
            </w:r>
            <w:r w:rsidRPr="007E4AC8">
              <w:rPr>
                <w:spacing w:val="-5"/>
                <w:lang w:val="en-GB"/>
              </w:rPr>
              <w:t>(+6</w:t>
            </w:r>
            <w:r>
              <w:rPr>
                <w:spacing w:val="-5"/>
                <w:lang w:val="en-GB"/>
              </w:rPr>
              <w:t>.</w:t>
            </w:r>
            <w:r w:rsidRPr="007E4AC8">
              <w:rPr>
                <w:spacing w:val="-5"/>
                <w:lang w:val="en-GB"/>
              </w:rPr>
              <w:t>9%)</w:t>
            </w:r>
            <w:r>
              <w:rPr>
                <w:spacing w:val="-5"/>
                <w:lang w:val="en-GB"/>
              </w:rPr>
              <w:t xml:space="preserve"> as well as the more significant by volume sickness benefits continued in growth last year </w:t>
            </w:r>
            <w:r w:rsidRPr="007E4AC8">
              <w:rPr>
                <w:spacing w:val="-5"/>
                <w:lang w:val="en-GB"/>
              </w:rPr>
              <w:t>(+3</w:t>
            </w:r>
            <w:r>
              <w:rPr>
                <w:spacing w:val="-5"/>
                <w:lang w:val="en-GB"/>
              </w:rPr>
              <w:t>.</w:t>
            </w:r>
            <w:r w:rsidRPr="007E4AC8">
              <w:rPr>
                <w:spacing w:val="-5"/>
                <w:lang w:val="en-GB"/>
              </w:rPr>
              <w:t xml:space="preserve">1%), </w:t>
            </w:r>
            <w:r>
              <w:rPr>
                <w:spacing w:val="-5"/>
                <w:lang w:val="en-GB"/>
              </w:rPr>
              <w:t xml:space="preserve">even though in the second case by markedly weaker pace than in the previous years. The growth of the volume of state social support benefits after the jump increase two years ago halted </w:t>
            </w:r>
            <w:r w:rsidRPr="007E4AC8">
              <w:rPr>
                <w:spacing w:val="-5"/>
                <w:lang w:val="en-GB"/>
              </w:rPr>
              <w:t>(–5</w:t>
            </w:r>
            <w:r>
              <w:rPr>
                <w:spacing w:val="-5"/>
                <w:lang w:val="en-GB"/>
              </w:rPr>
              <w:t>.</w:t>
            </w:r>
            <w:r w:rsidRPr="007E4AC8">
              <w:rPr>
                <w:spacing w:val="-5"/>
                <w:lang w:val="en-GB"/>
              </w:rPr>
              <w:t>5%),</w:t>
            </w:r>
            <w:r>
              <w:rPr>
                <w:spacing w:val="-5"/>
                <w:lang w:val="en-GB"/>
              </w:rPr>
              <w:t xml:space="preserve"> because the key expenditures on parental allowances with simultaneous higher drawing of the child allowance (due to legislative amendment as of </w:t>
            </w:r>
            <w:r w:rsidRPr="007E4AC8">
              <w:rPr>
                <w:spacing w:val="-5"/>
                <w:lang w:val="en-GB"/>
              </w:rPr>
              <w:t>1. 7. 2021)</w:t>
            </w:r>
            <w:r w:rsidRPr="007E4AC8">
              <w:rPr>
                <w:rStyle w:val="Znakapoznpodarou"/>
                <w:spacing w:val="-5"/>
                <w:lang w:val="en-GB"/>
              </w:rPr>
              <w:footnoteReference w:id="98"/>
            </w:r>
            <w:r>
              <w:rPr>
                <w:spacing w:val="-5"/>
                <w:lang w:val="en-GB"/>
              </w:rPr>
              <w:t xml:space="preserve"> decreased</w:t>
            </w:r>
            <w:r w:rsidRPr="007E4AC8">
              <w:rPr>
                <w:spacing w:val="-5"/>
                <w:lang w:val="en-GB"/>
              </w:rPr>
              <w:t xml:space="preserve">. </w:t>
            </w:r>
            <w:r>
              <w:rPr>
                <w:spacing w:val="-5"/>
                <w:lang w:val="en-GB"/>
              </w:rPr>
              <w:t xml:space="preserve">Improvement of the situation on the labour market thanks to the retreat of pandemics led to the lower volume of paid out unemployment benefits </w:t>
            </w:r>
            <w:r w:rsidRPr="007E4AC8">
              <w:rPr>
                <w:spacing w:val="-5"/>
                <w:lang w:val="en-GB"/>
              </w:rPr>
              <w:t>(–5</w:t>
            </w:r>
            <w:r>
              <w:rPr>
                <w:spacing w:val="-5"/>
                <w:lang w:val="en-GB"/>
              </w:rPr>
              <w:t>.</w:t>
            </w:r>
            <w:r w:rsidRPr="007E4AC8">
              <w:rPr>
                <w:spacing w:val="-5"/>
                <w:lang w:val="en-GB"/>
              </w:rPr>
              <w:t xml:space="preserve">2%). </w:t>
            </w:r>
            <w:r>
              <w:rPr>
                <w:spacing w:val="-5"/>
                <w:lang w:val="en-GB"/>
              </w:rPr>
              <w:t xml:space="preserve">The higher drawing of material deprivation benefits however signals a worsened income situation of some households, apparent throughout the </w:t>
            </w:r>
            <w:proofErr w:type="gramStart"/>
            <w:r>
              <w:rPr>
                <w:spacing w:val="-5"/>
                <w:lang w:val="en-GB"/>
              </w:rPr>
              <w:t>whole</w:t>
            </w:r>
            <w:proofErr w:type="gramEnd"/>
            <w:r>
              <w:rPr>
                <w:spacing w:val="-5"/>
                <w:lang w:val="en-GB"/>
              </w:rPr>
              <w:t xml:space="preserve"> pandemic period. By one </w:t>
            </w:r>
            <w:proofErr w:type="gramStart"/>
            <w:r>
              <w:rPr>
                <w:spacing w:val="-5"/>
                <w:lang w:val="en-GB"/>
              </w:rPr>
              <w:t>tenth</w:t>
            </w:r>
            <w:proofErr w:type="gramEnd"/>
            <w:r>
              <w:rPr>
                <w:spacing w:val="-5"/>
                <w:lang w:val="en-GB"/>
              </w:rPr>
              <w:t xml:space="preserve"> more year-on-year was directed on these benefits for year </w:t>
            </w:r>
            <w:r w:rsidRPr="007E4AC8">
              <w:rPr>
                <w:spacing w:val="-5"/>
                <w:lang w:val="en-GB"/>
              </w:rPr>
              <w:t xml:space="preserve">2021, </w:t>
            </w:r>
            <w:r>
              <w:rPr>
                <w:spacing w:val="-5"/>
                <w:lang w:val="en-GB"/>
              </w:rPr>
              <w:t xml:space="preserve">the extraordinary help to persons damaged by natural disaster (June tornado). </w:t>
            </w:r>
          </w:p>
        </w:tc>
      </w:tr>
      <w:tr w:rsidR="00C23909" w:rsidRPr="008266F0" w14:paraId="3BF7C06C" w14:textId="77777777" w:rsidTr="008E039E">
        <w:trPr>
          <w:trHeight w:val="145"/>
        </w:trPr>
        <w:tc>
          <w:tcPr>
            <w:tcW w:w="1732" w:type="dxa"/>
            <w:shd w:val="clear" w:color="auto" w:fill="auto"/>
            <w:tcMar>
              <w:left w:w="0" w:type="dxa"/>
            </w:tcMar>
          </w:tcPr>
          <w:p w14:paraId="5524055F" w14:textId="3BEB502B" w:rsidR="00C23909" w:rsidRDefault="00C23909" w:rsidP="00C23909">
            <w:pPr>
              <w:pStyle w:val="Marginlie"/>
              <w:rPr>
                <w:lang w:val="en-GB"/>
              </w:rPr>
            </w:pPr>
            <w:r w:rsidRPr="00F64C00">
              <w:rPr>
                <w:color w:val="0D0D0D" w:themeColor="text1" w:themeTint="F2"/>
                <w:lang w:val="en-GB"/>
              </w:rPr>
              <w:t>Invest</w:t>
            </w:r>
            <w:r>
              <w:rPr>
                <w:color w:val="0D0D0D" w:themeColor="text1" w:themeTint="F2"/>
                <w:lang w:val="en-GB"/>
              </w:rPr>
              <w:t xml:space="preserve">ment expenditures lagged behind the budget anticipations despite mild year-on-year growth. </w:t>
            </w:r>
          </w:p>
        </w:tc>
        <w:tc>
          <w:tcPr>
            <w:tcW w:w="217" w:type="dxa"/>
            <w:shd w:val="clear" w:color="auto" w:fill="auto"/>
            <w:tcMar>
              <w:left w:w="0" w:type="dxa"/>
            </w:tcMar>
          </w:tcPr>
          <w:p w14:paraId="61EEF523" w14:textId="77777777" w:rsidR="00C23909" w:rsidRPr="007E4AC8" w:rsidRDefault="00C23909" w:rsidP="00C23909">
            <w:pPr>
              <w:pStyle w:val="Textpoznpodarou"/>
              <w:jc w:val="both"/>
              <w:rPr>
                <w:spacing w:val="-4"/>
                <w:lang w:val="en-GB"/>
              </w:rPr>
            </w:pPr>
          </w:p>
        </w:tc>
        <w:tc>
          <w:tcPr>
            <w:tcW w:w="7720" w:type="dxa"/>
            <w:shd w:val="clear" w:color="auto" w:fill="auto"/>
            <w:tcMar>
              <w:left w:w="0" w:type="dxa"/>
            </w:tcMar>
          </w:tcPr>
          <w:p w14:paraId="273F2193" w14:textId="4D6F687F" w:rsidR="00C23909" w:rsidRPr="007E4AC8" w:rsidRDefault="00C23909" w:rsidP="00C23909">
            <w:pPr>
              <w:spacing w:after="200"/>
              <w:rPr>
                <w:spacing w:val="-5"/>
                <w:lang w:val="en-GB"/>
              </w:rPr>
            </w:pPr>
            <w:r>
              <w:rPr>
                <w:bCs/>
                <w:color w:val="0D0D0D" w:themeColor="text1" w:themeTint="F2"/>
                <w:szCs w:val="20"/>
                <w:lang w:val="en-GB"/>
              </w:rPr>
              <w:t xml:space="preserve">Capital expenditures achieved record </w:t>
            </w:r>
            <w:r w:rsidRPr="00F64C00">
              <w:rPr>
                <w:color w:val="0D0D0D" w:themeColor="text1" w:themeTint="F2"/>
                <w:szCs w:val="20"/>
                <w:lang w:val="en-GB"/>
              </w:rPr>
              <w:t>177</w:t>
            </w:r>
            <w:r>
              <w:rPr>
                <w:color w:val="0D0D0D" w:themeColor="text1" w:themeTint="F2"/>
                <w:szCs w:val="20"/>
                <w:lang w:val="en-GB"/>
              </w:rPr>
              <w:t>.</w:t>
            </w:r>
            <w:r w:rsidRPr="00F64C00">
              <w:rPr>
                <w:color w:val="0D0D0D" w:themeColor="text1" w:themeTint="F2"/>
                <w:szCs w:val="20"/>
                <w:lang w:val="en-GB"/>
              </w:rPr>
              <w:t>4</w:t>
            </w:r>
            <w:r>
              <w:rPr>
                <w:color w:val="0D0D0D" w:themeColor="text1" w:themeTint="F2"/>
                <w:szCs w:val="20"/>
                <w:lang w:val="en-GB"/>
              </w:rPr>
              <w:t xml:space="preserve"> CZK bn last year and it strengthened by </w:t>
            </w:r>
            <w:r w:rsidRPr="00F64C00">
              <w:rPr>
                <w:color w:val="0D0D0D" w:themeColor="text1" w:themeTint="F2"/>
                <w:szCs w:val="20"/>
                <w:lang w:val="en-GB"/>
              </w:rPr>
              <w:t>2</w:t>
            </w:r>
            <w:r>
              <w:rPr>
                <w:color w:val="0D0D0D" w:themeColor="text1" w:themeTint="F2"/>
                <w:szCs w:val="20"/>
                <w:lang w:val="en-GB"/>
              </w:rPr>
              <w:t>.</w:t>
            </w:r>
            <w:r w:rsidRPr="00F64C00">
              <w:rPr>
                <w:color w:val="0D0D0D" w:themeColor="text1" w:themeTint="F2"/>
                <w:szCs w:val="20"/>
                <w:lang w:val="en-GB"/>
              </w:rPr>
              <w:t>8%</w:t>
            </w:r>
            <w:r>
              <w:rPr>
                <w:color w:val="0D0D0D" w:themeColor="text1" w:themeTint="F2"/>
                <w:szCs w:val="20"/>
                <w:lang w:val="en-GB"/>
              </w:rPr>
              <w:t xml:space="preserve"> year-on-year</w:t>
            </w:r>
            <w:r w:rsidRPr="00F64C00">
              <w:rPr>
                <w:color w:val="0D0D0D" w:themeColor="text1" w:themeTint="F2"/>
                <w:szCs w:val="20"/>
                <w:lang w:val="en-GB"/>
              </w:rPr>
              <w:t>.</w:t>
            </w:r>
            <w:r>
              <w:rPr>
                <w:color w:val="0D0D0D" w:themeColor="text1" w:themeTint="F2"/>
                <w:szCs w:val="20"/>
                <w:lang w:val="en-GB"/>
              </w:rPr>
              <w:t xml:space="preserve"> Even in spite of fast drawing, they remained around 6% behind the budget anticipations towards the end of the year</w:t>
            </w:r>
            <w:r w:rsidRPr="00F64C00">
              <w:rPr>
                <w:color w:val="0D0D0D" w:themeColor="text1" w:themeTint="F2"/>
                <w:szCs w:val="20"/>
                <w:lang w:val="en-GB"/>
              </w:rPr>
              <w:t>.</w:t>
            </w:r>
            <w:r>
              <w:rPr>
                <w:color w:val="0D0D0D" w:themeColor="text1" w:themeTint="F2"/>
                <w:szCs w:val="20"/>
                <w:lang w:val="en-GB"/>
              </w:rPr>
              <w:t xml:space="preserve"> It </w:t>
            </w:r>
            <w:proofErr w:type="gramStart"/>
            <w:r>
              <w:rPr>
                <w:color w:val="0D0D0D" w:themeColor="text1" w:themeTint="F2"/>
                <w:szCs w:val="20"/>
                <w:lang w:val="en-GB"/>
              </w:rPr>
              <w:t>is connected</w:t>
            </w:r>
            <w:proofErr w:type="gramEnd"/>
            <w:r>
              <w:rPr>
                <w:color w:val="0D0D0D" w:themeColor="text1" w:themeTint="F2"/>
                <w:szCs w:val="20"/>
                <w:lang w:val="en-GB"/>
              </w:rPr>
              <w:t xml:space="preserve"> to the slower realisation of projects in the area of transportation, regional development, sport and culture. More than one third of investment </w:t>
            </w:r>
            <w:proofErr w:type="gramStart"/>
            <w:r>
              <w:rPr>
                <w:color w:val="0D0D0D" w:themeColor="text1" w:themeTint="F2"/>
                <w:szCs w:val="20"/>
                <w:lang w:val="en-GB"/>
              </w:rPr>
              <w:t>were aimed</w:t>
            </w:r>
            <w:proofErr w:type="gramEnd"/>
            <w:r>
              <w:rPr>
                <w:color w:val="0D0D0D" w:themeColor="text1" w:themeTint="F2"/>
                <w:szCs w:val="20"/>
                <w:lang w:val="en-GB"/>
              </w:rPr>
              <w:t xml:space="preserve"> at the State Fund for Transport Infrastructure. Its budget </w:t>
            </w:r>
            <w:proofErr w:type="gramStart"/>
            <w:r>
              <w:rPr>
                <w:color w:val="0D0D0D" w:themeColor="text1" w:themeTint="F2"/>
                <w:szCs w:val="20"/>
                <w:lang w:val="en-GB"/>
              </w:rPr>
              <w:t>was strengthened</w:t>
            </w:r>
            <w:proofErr w:type="gramEnd"/>
            <w:r>
              <w:rPr>
                <w:color w:val="0D0D0D" w:themeColor="text1" w:themeTint="F2"/>
                <w:szCs w:val="20"/>
                <w:lang w:val="en-GB"/>
              </w:rPr>
              <w:t xml:space="preserve"> by </w:t>
            </w:r>
            <w:r w:rsidRPr="00F64C00">
              <w:rPr>
                <w:color w:val="0D0D0D" w:themeColor="text1" w:themeTint="F2"/>
                <w:szCs w:val="20"/>
                <w:lang w:val="en-GB"/>
              </w:rPr>
              <w:t>3</w:t>
            </w:r>
            <w:r>
              <w:rPr>
                <w:color w:val="0D0D0D" w:themeColor="text1" w:themeTint="F2"/>
                <w:szCs w:val="20"/>
                <w:lang w:val="en-GB"/>
              </w:rPr>
              <w:t>.</w:t>
            </w:r>
            <w:r w:rsidRPr="00F64C00">
              <w:rPr>
                <w:color w:val="0D0D0D" w:themeColor="text1" w:themeTint="F2"/>
                <w:szCs w:val="20"/>
                <w:lang w:val="en-GB"/>
              </w:rPr>
              <w:t>5</w:t>
            </w:r>
            <w:r>
              <w:rPr>
                <w:color w:val="0D0D0D" w:themeColor="text1" w:themeTint="F2"/>
                <w:szCs w:val="20"/>
                <w:lang w:val="en-GB"/>
              </w:rPr>
              <w:t xml:space="preserve"> CZK bn this way year-on-year</w:t>
            </w:r>
            <w:r w:rsidRPr="00F64C00">
              <w:rPr>
                <w:color w:val="0D0D0D" w:themeColor="text1" w:themeTint="F2"/>
                <w:szCs w:val="20"/>
                <w:lang w:val="en-GB"/>
              </w:rPr>
              <w:t>,</w:t>
            </w:r>
            <w:r>
              <w:rPr>
                <w:color w:val="0D0D0D" w:themeColor="text1" w:themeTint="F2"/>
                <w:szCs w:val="20"/>
                <w:lang w:val="en-GB"/>
              </w:rPr>
              <w:t xml:space="preserve"> which together with higher own revenues (from collection of tolls) led to a mild strengthening of expenditures </w:t>
            </w:r>
            <w:r>
              <w:rPr>
                <w:color w:val="0D0D0D" w:themeColor="text1" w:themeTint="F2"/>
                <w:szCs w:val="20"/>
                <w:lang w:val="en-GB"/>
              </w:rPr>
              <w:lastRenderedPageBreak/>
              <w:t xml:space="preserve">of the Transportation Fund. The share of investment on total SB expenditures stayed last year at similar size to year </w:t>
            </w:r>
            <w:r w:rsidRPr="00F64C00">
              <w:rPr>
                <w:color w:val="0D0D0D" w:themeColor="text1" w:themeTint="F2"/>
                <w:szCs w:val="20"/>
                <w:lang w:val="en-GB"/>
              </w:rPr>
              <w:t>2020 (9</w:t>
            </w:r>
            <w:r>
              <w:rPr>
                <w:color w:val="0D0D0D" w:themeColor="text1" w:themeTint="F2"/>
                <w:szCs w:val="20"/>
                <w:lang w:val="en-GB"/>
              </w:rPr>
              <w:t>.</w:t>
            </w:r>
            <w:r w:rsidRPr="00F64C00">
              <w:rPr>
                <w:color w:val="0D0D0D" w:themeColor="text1" w:themeTint="F2"/>
                <w:szCs w:val="20"/>
                <w:lang w:val="en-GB"/>
              </w:rPr>
              <w:t>3%)</w:t>
            </w:r>
            <w:r>
              <w:rPr>
                <w:color w:val="0D0D0D" w:themeColor="text1" w:themeTint="F2"/>
                <w:szCs w:val="20"/>
                <w:lang w:val="en-GB"/>
              </w:rPr>
              <w:t xml:space="preserve"> and </w:t>
            </w:r>
            <w:proofErr w:type="gramStart"/>
            <w:r>
              <w:rPr>
                <w:color w:val="0D0D0D" w:themeColor="text1" w:themeTint="F2"/>
                <w:szCs w:val="20"/>
                <w:lang w:val="en-GB"/>
              </w:rPr>
              <w:t>it also</w:t>
            </w:r>
            <w:proofErr w:type="gramEnd"/>
            <w:r>
              <w:rPr>
                <w:color w:val="0D0D0D" w:themeColor="text1" w:themeTint="F2"/>
                <w:szCs w:val="20"/>
                <w:lang w:val="en-GB"/>
              </w:rPr>
              <w:t xml:space="preserve"> did not significantly deflect from the long-term average. </w:t>
            </w:r>
            <w:r w:rsidRPr="00F64C00">
              <w:rPr>
                <w:color w:val="0D0D0D" w:themeColor="text1" w:themeTint="F2"/>
                <w:szCs w:val="20"/>
                <w:lang w:val="en-GB"/>
              </w:rPr>
              <w:t xml:space="preserve"> </w:t>
            </w:r>
          </w:p>
        </w:tc>
      </w:tr>
      <w:tr w:rsidR="00C23909" w:rsidRPr="00F704D2" w14:paraId="6DA2B77A" w14:textId="77777777" w:rsidTr="008E039E">
        <w:trPr>
          <w:trHeight w:val="170"/>
        </w:trPr>
        <w:tc>
          <w:tcPr>
            <w:tcW w:w="1732" w:type="dxa"/>
            <w:vMerge w:val="restart"/>
            <w:shd w:val="clear" w:color="auto" w:fill="auto"/>
            <w:tcMar>
              <w:left w:w="0" w:type="dxa"/>
            </w:tcMar>
          </w:tcPr>
          <w:p w14:paraId="67E18AB4" w14:textId="77777777" w:rsidR="00C23909" w:rsidRDefault="00C23909" w:rsidP="00C23909">
            <w:pPr>
              <w:pStyle w:val="Marginlie"/>
            </w:pPr>
          </w:p>
        </w:tc>
        <w:tc>
          <w:tcPr>
            <w:tcW w:w="217" w:type="dxa"/>
            <w:vMerge w:val="restart"/>
            <w:shd w:val="clear" w:color="auto" w:fill="auto"/>
            <w:tcMar>
              <w:left w:w="0" w:type="dxa"/>
            </w:tcMar>
          </w:tcPr>
          <w:p w14:paraId="5292F7C7" w14:textId="77777777" w:rsidR="00C23909" w:rsidRDefault="00C23909" w:rsidP="00C23909">
            <w:pPr>
              <w:pStyle w:val="Textpoznpodarou"/>
              <w:jc w:val="both"/>
              <w:rPr>
                <w:spacing w:val="-4"/>
              </w:rPr>
            </w:pPr>
          </w:p>
        </w:tc>
        <w:tc>
          <w:tcPr>
            <w:tcW w:w="7720" w:type="dxa"/>
            <w:shd w:val="clear" w:color="auto" w:fill="auto"/>
            <w:tcMar>
              <w:left w:w="0" w:type="dxa"/>
            </w:tcMar>
          </w:tcPr>
          <w:p w14:paraId="6B3865B5" w14:textId="7487EE56" w:rsidR="00C23909" w:rsidRPr="009E555E" w:rsidRDefault="00C23909" w:rsidP="00C23909">
            <w:pPr>
              <w:spacing w:after="20" w:line="240" w:lineRule="auto"/>
              <w:jc w:val="left"/>
              <w:rPr>
                <w:rFonts w:cs="Arial"/>
                <w:bCs/>
                <w:spacing w:val="-2"/>
              </w:rPr>
            </w:pPr>
            <w:r>
              <w:rPr>
                <w:b/>
                <w:spacing w:val="-2"/>
              </w:rPr>
              <w:t>Chart 19</w:t>
            </w:r>
            <w:r w:rsidRPr="009E555E">
              <w:rPr>
                <w:b/>
                <w:spacing w:val="-2"/>
              </w:rPr>
              <w:t xml:space="preserve">  </w:t>
            </w:r>
            <w:r w:rsidRPr="000A5DBC">
              <w:rPr>
                <w:b/>
                <w:spacing w:val="-6"/>
                <w:lang w:val="en-GB"/>
              </w:rPr>
              <w:t>Selected</w:t>
            </w:r>
            <w:r w:rsidRPr="000A5DBC">
              <w:rPr>
                <w:rFonts w:cs="Arial"/>
                <w:b/>
                <w:bCs/>
                <w:spacing w:val="-6"/>
                <w:lang w:val="en-GB"/>
              </w:rPr>
              <w:t xml:space="preserve"> expenditures of </w:t>
            </w:r>
            <w:proofErr w:type="gramStart"/>
            <w:r w:rsidRPr="000A5DBC">
              <w:rPr>
                <w:rFonts w:cs="Arial"/>
                <w:b/>
                <w:bCs/>
                <w:spacing w:val="-6"/>
                <w:lang w:val="en-GB"/>
              </w:rPr>
              <w:t>the</w:t>
            </w:r>
            <w:proofErr w:type="gramEnd"/>
            <w:r w:rsidRPr="000A5DBC">
              <w:rPr>
                <w:rFonts w:cs="Arial"/>
                <w:b/>
                <w:bCs/>
                <w:spacing w:val="-6"/>
                <w:lang w:val="en-GB"/>
              </w:rPr>
              <w:t xml:space="preserve"> state budget </w:t>
            </w:r>
            <w:r w:rsidRPr="000A5DBC">
              <w:rPr>
                <w:rFonts w:cs="Arial"/>
                <w:bCs/>
                <w:spacing w:val="-6"/>
                <w:lang w:val="en-GB"/>
              </w:rPr>
              <w:t>(in CZK bn</w:t>
            </w:r>
            <w:r>
              <w:rPr>
                <w:rFonts w:cs="Arial"/>
                <w:bCs/>
                <w:spacing w:val="-6"/>
                <w:lang w:val="en-GB"/>
              </w:rPr>
              <w:t>)</w:t>
            </w:r>
          </w:p>
        </w:tc>
      </w:tr>
      <w:tr w:rsidR="00C23909" w14:paraId="59682A5A" w14:textId="77777777" w:rsidTr="00AC7ACA">
        <w:tblPrEx>
          <w:tblCellMar>
            <w:left w:w="70" w:type="dxa"/>
            <w:right w:w="70" w:type="dxa"/>
          </w:tblCellMar>
        </w:tblPrEx>
        <w:trPr>
          <w:trHeight w:val="170"/>
        </w:trPr>
        <w:tc>
          <w:tcPr>
            <w:tcW w:w="1732" w:type="dxa"/>
            <w:vMerge/>
            <w:shd w:val="clear" w:color="auto" w:fill="auto"/>
          </w:tcPr>
          <w:p w14:paraId="1665C4B9" w14:textId="77777777" w:rsidR="00C23909" w:rsidRDefault="00C23909" w:rsidP="00C23909">
            <w:pPr>
              <w:pStyle w:val="Marginlie"/>
            </w:pPr>
          </w:p>
        </w:tc>
        <w:tc>
          <w:tcPr>
            <w:tcW w:w="217" w:type="dxa"/>
            <w:vMerge/>
            <w:shd w:val="clear" w:color="auto" w:fill="auto"/>
          </w:tcPr>
          <w:p w14:paraId="5938BB5B" w14:textId="77777777" w:rsidR="00C23909" w:rsidRDefault="00C23909" w:rsidP="00C23909">
            <w:pPr>
              <w:pStyle w:val="Textpoznpodarou"/>
              <w:jc w:val="both"/>
              <w:rPr>
                <w:spacing w:val="-4"/>
              </w:rPr>
            </w:pPr>
          </w:p>
        </w:tc>
        <w:tc>
          <w:tcPr>
            <w:tcW w:w="7720" w:type="dxa"/>
            <w:shd w:val="clear" w:color="auto" w:fill="auto"/>
          </w:tcPr>
          <w:p w14:paraId="70787D34" w14:textId="0021339C" w:rsidR="00C23909" w:rsidRPr="0067514E" w:rsidRDefault="00AC7ACA" w:rsidP="00C23909">
            <w:pPr>
              <w:spacing w:after="0"/>
              <w:rPr>
                <w:spacing w:val="-6"/>
              </w:rPr>
            </w:pPr>
            <w:r>
              <w:rPr>
                <w:noProof/>
              </w:rPr>
              <w:drawing>
                <wp:inline distT="0" distB="0" distL="0" distR="0" wp14:anchorId="14C5A2F2" wp14:editId="366CBCC4">
                  <wp:extent cx="4769487" cy="3362348"/>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23909" w:rsidRPr="00343AC1" w14:paraId="09A84D7F" w14:textId="77777777" w:rsidTr="008E039E">
        <w:trPr>
          <w:trHeight w:val="170"/>
        </w:trPr>
        <w:tc>
          <w:tcPr>
            <w:tcW w:w="1732" w:type="dxa"/>
            <w:vMerge/>
            <w:shd w:val="clear" w:color="auto" w:fill="auto"/>
            <w:tcMar>
              <w:left w:w="0" w:type="dxa"/>
            </w:tcMar>
          </w:tcPr>
          <w:p w14:paraId="0C2D9F48" w14:textId="77777777" w:rsidR="00C23909" w:rsidRDefault="00C23909" w:rsidP="00C23909">
            <w:pPr>
              <w:pStyle w:val="Marginlie"/>
            </w:pPr>
          </w:p>
        </w:tc>
        <w:tc>
          <w:tcPr>
            <w:tcW w:w="217" w:type="dxa"/>
            <w:vMerge/>
            <w:shd w:val="clear" w:color="auto" w:fill="auto"/>
            <w:tcMar>
              <w:left w:w="0" w:type="dxa"/>
            </w:tcMar>
          </w:tcPr>
          <w:p w14:paraId="4D4445CD" w14:textId="77777777" w:rsidR="00C23909" w:rsidRDefault="00C23909" w:rsidP="00C23909">
            <w:pPr>
              <w:pStyle w:val="Textpoznpodarou"/>
              <w:jc w:val="both"/>
              <w:rPr>
                <w:spacing w:val="-4"/>
              </w:rPr>
            </w:pPr>
          </w:p>
        </w:tc>
        <w:tc>
          <w:tcPr>
            <w:tcW w:w="7720" w:type="dxa"/>
            <w:shd w:val="clear" w:color="auto" w:fill="auto"/>
            <w:tcMar>
              <w:left w:w="0" w:type="dxa"/>
            </w:tcMar>
          </w:tcPr>
          <w:p w14:paraId="71ADBDA4" w14:textId="522EE53F" w:rsidR="00C23909" w:rsidRPr="00DC4FD0" w:rsidRDefault="00C23909" w:rsidP="00C23909">
            <w:pPr>
              <w:pStyle w:val="Textpoznpodarou"/>
              <w:rPr>
                <w:i/>
                <w:spacing w:val="-4"/>
                <w:sz w:val="14"/>
                <w:szCs w:val="14"/>
              </w:rPr>
            </w:pPr>
            <w:r w:rsidRPr="00DC4FD0">
              <w:rPr>
                <w:i/>
                <w:spacing w:val="-4"/>
                <w:sz w:val="14"/>
                <w:szCs w:val="14"/>
              </w:rPr>
              <w:t>*</w:t>
            </w:r>
            <w:r>
              <w:rPr>
                <w:i/>
                <w:spacing w:val="-4"/>
                <w:sz w:val="14"/>
                <w:szCs w:val="14"/>
              </w:rPr>
              <w:t xml:space="preserve"> </w:t>
            </w:r>
            <w:r w:rsidRPr="00DC4FD0">
              <w:rPr>
                <w:i/>
                <w:spacing w:val="-4"/>
                <w:sz w:val="14"/>
                <w:szCs w:val="14"/>
                <w:lang w:val="en-GB"/>
              </w:rPr>
              <w:t>They cover</w:t>
            </w:r>
            <w:r>
              <w:rPr>
                <w:i/>
                <w:spacing w:val="-4"/>
                <w:sz w:val="14"/>
                <w:szCs w:val="14"/>
                <w:lang w:val="en-GB"/>
              </w:rPr>
              <w:t xml:space="preserve"> expenditure on wages in organisational units of </w:t>
            </w:r>
            <w:proofErr w:type="gramStart"/>
            <w:r>
              <w:rPr>
                <w:i/>
                <w:spacing w:val="-4"/>
                <w:sz w:val="14"/>
                <w:szCs w:val="14"/>
                <w:lang w:val="en-GB"/>
              </w:rPr>
              <w:t>the</w:t>
            </w:r>
            <w:proofErr w:type="gramEnd"/>
            <w:r>
              <w:rPr>
                <w:i/>
                <w:spacing w:val="-4"/>
                <w:sz w:val="14"/>
                <w:szCs w:val="14"/>
                <w:lang w:val="en-GB"/>
              </w:rPr>
              <w:t xml:space="preserve"> state. They exclude, for example, wage expenditure on regional education. </w:t>
            </w:r>
          </w:p>
          <w:p w14:paraId="07A7931D" w14:textId="60C8D692" w:rsidR="00C23909" w:rsidRPr="00DC4FD0" w:rsidRDefault="00C23909" w:rsidP="00C23909">
            <w:pPr>
              <w:pStyle w:val="Textpoznpodarou"/>
              <w:rPr>
                <w:i/>
                <w:spacing w:val="-4"/>
                <w:sz w:val="14"/>
                <w:szCs w:val="14"/>
              </w:rPr>
            </w:pPr>
            <w:r w:rsidRPr="00DC4FD0">
              <w:rPr>
                <w:i/>
                <w:spacing w:val="-4"/>
                <w:sz w:val="14"/>
                <w:szCs w:val="14"/>
                <w:lang w:val="en-GB"/>
              </w:rPr>
              <w:t>**</w:t>
            </w:r>
            <w:r>
              <w:rPr>
                <w:i/>
                <w:spacing w:val="-4"/>
                <w:sz w:val="14"/>
                <w:szCs w:val="14"/>
                <w:lang w:val="en-GB"/>
              </w:rPr>
              <w:t xml:space="preserve"> </w:t>
            </w:r>
            <w:r w:rsidRPr="00DC4FD0">
              <w:rPr>
                <w:i/>
                <w:spacing w:val="-4"/>
                <w:sz w:val="14"/>
                <w:szCs w:val="14"/>
                <w:lang w:val="en-GB"/>
              </w:rPr>
              <w:t>It also includes</w:t>
            </w:r>
            <w:r>
              <w:rPr>
                <w:i/>
                <w:spacing w:val="-4"/>
                <w:sz w:val="14"/>
                <w:szCs w:val="14"/>
                <w:lang w:val="en-GB"/>
              </w:rPr>
              <w:t xml:space="preserve"> foster care benefits </w:t>
            </w:r>
            <w:r w:rsidRPr="00E918E3">
              <w:rPr>
                <w:i/>
                <w:spacing w:val="-4"/>
                <w:sz w:val="14"/>
                <w:szCs w:val="14"/>
                <w:lang w:val="en-GB"/>
              </w:rPr>
              <w:t xml:space="preserve">and </w:t>
            </w:r>
            <w:r w:rsidRPr="00F31A67">
              <w:rPr>
                <w:i/>
                <w:spacing w:val="-4"/>
                <w:sz w:val="14"/>
                <w:szCs w:val="14"/>
                <w:lang w:val="en-GB"/>
              </w:rPr>
              <w:t xml:space="preserve">substitute </w:t>
            </w:r>
            <w:r w:rsidRPr="0097527D">
              <w:rPr>
                <w:i/>
                <w:spacing w:val="-4"/>
                <w:sz w:val="14"/>
                <w:szCs w:val="14"/>
                <w:lang w:val="en-GB"/>
              </w:rPr>
              <w:t>child support (maintenance).</w:t>
            </w:r>
            <w:r>
              <w:rPr>
                <w:i/>
                <w:spacing w:val="-4"/>
                <w:sz w:val="14"/>
                <w:szCs w:val="14"/>
                <w:lang w:val="en-GB"/>
              </w:rPr>
              <w:t xml:space="preserve"> </w:t>
            </w:r>
          </w:p>
          <w:p w14:paraId="77E47EF5" w14:textId="0516ED0D" w:rsidR="00C23909" w:rsidRPr="00DC4FD0" w:rsidRDefault="00C23909" w:rsidP="00C23909">
            <w:pPr>
              <w:pStyle w:val="Textpoznpodarou"/>
              <w:tabs>
                <w:tab w:val="right" w:pos="7683"/>
              </w:tabs>
              <w:rPr>
                <w:i/>
                <w:spacing w:val="-4"/>
                <w:sz w:val="14"/>
                <w:szCs w:val="14"/>
                <w:lang w:val="en-GB"/>
              </w:rPr>
            </w:pPr>
            <w:r w:rsidRPr="00DC4FD0">
              <w:rPr>
                <w:i/>
                <w:spacing w:val="-4"/>
                <w:sz w:val="14"/>
                <w:szCs w:val="14"/>
                <w:lang w:val="en-GB"/>
              </w:rPr>
              <w:t>***</w:t>
            </w:r>
            <w:r>
              <w:rPr>
                <w:i/>
                <w:spacing w:val="-4"/>
                <w:sz w:val="14"/>
                <w:szCs w:val="14"/>
                <w:lang w:val="en-GB"/>
              </w:rPr>
              <w:t xml:space="preserve"> </w:t>
            </w:r>
            <w:r w:rsidRPr="00DC4FD0">
              <w:rPr>
                <w:i/>
                <w:spacing w:val="-4"/>
                <w:sz w:val="14"/>
                <w:szCs w:val="14"/>
                <w:lang w:val="en-GB"/>
              </w:rPr>
              <w:t>They include benefits of assistance in material need,</w:t>
            </w:r>
            <w:r w:rsidRPr="00225560">
              <w:rPr>
                <w:i/>
                <w:spacing w:val="-4"/>
                <w:sz w:val="14"/>
                <w:szCs w:val="14"/>
                <w:lang w:val="en-GB"/>
              </w:rPr>
              <w:t xml:space="preserve"> benefits for people with disabilities, </w:t>
            </w:r>
            <w:r w:rsidRPr="00DC4FD0">
              <w:rPr>
                <w:i/>
                <w:spacing w:val="-4"/>
                <w:sz w:val="14"/>
                <w:szCs w:val="14"/>
                <w:lang w:val="en-GB"/>
              </w:rPr>
              <w:t>care benefit pursuant to the Act on Social Services.</w:t>
            </w:r>
            <w:r>
              <w:rPr>
                <w:i/>
                <w:spacing w:val="-4"/>
                <w:sz w:val="14"/>
                <w:szCs w:val="14"/>
                <w:lang w:val="en-GB"/>
              </w:rPr>
              <w:t xml:space="preserve"> </w:t>
            </w:r>
          </w:p>
          <w:p w14:paraId="6C0AC7D5" w14:textId="61ABB8B2" w:rsidR="00C23909" w:rsidRPr="00DC4FD0" w:rsidRDefault="00C23909" w:rsidP="00C23909">
            <w:pPr>
              <w:pStyle w:val="Textpoznpodarou"/>
              <w:tabs>
                <w:tab w:val="right" w:pos="7683"/>
              </w:tabs>
              <w:rPr>
                <w:i/>
                <w:spacing w:val="-4"/>
                <w:sz w:val="14"/>
                <w:szCs w:val="14"/>
              </w:rPr>
            </w:pPr>
            <w:r w:rsidRPr="00DC4FD0">
              <w:rPr>
                <w:i/>
                <w:spacing w:val="-4"/>
                <w:sz w:val="14"/>
                <w:szCs w:val="14"/>
                <w:lang w:val="en-GB"/>
              </w:rPr>
              <w:t>****</w:t>
            </w:r>
            <w:r>
              <w:rPr>
                <w:i/>
                <w:spacing w:val="-4"/>
                <w:sz w:val="14"/>
                <w:szCs w:val="14"/>
                <w:lang w:val="en-GB"/>
              </w:rPr>
              <w:t xml:space="preserve"> </w:t>
            </w:r>
            <w:r w:rsidRPr="00DC4FD0">
              <w:rPr>
                <w:i/>
                <w:spacing w:val="-4"/>
                <w:sz w:val="14"/>
                <w:szCs w:val="14"/>
                <w:lang w:val="en-GB"/>
              </w:rPr>
              <w:t>They mainly include expenditure on purchase of services, material, energies, or other services (for example,</w:t>
            </w:r>
            <w:r>
              <w:rPr>
                <w:i/>
                <w:spacing w:val="-4"/>
                <w:sz w:val="14"/>
                <w:szCs w:val="14"/>
                <w:lang w:val="en-GB"/>
              </w:rPr>
              <w:t xml:space="preserve"> expenditure on repairs and maintenance). </w:t>
            </w:r>
          </w:p>
          <w:p w14:paraId="4BBD2FDC" w14:textId="3282A5EB" w:rsidR="00C23909" w:rsidRPr="00DC4FD0" w:rsidRDefault="00C23909" w:rsidP="00C23909">
            <w:pPr>
              <w:pStyle w:val="Textpoznpodarou"/>
              <w:tabs>
                <w:tab w:val="right" w:pos="7683"/>
              </w:tabs>
              <w:rPr>
                <w:i/>
                <w:spacing w:val="-6"/>
                <w:sz w:val="14"/>
                <w:szCs w:val="14"/>
              </w:rPr>
            </w:pPr>
            <w:r w:rsidRPr="00DC4FD0">
              <w:rPr>
                <w:i/>
                <w:spacing w:val="-6"/>
                <w:sz w:val="14"/>
                <w:szCs w:val="14"/>
              </w:rPr>
              <w:t>*****</w:t>
            </w:r>
            <w:r>
              <w:rPr>
                <w:i/>
                <w:spacing w:val="-6"/>
                <w:sz w:val="14"/>
                <w:szCs w:val="14"/>
              </w:rPr>
              <w:t xml:space="preserve"> </w:t>
            </w:r>
            <w:r w:rsidRPr="00DC4FD0">
              <w:rPr>
                <w:i/>
                <w:spacing w:val="-6"/>
                <w:sz w:val="14"/>
                <w:szCs w:val="14"/>
                <w:lang w:val="en-GB"/>
              </w:rPr>
              <w:t xml:space="preserve">It corresponds to the balance of the </w:t>
            </w:r>
            <w:r>
              <w:rPr>
                <w:i/>
                <w:spacing w:val="-6"/>
                <w:sz w:val="14"/>
                <w:szCs w:val="14"/>
                <w:lang w:val="en-GB"/>
              </w:rPr>
              <w:t>“</w:t>
            </w:r>
            <w:r w:rsidRPr="00DC4FD0">
              <w:rPr>
                <w:i/>
                <w:spacing w:val="-6"/>
                <w:sz w:val="14"/>
                <w:szCs w:val="14"/>
                <w:lang w:val="en-GB"/>
              </w:rPr>
              <w:t>State debt</w:t>
            </w:r>
            <w:r>
              <w:rPr>
                <w:i/>
                <w:spacing w:val="-6"/>
                <w:sz w:val="14"/>
                <w:szCs w:val="14"/>
                <w:lang w:val="en-GB"/>
              </w:rPr>
              <w:t xml:space="preserve">” </w:t>
            </w:r>
            <w:r w:rsidRPr="0091207F">
              <w:rPr>
                <w:i/>
                <w:spacing w:val="-6"/>
                <w:sz w:val="14"/>
                <w:szCs w:val="14"/>
                <w:lang w:val="en-GB"/>
              </w:rPr>
              <w:t>budget chapter</w:t>
            </w:r>
            <w:r w:rsidRPr="00DC4FD0">
              <w:rPr>
                <w:i/>
                <w:spacing w:val="-6"/>
                <w:sz w:val="14"/>
                <w:szCs w:val="14"/>
                <w:lang w:val="en-GB"/>
              </w:rPr>
              <w:t>.</w:t>
            </w:r>
            <w:r>
              <w:rPr>
                <w:i/>
                <w:spacing w:val="-6"/>
                <w:sz w:val="14"/>
                <w:szCs w:val="14"/>
              </w:rPr>
              <w:t xml:space="preserve">  </w:t>
            </w:r>
          </w:p>
          <w:p w14:paraId="6C18ACC1" w14:textId="758E8F80" w:rsidR="00C23909" w:rsidRPr="00C23909" w:rsidRDefault="00C23909" w:rsidP="00C23909">
            <w:pPr>
              <w:pStyle w:val="Textpoznpodarou"/>
              <w:tabs>
                <w:tab w:val="right" w:pos="7683"/>
              </w:tabs>
              <w:spacing w:after="200"/>
              <w:rPr>
                <w:b/>
                <w:bCs/>
                <w:i/>
                <w:spacing w:val="-6"/>
                <w:sz w:val="16"/>
                <w:szCs w:val="16"/>
                <w:lang w:val="en-GB"/>
              </w:rPr>
            </w:pPr>
            <w:r w:rsidRPr="00DC4FD0">
              <w:rPr>
                <w:i/>
                <w:spacing w:val="-6"/>
                <w:sz w:val="14"/>
                <w:szCs w:val="14"/>
                <w:lang w:val="en-GB"/>
              </w:rPr>
              <w:t>Source: Ministry of Finance of the Czech Republic, Ministry of Labour and Social Affairs</w:t>
            </w:r>
          </w:p>
        </w:tc>
      </w:tr>
      <w:tr w:rsidR="00C23909" w:rsidRPr="00343AC1" w14:paraId="6BE8E008" w14:textId="77777777" w:rsidTr="008E039E">
        <w:trPr>
          <w:trHeight w:val="170"/>
        </w:trPr>
        <w:tc>
          <w:tcPr>
            <w:tcW w:w="1732" w:type="dxa"/>
            <w:shd w:val="clear" w:color="auto" w:fill="auto"/>
            <w:tcMar>
              <w:left w:w="0" w:type="dxa"/>
            </w:tcMar>
          </w:tcPr>
          <w:p w14:paraId="3A902ABA" w14:textId="1B8AE84E" w:rsidR="00C23909" w:rsidRPr="00105C5C" w:rsidRDefault="00C23909" w:rsidP="00C23909">
            <w:pPr>
              <w:pStyle w:val="Marginlie"/>
              <w:rPr>
                <w:lang w:val="en-GB"/>
              </w:rPr>
            </w:pPr>
            <w:r>
              <w:rPr>
                <w:lang w:val="en-GB"/>
              </w:rPr>
              <w:t>Dynamic growth of the state debt continued for the second year in a row. Expenditures on servicing the debt however have not grown significantly so far.</w:t>
            </w:r>
          </w:p>
        </w:tc>
        <w:tc>
          <w:tcPr>
            <w:tcW w:w="217" w:type="dxa"/>
            <w:shd w:val="clear" w:color="auto" w:fill="auto"/>
            <w:tcMar>
              <w:left w:w="0" w:type="dxa"/>
            </w:tcMar>
          </w:tcPr>
          <w:p w14:paraId="47C3FDA8" w14:textId="77777777" w:rsidR="00C23909" w:rsidRPr="00105C5C" w:rsidRDefault="00C23909" w:rsidP="00C23909">
            <w:pPr>
              <w:pStyle w:val="Textpoznpodarou"/>
              <w:jc w:val="both"/>
              <w:rPr>
                <w:color w:val="0D0D0D" w:themeColor="text1" w:themeTint="F2"/>
                <w:spacing w:val="-4"/>
                <w:lang w:val="en-GB"/>
              </w:rPr>
            </w:pPr>
          </w:p>
        </w:tc>
        <w:tc>
          <w:tcPr>
            <w:tcW w:w="7720" w:type="dxa"/>
            <w:shd w:val="clear" w:color="auto" w:fill="auto"/>
            <w:tcMar>
              <w:left w:w="0" w:type="dxa"/>
            </w:tcMar>
          </w:tcPr>
          <w:p w14:paraId="44E6F8F0" w14:textId="44A16A13" w:rsidR="00C23909" w:rsidRPr="00105C5C" w:rsidRDefault="00C23909" w:rsidP="00C23909">
            <w:pPr>
              <w:spacing w:after="180"/>
              <w:rPr>
                <w:color w:val="0D0D0D" w:themeColor="text1" w:themeTint="F2"/>
                <w:spacing w:val="-5"/>
                <w:lang w:val="en-GB"/>
              </w:rPr>
            </w:pPr>
            <w:r w:rsidRPr="00105C5C">
              <w:rPr>
                <w:color w:val="0D0D0D" w:themeColor="text1" w:themeTint="F2"/>
                <w:spacing w:val="-5"/>
                <w:lang w:val="en-GB"/>
              </w:rPr>
              <w:t>S</w:t>
            </w:r>
            <w:r>
              <w:rPr>
                <w:color w:val="0D0D0D" w:themeColor="text1" w:themeTint="F2"/>
                <w:spacing w:val="-5"/>
                <w:lang w:val="en-GB"/>
              </w:rPr>
              <w:t>trongly growing need for funding tied to the necessity to cover the crisis SB deficit resulted in the acceleration of the state debt during the pandemic period. It arrived at 2 </w:t>
            </w:r>
            <w:r w:rsidRPr="00105C5C">
              <w:rPr>
                <w:color w:val="0D0D0D" w:themeColor="text1" w:themeTint="F2"/>
                <w:spacing w:val="-5"/>
                <w:lang w:val="en-GB"/>
              </w:rPr>
              <w:t>466</w:t>
            </w:r>
            <w:r>
              <w:rPr>
                <w:color w:val="0D0D0D" w:themeColor="text1" w:themeTint="F2"/>
                <w:spacing w:val="-5"/>
                <w:lang w:val="en-GB"/>
              </w:rPr>
              <w:t xml:space="preserve"> CZK bn at the end of last </w:t>
            </w:r>
            <w:r w:rsidRPr="0062604A">
              <w:rPr>
                <w:color w:val="0D0D0D" w:themeColor="text1" w:themeTint="F2"/>
                <w:spacing w:val="-5"/>
                <w:lang w:val="en-GB"/>
              </w:rPr>
              <w:t xml:space="preserve">year’s December and it hiked up by 416 bn from January 2021, i.e. comparably to year 2020. </w:t>
            </w:r>
            <w:r>
              <w:rPr>
                <w:color w:val="0D0D0D" w:themeColor="text1" w:themeTint="F2"/>
                <w:spacing w:val="-5"/>
                <w:lang w:val="en-GB"/>
              </w:rPr>
              <w:t xml:space="preserve">Total increase of debt for both pandemic years was by nearly 40 CZK bn higher than the budget deficits. The debt increase was for the major part financed by means of domestic bonds. Their total volume increased by </w:t>
            </w:r>
            <w:r w:rsidRPr="0062604A">
              <w:rPr>
                <w:color w:val="0D0D0D" w:themeColor="text1" w:themeTint="F2"/>
                <w:spacing w:val="-5"/>
                <w:lang w:val="en-GB"/>
              </w:rPr>
              <w:t>22%</w:t>
            </w:r>
            <w:r>
              <w:rPr>
                <w:color w:val="0D0D0D" w:themeColor="text1" w:themeTint="F2"/>
                <w:spacing w:val="-5"/>
                <w:lang w:val="en-GB"/>
              </w:rPr>
              <w:t xml:space="preserve"> for year 2021</w:t>
            </w:r>
            <w:r w:rsidRPr="0062604A">
              <w:rPr>
                <w:color w:val="0D0D0D" w:themeColor="text1" w:themeTint="F2"/>
                <w:spacing w:val="-5"/>
                <w:lang w:val="en-GB"/>
              </w:rPr>
              <w:t xml:space="preserve"> (</w:t>
            </w:r>
            <w:r>
              <w:rPr>
                <w:color w:val="0D0D0D" w:themeColor="text1" w:themeTint="F2"/>
                <w:spacing w:val="-5"/>
                <w:lang w:val="en-GB"/>
              </w:rPr>
              <w:t xml:space="preserve">by </w:t>
            </w:r>
            <w:r w:rsidRPr="0062604A">
              <w:rPr>
                <w:color w:val="0D0D0D" w:themeColor="text1" w:themeTint="F2"/>
                <w:spacing w:val="-5"/>
                <w:lang w:val="en-GB"/>
              </w:rPr>
              <w:t>60%</w:t>
            </w:r>
            <w:r>
              <w:rPr>
                <w:color w:val="0D0D0D" w:themeColor="text1" w:themeTint="F2"/>
                <w:spacing w:val="-5"/>
                <w:lang w:val="en-GB"/>
              </w:rPr>
              <w:t xml:space="preserve"> in two years</w:t>
            </w:r>
            <w:r w:rsidRPr="0062604A">
              <w:rPr>
                <w:color w:val="0D0D0D" w:themeColor="text1" w:themeTint="F2"/>
                <w:spacing w:val="-5"/>
                <w:lang w:val="en-GB"/>
              </w:rPr>
              <w:t>),</w:t>
            </w:r>
            <w:r>
              <w:rPr>
                <w:color w:val="0D0D0D" w:themeColor="text1" w:themeTint="F2"/>
                <w:spacing w:val="-5"/>
                <w:lang w:val="en-GB"/>
              </w:rPr>
              <w:t xml:space="preserve"> it was </w:t>
            </w:r>
            <w:r w:rsidRPr="0062604A">
              <w:rPr>
                <w:color w:val="0D0D0D" w:themeColor="text1" w:themeTint="F2"/>
                <w:spacing w:val="-5"/>
                <w:lang w:val="en-GB"/>
              </w:rPr>
              <w:t>2 292</w:t>
            </w:r>
            <w:r w:rsidRPr="00105C5C">
              <w:rPr>
                <w:color w:val="0D0D0D" w:themeColor="text1" w:themeTint="F2"/>
                <w:spacing w:val="-5"/>
                <w:lang w:val="en-GB"/>
              </w:rPr>
              <w:t> </w:t>
            </w:r>
            <w:r>
              <w:rPr>
                <w:color w:val="0D0D0D" w:themeColor="text1" w:themeTint="F2"/>
                <w:spacing w:val="-5"/>
                <w:lang w:val="en-GB"/>
              </w:rPr>
              <w:t>CZK bn at the end of December</w:t>
            </w:r>
            <w:r w:rsidRPr="00105C5C">
              <w:rPr>
                <w:color w:val="0D0D0D" w:themeColor="text1" w:themeTint="F2"/>
                <w:spacing w:val="-5"/>
                <w:lang w:val="en-GB"/>
              </w:rPr>
              <w:t xml:space="preserve">. </w:t>
            </w:r>
            <w:r>
              <w:rPr>
                <w:color w:val="0D0D0D" w:themeColor="text1" w:themeTint="F2"/>
                <w:spacing w:val="-5"/>
                <w:lang w:val="en-GB"/>
              </w:rPr>
              <w:t xml:space="preserve">The domestic financial institutions still more dominated among the </w:t>
            </w:r>
            <w:proofErr w:type="gramStart"/>
            <w:r>
              <w:rPr>
                <w:color w:val="0D0D0D" w:themeColor="text1" w:themeTint="F2"/>
                <w:spacing w:val="-5"/>
                <w:lang w:val="en-GB"/>
              </w:rPr>
              <w:t>bond holders</w:t>
            </w:r>
            <w:proofErr w:type="gramEnd"/>
            <w:r w:rsidRPr="00105C5C">
              <w:rPr>
                <w:color w:val="0D0D0D" w:themeColor="text1" w:themeTint="F2"/>
                <w:spacing w:val="-5"/>
                <w:lang w:val="en-GB"/>
              </w:rPr>
              <w:t xml:space="preserve">, </w:t>
            </w:r>
            <w:r>
              <w:rPr>
                <w:color w:val="0D0D0D" w:themeColor="text1" w:themeTint="F2"/>
                <w:spacing w:val="-5"/>
                <w:lang w:val="en-GB"/>
              </w:rPr>
              <w:t xml:space="preserve">the proportion of non-residents on the contrary decreased from 40.6% to 26.5% between years </w:t>
            </w:r>
            <w:r w:rsidRPr="00105C5C">
              <w:rPr>
                <w:color w:val="0D0D0D" w:themeColor="text1" w:themeTint="F2"/>
                <w:spacing w:val="-5"/>
                <w:lang w:val="en-GB"/>
              </w:rPr>
              <w:t>2019 a</w:t>
            </w:r>
            <w:r>
              <w:rPr>
                <w:color w:val="0D0D0D" w:themeColor="text1" w:themeTint="F2"/>
                <w:spacing w:val="-5"/>
                <w:lang w:val="en-GB"/>
              </w:rPr>
              <w:t>nd</w:t>
            </w:r>
            <w:r w:rsidRPr="00105C5C">
              <w:rPr>
                <w:color w:val="0D0D0D" w:themeColor="text1" w:themeTint="F2"/>
                <w:spacing w:val="-5"/>
                <w:lang w:val="en-GB"/>
              </w:rPr>
              <w:t> 2021</w:t>
            </w:r>
            <w:r>
              <w:rPr>
                <w:color w:val="0D0D0D" w:themeColor="text1" w:themeTint="F2"/>
                <w:spacing w:val="-5"/>
                <w:lang w:val="en-GB"/>
              </w:rPr>
              <w:t>. Ratio of external debt on the total indebtedness was further falling, mainly thanks to the repayments of foreign bonds. Net expenditures on servicing the state debt</w:t>
            </w:r>
            <w:r w:rsidRPr="00105C5C">
              <w:rPr>
                <w:rStyle w:val="Znakapoznpodarou"/>
                <w:color w:val="0D0D0D" w:themeColor="text1" w:themeTint="F2"/>
                <w:spacing w:val="-5"/>
                <w:lang w:val="en-GB"/>
              </w:rPr>
              <w:footnoteReference w:id="99"/>
            </w:r>
            <w:r>
              <w:rPr>
                <w:color w:val="0D0D0D" w:themeColor="text1" w:themeTint="F2"/>
                <w:spacing w:val="-5"/>
                <w:lang w:val="en-GB"/>
              </w:rPr>
              <w:t xml:space="preserve"> rose also due to the growing interest rates of the domestic state bonds slightly increased year-on-year </w:t>
            </w:r>
            <w:r w:rsidRPr="00105C5C">
              <w:rPr>
                <w:color w:val="0D0D0D" w:themeColor="text1" w:themeTint="F2"/>
                <w:spacing w:val="-5"/>
                <w:lang w:val="en-GB"/>
              </w:rPr>
              <w:t>(</w:t>
            </w:r>
            <w:r>
              <w:rPr>
                <w:color w:val="0D0D0D" w:themeColor="text1" w:themeTint="F2"/>
                <w:spacing w:val="-5"/>
                <w:lang w:val="en-GB"/>
              </w:rPr>
              <w:t xml:space="preserve">by </w:t>
            </w:r>
            <w:r w:rsidRPr="00105C5C">
              <w:rPr>
                <w:color w:val="0D0D0D" w:themeColor="text1" w:themeTint="F2"/>
                <w:spacing w:val="-5"/>
                <w:lang w:val="en-GB"/>
              </w:rPr>
              <w:t>5</w:t>
            </w:r>
            <w:r>
              <w:rPr>
                <w:color w:val="0D0D0D" w:themeColor="text1" w:themeTint="F2"/>
                <w:spacing w:val="-5"/>
                <w:lang w:val="en-GB"/>
              </w:rPr>
              <w:t>.</w:t>
            </w:r>
            <w:r w:rsidRPr="00105C5C">
              <w:rPr>
                <w:color w:val="0D0D0D" w:themeColor="text1" w:themeTint="F2"/>
                <w:spacing w:val="-5"/>
                <w:lang w:val="en-GB"/>
              </w:rPr>
              <w:t>2%)</w:t>
            </w:r>
            <w:r>
              <w:rPr>
                <w:color w:val="0D0D0D" w:themeColor="text1" w:themeTint="F2"/>
                <w:spacing w:val="-5"/>
                <w:lang w:val="en-GB"/>
              </w:rPr>
              <w:t xml:space="preserve"> to </w:t>
            </w:r>
            <w:r w:rsidRPr="00105C5C">
              <w:rPr>
                <w:color w:val="0D0D0D" w:themeColor="text1" w:themeTint="F2"/>
                <w:spacing w:val="-5"/>
                <w:lang w:val="en-GB"/>
              </w:rPr>
              <w:t>42</w:t>
            </w:r>
            <w:r>
              <w:rPr>
                <w:color w:val="0D0D0D" w:themeColor="text1" w:themeTint="F2"/>
                <w:spacing w:val="-5"/>
                <w:lang w:val="en-GB"/>
              </w:rPr>
              <w:t>.</w:t>
            </w:r>
            <w:r w:rsidRPr="00105C5C">
              <w:rPr>
                <w:color w:val="0D0D0D" w:themeColor="text1" w:themeTint="F2"/>
                <w:spacing w:val="-5"/>
                <w:lang w:val="en-GB"/>
              </w:rPr>
              <w:t>2</w:t>
            </w:r>
            <w:r>
              <w:rPr>
                <w:color w:val="0D0D0D" w:themeColor="text1" w:themeTint="F2"/>
                <w:spacing w:val="-5"/>
                <w:lang w:val="en-GB"/>
              </w:rPr>
              <w:t xml:space="preserve"> CZK bn last year</w:t>
            </w:r>
            <w:r w:rsidRPr="00105C5C">
              <w:rPr>
                <w:color w:val="0D0D0D" w:themeColor="text1" w:themeTint="F2"/>
                <w:spacing w:val="-5"/>
                <w:lang w:val="en-GB"/>
              </w:rPr>
              <w:t xml:space="preserve">. </w:t>
            </w:r>
            <w:r>
              <w:rPr>
                <w:color w:val="0D0D0D" w:themeColor="text1" w:themeTint="F2"/>
                <w:spacing w:val="-5"/>
                <w:lang w:val="en-GB"/>
              </w:rPr>
              <w:t xml:space="preserve">Expenditures oscillated around 40 CZK bn in the last six years. </w:t>
            </w:r>
          </w:p>
        </w:tc>
      </w:tr>
      <w:tr w:rsidR="00C23909" w:rsidRPr="00E65CA0" w14:paraId="7CC43DE9" w14:textId="77777777" w:rsidTr="008E039E">
        <w:trPr>
          <w:trHeight w:val="170"/>
        </w:trPr>
        <w:tc>
          <w:tcPr>
            <w:tcW w:w="1732" w:type="dxa"/>
            <w:shd w:val="clear" w:color="auto" w:fill="auto"/>
            <w:tcMar>
              <w:left w:w="0" w:type="dxa"/>
            </w:tcMar>
          </w:tcPr>
          <w:p w14:paraId="5FE792BB" w14:textId="2AF75D8C" w:rsidR="00C23909" w:rsidRPr="007C57FA" w:rsidRDefault="00C23909" w:rsidP="00C23909">
            <w:pPr>
              <w:pStyle w:val="Marginlie"/>
              <w:rPr>
                <w:lang w:val="en-GB"/>
              </w:rPr>
            </w:pPr>
            <w:r>
              <w:rPr>
                <w:lang w:val="en-GB"/>
              </w:rPr>
              <w:t xml:space="preserve">Budget of the government institutions sector </w:t>
            </w:r>
            <w:r w:rsidRPr="007C57FA">
              <w:rPr>
                <w:lang w:val="en-GB"/>
              </w:rPr>
              <w:t xml:space="preserve">(VI) </w:t>
            </w:r>
            <w:r>
              <w:rPr>
                <w:lang w:val="en-GB"/>
              </w:rPr>
              <w:t xml:space="preserve">ended in deficit </w:t>
            </w:r>
            <w:r w:rsidRPr="007C57FA">
              <w:rPr>
                <w:lang w:val="en-GB"/>
              </w:rPr>
              <w:t>246</w:t>
            </w:r>
            <w:r>
              <w:rPr>
                <w:lang w:val="en-GB"/>
              </w:rPr>
              <w:t xml:space="preserve"> CZK bn for the three quarters</w:t>
            </w:r>
            <w:r w:rsidRPr="007C57FA">
              <w:rPr>
                <w:lang w:val="en-GB"/>
              </w:rPr>
              <w:t>.</w:t>
            </w:r>
          </w:p>
        </w:tc>
        <w:tc>
          <w:tcPr>
            <w:tcW w:w="217" w:type="dxa"/>
            <w:shd w:val="clear" w:color="auto" w:fill="auto"/>
            <w:tcMar>
              <w:left w:w="0" w:type="dxa"/>
            </w:tcMar>
          </w:tcPr>
          <w:p w14:paraId="51F50BA4" w14:textId="77777777" w:rsidR="00C23909" w:rsidRPr="007C57FA" w:rsidRDefault="00C23909" w:rsidP="00C23909">
            <w:pPr>
              <w:pStyle w:val="Textpoznpodarou"/>
              <w:jc w:val="both"/>
              <w:rPr>
                <w:spacing w:val="-4"/>
                <w:lang w:val="en-GB"/>
              </w:rPr>
            </w:pPr>
          </w:p>
        </w:tc>
        <w:tc>
          <w:tcPr>
            <w:tcW w:w="7720" w:type="dxa"/>
            <w:shd w:val="clear" w:color="auto" w:fill="auto"/>
            <w:tcMar>
              <w:left w:w="0" w:type="dxa"/>
            </w:tcMar>
          </w:tcPr>
          <w:p w14:paraId="40CC6826" w14:textId="369575C3" w:rsidR="00C23909" w:rsidRPr="007C57FA" w:rsidRDefault="00C23909" w:rsidP="00C23909">
            <w:pPr>
              <w:spacing w:after="180"/>
              <w:rPr>
                <w:spacing w:val="-4"/>
                <w:lang w:val="en-GB"/>
              </w:rPr>
            </w:pPr>
            <w:r>
              <w:rPr>
                <w:color w:val="0D0D0D" w:themeColor="text1" w:themeTint="F2"/>
                <w:spacing w:val="-4"/>
                <w:lang w:val="en-GB"/>
              </w:rPr>
              <w:t xml:space="preserve">Budget of the government institution sector </w:t>
            </w:r>
            <w:r w:rsidRPr="007C57FA">
              <w:rPr>
                <w:color w:val="0D0D0D" w:themeColor="text1" w:themeTint="F2"/>
                <w:spacing w:val="-4"/>
                <w:lang w:val="en-GB"/>
              </w:rPr>
              <w:t>(VI)</w:t>
            </w:r>
            <w:r>
              <w:rPr>
                <w:color w:val="0D0D0D" w:themeColor="text1" w:themeTint="F2"/>
                <w:spacing w:val="-4"/>
                <w:lang w:val="en-GB"/>
              </w:rPr>
              <w:t xml:space="preserve"> in the CR ended in deficit of 245.9 CZK bn in total for the three quarters </w:t>
            </w:r>
            <w:r w:rsidRPr="007C57FA">
              <w:rPr>
                <w:color w:val="0D0D0D" w:themeColor="text1" w:themeTint="F2"/>
                <w:spacing w:val="-4"/>
                <w:lang w:val="en-GB"/>
              </w:rPr>
              <w:t>2021</w:t>
            </w:r>
            <w:r w:rsidRPr="007C57FA">
              <w:rPr>
                <w:rStyle w:val="Znakapoznpodarou"/>
                <w:color w:val="0D0D0D" w:themeColor="text1" w:themeTint="F2"/>
                <w:spacing w:val="-4"/>
                <w:lang w:val="en-GB"/>
              </w:rPr>
              <w:footnoteReference w:id="100"/>
            </w:r>
            <w:r>
              <w:rPr>
                <w:color w:val="0D0D0D" w:themeColor="text1" w:themeTint="F2"/>
                <w:spacing w:val="-4"/>
                <w:lang w:val="en-GB"/>
              </w:rPr>
              <w:t xml:space="preserve">, deeper by </w:t>
            </w:r>
            <w:r w:rsidRPr="007C57FA">
              <w:rPr>
                <w:color w:val="0D0D0D" w:themeColor="text1" w:themeTint="F2"/>
                <w:spacing w:val="-4"/>
                <w:lang w:val="en-GB"/>
              </w:rPr>
              <w:t>61</w:t>
            </w:r>
            <w:r>
              <w:rPr>
                <w:color w:val="0D0D0D" w:themeColor="text1" w:themeTint="F2"/>
                <w:spacing w:val="-4"/>
                <w:lang w:val="en-GB"/>
              </w:rPr>
              <w:t>.</w:t>
            </w:r>
            <w:r w:rsidRPr="007C57FA">
              <w:rPr>
                <w:color w:val="0D0D0D" w:themeColor="text1" w:themeTint="F2"/>
                <w:spacing w:val="-4"/>
                <w:lang w:val="en-GB"/>
              </w:rPr>
              <w:t>7</w:t>
            </w:r>
            <w:r>
              <w:rPr>
                <w:color w:val="0D0D0D" w:themeColor="text1" w:themeTint="F2"/>
                <w:spacing w:val="-4"/>
                <w:lang w:val="en-GB"/>
              </w:rPr>
              <w:t xml:space="preserve"> bn year-on-year. Growth of total revenues </w:t>
            </w:r>
            <w:r w:rsidRPr="007C57FA">
              <w:rPr>
                <w:spacing w:val="-4"/>
                <w:lang w:val="en-GB"/>
              </w:rPr>
              <w:t>VI (6</w:t>
            </w:r>
            <w:r>
              <w:rPr>
                <w:spacing w:val="-4"/>
                <w:lang w:val="en-GB"/>
              </w:rPr>
              <w:t>.</w:t>
            </w:r>
            <w:r w:rsidRPr="007C57FA">
              <w:rPr>
                <w:spacing w:val="-4"/>
                <w:lang w:val="en-GB"/>
              </w:rPr>
              <w:t>0%)</w:t>
            </w:r>
            <w:r>
              <w:rPr>
                <w:spacing w:val="-4"/>
                <w:lang w:val="en-GB"/>
              </w:rPr>
              <w:t xml:space="preserve"> was essentially influenced by the received net social contribution </w:t>
            </w:r>
            <w:r w:rsidRPr="007C57FA">
              <w:rPr>
                <w:lang w:val="en-GB"/>
              </w:rPr>
              <w:t>(+89</w:t>
            </w:r>
            <w:r>
              <w:rPr>
                <w:lang w:val="en-GB"/>
              </w:rPr>
              <w:t>.</w:t>
            </w:r>
            <w:r w:rsidRPr="007C57FA">
              <w:rPr>
                <w:lang w:val="en-GB"/>
              </w:rPr>
              <w:t>5</w:t>
            </w:r>
            <w:r>
              <w:rPr>
                <w:lang w:val="en-GB"/>
              </w:rPr>
              <w:t xml:space="preserve"> CZK bn</w:t>
            </w:r>
            <w:r w:rsidRPr="007C57FA">
              <w:rPr>
                <w:lang w:val="en-GB"/>
              </w:rPr>
              <w:t>),</w:t>
            </w:r>
            <w:r>
              <w:rPr>
                <w:lang w:val="en-GB"/>
              </w:rPr>
              <w:t xml:space="preserve"> since thanks to the government stabilisation support of the economy during the </w:t>
            </w:r>
            <w:proofErr w:type="gramStart"/>
            <w:r>
              <w:rPr>
                <w:lang w:val="en-GB"/>
              </w:rPr>
              <w:lastRenderedPageBreak/>
              <w:t>pandemics</w:t>
            </w:r>
            <w:proofErr w:type="gramEnd"/>
            <w:r>
              <w:rPr>
                <w:lang w:val="en-GB"/>
              </w:rPr>
              <w:t xml:space="preserve"> the employment did not decrease significantly. Revenues from the tax on production and import also increased year-on-year </w:t>
            </w:r>
            <w:r w:rsidRPr="007C57FA">
              <w:rPr>
                <w:color w:val="0D0D0D" w:themeColor="text1" w:themeTint="F2"/>
                <w:spacing w:val="-4"/>
                <w:lang w:val="en-GB"/>
              </w:rPr>
              <w:t>(+6</w:t>
            </w:r>
            <w:r>
              <w:rPr>
                <w:color w:val="0D0D0D" w:themeColor="text1" w:themeTint="F2"/>
                <w:spacing w:val="-4"/>
                <w:lang w:val="en-GB"/>
              </w:rPr>
              <w:t>.</w:t>
            </w:r>
            <w:r w:rsidRPr="007C57FA">
              <w:rPr>
                <w:color w:val="0D0D0D" w:themeColor="text1" w:themeTint="F2"/>
                <w:spacing w:val="-4"/>
                <w:lang w:val="en-GB"/>
              </w:rPr>
              <w:t>1%) a</w:t>
            </w:r>
            <w:r>
              <w:rPr>
                <w:color w:val="0D0D0D" w:themeColor="text1" w:themeTint="F2"/>
                <w:spacing w:val="-4"/>
                <w:lang w:val="en-GB"/>
              </w:rPr>
              <w:t>nd already caught up to the level from Q</w:t>
            </w:r>
            <w:r w:rsidRPr="007C57FA">
              <w:rPr>
                <w:color w:val="0D0D0D" w:themeColor="text1" w:themeTint="F2"/>
                <w:spacing w:val="-4"/>
                <w:lang w:val="en-GB"/>
              </w:rPr>
              <w:t>1</w:t>
            </w:r>
            <w:r>
              <w:rPr>
                <w:color w:val="0D0D0D" w:themeColor="text1" w:themeTint="F2"/>
                <w:spacing w:val="-4"/>
                <w:lang w:val="en-GB"/>
              </w:rPr>
              <w:t xml:space="preserve"> to Q</w:t>
            </w:r>
            <w:r w:rsidRPr="007C57FA">
              <w:rPr>
                <w:color w:val="0D0D0D" w:themeColor="text1" w:themeTint="F2"/>
                <w:spacing w:val="-4"/>
                <w:lang w:val="en-GB"/>
              </w:rPr>
              <w:t>3</w:t>
            </w:r>
            <w:r>
              <w:rPr>
                <w:color w:val="0D0D0D" w:themeColor="text1" w:themeTint="F2"/>
                <w:spacing w:val="-4"/>
                <w:lang w:val="en-GB"/>
              </w:rPr>
              <w:t xml:space="preserve"> </w:t>
            </w:r>
            <w:r w:rsidRPr="007C57FA">
              <w:rPr>
                <w:color w:val="0D0D0D" w:themeColor="text1" w:themeTint="F2"/>
                <w:spacing w:val="-4"/>
                <w:lang w:val="en-GB"/>
              </w:rPr>
              <w:t xml:space="preserve">2019. </w:t>
            </w:r>
            <w:r>
              <w:rPr>
                <w:color w:val="0D0D0D" w:themeColor="text1" w:themeTint="F2"/>
                <w:spacing w:val="-4"/>
                <w:lang w:val="en-GB"/>
              </w:rPr>
              <w:t xml:space="preserve">The year-on-year growth of the total expenditures </w:t>
            </w:r>
            <w:r w:rsidRPr="007C57FA">
              <w:rPr>
                <w:color w:val="0D0D0D" w:themeColor="text1" w:themeTint="F2"/>
                <w:spacing w:val="-4"/>
                <w:lang w:val="en-GB"/>
              </w:rPr>
              <w:t xml:space="preserve">VI </w:t>
            </w:r>
            <w:r>
              <w:rPr>
                <w:color w:val="0D0D0D" w:themeColor="text1" w:themeTint="F2"/>
                <w:spacing w:val="-4"/>
                <w:lang w:val="en-GB"/>
              </w:rPr>
              <w:t xml:space="preserve">was for the three last year’s quarters despite the brisk pace </w:t>
            </w:r>
            <w:r w:rsidRPr="007C57FA">
              <w:rPr>
                <w:color w:val="0D0D0D" w:themeColor="text1" w:themeTint="F2"/>
                <w:spacing w:val="-4"/>
                <w:lang w:val="en-GB"/>
              </w:rPr>
              <w:t>(8</w:t>
            </w:r>
            <w:r>
              <w:rPr>
                <w:color w:val="0D0D0D" w:themeColor="text1" w:themeTint="F2"/>
                <w:spacing w:val="-4"/>
                <w:lang w:val="en-GB"/>
              </w:rPr>
              <w:t>.</w:t>
            </w:r>
            <w:r w:rsidRPr="007C57FA">
              <w:rPr>
                <w:color w:val="0D0D0D" w:themeColor="text1" w:themeTint="F2"/>
                <w:spacing w:val="-4"/>
                <w:lang w:val="en-GB"/>
              </w:rPr>
              <w:t>7%)</w:t>
            </w:r>
            <w:r>
              <w:rPr>
                <w:color w:val="0D0D0D" w:themeColor="text1" w:themeTint="F2"/>
                <w:spacing w:val="-4"/>
                <w:lang w:val="en-GB"/>
              </w:rPr>
              <w:t xml:space="preserve"> lowest for the last four years</w:t>
            </w:r>
            <w:r w:rsidRPr="007C57FA">
              <w:rPr>
                <w:color w:val="0D0D0D" w:themeColor="text1" w:themeTint="F2"/>
                <w:spacing w:val="-4"/>
                <w:lang w:val="en-GB"/>
              </w:rPr>
              <w:t>. L</w:t>
            </w:r>
            <w:r>
              <w:rPr>
                <w:color w:val="0D0D0D" w:themeColor="text1" w:themeTint="F2"/>
                <w:spacing w:val="-4"/>
                <w:lang w:val="en-GB"/>
              </w:rPr>
              <w:t>ast year</w:t>
            </w:r>
            <w:r>
              <w:rPr>
                <w:color w:val="0D0D0D" w:themeColor="text1" w:themeTint="F2"/>
                <w:spacing w:val="-4"/>
              </w:rPr>
              <w:t xml:space="preserve">’s </w:t>
            </w:r>
            <w:r>
              <w:rPr>
                <w:color w:val="0D0D0D" w:themeColor="text1" w:themeTint="F2"/>
                <w:spacing w:val="-4"/>
                <w:lang w:val="en-US"/>
              </w:rPr>
              <w:t xml:space="preserve">growth was driven mainly by higher social benefits and social transfers in-kind </w:t>
            </w:r>
            <w:r w:rsidRPr="007C57FA">
              <w:rPr>
                <w:spacing w:val="-4"/>
                <w:lang w:val="en-GB"/>
              </w:rPr>
              <w:t>(+57</w:t>
            </w:r>
            <w:r>
              <w:rPr>
                <w:spacing w:val="-4"/>
                <w:lang w:val="en-GB"/>
              </w:rPr>
              <w:t>.</w:t>
            </w:r>
            <w:r w:rsidRPr="007C57FA">
              <w:rPr>
                <w:spacing w:val="-4"/>
                <w:lang w:val="en-GB"/>
              </w:rPr>
              <w:t>5</w:t>
            </w:r>
            <w:r>
              <w:rPr>
                <w:spacing w:val="-4"/>
                <w:lang w:val="en-GB"/>
              </w:rPr>
              <w:t xml:space="preserve"> CZK bn</w:t>
            </w:r>
            <w:r w:rsidRPr="007C57FA">
              <w:rPr>
                <w:spacing w:val="-4"/>
                <w:lang w:val="en-GB"/>
              </w:rPr>
              <w:t xml:space="preserve">), </w:t>
            </w:r>
            <w:r>
              <w:rPr>
                <w:spacing w:val="-4"/>
                <w:lang w:val="en-GB"/>
              </w:rPr>
              <w:t>even though their growth slowed down compared to pace from Q</w:t>
            </w:r>
            <w:r w:rsidRPr="007C57FA">
              <w:rPr>
                <w:spacing w:val="-4"/>
                <w:lang w:val="en-GB"/>
              </w:rPr>
              <w:t>1</w:t>
            </w:r>
            <w:r>
              <w:rPr>
                <w:spacing w:val="-4"/>
                <w:lang w:val="en-GB"/>
              </w:rPr>
              <w:t xml:space="preserve"> </w:t>
            </w:r>
            <w:proofErr w:type="gramStart"/>
            <w:r>
              <w:rPr>
                <w:spacing w:val="-4"/>
                <w:lang w:val="en-GB"/>
              </w:rPr>
              <w:t>till</w:t>
            </w:r>
            <w:proofErr w:type="gramEnd"/>
            <w:r>
              <w:rPr>
                <w:spacing w:val="-4"/>
                <w:lang w:val="en-GB"/>
              </w:rPr>
              <w:t xml:space="preserve"> Q</w:t>
            </w:r>
            <w:r w:rsidRPr="007C57FA">
              <w:rPr>
                <w:spacing w:val="-4"/>
                <w:lang w:val="en-GB"/>
              </w:rPr>
              <w:t>3</w:t>
            </w:r>
            <w:r>
              <w:rPr>
                <w:spacing w:val="-4"/>
                <w:lang w:val="en-GB"/>
              </w:rPr>
              <w:t xml:space="preserve"> </w:t>
            </w:r>
            <w:r w:rsidRPr="007C57FA">
              <w:rPr>
                <w:spacing w:val="-4"/>
                <w:lang w:val="en-GB"/>
              </w:rPr>
              <w:t>2020</w:t>
            </w:r>
            <w:r>
              <w:rPr>
                <w:spacing w:val="-4"/>
                <w:lang w:val="en-GB"/>
              </w:rPr>
              <w:t xml:space="preserve"> </w:t>
            </w:r>
            <w:r w:rsidRPr="007C57FA">
              <w:rPr>
                <w:spacing w:val="-4"/>
                <w:lang w:val="en-GB"/>
              </w:rPr>
              <w:t>(</w:t>
            </w:r>
            <w:r>
              <w:rPr>
                <w:spacing w:val="-4"/>
                <w:lang w:val="en-GB"/>
              </w:rPr>
              <w:t xml:space="preserve">to </w:t>
            </w:r>
            <w:r w:rsidRPr="007C57FA">
              <w:rPr>
                <w:spacing w:val="-4"/>
                <w:lang w:val="en-GB"/>
              </w:rPr>
              <w:t>7</w:t>
            </w:r>
            <w:r>
              <w:rPr>
                <w:spacing w:val="-4"/>
                <w:lang w:val="en-GB"/>
              </w:rPr>
              <w:t>.</w:t>
            </w:r>
            <w:r w:rsidRPr="007C57FA">
              <w:rPr>
                <w:spacing w:val="-4"/>
                <w:lang w:val="en-GB"/>
              </w:rPr>
              <w:t>8%).</w:t>
            </w:r>
            <w:r>
              <w:rPr>
                <w:spacing w:val="-4"/>
                <w:lang w:val="en-GB"/>
              </w:rPr>
              <w:t xml:space="preserve"> The contribution of paid out subsidies was also significant </w:t>
            </w:r>
            <w:r w:rsidRPr="007C57FA">
              <w:rPr>
                <w:spacing w:val="-4"/>
                <w:lang w:val="en-GB"/>
              </w:rPr>
              <w:t>(+40</w:t>
            </w:r>
            <w:r>
              <w:rPr>
                <w:spacing w:val="-4"/>
                <w:lang w:val="en-GB"/>
              </w:rPr>
              <w:t>.</w:t>
            </w:r>
            <w:r w:rsidRPr="007C57FA">
              <w:rPr>
                <w:spacing w:val="-4"/>
                <w:lang w:val="en-GB"/>
              </w:rPr>
              <w:t>0</w:t>
            </w:r>
            <w:r>
              <w:rPr>
                <w:spacing w:val="-4"/>
                <w:lang w:val="en-GB"/>
              </w:rPr>
              <w:t xml:space="preserve"> bn</w:t>
            </w:r>
            <w:r w:rsidRPr="007C57FA">
              <w:rPr>
                <w:spacing w:val="-4"/>
                <w:lang w:val="en-GB"/>
              </w:rPr>
              <w:t>,</w:t>
            </w:r>
            <w:r>
              <w:rPr>
                <w:spacing w:val="-4"/>
                <w:lang w:val="en-GB"/>
              </w:rPr>
              <w:t xml:space="preserve"> it was mainly the assistance to afflicted businesses during the pandemics</w:t>
            </w:r>
            <w:r w:rsidRPr="007C57FA">
              <w:rPr>
                <w:spacing w:val="-4"/>
                <w:lang w:val="en-GB"/>
              </w:rPr>
              <w:t xml:space="preserve">) </w:t>
            </w:r>
            <w:r>
              <w:rPr>
                <w:spacing w:val="-4"/>
                <w:lang w:val="en-GB"/>
              </w:rPr>
              <w:t xml:space="preserve">and compensations to employees </w:t>
            </w:r>
            <w:r w:rsidRPr="007C57FA">
              <w:rPr>
                <w:spacing w:val="-4"/>
                <w:lang w:val="en-GB"/>
              </w:rPr>
              <w:t>(+43</w:t>
            </w:r>
            <w:r>
              <w:rPr>
                <w:spacing w:val="-4"/>
                <w:lang w:val="en-GB"/>
              </w:rPr>
              <w:t>.</w:t>
            </w:r>
            <w:r w:rsidRPr="007C57FA">
              <w:rPr>
                <w:spacing w:val="-4"/>
                <w:lang w:val="en-GB"/>
              </w:rPr>
              <w:t>1</w:t>
            </w:r>
            <w:r>
              <w:rPr>
                <w:spacing w:val="-4"/>
                <w:lang w:val="en-GB"/>
              </w:rPr>
              <w:t xml:space="preserve"> bn</w:t>
            </w:r>
            <w:r w:rsidRPr="007C57FA">
              <w:rPr>
                <w:spacing w:val="-4"/>
                <w:lang w:val="en-GB"/>
              </w:rPr>
              <w:t>),</w:t>
            </w:r>
            <w:r>
              <w:rPr>
                <w:spacing w:val="-4"/>
                <w:lang w:val="en-GB"/>
              </w:rPr>
              <w:t xml:space="preserve"> where the payment of bonuses to</w:t>
            </w:r>
            <w:r w:rsidRPr="007C57FA">
              <w:rPr>
                <w:spacing w:val="-4"/>
                <w:lang w:val="en-GB"/>
              </w:rPr>
              <w:t xml:space="preserve"> </w:t>
            </w:r>
            <w:r>
              <w:rPr>
                <w:spacing w:val="-4"/>
                <w:lang w:val="en-GB"/>
              </w:rPr>
              <w:t xml:space="preserve">medical staff and other forces participating on solving the pandemics </w:t>
            </w:r>
            <w:r>
              <w:rPr>
                <w:lang w:val="en-GB"/>
              </w:rPr>
              <w:t>was substantially reflected</w:t>
            </w:r>
            <w:r w:rsidRPr="007C57FA">
              <w:rPr>
                <w:lang w:val="en-GB"/>
              </w:rPr>
              <w:t>.</w:t>
            </w:r>
          </w:p>
        </w:tc>
      </w:tr>
      <w:tr w:rsidR="00C23909" w:rsidRPr="000D151F" w14:paraId="3730028C" w14:textId="77777777" w:rsidTr="008E039E">
        <w:trPr>
          <w:trHeight w:val="170"/>
        </w:trPr>
        <w:tc>
          <w:tcPr>
            <w:tcW w:w="1732" w:type="dxa"/>
            <w:shd w:val="clear" w:color="auto" w:fill="auto"/>
            <w:tcMar>
              <w:left w:w="0" w:type="dxa"/>
            </w:tcMar>
          </w:tcPr>
          <w:p w14:paraId="0F88181F" w14:textId="744E5F09" w:rsidR="00C23909" w:rsidRPr="006E3AB8" w:rsidRDefault="00C23909" w:rsidP="00C23909">
            <w:pPr>
              <w:pStyle w:val="Marginlie"/>
              <w:rPr>
                <w:spacing w:val="0"/>
                <w:lang w:val="en-GB"/>
              </w:rPr>
            </w:pPr>
            <w:r>
              <w:rPr>
                <w:spacing w:val="0"/>
                <w:lang w:val="en-GB"/>
              </w:rPr>
              <w:lastRenderedPageBreak/>
              <w:t xml:space="preserve">Budget balance </w:t>
            </w:r>
            <w:r w:rsidRPr="006E3AB8">
              <w:rPr>
                <w:spacing w:val="0"/>
                <w:lang w:val="en-GB"/>
              </w:rPr>
              <w:t>VI</w:t>
            </w:r>
            <w:r>
              <w:rPr>
                <w:spacing w:val="0"/>
                <w:lang w:val="en-GB"/>
              </w:rPr>
              <w:t xml:space="preserve"> in the EU unlike in the CR shrank in Q3 both year-on-year and quarter-on-quarter. </w:t>
            </w:r>
          </w:p>
        </w:tc>
        <w:tc>
          <w:tcPr>
            <w:tcW w:w="217" w:type="dxa"/>
            <w:shd w:val="clear" w:color="auto" w:fill="auto"/>
            <w:tcMar>
              <w:left w:w="0" w:type="dxa"/>
            </w:tcMar>
          </w:tcPr>
          <w:p w14:paraId="73121621" w14:textId="77777777" w:rsidR="00C23909" w:rsidRPr="006E3AB8" w:rsidRDefault="00C23909" w:rsidP="00C23909">
            <w:pPr>
              <w:pStyle w:val="Textpoznpodarou"/>
              <w:jc w:val="both"/>
              <w:rPr>
                <w:spacing w:val="-4"/>
                <w:lang w:val="en-GB"/>
              </w:rPr>
            </w:pPr>
          </w:p>
        </w:tc>
        <w:tc>
          <w:tcPr>
            <w:tcW w:w="7720" w:type="dxa"/>
            <w:shd w:val="clear" w:color="auto" w:fill="auto"/>
            <w:tcMar>
              <w:left w:w="0" w:type="dxa"/>
            </w:tcMar>
          </w:tcPr>
          <w:p w14:paraId="17E7EB06" w14:textId="1ED384D8" w:rsidR="00C23909" w:rsidRPr="006E3AB8" w:rsidRDefault="00C23909" w:rsidP="00C23909">
            <w:pPr>
              <w:spacing w:after="180"/>
              <w:rPr>
                <w:color w:val="0D0D0D" w:themeColor="text1" w:themeTint="F2"/>
                <w:spacing w:val="-4"/>
                <w:lang w:val="en-GB"/>
              </w:rPr>
            </w:pPr>
            <w:r w:rsidRPr="006E3AB8">
              <w:rPr>
                <w:color w:val="0D0D0D" w:themeColor="text1" w:themeTint="F2"/>
                <w:spacing w:val="-4"/>
                <w:lang w:val="en-GB"/>
              </w:rPr>
              <w:t>S</w:t>
            </w:r>
            <w:r>
              <w:rPr>
                <w:color w:val="0D0D0D" w:themeColor="text1" w:themeTint="F2"/>
                <w:spacing w:val="-4"/>
                <w:lang w:val="en-GB"/>
              </w:rPr>
              <w:t xml:space="preserve">easonally adjusted budget balance </w:t>
            </w:r>
            <w:r w:rsidRPr="006E3AB8">
              <w:rPr>
                <w:color w:val="0D0D0D" w:themeColor="text1" w:themeTint="F2"/>
                <w:spacing w:val="-4"/>
                <w:lang w:val="en-GB"/>
              </w:rPr>
              <w:t>VI</w:t>
            </w:r>
            <w:r>
              <w:rPr>
                <w:color w:val="0D0D0D" w:themeColor="text1" w:themeTint="F2"/>
                <w:spacing w:val="-4"/>
                <w:lang w:val="en-GB"/>
              </w:rPr>
              <w:t xml:space="preserve"> in the CR amounted to </w:t>
            </w:r>
            <w:r w:rsidRPr="006E3AB8">
              <w:rPr>
                <w:color w:val="0D0D0D" w:themeColor="text1" w:themeTint="F2"/>
                <w:spacing w:val="-4"/>
                <w:lang w:val="en-GB"/>
              </w:rPr>
              <w:t>–6</w:t>
            </w:r>
            <w:r>
              <w:rPr>
                <w:color w:val="0D0D0D" w:themeColor="text1" w:themeTint="F2"/>
                <w:spacing w:val="-4"/>
                <w:lang w:val="en-GB"/>
              </w:rPr>
              <w:t>.</w:t>
            </w:r>
            <w:r w:rsidRPr="006E3AB8">
              <w:rPr>
                <w:color w:val="0D0D0D" w:themeColor="text1" w:themeTint="F2"/>
                <w:spacing w:val="-4"/>
                <w:lang w:val="en-GB"/>
              </w:rPr>
              <w:t>0%</w:t>
            </w:r>
            <w:r>
              <w:rPr>
                <w:color w:val="0D0D0D" w:themeColor="text1" w:themeTint="F2"/>
                <w:spacing w:val="-4"/>
                <w:lang w:val="en-GB"/>
              </w:rPr>
              <w:t xml:space="preserve"> of GDP in Q3 last year, which meant mild worsening in relation to the preceding quarter </w:t>
            </w:r>
            <w:proofErr w:type="gramStart"/>
            <w:r>
              <w:rPr>
                <w:color w:val="0D0D0D" w:themeColor="text1" w:themeTint="F2"/>
                <w:spacing w:val="-4"/>
                <w:lang w:val="en-GB"/>
              </w:rPr>
              <w:t>and also</w:t>
            </w:r>
            <w:proofErr w:type="gramEnd"/>
            <w:r>
              <w:rPr>
                <w:color w:val="0D0D0D" w:themeColor="text1" w:themeTint="F2"/>
                <w:spacing w:val="-4"/>
                <w:lang w:val="en-GB"/>
              </w:rPr>
              <w:t xml:space="preserve"> in the year-on-year comparison </w:t>
            </w:r>
            <w:r w:rsidRPr="006E3AB8">
              <w:rPr>
                <w:color w:val="0D0D0D" w:themeColor="text1" w:themeTint="F2"/>
                <w:spacing w:val="-4"/>
                <w:lang w:val="en-GB"/>
              </w:rPr>
              <w:t>(</w:t>
            </w:r>
            <w:r>
              <w:rPr>
                <w:color w:val="0D0D0D" w:themeColor="text1" w:themeTint="F2"/>
                <w:spacing w:val="-4"/>
                <w:lang w:val="en-GB"/>
              </w:rPr>
              <w:t xml:space="preserve">similarly by </w:t>
            </w:r>
            <w:r w:rsidRPr="006E3AB8">
              <w:rPr>
                <w:color w:val="0D0D0D" w:themeColor="text1" w:themeTint="F2"/>
                <w:spacing w:val="-4"/>
                <w:lang w:val="en-GB"/>
              </w:rPr>
              <w:t>0</w:t>
            </w:r>
            <w:r>
              <w:rPr>
                <w:color w:val="0D0D0D" w:themeColor="text1" w:themeTint="F2"/>
                <w:spacing w:val="-4"/>
                <w:lang w:val="en-GB"/>
              </w:rPr>
              <w:t>.</w:t>
            </w:r>
            <w:r w:rsidRPr="006E3AB8">
              <w:rPr>
                <w:color w:val="0D0D0D" w:themeColor="text1" w:themeTint="F2"/>
                <w:spacing w:val="-4"/>
                <w:lang w:val="en-GB"/>
              </w:rPr>
              <w:t>6 p.</w:t>
            </w:r>
            <w:r>
              <w:rPr>
                <w:color w:val="0D0D0D" w:themeColor="text1" w:themeTint="F2"/>
                <w:spacing w:val="-4"/>
                <w:lang w:val="en-GB"/>
              </w:rPr>
              <w:t>p</w:t>
            </w:r>
            <w:r w:rsidRPr="006E3AB8">
              <w:rPr>
                <w:color w:val="0D0D0D" w:themeColor="text1" w:themeTint="F2"/>
                <w:spacing w:val="-4"/>
                <w:lang w:val="en-GB"/>
              </w:rPr>
              <w:t>.).</w:t>
            </w:r>
            <w:r>
              <w:rPr>
                <w:color w:val="0D0D0D" w:themeColor="text1" w:themeTint="F2"/>
                <w:spacing w:val="-4"/>
                <w:lang w:val="en-GB"/>
              </w:rPr>
              <w:t xml:space="preserve"> On the contrary,</w:t>
            </w:r>
            <w:r w:rsidRPr="006E3AB8">
              <w:rPr>
                <w:color w:val="0D0D0D" w:themeColor="text1" w:themeTint="F2"/>
                <w:spacing w:val="-4"/>
                <w:lang w:val="en-GB"/>
              </w:rPr>
              <w:t xml:space="preserve"> </w:t>
            </w:r>
            <w:r>
              <w:rPr>
                <w:color w:val="0D0D0D" w:themeColor="text1" w:themeTint="F2"/>
                <w:spacing w:val="-4"/>
                <w:lang w:val="en-GB"/>
              </w:rPr>
              <w:t xml:space="preserve">the last year’s improvement of the pandemic situation </w:t>
            </w:r>
            <w:proofErr w:type="gramStart"/>
            <w:r>
              <w:rPr>
                <w:color w:val="0D0D0D" w:themeColor="text1" w:themeTint="F2"/>
                <w:spacing w:val="-4"/>
                <w:lang w:val="en-GB"/>
              </w:rPr>
              <w:t>was already reflected</w:t>
            </w:r>
            <w:proofErr w:type="gramEnd"/>
            <w:r>
              <w:rPr>
                <w:color w:val="0D0D0D" w:themeColor="text1" w:themeTint="F2"/>
                <w:spacing w:val="-4"/>
                <w:lang w:val="en-GB"/>
              </w:rPr>
              <w:t xml:space="preserve"> in the deficit </w:t>
            </w:r>
            <w:r w:rsidRPr="006E3AB8">
              <w:rPr>
                <w:color w:val="0D0D0D" w:themeColor="text1" w:themeTint="F2"/>
                <w:spacing w:val="-4"/>
                <w:lang w:val="en-GB"/>
              </w:rPr>
              <w:t xml:space="preserve">VI </w:t>
            </w:r>
            <w:r>
              <w:rPr>
                <w:color w:val="0D0D0D" w:themeColor="text1" w:themeTint="F2"/>
                <w:spacing w:val="-4"/>
                <w:lang w:val="en-GB"/>
              </w:rPr>
              <w:t>positively in the EU</w:t>
            </w:r>
            <w:r w:rsidRPr="006E3AB8">
              <w:rPr>
                <w:color w:val="0D0D0D" w:themeColor="text1" w:themeTint="F2"/>
                <w:spacing w:val="-4"/>
                <w:lang w:val="en-GB"/>
              </w:rPr>
              <w:t>.</w:t>
            </w:r>
            <w:r>
              <w:rPr>
                <w:color w:val="0D0D0D" w:themeColor="text1" w:themeTint="F2"/>
                <w:spacing w:val="-4"/>
                <w:lang w:val="en-GB"/>
              </w:rPr>
              <w:t xml:space="preserve"> </w:t>
            </w:r>
            <w:proofErr w:type="gramStart"/>
            <w:r>
              <w:rPr>
                <w:color w:val="0D0D0D" w:themeColor="text1" w:themeTint="F2"/>
                <w:spacing w:val="-4"/>
                <w:lang w:val="en-GB"/>
              </w:rPr>
              <w:t xml:space="preserve">While it arrived at </w:t>
            </w:r>
            <w:r w:rsidRPr="006E3AB8">
              <w:rPr>
                <w:color w:val="0D0D0D" w:themeColor="text1" w:themeTint="F2"/>
                <w:spacing w:val="-4"/>
                <w:lang w:val="en-GB"/>
              </w:rPr>
              <w:t>7</w:t>
            </w:r>
            <w:r>
              <w:rPr>
                <w:color w:val="0D0D0D" w:themeColor="text1" w:themeTint="F2"/>
                <w:spacing w:val="-4"/>
                <w:lang w:val="en-GB"/>
              </w:rPr>
              <w:t>.</w:t>
            </w:r>
            <w:r w:rsidRPr="006E3AB8">
              <w:rPr>
                <w:color w:val="0D0D0D" w:themeColor="text1" w:themeTint="F2"/>
                <w:spacing w:val="-4"/>
                <w:lang w:val="en-GB"/>
              </w:rPr>
              <w:t>3%</w:t>
            </w:r>
            <w:r>
              <w:rPr>
                <w:color w:val="0D0D0D" w:themeColor="text1" w:themeTint="F2"/>
                <w:spacing w:val="-4"/>
                <w:lang w:val="en-GB"/>
              </w:rPr>
              <w:t xml:space="preserve"> of GDP in Q4 2020</w:t>
            </w:r>
            <w:r w:rsidRPr="006E3AB8">
              <w:rPr>
                <w:color w:val="0D0D0D" w:themeColor="text1" w:themeTint="F2"/>
                <w:spacing w:val="-4"/>
                <w:lang w:val="en-GB"/>
              </w:rPr>
              <w:t>,</w:t>
            </w:r>
            <w:r>
              <w:rPr>
                <w:color w:val="0D0D0D" w:themeColor="text1" w:themeTint="F2"/>
                <w:spacing w:val="-4"/>
                <w:lang w:val="en-GB"/>
              </w:rPr>
              <w:t xml:space="preserve"> it was </w:t>
            </w:r>
            <w:r>
              <w:rPr>
                <w:color w:val="0D0D0D" w:themeColor="text1" w:themeTint="F2"/>
                <w:spacing w:val="-4"/>
                <w:lang w:val="en-US"/>
              </w:rPr>
              <w:t>“</w:t>
            </w:r>
            <w:r>
              <w:rPr>
                <w:color w:val="0D0D0D" w:themeColor="text1" w:themeTint="F2"/>
                <w:spacing w:val="-4"/>
                <w:lang w:val="en-GB"/>
              </w:rPr>
              <w:t>only”</w:t>
            </w:r>
            <w:r>
              <w:rPr>
                <w:color w:val="0D0D0D" w:themeColor="text1" w:themeTint="F2"/>
                <w:spacing w:val="-4"/>
              </w:rPr>
              <w:t xml:space="preserve"> </w:t>
            </w:r>
            <w:r w:rsidRPr="006E3AB8">
              <w:rPr>
                <w:color w:val="0D0D0D" w:themeColor="text1" w:themeTint="F2"/>
                <w:spacing w:val="-4"/>
                <w:lang w:val="en-GB"/>
              </w:rPr>
              <w:t>3</w:t>
            </w:r>
            <w:r>
              <w:rPr>
                <w:color w:val="0D0D0D" w:themeColor="text1" w:themeTint="F2"/>
                <w:spacing w:val="-4"/>
                <w:lang w:val="en-GB"/>
              </w:rPr>
              <w:t>.</w:t>
            </w:r>
            <w:r w:rsidRPr="006E3AB8">
              <w:rPr>
                <w:color w:val="0D0D0D" w:themeColor="text1" w:themeTint="F2"/>
                <w:spacing w:val="-4"/>
                <w:lang w:val="en-GB"/>
              </w:rPr>
              <w:t>7%</w:t>
            </w:r>
            <w:r>
              <w:rPr>
                <w:color w:val="0D0D0D" w:themeColor="text1" w:themeTint="F2"/>
                <w:spacing w:val="-4"/>
                <w:lang w:val="en-GB"/>
              </w:rPr>
              <w:t xml:space="preserve"> of GDP in Q3 the following year</w:t>
            </w:r>
            <w:r w:rsidRPr="006E3AB8">
              <w:rPr>
                <w:color w:val="0D0D0D" w:themeColor="text1" w:themeTint="F2"/>
                <w:spacing w:val="-4"/>
                <w:lang w:val="en-GB"/>
              </w:rPr>
              <w:t xml:space="preserve">, </w:t>
            </w:r>
            <w:r>
              <w:rPr>
                <w:color w:val="0D0D0D" w:themeColor="text1" w:themeTint="F2"/>
                <w:spacing w:val="-4"/>
                <w:lang w:val="en-GB"/>
              </w:rPr>
              <w:t xml:space="preserve">when only Belgium, Romania, Spain and Malta recorded the deeper deficit compared to the CR </w:t>
            </w:r>
            <w:r w:rsidRPr="006E3AB8">
              <w:rPr>
                <w:color w:val="0D0D0D" w:themeColor="text1" w:themeTint="F2"/>
                <w:spacing w:val="-4"/>
                <w:lang w:val="en-GB"/>
              </w:rPr>
              <w:t>(</w:t>
            </w:r>
            <w:r>
              <w:rPr>
                <w:color w:val="0D0D0D" w:themeColor="text1" w:themeTint="F2"/>
                <w:spacing w:val="-4"/>
                <w:lang w:val="en-GB"/>
              </w:rPr>
              <w:t xml:space="preserve">within range </w:t>
            </w:r>
            <w:r w:rsidRPr="006E3AB8">
              <w:rPr>
                <w:color w:val="0D0D0D" w:themeColor="text1" w:themeTint="F2"/>
                <w:spacing w:val="-4"/>
                <w:lang w:val="en-GB"/>
              </w:rPr>
              <w:t>6</w:t>
            </w:r>
            <w:r>
              <w:rPr>
                <w:color w:val="0D0D0D" w:themeColor="text1" w:themeTint="F2"/>
                <w:spacing w:val="-4"/>
                <w:lang w:val="en-GB"/>
              </w:rPr>
              <w:t>.</w:t>
            </w:r>
            <w:r w:rsidRPr="006E3AB8">
              <w:rPr>
                <w:color w:val="0D0D0D" w:themeColor="text1" w:themeTint="F2"/>
                <w:spacing w:val="-4"/>
                <w:lang w:val="en-GB"/>
              </w:rPr>
              <w:t>6%</w:t>
            </w:r>
            <w:r>
              <w:rPr>
                <w:color w:val="0D0D0D" w:themeColor="text1" w:themeTint="F2"/>
                <w:spacing w:val="-4"/>
                <w:lang w:val="en-GB"/>
              </w:rPr>
              <w:t xml:space="preserve"> to </w:t>
            </w:r>
            <w:r w:rsidRPr="006E3AB8">
              <w:rPr>
                <w:color w:val="0D0D0D" w:themeColor="text1" w:themeTint="F2"/>
                <w:spacing w:val="-4"/>
                <w:lang w:val="en-GB"/>
              </w:rPr>
              <w:t>8</w:t>
            </w:r>
            <w:r>
              <w:rPr>
                <w:color w:val="0D0D0D" w:themeColor="text1" w:themeTint="F2"/>
                <w:spacing w:val="-4"/>
                <w:lang w:val="en-GB"/>
              </w:rPr>
              <w:t>.</w:t>
            </w:r>
            <w:r w:rsidRPr="006E3AB8">
              <w:rPr>
                <w:color w:val="0D0D0D" w:themeColor="text1" w:themeTint="F2"/>
                <w:spacing w:val="-4"/>
                <w:lang w:val="en-GB"/>
              </w:rPr>
              <w:t>1%</w:t>
            </w:r>
            <w:r>
              <w:rPr>
                <w:color w:val="0D0D0D" w:themeColor="text1" w:themeTint="F2"/>
                <w:spacing w:val="-4"/>
                <w:lang w:val="en-GB"/>
              </w:rPr>
              <w:t xml:space="preserve"> of GDP</w:t>
            </w:r>
            <w:r w:rsidRPr="006E3AB8">
              <w:rPr>
                <w:color w:val="0D0D0D" w:themeColor="text1" w:themeTint="F2"/>
                <w:spacing w:val="-4"/>
                <w:lang w:val="en-GB"/>
              </w:rPr>
              <w:t>)</w:t>
            </w:r>
            <w:r w:rsidRPr="006E3AB8">
              <w:rPr>
                <w:rStyle w:val="Znakapoznpodarou"/>
                <w:spacing w:val="-4"/>
                <w:lang w:val="en-GB"/>
              </w:rPr>
              <w:footnoteReference w:id="101"/>
            </w:r>
            <w:r w:rsidRPr="006E3AB8">
              <w:rPr>
                <w:color w:val="0D0D0D" w:themeColor="text1" w:themeTint="F2"/>
                <w:spacing w:val="-4"/>
                <w:lang w:val="en-GB"/>
              </w:rPr>
              <w:t>.</w:t>
            </w:r>
            <w:proofErr w:type="gramEnd"/>
            <w:r w:rsidRPr="006E3AB8">
              <w:rPr>
                <w:spacing w:val="-4"/>
                <w:lang w:val="en-GB"/>
              </w:rPr>
              <w:t xml:space="preserve"> </w:t>
            </w:r>
            <w:r>
              <w:rPr>
                <w:spacing w:val="-4"/>
                <w:lang w:val="en-GB"/>
              </w:rPr>
              <w:t>By contrast the government sector ended in surplus only in Denmark last year in Q</w:t>
            </w:r>
            <w:r w:rsidRPr="006E3AB8">
              <w:rPr>
                <w:color w:val="0D0D0D" w:themeColor="text1" w:themeTint="F2"/>
                <w:spacing w:val="-4"/>
                <w:lang w:val="en-GB"/>
              </w:rPr>
              <w:t>3</w:t>
            </w:r>
            <w:r>
              <w:rPr>
                <w:color w:val="0D0D0D" w:themeColor="text1" w:themeTint="F2"/>
                <w:spacing w:val="-4"/>
                <w:lang w:val="en-GB"/>
              </w:rPr>
              <w:t xml:space="preserve"> </w:t>
            </w:r>
            <w:r w:rsidRPr="006E3AB8">
              <w:rPr>
                <w:spacing w:val="-4"/>
                <w:lang w:val="en-GB"/>
              </w:rPr>
              <w:t>(2</w:t>
            </w:r>
            <w:r>
              <w:rPr>
                <w:spacing w:val="-4"/>
                <w:lang w:val="en-GB"/>
              </w:rPr>
              <w:t>.</w:t>
            </w:r>
            <w:r w:rsidRPr="006E3AB8">
              <w:rPr>
                <w:spacing w:val="-4"/>
                <w:lang w:val="en-GB"/>
              </w:rPr>
              <w:t>7%</w:t>
            </w:r>
            <w:r>
              <w:rPr>
                <w:spacing w:val="-4"/>
                <w:lang w:val="en-GB"/>
              </w:rPr>
              <w:t xml:space="preserve"> of GDP</w:t>
            </w:r>
            <w:r w:rsidRPr="006E3AB8">
              <w:rPr>
                <w:spacing w:val="-4"/>
                <w:lang w:val="en-GB"/>
              </w:rPr>
              <w:t xml:space="preserve">), </w:t>
            </w:r>
            <w:r>
              <w:rPr>
                <w:spacing w:val="-4"/>
                <w:lang w:val="en-GB"/>
              </w:rPr>
              <w:t xml:space="preserve">where it however presented even more significant surpluses in the pre-crisis year </w:t>
            </w:r>
            <w:r w:rsidRPr="006E3AB8">
              <w:rPr>
                <w:spacing w:val="-4"/>
                <w:lang w:val="en-GB"/>
              </w:rPr>
              <w:t>2019.</w:t>
            </w:r>
          </w:p>
        </w:tc>
      </w:tr>
      <w:tr w:rsidR="00C23909" w:rsidRPr="000D151F" w14:paraId="1EB0950A" w14:textId="77777777" w:rsidTr="008E039E">
        <w:trPr>
          <w:trHeight w:val="170"/>
        </w:trPr>
        <w:tc>
          <w:tcPr>
            <w:tcW w:w="1732" w:type="dxa"/>
            <w:shd w:val="clear" w:color="auto" w:fill="auto"/>
            <w:tcMar>
              <w:left w:w="0" w:type="dxa"/>
            </w:tcMar>
          </w:tcPr>
          <w:p w14:paraId="3EB96A59" w14:textId="339C257E" w:rsidR="00C23909" w:rsidRDefault="00C23909" w:rsidP="00C23909">
            <w:pPr>
              <w:pStyle w:val="Marginlie"/>
              <w:rPr>
                <w:lang w:val="en-GB"/>
              </w:rPr>
            </w:pPr>
            <w:r>
              <w:rPr>
                <w:lang w:val="en-GB"/>
              </w:rPr>
              <w:t xml:space="preserve">Year-on-year growth of the indebtedness rate </w:t>
            </w:r>
            <w:r w:rsidRPr="00BC59FE">
              <w:rPr>
                <w:lang w:val="en-GB"/>
              </w:rPr>
              <w:t>VI</w:t>
            </w:r>
            <w:r>
              <w:rPr>
                <w:lang w:val="en-GB"/>
              </w:rPr>
              <w:t xml:space="preserve"> </w:t>
            </w:r>
            <w:proofErr w:type="gramStart"/>
            <w:r>
              <w:rPr>
                <w:lang w:val="en-GB"/>
              </w:rPr>
              <w:t>was considerably moderated</w:t>
            </w:r>
            <w:proofErr w:type="gramEnd"/>
            <w:r>
              <w:rPr>
                <w:lang w:val="en-GB"/>
              </w:rPr>
              <w:t xml:space="preserve"> by the nominal increase of GDP in the CR. </w:t>
            </w:r>
          </w:p>
          <w:p w14:paraId="08571025" w14:textId="0F1305DB" w:rsidR="00C23909" w:rsidRDefault="00C23909" w:rsidP="00C23909">
            <w:pPr>
              <w:pStyle w:val="Marginlie"/>
              <w:rPr>
                <w:lang w:val="en-GB"/>
              </w:rPr>
            </w:pPr>
          </w:p>
          <w:p w14:paraId="67D44EB0" w14:textId="77777777" w:rsidR="00C23909" w:rsidRPr="00BC59FE" w:rsidRDefault="00C23909" w:rsidP="00C23909">
            <w:pPr>
              <w:pStyle w:val="Marginlie"/>
              <w:rPr>
                <w:lang w:val="en-GB"/>
              </w:rPr>
            </w:pPr>
          </w:p>
          <w:p w14:paraId="6A31B1A5" w14:textId="77777777" w:rsidR="00C23909" w:rsidRPr="00BC59FE" w:rsidRDefault="00C23909" w:rsidP="00C23909">
            <w:pPr>
              <w:pStyle w:val="Marginlie"/>
              <w:rPr>
                <w:lang w:val="en-GB"/>
              </w:rPr>
            </w:pPr>
          </w:p>
          <w:p w14:paraId="0F78F491" w14:textId="197B2F32" w:rsidR="00C23909" w:rsidRPr="00BC59FE" w:rsidRDefault="00C23909" w:rsidP="00C23909">
            <w:pPr>
              <w:pStyle w:val="Marginlie"/>
              <w:rPr>
                <w:lang w:val="en-GB"/>
              </w:rPr>
            </w:pPr>
            <w:r>
              <w:rPr>
                <w:lang w:val="en-GB"/>
              </w:rPr>
              <w:t xml:space="preserve">Compared to the end of year </w:t>
            </w:r>
            <w:r w:rsidRPr="00BC59FE">
              <w:rPr>
                <w:lang w:val="en-GB"/>
              </w:rPr>
              <w:t>2019</w:t>
            </w:r>
            <w:r>
              <w:rPr>
                <w:lang w:val="en-GB"/>
              </w:rPr>
              <w:t xml:space="preserve">, the cumulative increase of the indebtedness in the CR was comparable to Poland of Germany. </w:t>
            </w:r>
          </w:p>
        </w:tc>
        <w:tc>
          <w:tcPr>
            <w:tcW w:w="217" w:type="dxa"/>
            <w:shd w:val="clear" w:color="auto" w:fill="auto"/>
            <w:tcMar>
              <w:left w:w="0" w:type="dxa"/>
            </w:tcMar>
          </w:tcPr>
          <w:p w14:paraId="2E4B0830" w14:textId="77777777" w:rsidR="00C23909" w:rsidRPr="00BC59FE" w:rsidRDefault="00C23909" w:rsidP="00C23909">
            <w:pPr>
              <w:pStyle w:val="Textpoznpodarou"/>
              <w:jc w:val="both"/>
              <w:rPr>
                <w:spacing w:val="-4"/>
                <w:lang w:val="en-GB"/>
              </w:rPr>
            </w:pPr>
          </w:p>
        </w:tc>
        <w:tc>
          <w:tcPr>
            <w:tcW w:w="7720" w:type="dxa"/>
            <w:shd w:val="clear" w:color="auto" w:fill="auto"/>
            <w:tcMar>
              <w:left w:w="0" w:type="dxa"/>
            </w:tcMar>
          </w:tcPr>
          <w:p w14:paraId="0F85E50B" w14:textId="10026A03" w:rsidR="00C23909" w:rsidRPr="00BC59FE" w:rsidRDefault="00C23909" w:rsidP="00C23909">
            <w:pPr>
              <w:spacing w:after="0"/>
              <w:rPr>
                <w:color w:val="0D0D0D" w:themeColor="text1" w:themeTint="F2"/>
                <w:spacing w:val="-5"/>
                <w:lang w:val="en-GB"/>
              </w:rPr>
            </w:pPr>
            <w:r>
              <w:rPr>
                <w:color w:val="0D0D0D" w:themeColor="text1" w:themeTint="F2"/>
                <w:spacing w:val="-5"/>
                <w:lang w:val="en-GB"/>
              </w:rPr>
              <w:t xml:space="preserve">The nominal debt </w:t>
            </w:r>
            <w:r w:rsidRPr="00BC59FE">
              <w:rPr>
                <w:color w:val="0D0D0D" w:themeColor="text1" w:themeTint="F2"/>
                <w:spacing w:val="-5"/>
                <w:lang w:val="en-GB"/>
              </w:rPr>
              <w:t>VI</w:t>
            </w:r>
            <w:r>
              <w:rPr>
                <w:color w:val="0D0D0D" w:themeColor="text1" w:themeTint="F2"/>
                <w:spacing w:val="-5"/>
                <w:lang w:val="en-GB"/>
              </w:rPr>
              <w:t xml:space="preserve"> reached </w:t>
            </w:r>
            <w:r w:rsidRPr="00BC59FE">
              <w:rPr>
                <w:color w:val="0D0D0D" w:themeColor="text1" w:themeTint="F2"/>
                <w:spacing w:val="-5"/>
                <w:lang w:val="en-GB"/>
              </w:rPr>
              <w:t>2</w:t>
            </w:r>
            <w:r>
              <w:rPr>
                <w:color w:val="0D0D0D" w:themeColor="text1" w:themeTint="F2"/>
                <w:spacing w:val="-5"/>
                <w:lang w:val="en-GB"/>
              </w:rPr>
              <w:t> </w:t>
            </w:r>
            <w:r w:rsidRPr="00BC59FE">
              <w:rPr>
                <w:color w:val="0D0D0D" w:themeColor="text1" w:themeTint="F2"/>
                <w:spacing w:val="-5"/>
                <w:lang w:val="en-GB"/>
              </w:rPr>
              <w:t>432</w:t>
            </w:r>
            <w:r>
              <w:rPr>
                <w:color w:val="0D0D0D" w:themeColor="text1" w:themeTint="F2"/>
                <w:spacing w:val="-5"/>
                <w:lang w:val="en-GB"/>
              </w:rPr>
              <w:t>.</w:t>
            </w:r>
            <w:r w:rsidRPr="00BC59FE">
              <w:rPr>
                <w:color w:val="0D0D0D" w:themeColor="text1" w:themeTint="F2"/>
                <w:spacing w:val="-5"/>
                <w:lang w:val="en-GB"/>
              </w:rPr>
              <w:t>9</w:t>
            </w:r>
            <w:r>
              <w:rPr>
                <w:color w:val="0D0D0D" w:themeColor="text1" w:themeTint="F2"/>
                <w:spacing w:val="-5"/>
                <w:lang w:val="en-GB"/>
              </w:rPr>
              <w:t xml:space="preserve"> CZK bn in the CR at the end of Q3</w:t>
            </w:r>
            <w:r w:rsidRPr="00BC59FE">
              <w:rPr>
                <w:color w:val="0D0D0D" w:themeColor="text1" w:themeTint="F2"/>
                <w:spacing w:val="-5"/>
                <w:lang w:val="en-GB"/>
              </w:rPr>
              <w:t xml:space="preserve">, </w:t>
            </w:r>
            <w:r>
              <w:rPr>
                <w:color w:val="0D0D0D" w:themeColor="text1" w:themeTint="F2"/>
                <w:spacing w:val="-5"/>
                <w:lang w:val="en-GB"/>
              </w:rPr>
              <w:t xml:space="preserve">by </w:t>
            </w:r>
            <w:r w:rsidRPr="00BC59FE">
              <w:rPr>
                <w:color w:val="0D0D0D" w:themeColor="text1" w:themeTint="F2"/>
                <w:spacing w:val="-5"/>
                <w:lang w:val="en-GB"/>
              </w:rPr>
              <w:t>260</w:t>
            </w:r>
            <w:r>
              <w:rPr>
                <w:color w:val="0D0D0D" w:themeColor="text1" w:themeTint="F2"/>
                <w:spacing w:val="-5"/>
                <w:lang w:val="en-GB"/>
              </w:rPr>
              <w:t>.</w:t>
            </w:r>
            <w:r w:rsidRPr="00BC59FE">
              <w:rPr>
                <w:color w:val="0D0D0D" w:themeColor="text1" w:themeTint="F2"/>
                <w:spacing w:val="-5"/>
                <w:lang w:val="en-GB"/>
              </w:rPr>
              <w:t>0</w:t>
            </w:r>
            <w:r>
              <w:rPr>
                <w:color w:val="0D0D0D" w:themeColor="text1" w:themeTint="F2"/>
                <w:spacing w:val="-5"/>
                <w:lang w:val="en-GB"/>
              </w:rPr>
              <w:t xml:space="preserve"> bn more year-on-year</w:t>
            </w:r>
            <w:r w:rsidRPr="00BC59FE">
              <w:rPr>
                <w:color w:val="0D0D0D" w:themeColor="text1" w:themeTint="F2"/>
                <w:spacing w:val="-5"/>
                <w:lang w:val="en-GB"/>
              </w:rPr>
              <w:t xml:space="preserve">. </w:t>
            </w:r>
            <w:r>
              <w:rPr>
                <w:color w:val="0D0D0D" w:themeColor="text1" w:themeTint="F2"/>
                <w:spacing w:val="-5"/>
                <w:lang w:val="en-GB"/>
              </w:rPr>
              <w:t xml:space="preserve">The indebtedness rate grew analogously from </w:t>
            </w:r>
            <w:r w:rsidRPr="00BC59FE">
              <w:rPr>
                <w:color w:val="0D0D0D" w:themeColor="text1" w:themeTint="F2"/>
                <w:spacing w:val="-5"/>
                <w:lang w:val="en-GB"/>
              </w:rPr>
              <w:t>38</w:t>
            </w:r>
            <w:r>
              <w:rPr>
                <w:color w:val="0D0D0D" w:themeColor="text1" w:themeTint="F2"/>
                <w:spacing w:val="-5"/>
                <w:lang w:val="en-GB"/>
              </w:rPr>
              <w:t>.</w:t>
            </w:r>
            <w:r w:rsidRPr="00BC59FE">
              <w:rPr>
                <w:color w:val="0D0D0D" w:themeColor="text1" w:themeTint="F2"/>
                <w:spacing w:val="-5"/>
                <w:lang w:val="en-GB"/>
              </w:rPr>
              <w:t xml:space="preserve">1% </w:t>
            </w:r>
            <w:r>
              <w:rPr>
                <w:color w:val="0D0D0D" w:themeColor="text1" w:themeTint="F2"/>
                <w:spacing w:val="-5"/>
                <w:lang w:val="en-GB"/>
              </w:rPr>
              <w:t xml:space="preserve">to </w:t>
            </w:r>
            <w:r w:rsidRPr="00BC59FE">
              <w:rPr>
                <w:color w:val="0D0D0D" w:themeColor="text1" w:themeTint="F2"/>
                <w:spacing w:val="-5"/>
                <w:lang w:val="en-GB"/>
              </w:rPr>
              <w:t>40</w:t>
            </w:r>
            <w:r>
              <w:rPr>
                <w:color w:val="0D0D0D" w:themeColor="text1" w:themeTint="F2"/>
                <w:spacing w:val="-5"/>
                <w:lang w:val="en-GB"/>
              </w:rPr>
              <w:t>.</w:t>
            </w:r>
            <w:r w:rsidRPr="00BC59FE">
              <w:rPr>
                <w:color w:val="0D0D0D" w:themeColor="text1" w:themeTint="F2"/>
                <w:spacing w:val="-5"/>
                <w:lang w:val="en-GB"/>
              </w:rPr>
              <w:t>5%</w:t>
            </w:r>
            <w:r>
              <w:rPr>
                <w:color w:val="0D0D0D" w:themeColor="text1" w:themeTint="F2"/>
                <w:spacing w:val="-5"/>
                <w:lang w:val="en-GB"/>
              </w:rPr>
              <w:t xml:space="preserve"> of GDP for the last year</w:t>
            </w:r>
            <w:r w:rsidRPr="00BC59FE">
              <w:rPr>
                <w:color w:val="0D0D0D" w:themeColor="text1" w:themeTint="F2"/>
                <w:spacing w:val="-5"/>
                <w:lang w:val="en-GB"/>
              </w:rPr>
              <w:t>.</w:t>
            </w:r>
            <w:r>
              <w:rPr>
                <w:color w:val="0D0D0D" w:themeColor="text1" w:themeTint="F2"/>
                <w:spacing w:val="-5"/>
                <w:lang w:val="en-GB"/>
              </w:rPr>
              <w:t xml:space="preserve"> The growth of indebtedness was subdued by the swift nominal strengthening of the GDP</w:t>
            </w:r>
            <w:r w:rsidRPr="00BC59FE">
              <w:rPr>
                <w:color w:val="0D0D0D" w:themeColor="text1" w:themeTint="F2"/>
                <w:spacing w:val="-5"/>
                <w:lang w:val="en-GB"/>
              </w:rPr>
              <w:t xml:space="preserve"> (</w:t>
            </w:r>
            <w:r>
              <w:rPr>
                <w:color w:val="0D0D0D" w:themeColor="text1" w:themeTint="F2"/>
                <w:spacing w:val="-5"/>
                <w:lang w:val="en-GB"/>
              </w:rPr>
              <w:t xml:space="preserve">contribution </w:t>
            </w:r>
            <w:r w:rsidRPr="00BC59FE">
              <w:rPr>
                <w:color w:val="0D0D0D" w:themeColor="text1" w:themeTint="F2"/>
                <w:spacing w:val="-5"/>
                <w:lang w:val="en-GB"/>
              </w:rPr>
              <w:t>–1</w:t>
            </w:r>
            <w:r>
              <w:rPr>
                <w:color w:val="0D0D0D" w:themeColor="text1" w:themeTint="F2"/>
                <w:spacing w:val="-5"/>
                <w:lang w:val="en-GB"/>
              </w:rPr>
              <w:t>.</w:t>
            </w:r>
            <w:r w:rsidRPr="00BC59FE">
              <w:rPr>
                <w:color w:val="0D0D0D" w:themeColor="text1" w:themeTint="F2"/>
                <w:spacing w:val="-5"/>
                <w:lang w:val="en-GB"/>
              </w:rPr>
              <w:t>9 p.</w:t>
            </w:r>
            <w:r>
              <w:rPr>
                <w:color w:val="0D0D0D" w:themeColor="text1" w:themeTint="F2"/>
                <w:spacing w:val="-5"/>
                <w:lang w:val="en-GB"/>
              </w:rPr>
              <w:t>p</w:t>
            </w:r>
            <w:r w:rsidRPr="00BC59FE">
              <w:rPr>
                <w:color w:val="0D0D0D" w:themeColor="text1" w:themeTint="F2"/>
                <w:spacing w:val="-5"/>
                <w:lang w:val="en-GB"/>
              </w:rPr>
              <w:t xml:space="preserve">.). </w:t>
            </w:r>
            <w:r>
              <w:rPr>
                <w:color w:val="0D0D0D" w:themeColor="text1" w:themeTint="F2"/>
                <w:spacing w:val="-5"/>
                <w:lang w:val="en-GB"/>
              </w:rPr>
              <w:t xml:space="preserve">The indebtedness rate </w:t>
            </w:r>
            <w:r w:rsidRPr="00BC59FE">
              <w:rPr>
                <w:color w:val="0D0D0D" w:themeColor="text1" w:themeTint="F2"/>
                <w:spacing w:val="-5"/>
                <w:lang w:val="en-GB"/>
              </w:rPr>
              <w:t xml:space="preserve">VI </w:t>
            </w:r>
            <w:r>
              <w:rPr>
                <w:color w:val="0D0D0D" w:themeColor="text1" w:themeTint="F2"/>
                <w:spacing w:val="-5"/>
                <w:lang w:val="en-GB"/>
              </w:rPr>
              <w:t xml:space="preserve">was </w:t>
            </w:r>
            <w:r w:rsidRPr="00BC59FE">
              <w:rPr>
                <w:color w:val="0D0D0D" w:themeColor="text1" w:themeTint="F2"/>
                <w:spacing w:val="-5"/>
                <w:lang w:val="en-GB"/>
              </w:rPr>
              <w:t>90</w:t>
            </w:r>
            <w:r>
              <w:rPr>
                <w:color w:val="0D0D0D" w:themeColor="text1" w:themeTint="F2"/>
                <w:spacing w:val="-5"/>
                <w:lang w:val="en-GB"/>
              </w:rPr>
              <w:t>.</w:t>
            </w:r>
            <w:r w:rsidRPr="00BC59FE">
              <w:rPr>
                <w:color w:val="0D0D0D" w:themeColor="text1" w:themeTint="F2"/>
                <w:spacing w:val="-5"/>
                <w:lang w:val="en-GB"/>
              </w:rPr>
              <w:t>1%</w:t>
            </w:r>
            <w:r>
              <w:rPr>
                <w:color w:val="0D0D0D" w:themeColor="text1" w:themeTint="F2"/>
                <w:spacing w:val="-5"/>
                <w:lang w:val="en-GB"/>
              </w:rPr>
              <w:t xml:space="preserve"> of GDP in the EU in Q3</w:t>
            </w:r>
            <w:r w:rsidRPr="00BC59FE">
              <w:rPr>
                <w:color w:val="0D0D0D" w:themeColor="text1" w:themeTint="F2"/>
                <w:spacing w:val="-5"/>
                <w:lang w:val="en-GB"/>
              </w:rPr>
              <w:t>,</w:t>
            </w:r>
            <w:r>
              <w:rPr>
                <w:color w:val="0D0D0D" w:themeColor="text1" w:themeTint="F2"/>
                <w:spacing w:val="-5"/>
                <w:lang w:val="en-GB"/>
              </w:rPr>
              <w:t xml:space="preserve"> it mildly decreased however in the quarter-on-quarter view for the second time in a row. The indebtedness rate rose in all Union states compared to the end of year 2019</w:t>
            </w:r>
            <w:r w:rsidRPr="00BC59FE">
              <w:rPr>
                <w:color w:val="0D0D0D" w:themeColor="text1" w:themeTint="F2"/>
                <w:spacing w:val="-5"/>
                <w:lang w:val="en-GB"/>
              </w:rPr>
              <w:t xml:space="preserve">, </w:t>
            </w:r>
            <w:r>
              <w:rPr>
                <w:color w:val="0D0D0D" w:themeColor="text1" w:themeTint="F2"/>
                <w:spacing w:val="-5"/>
                <w:lang w:val="en-GB"/>
              </w:rPr>
              <w:t xml:space="preserve">the most in countries of the South wing of the euro area </w:t>
            </w:r>
            <w:r w:rsidRPr="00BC59FE">
              <w:rPr>
                <w:color w:val="0D0D0D" w:themeColor="text1" w:themeTint="F2"/>
                <w:spacing w:val="-5"/>
                <w:lang w:val="en-GB"/>
              </w:rPr>
              <w:t>(</w:t>
            </w:r>
            <w:r>
              <w:rPr>
                <w:color w:val="0D0D0D" w:themeColor="text1" w:themeTint="F2"/>
                <w:spacing w:val="-5"/>
                <w:lang w:val="en-GB"/>
              </w:rPr>
              <w:t xml:space="preserve">e.g. in Spain from </w:t>
            </w:r>
            <w:r w:rsidRPr="00BC59FE">
              <w:rPr>
                <w:color w:val="0D0D0D" w:themeColor="text1" w:themeTint="F2"/>
                <w:spacing w:val="-5"/>
                <w:lang w:val="en-GB"/>
              </w:rPr>
              <w:t>95</w:t>
            </w:r>
            <w:r>
              <w:rPr>
                <w:color w:val="0D0D0D" w:themeColor="text1" w:themeTint="F2"/>
                <w:spacing w:val="-5"/>
                <w:lang w:val="en-GB"/>
              </w:rPr>
              <w:t>.</w:t>
            </w:r>
            <w:r w:rsidRPr="00BC59FE">
              <w:rPr>
                <w:color w:val="0D0D0D" w:themeColor="text1" w:themeTint="F2"/>
                <w:spacing w:val="-5"/>
                <w:lang w:val="en-GB"/>
              </w:rPr>
              <w:t>5%</w:t>
            </w:r>
            <w:r>
              <w:rPr>
                <w:color w:val="0D0D0D" w:themeColor="text1" w:themeTint="F2"/>
                <w:spacing w:val="-5"/>
                <w:lang w:val="en-GB"/>
              </w:rPr>
              <w:t xml:space="preserve"> to </w:t>
            </w:r>
            <w:r w:rsidRPr="00BC59FE">
              <w:rPr>
                <w:color w:val="0D0D0D" w:themeColor="text1" w:themeTint="F2"/>
                <w:spacing w:val="-5"/>
                <w:lang w:val="en-GB"/>
              </w:rPr>
              <w:t>121</w:t>
            </w:r>
            <w:r>
              <w:rPr>
                <w:color w:val="0D0D0D" w:themeColor="text1" w:themeTint="F2"/>
                <w:spacing w:val="-5"/>
                <w:lang w:val="en-GB"/>
              </w:rPr>
              <w:t>.</w:t>
            </w:r>
            <w:r w:rsidRPr="00BC59FE">
              <w:rPr>
                <w:color w:val="0D0D0D" w:themeColor="text1" w:themeTint="F2"/>
                <w:spacing w:val="-5"/>
                <w:lang w:val="en-GB"/>
              </w:rPr>
              <w:t>8%</w:t>
            </w:r>
            <w:r>
              <w:rPr>
                <w:color w:val="0D0D0D" w:themeColor="text1" w:themeTint="F2"/>
                <w:spacing w:val="-5"/>
                <w:lang w:val="en-GB"/>
              </w:rPr>
              <w:t xml:space="preserve"> of GDP</w:t>
            </w:r>
            <w:r w:rsidRPr="00BC59FE">
              <w:rPr>
                <w:color w:val="0D0D0D" w:themeColor="text1" w:themeTint="F2"/>
                <w:spacing w:val="-5"/>
                <w:lang w:val="en-GB"/>
              </w:rPr>
              <w:t>),</w:t>
            </w:r>
            <w:r>
              <w:rPr>
                <w:color w:val="0D0D0D" w:themeColor="text1" w:themeTint="F2"/>
                <w:spacing w:val="-5"/>
                <w:lang w:val="en-GB"/>
              </w:rPr>
              <w:t xml:space="preserve"> which except for Malta belonged in this respect to the most affected already before the onset of the pandemics. This increase was </w:t>
            </w:r>
            <w:r w:rsidRPr="00BC59FE">
              <w:rPr>
                <w:color w:val="0D0D0D" w:themeColor="text1" w:themeTint="F2"/>
                <w:spacing w:val="-5"/>
                <w:lang w:val="en-GB"/>
              </w:rPr>
              <w:t>12</w:t>
            </w:r>
            <w:r>
              <w:rPr>
                <w:color w:val="0D0D0D" w:themeColor="text1" w:themeTint="F2"/>
                <w:spacing w:val="-5"/>
                <w:lang w:val="en-GB"/>
              </w:rPr>
              <w:t>.</w:t>
            </w:r>
            <w:r w:rsidRPr="00BC59FE">
              <w:rPr>
                <w:color w:val="0D0D0D" w:themeColor="text1" w:themeTint="F2"/>
                <w:spacing w:val="-5"/>
                <w:lang w:val="en-GB"/>
              </w:rPr>
              <w:t>9 p.</w:t>
            </w:r>
            <w:r>
              <w:rPr>
                <w:color w:val="0D0D0D" w:themeColor="text1" w:themeTint="F2"/>
                <w:spacing w:val="-5"/>
                <w:lang w:val="en-GB"/>
              </w:rPr>
              <w:t>p</w:t>
            </w:r>
            <w:r w:rsidRPr="00BC59FE">
              <w:rPr>
                <w:color w:val="0D0D0D" w:themeColor="text1" w:themeTint="F2"/>
                <w:spacing w:val="-5"/>
                <w:lang w:val="en-GB"/>
              </w:rPr>
              <w:t>.</w:t>
            </w:r>
            <w:r>
              <w:rPr>
                <w:color w:val="0D0D0D" w:themeColor="text1" w:themeTint="F2"/>
                <w:spacing w:val="-5"/>
                <w:lang w:val="en-GB"/>
              </w:rPr>
              <w:t xml:space="preserve"> in the EU</w:t>
            </w:r>
            <w:r w:rsidRPr="00BC59FE">
              <w:rPr>
                <w:color w:val="0D0D0D" w:themeColor="text1" w:themeTint="F2"/>
                <w:spacing w:val="-5"/>
                <w:lang w:val="en-GB"/>
              </w:rPr>
              <w:t xml:space="preserve">, </w:t>
            </w:r>
            <w:r>
              <w:rPr>
                <w:color w:val="0D0D0D" w:themeColor="text1" w:themeTint="F2"/>
                <w:spacing w:val="-5"/>
                <w:lang w:val="en-GB"/>
              </w:rPr>
              <w:t xml:space="preserve">by </w:t>
            </w:r>
            <w:r w:rsidRPr="00BC59FE">
              <w:rPr>
                <w:color w:val="0D0D0D" w:themeColor="text1" w:themeTint="F2"/>
                <w:spacing w:val="-5"/>
                <w:lang w:val="en-GB"/>
              </w:rPr>
              <w:t>10</w:t>
            </w:r>
            <w:r>
              <w:rPr>
                <w:color w:val="0D0D0D" w:themeColor="text1" w:themeTint="F2"/>
                <w:spacing w:val="-5"/>
                <w:lang w:val="en-GB"/>
              </w:rPr>
              <w:t>.</w:t>
            </w:r>
            <w:r w:rsidRPr="00BC59FE">
              <w:rPr>
                <w:color w:val="0D0D0D" w:themeColor="text1" w:themeTint="F2"/>
                <w:spacing w:val="-5"/>
                <w:lang w:val="en-GB"/>
              </w:rPr>
              <w:t>5 p.</w:t>
            </w:r>
            <w:r>
              <w:rPr>
                <w:color w:val="0D0D0D" w:themeColor="text1" w:themeTint="F2"/>
                <w:spacing w:val="-5"/>
                <w:lang w:val="en-GB"/>
              </w:rPr>
              <w:t xml:space="preserve">p. in the CR – similarly to Germany or Poland. Only Ireland </w:t>
            </w:r>
            <w:r w:rsidRPr="00BC59FE">
              <w:rPr>
                <w:color w:val="0D0D0D" w:themeColor="text1" w:themeTint="F2"/>
                <w:spacing w:val="-5"/>
                <w:lang w:val="en-GB"/>
              </w:rPr>
              <w:t>(</w:t>
            </w:r>
            <w:r>
              <w:rPr>
                <w:color w:val="0D0D0D" w:themeColor="text1" w:themeTint="F2"/>
                <w:spacing w:val="-5"/>
                <w:lang w:val="en-GB"/>
              </w:rPr>
              <w:t xml:space="preserve">by </w:t>
            </w:r>
            <w:r w:rsidRPr="00BC59FE">
              <w:rPr>
                <w:color w:val="0D0D0D" w:themeColor="text1" w:themeTint="F2"/>
                <w:spacing w:val="-5"/>
                <w:lang w:val="en-GB"/>
              </w:rPr>
              <w:t>0</w:t>
            </w:r>
            <w:r>
              <w:rPr>
                <w:color w:val="0D0D0D" w:themeColor="text1" w:themeTint="F2"/>
                <w:spacing w:val="-5"/>
                <w:lang w:val="en-GB"/>
              </w:rPr>
              <w:t>.</w:t>
            </w:r>
            <w:r w:rsidRPr="00BC59FE">
              <w:rPr>
                <w:color w:val="0D0D0D" w:themeColor="text1" w:themeTint="F2"/>
                <w:spacing w:val="-5"/>
                <w:lang w:val="en-GB"/>
              </w:rPr>
              <w:t>4 p.</w:t>
            </w:r>
            <w:r>
              <w:rPr>
                <w:color w:val="0D0D0D" w:themeColor="text1" w:themeTint="F2"/>
                <w:spacing w:val="-5"/>
                <w:lang w:val="en-GB"/>
              </w:rPr>
              <w:t>p</w:t>
            </w:r>
            <w:r w:rsidRPr="00BC59FE">
              <w:rPr>
                <w:color w:val="0D0D0D" w:themeColor="text1" w:themeTint="F2"/>
                <w:spacing w:val="-5"/>
                <w:lang w:val="en-GB"/>
              </w:rPr>
              <w:t>.) a</w:t>
            </w:r>
            <w:r>
              <w:rPr>
                <w:color w:val="0D0D0D" w:themeColor="text1" w:themeTint="F2"/>
                <w:spacing w:val="-5"/>
                <w:lang w:val="en-GB"/>
              </w:rPr>
              <w:t xml:space="preserve">nd Sweden </w:t>
            </w:r>
            <w:r w:rsidRPr="00BC59FE">
              <w:rPr>
                <w:color w:val="0D0D0D" w:themeColor="text1" w:themeTint="F2"/>
                <w:spacing w:val="-5"/>
                <w:lang w:val="en-GB"/>
              </w:rPr>
              <w:t>(</w:t>
            </w:r>
            <w:r>
              <w:rPr>
                <w:color w:val="0D0D0D" w:themeColor="text1" w:themeTint="F2"/>
                <w:spacing w:val="-5"/>
                <w:lang w:val="en-GB"/>
              </w:rPr>
              <w:t xml:space="preserve">by </w:t>
            </w:r>
            <w:r w:rsidRPr="00BC59FE">
              <w:rPr>
                <w:color w:val="0D0D0D" w:themeColor="text1" w:themeTint="F2"/>
                <w:spacing w:val="-5"/>
                <w:lang w:val="en-GB"/>
              </w:rPr>
              <w:t>1</w:t>
            </w:r>
            <w:r>
              <w:rPr>
                <w:color w:val="0D0D0D" w:themeColor="text1" w:themeTint="F2"/>
                <w:spacing w:val="-5"/>
                <w:lang w:val="en-GB"/>
              </w:rPr>
              <w:t>.</w:t>
            </w:r>
            <w:r w:rsidRPr="00BC59FE">
              <w:rPr>
                <w:color w:val="0D0D0D" w:themeColor="text1" w:themeTint="F2"/>
                <w:spacing w:val="-5"/>
                <w:lang w:val="en-GB"/>
              </w:rPr>
              <w:t>2 p.</w:t>
            </w:r>
            <w:r>
              <w:rPr>
                <w:color w:val="0D0D0D" w:themeColor="text1" w:themeTint="F2"/>
                <w:spacing w:val="-5"/>
                <w:lang w:val="en-GB"/>
              </w:rPr>
              <w:t>p</w:t>
            </w:r>
            <w:r w:rsidRPr="00BC59FE">
              <w:rPr>
                <w:color w:val="0D0D0D" w:themeColor="text1" w:themeTint="F2"/>
                <w:spacing w:val="-5"/>
                <w:lang w:val="en-GB"/>
              </w:rPr>
              <w:t>.)</w:t>
            </w:r>
            <w:r>
              <w:rPr>
                <w:color w:val="0D0D0D" w:themeColor="text1" w:themeTint="F2"/>
                <w:spacing w:val="-5"/>
                <w:lang w:val="en-GB"/>
              </w:rPr>
              <w:t xml:space="preserve"> reported a minimum worsening and together with other eleven </w:t>
            </w:r>
            <w:proofErr w:type="gramStart"/>
            <w:r>
              <w:rPr>
                <w:color w:val="0D0D0D" w:themeColor="text1" w:themeTint="F2"/>
                <w:spacing w:val="-5"/>
                <w:lang w:val="en-GB"/>
              </w:rPr>
              <w:t>EU</w:t>
            </w:r>
            <w:proofErr w:type="gramEnd"/>
            <w:r>
              <w:rPr>
                <w:color w:val="0D0D0D" w:themeColor="text1" w:themeTint="F2"/>
                <w:spacing w:val="-5"/>
                <w:lang w:val="en-GB"/>
              </w:rPr>
              <w:t xml:space="preserve"> states kept their indebtedness below </w:t>
            </w:r>
            <w:r w:rsidRPr="00BC59FE">
              <w:rPr>
                <w:color w:val="0D0D0D" w:themeColor="text1" w:themeTint="F2"/>
                <w:spacing w:val="-5"/>
                <w:lang w:val="en-GB"/>
              </w:rPr>
              <w:t>60%</w:t>
            </w:r>
            <w:r>
              <w:rPr>
                <w:color w:val="0D0D0D" w:themeColor="text1" w:themeTint="F2"/>
                <w:spacing w:val="-5"/>
                <w:lang w:val="en-GB"/>
              </w:rPr>
              <w:t xml:space="preserve"> of GDP</w:t>
            </w:r>
            <w:r w:rsidRPr="00BC59FE">
              <w:rPr>
                <w:color w:val="0D0D0D" w:themeColor="text1" w:themeTint="F2"/>
                <w:spacing w:val="-5"/>
                <w:lang w:val="en-GB"/>
              </w:rPr>
              <w:t>.</w:t>
            </w:r>
          </w:p>
        </w:tc>
      </w:tr>
    </w:tbl>
    <w:p w14:paraId="5BAB8EA3" w14:textId="2CCF54AC" w:rsidR="000663F0" w:rsidRPr="00E42054" w:rsidRDefault="000663F0" w:rsidP="00AB3BA7">
      <w:pPr>
        <w:pStyle w:val="Nadpis11"/>
        <w:rPr>
          <w:b w:val="0"/>
          <w:sz w:val="2"/>
          <w:szCs w:val="2"/>
        </w:rPr>
      </w:pPr>
    </w:p>
    <w:sectPr w:rsidR="000663F0" w:rsidRPr="00E42054" w:rsidSect="00A03B10">
      <w:headerReference w:type="even" r:id="rId28"/>
      <w:headerReference w:type="default" r:id="rId29"/>
      <w:footerReference w:type="even" r:id="rId30"/>
      <w:footerReference w:type="default" r:id="rId31"/>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52DE" w14:textId="77777777" w:rsidR="00484C3D" w:rsidRDefault="00484C3D" w:rsidP="00E71A58">
      <w:r>
        <w:separator/>
      </w:r>
    </w:p>
  </w:endnote>
  <w:endnote w:type="continuationSeparator" w:id="0">
    <w:p w14:paraId="12BF4F95" w14:textId="77777777" w:rsidR="00484C3D" w:rsidRDefault="00484C3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9585BCA" w:rsidR="007C581C" w:rsidRPr="00932443" w:rsidRDefault="007C58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C5FB1">
      <w:rPr>
        <w:szCs w:val="16"/>
      </w:rPr>
      <w:t>4</w:t>
    </w:r>
    <w:r w:rsidRPr="00932443">
      <w:rPr>
        <w:szCs w:val="16"/>
      </w:rPr>
      <w:fldChar w:fldCharType="end"/>
    </w:r>
    <w:r w:rsidRPr="00932443">
      <w:rPr>
        <w:szCs w:val="16"/>
      </w:rPr>
      <w:tab/>
    </w:r>
    <w:r>
      <w:rPr>
        <w:szCs w:val="16"/>
      </w:rPr>
      <w:t>year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7DF6587" w:rsidR="007C581C" w:rsidRPr="00932443" w:rsidRDefault="00E81D18" w:rsidP="00FA6CB6">
    <w:pPr>
      <w:pStyle w:val="Zpat"/>
      <w:rPr>
        <w:szCs w:val="16"/>
      </w:rPr>
    </w:pPr>
    <w:r>
      <w:rPr>
        <w:lang w:eastAsia="cs-CZ"/>
      </w:rPr>
      <w:drawing>
        <wp:anchor distT="0" distB="0" distL="114300" distR="114300" simplePos="0" relativeHeight="251670016" behindDoc="0" locked="0" layoutInCell="1" allowOverlap="1" wp14:anchorId="06D08D78" wp14:editId="29900516">
          <wp:simplePos x="0" y="0"/>
          <wp:positionH relativeFrom="margin">
            <wp:align>left</wp:align>
          </wp:positionH>
          <wp:positionV relativeFrom="paragraph">
            <wp:posOffset>-74428</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1C" w:rsidRPr="00FA6CB6">
      <w:rPr>
        <w:szCs w:val="16"/>
      </w:rPr>
      <w:tab/>
    </w:r>
    <w:r w:rsidR="007C581C">
      <w:rPr>
        <w:szCs w:val="16"/>
      </w:rPr>
      <w:t>Year 2021</w:t>
    </w:r>
    <w:r w:rsidR="007C581C" w:rsidRPr="00932443">
      <w:rPr>
        <w:szCs w:val="16"/>
      </w:rPr>
      <w:tab/>
    </w:r>
    <w:r w:rsidR="007C581C" w:rsidRPr="00932443">
      <w:rPr>
        <w:rStyle w:val="ZpatChar"/>
        <w:szCs w:val="16"/>
      </w:rPr>
      <w:fldChar w:fldCharType="begin"/>
    </w:r>
    <w:r w:rsidR="007C581C" w:rsidRPr="00932443">
      <w:rPr>
        <w:rStyle w:val="ZpatChar"/>
        <w:szCs w:val="16"/>
      </w:rPr>
      <w:instrText>PAGE   \* MERGEFORMAT</w:instrText>
    </w:r>
    <w:r w:rsidR="007C581C" w:rsidRPr="00932443">
      <w:rPr>
        <w:rStyle w:val="ZpatChar"/>
        <w:szCs w:val="16"/>
      </w:rPr>
      <w:fldChar w:fldCharType="separate"/>
    </w:r>
    <w:r w:rsidR="005C5FB1">
      <w:rPr>
        <w:rStyle w:val="ZpatChar"/>
        <w:szCs w:val="16"/>
      </w:rPr>
      <w:t>3</w:t>
    </w:r>
    <w:r w:rsidR="007C581C"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14BA" w14:textId="77777777" w:rsidR="00484C3D" w:rsidRDefault="00484C3D" w:rsidP="00A21B4D">
      <w:pPr>
        <w:spacing w:after="0"/>
      </w:pPr>
      <w:r>
        <w:separator/>
      </w:r>
    </w:p>
  </w:footnote>
  <w:footnote w:type="continuationSeparator" w:id="0">
    <w:p w14:paraId="44D320A9" w14:textId="77777777" w:rsidR="00484C3D" w:rsidRDefault="00484C3D" w:rsidP="00E71A58">
      <w:r>
        <w:continuationSeparator/>
      </w:r>
    </w:p>
  </w:footnote>
  <w:footnote w:id="1">
    <w:p w14:paraId="64CAD912" w14:textId="640A5629" w:rsidR="007C581C" w:rsidRPr="00957140" w:rsidRDefault="007C581C" w:rsidP="0085220A">
      <w:pPr>
        <w:pStyle w:val="Textpoznpodarou"/>
        <w:jc w:val="both"/>
        <w:rPr>
          <w:spacing w:val="-2"/>
          <w:sz w:val="16"/>
          <w:szCs w:val="16"/>
        </w:rPr>
      </w:pPr>
      <w:r w:rsidRPr="00957140">
        <w:rPr>
          <w:rStyle w:val="Znakapoznpodarou"/>
          <w:spacing w:val="-2"/>
          <w:sz w:val="16"/>
          <w:szCs w:val="16"/>
        </w:rPr>
        <w:footnoteRef/>
      </w:r>
      <w:r w:rsidRPr="00957140">
        <w:rPr>
          <w:spacing w:val="-2"/>
          <w:sz w:val="16"/>
          <w:szCs w:val="16"/>
        </w:rPr>
        <w:t xml:space="preserve"> </w:t>
      </w:r>
      <w:r w:rsidRPr="006479A4">
        <w:rPr>
          <w:spacing w:val="-2"/>
          <w:sz w:val="16"/>
          <w:szCs w:val="16"/>
          <w:lang w:val="en-GB"/>
        </w:rPr>
        <w:t xml:space="preserve">Data regarding the GDP, gross value added and their components are expressed in constant prices and adjusted for seasonal and calendar effects.  </w:t>
      </w:r>
    </w:p>
  </w:footnote>
  <w:footnote w:id="2">
    <w:p w14:paraId="54F685A5" w14:textId="15B21A04" w:rsidR="007C581C" w:rsidRPr="00957140" w:rsidRDefault="007C581C" w:rsidP="00477DB5">
      <w:pPr>
        <w:pStyle w:val="Textpoznpodarou"/>
        <w:rPr>
          <w:sz w:val="16"/>
          <w:szCs w:val="16"/>
        </w:rPr>
      </w:pPr>
      <w:r w:rsidRPr="00957140">
        <w:rPr>
          <w:rStyle w:val="Znakapoznpodarou"/>
          <w:sz w:val="16"/>
          <w:szCs w:val="16"/>
        </w:rPr>
        <w:footnoteRef/>
      </w:r>
      <w:r w:rsidRPr="0095714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w:t>
      </w:r>
    </w:p>
  </w:footnote>
  <w:footnote w:id="3">
    <w:p w14:paraId="1071E7B5" w14:textId="74331653" w:rsidR="007C581C" w:rsidRPr="00957140" w:rsidRDefault="007C581C" w:rsidP="0085220A">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w:t>
      </w:r>
      <w:r w:rsidRPr="0041664E">
        <w:rPr>
          <w:spacing w:val="-2"/>
          <w:sz w:val="16"/>
          <w:szCs w:val="16"/>
          <w:lang w:val="en-GB"/>
        </w:rPr>
        <w:t xml:space="preserve">Data regarding employment </w:t>
      </w:r>
      <w:proofErr w:type="gramStart"/>
      <w:r w:rsidRPr="0041664E">
        <w:rPr>
          <w:spacing w:val="-2"/>
          <w:sz w:val="16"/>
          <w:szCs w:val="16"/>
          <w:lang w:val="en-GB"/>
        </w:rPr>
        <w:t>are given in the conception of national accounts and adjusted for seasonal effects</w:t>
      </w:r>
      <w:proofErr w:type="gramEnd"/>
      <w:r w:rsidRPr="0041664E">
        <w:rPr>
          <w:spacing w:val="-2"/>
          <w:sz w:val="16"/>
          <w:szCs w:val="16"/>
          <w:lang w:val="en-GB"/>
        </w:rPr>
        <w:t>.</w:t>
      </w:r>
      <w:r>
        <w:rPr>
          <w:spacing w:val="-2"/>
          <w:sz w:val="16"/>
          <w:szCs w:val="16"/>
        </w:rPr>
        <w:t xml:space="preserve"> </w:t>
      </w:r>
    </w:p>
  </w:footnote>
  <w:footnote w:id="4">
    <w:p w14:paraId="72CC7700" w14:textId="2740AB03" w:rsidR="007C581C" w:rsidRPr="000348AF" w:rsidRDefault="007C581C" w:rsidP="0045412A">
      <w:pPr>
        <w:pStyle w:val="Textpoznpodarou"/>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1st </w:t>
      </w:r>
      <w:r>
        <w:rPr>
          <w:sz w:val="16"/>
          <w:szCs w:val="16"/>
          <w:lang w:val="en-GB"/>
        </w:rPr>
        <w:t>March</w:t>
      </w:r>
      <w:r w:rsidRPr="00CE719A">
        <w:rPr>
          <w:sz w:val="16"/>
          <w:szCs w:val="16"/>
          <w:lang w:val="en-GB"/>
        </w:rPr>
        <w:t xml:space="preserve"> 202</w:t>
      </w:r>
      <w:r>
        <w:rPr>
          <w:sz w:val="16"/>
          <w:szCs w:val="16"/>
          <w:lang w:val="en-GB"/>
        </w:rPr>
        <w:t>2</w:t>
      </w:r>
      <w:r w:rsidRPr="00CE719A">
        <w:rPr>
          <w:sz w:val="16"/>
          <w:szCs w:val="16"/>
          <w:lang w:val="en-GB"/>
        </w:rPr>
        <w:t>.</w:t>
      </w:r>
    </w:p>
  </w:footnote>
  <w:footnote w:id="5">
    <w:p w14:paraId="28FE3D14" w14:textId="41B25C81" w:rsidR="007C581C" w:rsidRPr="003313AD" w:rsidRDefault="007C581C" w:rsidP="003313AD">
      <w:pPr>
        <w:pStyle w:val="Textpoznpodarou"/>
        <w:jc w:val="both"/>
        <w:rPr>
          <w:sz w:val="16"/>
          <w:szCs w:val="16"/>
          <w:lang w:val="en-GB"/>
        </w:rPr>
      </w:pPr>
      <w:r w:rsidRPr="007B6713">
        <w:rPr>
          <w:rStyle w:val="Znakapoznpodarou"/>
          <w:sz w:val="16"/>
          <w:szCs w:val="16"/>
        </w:rPr>
        <w:footnoteRef/>
      </w:r>
      <w:r w:rsidRPr="007B6713">
        <w:rPr>
          <w:sz w:val="16"/>
          <w:szCs w:val="16"/>
        </w:rPr>
        <w:t xml:space="preserve"> </w:t>
      </w:r>
      <w:r w:rsidRPr="003313AD">
        <w:rPr>
          <w:sz w:val="16"/>
          <w:szCs w:val="16"/>
          <w:lang w:val="en-GB"/>
        </w:rPr>
        <w:t xml:space="preserve">Retail operations </w:t>
      </w:r>
      <w:proofErr w:type="gramStart"/>
      <w:r w:rsidRPr="003313AD">
        <w:rPr>
          <w:sz w:val="16"/>
          <w:szCs w:val="16"/>
          <w:lang w:val="en-GB"/>
        </w:rPr>
        <w:t>were maintained</w:t>
      </w:r>
      <w:proofErr w:type="gramEnd"/>
      <w:r w:rsidRPr="003313AD">
        <w:rPr>
          <w:sz w:val="16"/>
          <w:szCs w:val="16"/>
          <w:lang w:val="en-GB"/>
        </w:rPr>
        <w:t xml:space="preserve">. In </w:t>
      </w:r>
      <w:proofErr w:type="gramStart"/>
      <w:r w:rsidRPr="003313AD">
        <w:rPr>
          <w:sz w:val="16"/>
          <w:szCs w:val="16"/>
          <w:lang w:val="en-GB"/>
        </w:rPr>
        <w:t>se</w:t>
      </w:r>
      <w:r>
        <w:rPr>
          <w:sz w:val="16"/>
          <w:szCs w:val="16"/>
          <w:lang w:val="en-GB"/>
        </w:rPr>
        <w:t>r</w:t>
      </w:r>
      <w:r w:rsidRPr="003313AD">
        <w:rPr>
          <w:sz w:val="16"/>
          <w:szCs w:val="16"/>
          <w:lang w:val="en-GB"/>
        </w:rPr>
        <w:t>vices</w:t>
      </w:r>
      <w:proofErr w:type="gramEnd"/>
      <w:r w:rsidRPr="003313AD">
        <w:rPr>
          <w:sz w:val="16"/>
          <w:szCs w:val="16"/>
          <w:lang w:val="en-GB"/>
        </w:rPr>
        <w:t xml:space="preserve"> the entrance into sh</w:t>
      </w:r>
      <w:r>
        <w:rPr>
          <w:sz w:val="16"/>
          <w:szCs w:val="16"/>
          <w:lang w:val="en-GB"/>
        </w:rPr>
        <w:t>o</w:t>
      </w:r>
      <w:r w:rsidRPr="003313AD">
        <w:rPr>
          <w:sz w:val="16"/>
          <w:szCs w:val="16"/>
          <w:lang w:val="en-GB"/>
        </w:rPr>
        <w:t>ps was at first restricted to persons, who do not prove absence of infect</w:t>
      </w:r>
      <w:r>
        <w:rPr>
          <w:sz w:val="16"/>
          <w:szCs w:val="16"/>
          <w:lang w:val="en-GB"/>
        </w:rPr>
        <w:t>i</w:t>
      </w:r>
      <w:r w:rsidRPr="003313AD">
        <w:rPr>
          <w:sz w:val="16"/>
          <w:szCs w:val="16"/>
          <w:lang w:val="en-GB"/>
        </w:rPr>
        <w:t xml:space="preserve">on. </w:t>
      </w:r>
      <w:r w:rsidRPr="003313AD">
        <w:rPr>
          <w:spacing w:val="-2"/>
          <w:sz w:val="16"/>
          <w:szCs w:val="16"/>
          <w:lang w:val="en-GB"/>
        </w:rPr>
        <w:t xml:space="preserve">Subsequently the ban shifted to persons without completed vaccination. </w:t>
      </w:r>
    </w:p>
  </w:footnote>
  <w:footnote w:id="6">
    <w:p w14:paraId="3C79E854" w14:textId="56A6DB0C" w:rsidR="007C581C" w:rsidRPr="00EB61F4" w:rsidRDefault="007C581C" w:rsidP="00EB61F4">
      <w:pPr>
        <w:pStyle w:val="Textpoznpodarou"/>
        <w:rPr>
          <w:sz w:val="16"/>
          <w:szCs w:val="16"/>
          <w:lang w:val="en-GB"/>
        </w:rPr>
      </w:pPr>
      <w:r w:rsidRPr="001E74E3">
        <w:rPr>
          <w:rStyle w:val="Znakapoznpodarou"/>
          <w:sz w:val="16"/>
          <w:szCs w:val="16"/>
        </w:rPr>
        <w:footnoteRef/>
      </w:r>
      <w:r w:rsidRPr="001E74E3">
        <w:rPr>
          <w:sz w:val="16"/>
          <w:szCs w:val="16"/>
        </w:rPr>
        <w:t xml:space="preserve"> </w:t>
      </w:r>
      <w:r w:rsidRPr="00EB61F4">
        <w:rPr>
          <w:sz w:val="16"/>
          <w:szCs w:val="16"/>
          <w:lang w:val="en-GB"/>
        </w:rPr>
        <w:t xml:space="preserve">Data for Bulgaria, Ireland, Greece and Malta were not available. </w:t>
      </w:r>
    </w:p>
  </w:footnote>
  <w:footnote w:id="7">
    <w:p w14:paraId="2BD2C3F8" w14:textId="67BC9ACE" w:rsidR="007C581C" w:rsidRPr="00EB61F4" w:rsidRDefault="007C581C" w:rsidP="00EB61F4">
      <w:pPr>
        <w:pStyle w:val="Textpoznpodarou"/>
        <w:rPr>
          <w:sz w:val="16"/>
          <w:szCs w:val="16"/>
          <w:lang w:val="en-GB"/>
        </w:rPr>
      </w:pPr>
      <w:r w:rsidRPr="00EB61F4">
        <w:rPr>
          <w:rStyle w:val="Znakapoznpodarou"/>
          <w:sz w:val="16"/>
          <w:szCs w:val="16"/>
          <w:lang w:val="en-GB"/>
        </w:rPr>
        <w:footnoteRef/>
      </w:r>
      <w:r w:rsidRPr="00EB61F4">
        <w:rPr>
          <w:sz w:val="16"/>
          <w:szCs w:val="16"/>
          <w:lang w:val="en-GB"/>
        </w:rPr>
        <w:t xml:space="preserve"> GDP comparison in prices of year 2015.</w:t>
      </w:r>
    </w:p>
  </w:footnote>
  <w:footnote w:id="8">
    <w:p w14:paraId="4FB4D8AF" w14:textId="2558B8FC" w:rsidR="007C581C" w:rsidRPr="00EB61F4" w:rsidRDefault="007C581C" w:rsidP="00EB61F4">
      <w:pPr>
        <w:pStyle w:val="Textpoznpodarou"/>
        <w:rPr>
          <w:lang w:val="en-GB"/>
        </w:rPr>
      </w:pPr>
      <w:r w:rsidRPr="00EB61F4">
        <w:rPr>
          <w:rStyle w:val="Znakapoznpodarou"/>
          <w:sz w:val="16"/>
          <w:szCs w:val="16"/>
          <w:lang w:val="en-GB"/>
        </w:rPr>
        <w:footnoteRef/>
      </w:r>
      <w:r w:rsidRPr="00EB61F4">
        <w:rPr>
          <w:sz w:val="16"/>
          <w:szCs w:val="16"/>
          <w:lang w:val="en-GB"/>
        </w:rPr>
        <w:t xml:space="preserve"> </w:t>
      </w:r>
      <w:r>
        <w:rPr>
          <w:sz w:val="16"/>
          <w:szCs w:val="16"/>
          <w:lang w:val="en-GB"/>
        </w:rPr>
        <w:t xml:space="preserve">Employment in the national accounts conception </w:t>
      </w:r>
      <w:r w:rsidRPr="00EB61F4">
        <w:rPr>
          <w:sz w:val="16"/>
          <w:szCs w:val="16"/>
          <w:lang w:val="en-GB"/>
        </w:rPr>
        <w:t>(</w:t>
      </w:r>
      <w:r>
        <w:rPr>
          <w:sz w:val="16"/>
          <w:szCs w:val="16"/>
          <w:lang w:val="en-GB"/>
        </w:rPr>
        <w:t>persons</w:t>
      </w:r>
      <w:r w:rsidRPr="00EB61F4">
        <w:rPr>
          <w:sz w:val="16"/>
          <w:szCs w:val="16"/>
          <w:lang w:val="en-GB"/>
        </w:rPr>
        <w:t xml:space="preserve">), </w:t>
      </w:r>
      <w:r>
        <w:rPr>
          <w:sz w:val="16"/>
          <w:szCs w:val="16"/>
          <w:lang w:val="en-GB"/>
        </w:rPr>
        <w:t xml:space="preserve">figure is seasonally adjusted. The volume of hours worked expanded by </w:t>
      </w:r>
      <w:r w:rsidRPr="00EB61F4">
        <w:rPr>
          <w:sz w:val="16"/>
          <w:lang w:val="en-GB"/>
        </w:rPr>
        <w:t>2</w:t>
      </w:r>
      <w:r>
        <w:rPr>
          <w:sz w:val="16"/>
          <w:lang w:val="en-GB"/>
        </w:rPr>
        <w:t>.</w:t>
      </w:r>
      <w:r w:rsidRPr="00EB61F4">
        <w:rPr>
          <w:sz w:val="16"/>
          <w:lang w:val="en-GB"/>
        </w:rPr>
        <w:t>9%</w:t>
      </w:r>
      <w:r>
        <w:rPr>
          <w:sz w:val="16"/>
          <w:lang w:val="en-GB"/>
        </w:rPr>
        <w:t xml:space="preserve"> last year</w:t>
      </w:r>
      <w:r w:rsidRPr="00EB61F4">
        <w:rPr>
          <w:sz w:val="16"/>
          <w:lang w:val="en-GB"/>
        </w:rPr>
        <w:t>.</w:t>
      </w:r>
    </w:p>
  </w:footnote>
  <w:footnote w:id="9">
    <w:p w14:paraId="67E99860" w14:textId="31CB67D6" w:rsidR="007C581C" w:rsidRPr="00EB61F4" w:rsidRDefault="007C581C" w:rsidP="00EB61F4">
      <w:pPr>
        <w:pStyle w:val="Textpoznpodarou"/>
        <w:rPr>
          <w:sz w:val="16"/>
          <w:szCs w:val="16"/>
          <w:lang w:val="en-GB"/>
        </w:rPr>
      </w:pPr>
      <w:r w:rsidRPr="00EB61F4">
        <w:rPr>
          <w:rStyle w:val="Znakapoznpodarou"/>
          <w:sz w:val="16"/>
          <w:szCs w:val="16"/>
          <w:lang w:val="en-GB"/>
        </w:rPr>
        <w:footnoteRef/>
      </w:r>
      <w:r w:rsidRPr="00EB61F4">
        <w:rPr>
          <w:sz w:val="16"/>
          <w:szCs w:val="16"/>
          <w:lang w:val="en-GB"/>
        </w:rPr>
        <w:t xml:space="preserve"> </w:t>
      </w:r>
      <w:r w:rsidRPr="00D57CF3">
        <w:rPr>
          <w:sz w:val="16"/>
          <w:szCs w:val="16"/>
          <w:lang w:val="en-GB"/>
        </w:rPr>
        <w:t xml:space="preserve">Converted into the real expression using the deflator of final consumption expenditure of households. </w:t>
      </w:r>
    </w:p>
  </w:footnote>
  <w:footnote w:id="10">
    <w:p w14:paraId="07877CCF" w14:textId="2C7652C7" w:rsidR="007C581C" w:rsidRPr="00EB61F4" w:rsidRDefault="007C581C" w:rsidP="00EB61F4">
      <w:pPr>
        <w:pStyle w:val="Textpoznpodarou"/>
        <w:rPr>
          <w:sz w:val="16"/>
          <w:szCs w:val="16"/>
          <w:lang w:val="en-GB"/>
        </w:rPr>
      </w:pPr>
      <w:r w:rsidRPr="00EB61F4">
        <w:rPr>
          <w:rStyle w:val="Znakapoznpodarou"/>
          <w:sz w:val="16"/>
          <w:szCs w:val="16"/>
          <w:lang w:val="en-GB"/>
        </w:rPr>
        <w:footnoteRef/>
      </w:r>
      <w:r w:rsidRPr="00EB61F4">
        <w:rPr>
          <w:sz w:val="16"/>
          <w:szCs w:val="16"/>
          <w:lang w:val="en-GB"/>
        </w:rPr>
        <w:t xml:space="preserve"> </w:t>
      </w:r>
      <w:r w:rsidRPr="0080001B">
        <w:rPr>
          <w:sz w:val="16"/>
          <w:szCs w:val="16"/>
          <w:lang w:val="en-GB"/>
        </w:rPr>
        <w:t>Public administration, education, health and social work</w:t>
      </w:r>
      <w:r>
        <w:rPr>
          <w:sz w:val="16"/>
          <w:szCs w:val="16"/>
          <w:lang w:val="en-GB"/>
        </w:rPr>
        <w:t xml:space="preserve">. </w:t>
      </w:r>
    </w:p>
  </w:footnote>
  <w:footnote w:id="11">
    <w:p w14:paraId="73CBD42F" w14:textId="6C7A8145" w:rsidR="007C581C" w:rsidRPr="00EB61F4" w:rsidRDefault="007C581C" w:rsidP="00EB61F4">
      <w:pPr>
        <w:pStyle w:val="Textpoznpodarou"/>
        <w:rPr>
          <w:sz w:val="16"/>
          <w:szCs w:val="16"/>
          <w:lang w:val="en-GB"/>
        </w:rPr>
      </w:pPr>
      <w:r w:rsidRPr="00EB61F4">
        <w:rPr>
          <w:rStyle w:val="Znakapoznpodarou"/>
          <w:sz w:val="16"/>
          <w:szCs w:val="16"/>
          <w:lang w:val="en-GB"/>
        </w:rPr>
        <w:footnoteRef/>
      </w:r>
      <w:r w:rsidRPr="00EB61F4">
        <w:rPr>
          <w:sz w:val="16"/>
          <w:szCs w:val="16"/>
          <w:lang w:val="en-GB"/>
        </w:rPr>
        <w:t xml:space="preserve"> </w:t>
      </w:r>
      <w:r>
        <w:rPr>
          <w:sz w:val="16"/>
          <w:szCs w:val="16"/>
          <w:lang w:val="en-GB"/>
        </w:rPr>
        <w:t xml:space="preserve">Employment grew here for the tenth year in a row and it expanded by more than </w:t>
      </w:r>
      <w:r w:rsidRPr="00EB61F4">
        <w:rPr>
          <w:sz w:val="16"/>
          <w:szCs w:val="16"/>
          <w:lang w:val="en-GB"/>
        </w:rPr>
        <w:t>40%</w:t>
      </w:r>
      <w:r>
        <w:rPr>
          <w:sz w:val="16"/>
          <w:szCs w:val="16"/>
          <w:lang w:val="en-GB"/>
        </w:rPr>
        <w:t xml:space="preserve"> in this period</w:t>
      </w:r>
      <w:r w:rsidRPr="00EB61F4">
        <w:rPr>
          <w:sz w:val="16"/>
          <w:szCs w:val="16"/>
          <w:lang w:val="en-GB"/>
        </w:rPr>
        <w:t xml:space="preserve"> (</w:t>
      </w:r>
      <w:r>
        <w:rPr>
          <w:sz w:val="16"/>
          <w:szCs w:val="16"/>
          <w:lang w:val="en-GB"/>
        </w:rPr>
        <w:t xml:space="preserve">more than </w:t>
      </w:r>
      <w:r w:rsidRPr="00EB61F4">
        <w:rPr>
          <w:sz w:val="16"/>
          <w:szCs w:val="16"/>
          <w:lang w:val="en-GB"/>
        </w:rPr>
        <w:t>50 t</w:t>
      </w:r>
      <w:r>
        <w:rPr>
          <w:sz w:val="16"/>
          <w:szCs w:val="16"/>
          <w:lang w:val="en-GB"/>
        </w:rPr>
        <w:t>housand persons</w:t>
      </w:r>
      <w:r w:rsidRPr="00EB61F4">
        <w:rPr>
          <w:sz w:val="16"/>
          <w:szCs w:val="16"/>
          <w:lang w:val="en-GB"/>
        </w:rPr>
        <w:t>).</w:t>
      </w:r>
    </w:p>
  </w:footnote>
  <w:footnote w:id="12">
    <w:p w14:paraId="6D97F7BF" w14:textId="4E3D6D61" w:rsidR="007C581C" w:rsidRPr="00687D2B" w:rsidRDefault="007C581C" w:rsidP="00687D2B">
      <w:pPr>
        <w:pStyle w:val="Textpoznpodarou"/>
        <w:jc w:val="both"/>
        <w:rPr>
          <w:sz w:val="16"/>
          <w:szCs w:val="16"/>
          <w:lang w:val="en-GB"/>
        </w:rPr>
      </w:pPr>
      <w:r w:rsidRPr="003764DF">
        <w:rPr>
          <w:rStyle w:val="Znakapoznpodarou"/>
          <w:sz w:val="16"/>
          <w:szCs w:val="16"/>
        </w:rPr>
        <w:footnoteRef/>
      </w:r>
      <w:r w:rsidRPr="003764DF">
        <w:rPr>
          <w:sz w:val="16"/>
          <w:szCs w:val="16"/>
        </w:rPr>
        <w:t xml:space="preserve"> </w:t>
      </w:r>
      <w:r w:rsidRPr="00687D2B">
        <w:rPr>
          <w:sz w:val="16"/>
          <w:szCs w:val="16"/>
          <w:lang w:val="en-GB"/>
        </w:rPr>
        <w:t xml:space="preserve">Especially the high basis of Q4 2020 manifested, when the extraordinary bonuses </w:t>
      </w:r>
      <w:proofErr w:type="gramStart"/>
      <w:r w:rsidRPr="00687D2B">
        <w:rPr>
          <w:sz w:val="16"/>
          <w:szCs w:val="16"/>
          <w:lang w:val="en-GB"/>
        </w:rPr>
        <w:t>were paid out</w:t>
      </w:r>
      <w:proofErr w:type="gramEnd"/>
      <w:r w:rsidRPr="00687D2B">
        <w:rPr>
          <w:sz w:val="16"/>
          <w:szCs w:val="16"/>
          <w:lang w:val="en-GB"/>
        </w:rPr>
        <w:t xml:space="preserve"> to the medical staff. </w:t>
      </w:r>
    </w:p>
  </w:footnote>
  <w:footnote w:id="13">
    <w:p w14:paraId="7A085125" w14:textId="067E0FD0" w:rsidR="007C581C" w:rsidRPr="00687D2B" w:rsidRDefault="007C581C" w:rsidP="00687D2B">
      <w:pPr>
        <w:pStyle w:val="Textpoznpodarou"/>
        <w:jc w:val="both"/>
        <w:rPr>
          <w:sz w:val="16"/>
          <w:szCs w:val="16"/>
          <w:lang w:val="en-GB"/>
        </w:rPr>
      </w:pPr>
      <w:r w:rsidRPr="00687D2B">
        <w:rPr>
          <w:rStyle w:val="Znakapoznpodarou"/>
          <w:sz w:val="16"/>
          <w:szCs w:val="16"/>
          <w:lang w:val="en-GB"/>
        </w:rPr>
        <w:footnoteRef/>
      </w:r>
      <w:r w:rsidRPr="00687D2B">
        <w:rPr>
          <w:sz w:val="16"/>
          <w:szCs w:val="16"/>
          <w:lang w:val="en-GB"/>
        </w:rPr>
        <w:t xml:space="preserve"> Additions to the GDP change after exclusion of imports for final use.</w:t>
      </w:r>
    </w:p>
  </w:footnote>
  <w:footnote w:id="14">
    <w:p w14:paraId="2C1DF4E6" w14:textId="19C7B376" w:rsidR="007C581C" w:rsidRPr="00687D2B" w:rsidRDefault="007C581C" w:rsidP="00687D2B">
      <w:pPr>
        <w:pStyle w:val="Textpoznpodarou"/>
        <w:jc w:val="both"/>
        <w:rPr>
          <w:sz w:val="16"/>
          <w:szCs w:val="16"/>
          <w:lang w:val="en-GB"/>
        </w:rPr>
      </w:pPr>
      <w:r w:rsidRPr="00687D2B">
        <w:rPr>
          <w:rStyle w:val="Znakapoznpodarou"/>
          <w:sz w:val="16"/>
          <w:szCs w:val="16"/>
          <w:lang w:val="en-GB"/>
        </w:rPr>
        <w:footnoteRef/>
      </w:r>
      <w:r w:rsidRPr="00687D2B">
        <w:rPr>
          <w:sz w:val="16"/>
          <w:szCs w:val="16"/>
          <w:lang w:val="en-GB"/>
        </w:rPr>
        <w:t xml:space="preserve"> </w:t>
      </w:r>
      <w:r>
        <w:rPr>
          <w:sz w:val="16"/>
          <w:szCs w:val="16"/>
          <w:lang w:val="en-GB"/>
        </w:rPr>
        <w:t xml:space="preserve">Data regarding consumption based on durability are in the domestic conception. </w:t>
      </w:r>
    </w:p>
  </w:footnote>
  <w:footnote w:id="15">
    <w:p w14:paraId="5656590E" w14:textId="37BFA8F8" w:rsidR="007C581C" w:rsidRPr="00687D2B" w:rsidRDefault="007C581C" w:rsidP="00687D2B">
      <w:pPr>
        <w:pStyle w:val="Textpoznpodarou"/>
        <w:jc w:val="both"/>
        <w:rPr>
          <w:sz w:val="16"/>
          <w:szCs w:val="16"/>
          <w:lang w:val="en-GB"/>
        </w:rPr>
      </w:pPr>
      <w:r w:rsidRPr="00687D2B">
        <w:rPr>
          <w:rStyle w:val="Znakapoznpodarou"/>
          <w:sz w:val="16"/>
          <w:szCs w:val="16"/>
          <w:lang w:val="en-GB"/>
        </w:rPr>
        <w:footnoteRef/>
      </w:r>
      <w:r w:rsidRPr="00687D2B">
        <w:rPr>
          <w:sz w:val="16"/>
          <w:szCs w:val="16"/>
          <w:lang w:val="en-GB"/>
        </w:rPr>
        <w:t xml:space="preserve"> </w:t>
      </w:r>
      <w:r>
        <w:rPr>
          <w:sz w:val="16"/>
          <w:szCs w:val="16"/>
          <w:lang w:val="en-GB"/>
        </w:rPr>
        <w:t xml:space="preserve">Large part of the restricted retail belongs to the category of goods of medium term consumption – clothing, recreation and sport equipment and the like. </w:t>
      </w:r>
    </w:p>
  </w:footnote>
  <w:footnote w:id="16">
    <w:p w14:paraId="4C4BC8C3" w14:textId="12F8C37F" w:rsidR="007C581C" w:rsidRPr="00ED1ED0" w:rsidRDefault="007C581C" w:rsidP="00597E79">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ED1ED0">
        <w:rPr>
          <w:sz w:val="16"/>
          <w:szCs w:val="16"/>
          <w:lang w:val="en-GB"/>
        </w:rPr>
        <w:t xml:space="preserve">The inventory stock (in current prices and seasonally adjusted) </w:t>
      </w:r>
      <w:r>
        <w:rPr>
          <w:sz w:val="16"/>
          <w:szCs w:val="16"/>
          <w:lang w:val="en-GB"/>
        </w:rPr>
        <w:t xml:space="preserve">amounted to </w:t>
      </w:r>
      <w:r w:rsidRPr="00ED1ED0">
        <w:rPr>
          <w:sz w:val="16"/>
          <w:szCs w:val="16"/>
          <w:lang w:val="en-GB"/>
        </w:rPr>
        <w:t>+275</w:t>
      </w:r>
      <w:r>
        <w:rPr>
          <w:sz w:val="16"/>
          <w:szCs w:val="16"/>
          <w:lang w:val="en-GB"/>
        </w:rPr>
        <w:t>.</w:t>
      </w:r>
      <w:r w:rsidRPr="00ED1ED0">
        <w:rPr>
          <w:sz w:val="16"/>
          <w:szCs w:val="16"/>
          <w:lang w:val="en-GB"/>
        </w:rPr>
        <w:t>1 </w:t>
      </w:r>
      <w:r>
        <w:rPr>
          <w:sz w:val="16"/>
          <w:szCs w:val="16"/>
          <w:lang w:val="en-GB"/>
        </w:rPr>
        <w:t>CZK bn in year 2021</w:t>
      </w:r>
      <w:r w:rsidRPr="00ED1ED0">
        <w:rPr>
          <w:sz w:val="16"/>
          <w:szCs w:val="16"/>
          <w:lang w:val="en-GB"/>
        </w:rPr>
        <w:t xml:space="preserve">. </w:t>
      </w:r>
      <w:r>
        <w:rPr>
          <w:sz w:val="16"/>
          <w:szCs w:val="16"/>
          <w:lang w:val="en-GB"/>
        </w:rPr>
        <w:t xml:space="preserve">In Q4 itself, the inventory stock expanded by </w:t>
      </w:r>
      <w:r w:rsidRPr="00ED1ED0">
        <w:rPr>
          <w:sz w:val="16"/>
          <w:szCs w:val="16"/>
          <w:lang w:val="en-GB"/>
        </w:rPr>
        <w:t>82</w:t>
      </w:r>
      <w:r>
        <w:rPr>
          <w:sz w:val="16"/>
          <w:szCs w:val="16"/>
          <w:lang w:val="en-GB"/>
        </w:rPr>
        <w:t>.</w:t>
      </w:r>
      <w:r w:rsidRPr="00ED1ED0">
        <w:rPr>
          <w:sz w:val="16"/>
          <w:szCs w:val="16"/>
          <w:lang w:val="en-GB"/>
        </w:rPr>
        <w:t>5</w:t>
      </w:r>
      <w:r>
        <w:rPr>
          <w:sz w:val="16"/>
          <w:szCs w:val="16"/>
          <w:lang w:val="en-GB"/>
        </w:rPr>
        <w:t xml:space="preserve"> CZK bn</w:t>
      </w:r>
      <w:r w:rsidRPr="00ED1ED0">
        <w:rPr>
          <w:sz w:val="16"/>
          <w:szCs w:val="16"/>
          <w:lang w:val="en-GB"/>
        </w:rPr>
        <w:t>.</w:t>
      </w:r>
    </w:p>
  </w:footnote>
  <w:footnote w:id="17">
    <w:p w14:paraId="1261BE94" w14:textId="4B8AFDD4" w:rsidR="007C581C" w:rsidRPr="00CC6BB7" w:rsidRDefault="007C581C" w:rsidP="00010A2C">
      <w:pPr>
        <w:pStyle w:val="Textpoznpodarou"/>
        <w:rPr>
          <w:sz w:val="16"/>
          <w:szCs w:val="16"/>
          <w:lang w:val="en-GB"/>
        </w:rPr>
      </w:pPr>
      <w:r w:rsidRPr="00167B30">
        <w:rPr>
          <w:rStyle w:val="Znakapoznpodarou"/>
          <w:sz w:val="16"/>
          <w:szCs w:val="16"/>
        </w:rPr>
        <w:footnoteRef/>
      </w:r>
      <w:r w:rsidRPr="00167B3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Foreign trade balance in current </w:t>
      </w:r>
      <w:r w:rsidRPr="00CC6BB7">
        <w:rPr>
          <w:sz w:val="16"/>
          <w:szCs w:val="16"/>
          <w:lang w:val="en-GB"/>
        </w:rPr>
        <w:t xml:space="preserve">prices and after seasonal adjustment. </w:t>
      </w:r>
    </w:p>
  </w:footnote>
  <w:footnote w:id="18">
    <w:p w14:paraId="4AD8F028" w14:textId="66F3D8AD" w:rsidR="007C581C" w:rsidRPr="00CC6BB7" w:rsidRDefault="007C581C" w:rsidP="00010A2C">
      <w:pPr>
        <w:pStyle w:val="Textpoznpodarou"/>
        <w:rPr>
          <w:sz w:val="16"/>
          <w:szCs w:val="16"/>
          <w:lang w:val="en-GB"/>
        </w:rPr>
      </w:pPr>
      <w:r w:rsidRPr="00CC6BB7">
        <w:rPr>
          <w:rStyle w:val="Znakapoznpodarou"/>
          <w:sz w:val="16"/>
          <w:szCs w:val="16"/>
          <w:lang w:val="en-GB"/>
        </w:rPr>
        <w:footnoteRef/>
      </w:r>
      <w:r w:rsidRPr="00CC6BB7">
        <w:rPr>
          <w:sz w:val="16"/>
          <w:szCs w:val="16"/>
          <w:lang w:val="en-GB"/>
        </w:rPr>
        <w:t xml:space="preserve"> It represents the largest recorded worsening. </w:t>
      </w:r>
    </w:p>
  </w:footnote>
  <w:footnote w:id="19">
    <w:p w14:paraId="1BBEFF46" w14:textId="42C32A3C" w:rsidR="007C581C" w:rsidRPr="00FB58F4" w:rsidRDefault="007C581C" w:rsidP="00764231">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6479A4">
        <w:rPr>
          <w:spacing w:val="-2"/>
          <w:sz w:val="16"/>
          <w:szCs w:val="16"/>
          <w:lang w:val="en-GB"/>
        </w:rPr>
        <w:t xml:space="preserve">Data regarding the GDP, gross value added and their components are expressed in constant prices and adjusted for seasonal and calendar effects. </w:t>
      </w:r>
    </w:p>
  </w:footnote>
  <w:footnote w:id="20">
    <w:p w14:paraId="0953EDAF" w14:textId="73A44BE6" w:rsidR="007C581C" w:rsidRPr="00360663" w:rsidRDefault="007C581C" w:rsidP="00F77A50">
      <w:pPr>
        <w:pStyle w:val="Textpoznpodarou"/>
        <w:jc w:val="both"/>
        <w:rPr>
          <w:sz w:val="16"/>
          <w:szCs w:val="16"/>
          <w:lang w:val="en-GB"/>
        </w:rPr>
      </w:pPr>
      <w:r w:rsidRPr="00123966">
        <w:rPr>
          <w:rStyle w:val="Znakapoznpodarou"/>
          <w:sz w:val="16"/>
          <w:szCs w:val="16"/>
        </w:rPr>
        <w:footnoteRef/>
      </w:r>
      <w:r>
        <w:rPr>
          <w:sz w:val="16"/>
          <w:szCs w:val="16"/>
        </w:rPr>
        <w:t xml:space="preserve"> </w:t>
      </w:r>
      <w:r w:rsidRPr="00360663">
        <w:rPr>
          <w:sz w:val="16"/>
          <w:szCs w:val="16"/>
          <w:lang w:val="en-GB"/>
        </w:rPr>
        <w:t xml:space="preserve">Include public administration, education, health and social work. </w:t>
      </w:r>
    </w:p>
  </w:footnote>
  <w:footnote w:id="21">
    <w:p w14:paraId="73D21076" w14:textId="5C561EB9" w:rsidR="007C581C" w:rsidRPr="00360663" w:rsidRDefault="007C581C" w:rsidP="00F77A50">
      <w:pPr>
        <w:pStyle w:val="Textpoznpodarou"/>
        <w:jc w:val="both"/>
        <w:rPr>
          <w:sz w:val="16"/>
          <w:szCs w:val="16"/>
          <w:lang w:val="en-GB"/>
        </w:rPr>
      </w:pPr>
      <w:r w:rsidRPr="00360663">
        <w:rPr>
          <w:rStyle w:val="Znakapoznpodarou"/>
          <w:sz w:val="16"/>
          <w:szCs w:val="16"/>
          <w:lang w:val="en-GB"/>
        </w:rPr>
        <w:footnoteRef/>
      </w:r>
      <w:r w:rsidRPr="00360663">
        <w:rPr>
          <w:sz w:val="16"/>
          <w:szCs w:val="16"/>
          <w:lang w:val="en-GB"/>
        </w:rPr>
        <w:t xml:space="preserve"> On the contrary, the GVA already returned to the level from the peak of the pre-crisis expansion in the EU, specifically in Q3 2021. </w:t>
      </w:r>
      <w:r>
        <w:rPr>
          <w:sz w:val="16"/>
          <w:szCs w:val="16"/>
          <w:lang w:val="en-GB"/>
        </w:rPr>
        <w:t>It then overtook this level in Q</w:t>
      </w:r>
      <w:r w:rsidRPr="00360663">
        <w:rPr>
          <w:sz w:val="16"/>
          <w:szCs w:val="16"/>
          <w:lang w:val="en-GB"/>
        </w:rPr>
        <w:t>4</w:t>
      </w:r>
      <w:r>
        <w:rPr>
          <w:sz w:val="16"/>
          <w:szCs w:val="16"/>
          <w:lang w:val="en-GB"/>
        </w:rPr>
        <w:t xml:space="preserve"> </w:t>
      </w:r>
      <w:r w:rsidRPr="00360663">
        <w:rPr>
          <w:sz w:val="16"/>
          <w:szCs w:val="16"/>
          <w:lang w:val="en-GB"/>
        </w:rPr>
        <w:t>(</w:t>
      </w:r>
      <w:r>
        <w:rPr>
          <w:sz w:val="16"/>
          <w:szCs w:val="16"/>
          <w:lang w:val="en-GB"/>
        </w:rPr>
        <w:t xml:space="preserve">by mild </w:t>
      </w:r>
      <w:r w:rsidRPr="00360663">
        <w:rPr>
          <w:sz w:val="16"/>
          <w:szCs w:val="16"/>
          <w:lang w:val="en-GB"/>
        </w:rPr>
        <w:t>0</w:t>
      </w:r>
      <w:r>
        <w:rPr>
          <w:sz w:val="16"/>
          <w:szCs w:val="16"/>
          <w:lang w:val="en-GB"/>
        </w:rPr>
        <w:t>.</w:t>
      </w:r>
      <w:r w:rsidRPr="00360663">
        <w:rPr>
          <w:sz w:val="16"/>
          <w:szCs w:val="16"/>
          <w:lang w:val="en-GB"/>
        </w:rPr>
        <w:t xml:space="preserve">4%), </w:t>
      </w:r>
      <w:r>
        <w:rPr>
          <w:sz w:val="16"/>
          <w:szCs w:val="16"/>
          <w:lang w:val="en-GB"/>
        </w:rPr>
        <w:t xml:space="preserve">which was also valid in two thirds of the Union members </w:t>
      </w:r>
      <w:r w:rsidRPr="00360663">
        <w:rPr>
          <w:sz w:val="16"/>
          <w:szCs w:val="16"/>
          <w:lang w:val="en-GB"/>
        </w:rPr>
        <w:t>(</w:t>
      </w:r>
      <w:r>
        <w:rPr>
          <w:sz w:val="16"/>
          <w:szCs w:val="16"/>
          <w:lang w:val="en-GB"/>
        </w:rPr>
        <w:t xml:space="preserve">e.g. in Poland by </w:t>
      </w:r>
      <w:r w:rsidRPr="00360663">
        <w:rPr>
          <w:sz w:val="16"/>
          <w:szCs w:val="16"/>
          <w:lang w:val="en-GB"/>
        </w:rPr>
        <w:t>4</w:t>
      </w:r>
      <w:r>
        <w:rPr>
          <w:sz w:val="16"/>
          <w:szCs w:val="16"/>
          <w:lang w:val="en-GB"/>
        </w:rPr>
        <w:t>.</w:t>
      </w:r>
      <w:r w:rsidRPr="00360663">
        <w:rPr>
          <w:sz w:val="16"/>
          <w:szCs w:val="16"/>
          <w:lang w:val="en-GB"/>
        </w:rPr>
        <w:t>1%,</w:t>
      </w:r>
      <w:r>
        <w:rPr>
          <w:sz w:val="16"/>
          <w:szCs w:val="16"/>
          <w:lang w:val="en-GB"/>
        </w:rPr>
        <w:t xml:space="preserve"> in Hungary by </w:t>
      </w:r>
      <w:r w:rsidRPr="00360663">
        <w:rPr>
          <w:sz w:val="16"/>
          <w:szCs w:val="16"/>
          <w:lang w:val="en-GB"/>
        </w:rPr>
        <w:t>3</w:t>
      </w:r>
      <w:r>
        <w:rPr>
          <w:sz w:val="16"/>
          <w:szCs w:val="16"/>
          <w:lang w:val="en-GB"/>
        </w:rPr>
        <w:t>.</w:t>
      </w:r>
      <w:r w:rsidRPr="00360663">
        <w:rPr>
          <w:sz w:val="16"/>
          <w:szCs w:val="16"/>
          <w:lang w:val="en-GB"/>
        </w:rPr>
        <w:t>0%).</w:t>
      </w:r>
      <w:r>
        <w:rPr>
          <w:sz w:val="16"/>
          <w:szCs w:val="16"/>
          <w:lang w:val="en-GB"/>
        </w:rPr>
        <w:t xml:space="preserve"> In the euro area countries however it still slightly lagged behind this height, </w:t>
      </w:r>
      <w:proofErr w:type="gramStart"/>
      <w:r>
        <w:rPr>
          <w:sz w:val="16"/>
          <w:szCs w:val="16"/>
          <w:lang w:val="en-GB"/>
        </w:rPr>
        <w:t>as a result</w:t>
      </w:r>
      <w:proofErr w:type="gramEnd"/>
      <w:r>
        <w:rPr>
          <w:sz w:val="16"/>
          <w:szCs w:val="16"/>
          <w:lang w:val="en-GB"/>
        </w:rPr>
        <w:t xml:space="preserve"> of slower recovery of some large economies </w:t>
      </w:r>
      <w:r w:rsidRPr="00360663">
        <w:rPr>
          <w:sz w:val="16"/>
          <w:szCs w:val="16"/>
          <w:lang w:val="en-GB"/>
        </w:rPr>
        <w:t>– France (+0</w:t>
      </w:r>
      <w:r>
        <w:rPr>
          <w:sz w:val="16"/>
          <w:szCs w:val="16"/>
          <w:lang w:val="en-GB"/>
        </w:rPr>
        <w:t>.</w:t>
      </w:r>
      <w:r w:rsidRPr="00360663">
        <w:rPr>
          <w:sz w:val="16"/>
          <w:szCs w:val="16"/>
          <w:lang w:val="en-GB"/>
        </w:rPr>
        <w:t>1%), It</w:t>
      </w:r>
      <w:r>
        <w:rPr>
          <w:sz w:val="16"/>
          <w:szCs w:val="16"/>
          <w:lang w:val="en-GB"/>
        </w:rPr>
        <w:t xml:space="preserve">aly </w:t>
      </w:r>
      <w:r w:rsidRPr="00360663">
        <w:rPr>
          <w:sz w:val="16"/>
          <w:szCs w:val="16"/>
          <w:lang w:val="en-GB"/>
        </w:rPr>
        <w:t>(–1</w:t>
      </w:r>
      <w:r>
        <w:rPr>
          <w:sz w:val="16"/>
          <w:szCs w:val="16"/>
          <w:lang w:val="en-GB"/>
        </w:rPr>
        <w:t>.</w:t>
      </w:r>
      <w:r w:rsidRPr="00360663">
        <w:rPr>
          <w:sz w:val="16"/>
          <w:szCs w:val="16"/>
          <w:lang w:val="en-GB"/>
        </w:rPr>
        <w:t xml:space="preserve">0%), </w:t>
      </w:r>
      <w:r>
        <w:rPr>
          <w:sz w:val="16"/>
          <w:szCs w:val="16"/>
          <w:lang w:val="en-GB"/>
        </w:rPr>
        <w:t xml:space="preserve">Germany </w:t>
      </w:r>
      <w:r w:rsidRPr="00360663">
        <w:rPr>
          <w:sz w:val="16"/>
          <w:szCs w:val="16"/>
          <w:lang w:val="en-GB"/>
        </w:rPr>
        <w:t>(–2</w:t>
      </w:r>
      <w:r>
        <w:rPr>
          <w:sz w:val="16"/>
          <w:szCs w:val="16"/>
          <w:lang w:val="en-GB"/>
        </w:rPr>
        <w:t>.</w:t>
      </w:r>
      <w:r w:rsidRPr="00360663">
        <w:rPr>
          <w:sz w:val="16"/>
          <w:szCs w:val="16"/>
          <w:lang w:val="en-GB"/>
        </w:rPr>
        <w:t xml:space="preserve">1%) </w:t>
      </w:r>
      <w:r>
        <w:rPr>
          <w:sz w:val="16"/>
          <w:szCs w:val="16"/>
          <w:lang w:val="en-GB"/>
        </w:rPr>
        <w:t xml:space="preserve">or Spain </w:t>
      </w:r>
      <w:r w:rsidRPr="00360663">
        <w:rPr>
          <w:sz w:val="16"/>
          <w:szCs w:val="16"/>
          <w:lang w:val="en-GB"/>
        </w:rPr>
        <w:t>(–4</w:t>
      </w:r>
      <w:r>
        <w:rPr>
          <w:sz w:val="16"/>
          <w:szCs w:val="16"/>
          <w:lang w:val="en-GB"/>
        </w:rPr>
        <w:t>.</w:t>
      </w:r>
      <w:r w:rsidRPr="00360663">
        <w:rPr>
          <w:sz w:val="16"/>
          <w:szCs w:val="16"/>
          <w:lang w:val="en-GB"/>
        </w:rPr>
        <w:t>0%).</w:t>
      </w:r>
    </w:p>
  </w:footnote>
  <w:footnote w:id="22">
    <w:p w14:paraId="5CCE806B" w14:textId="638200D6" w:rsidR="007C581C" w:rsidRPr="00360663" w:rsidRDefault="007C581C" w:rsidP="00F77A50">
      <w:pPr>
        <w:pStyle w:val="Textpoznpodarou"/>
        <w:jc w:val="both"/>
        <w:rPr>
          <w:spacing w:val="-2"/>
          <w:sz w:val="16"/>
          <w:szCs w:val="16"/>
          <w:lang w:val="en-GB"/>
        </w:rPr>
      </w:pPr>
      <w:r w:rsidRPr="00360663">
        <w:rPr>
          <w:rStyle w:val="Znakapoznpodarou"/>
          <w:spacing w:val="-2"/>
          <w:sz w:val="16"/>
          <w:szCs w:val="16"/>
          <w:lang w:val="en-GB"/>
        </w:rPr>
        <w:footnoteRef/>
      </w:r>
      <w:r w:rsidRPr="00360663">
        <w:rPr>
          <w:spacing w:val="-2"/>
          <w:sz w:val="16"/>
          <w:szCs w:val="16"/>
          <w:lang w:val="en-GB"/>
        </w:rPr>
        <w:t xml:space="preserve"> </w:t>
      </w:r>
      <w:r>
        <w:rPr>
          <w:spacing w:val="-2"/>
          <w:sz w:val="16"/>
          <w:szCs w:val="16"/>
          <w:lang w:val="en-GB"/>
        </w:rPr>
        <w:t xml:space="preserve">The GVA was already by 10% higher in financial and insurance activities last year in Q4 compared to the end of year </w:t>
      </w:r>
      <w:r w:rsidRPr="00360663">
        <w:rPr>
          <w:spacing w:val="-2"/>
          <w:sz w:val="16"/>
          <w:szCs w:val="16"/>
          <w:lang w:val="en-GB"/>
        </w:rPr>
        <w:t>2019</w:t>
      </w:r>
      <w:r>
        <w:rPr>
          <w:spacing w:val="-2"/>
          <w:sz w:val="16"/>
          <w:szCs w:val="16"/>
          <w:lang w:val="en-GB"/>
        </w:rPr>
        <w:t>, analogically by 6% in the public services</w:t>
      </w:r>
      <w:r w:rsidRPr="00360663">
        <w:rPr>
          <w:spacing w:val="-2"/>
          <w:sz w:val="16"/>
          <w:szCs w:val="16"/>
          <w:lang w:val="en-GB"/>
        </w:rPr>
        <w:t>,</w:t>
      </w:r>
      <w:r>
        <w:rPr>
          <w:spacing w:val="-2"/>
          <w:sz w:val="16"/>
          <w:szCs w:val="16"/>
          <w:lang w:val="en-GB"/>
        </w:rPr>
        <w:t xml:space="preserve"> by 5% in information and communication and by 1% in the real estate activities. Performance of all services branches was comparable to the pre-pandemic maximum </w:t>
      </w:r>
      <w:r w:rsidRPr="00360663">
        <w:rPr>
          <w:spacing w:val="-2"/>
          <w:sz w:val="16"/>
          <w:szCs w:val="16"/>
          <w:lang w:val="en-GB"/>
        </w:rPr>
        <w:t>(+0</w:t>
      </w:r>
      <w:r>
        <w:rPr>
          <w:spacing w:val="-2"/>
          <w:sz w:val="16"/>
          <w:szCs w:val="16"/>
          <w:lang w:val="en-GB"/>
        </w:rPr>
        <w:t>.</w:t>
      </w:r>
      <w:r w:rsidRPr="00360663">
        <w:rPr>
          <w:spacing w:val="-2"/>
          <w:sz w:val="16"/>
          <w:szCs w:val="16"/>
          <w:lang w:val="en-GB"/>
        </w:rPr>
        <w:t xml:space="preserve">1%), </w:t>
      </w:r>
      <w:r>
        <w:rPr>
          <w:spacing w:val="-2"/>
          <w:sz w:val="16"/>
          <w:szCs w:val="16"/>
          <w:lang w:val="en-GB"/>
        </w:rPr>
        <w:t xml:space="preserve">on the contrary the industry lagged behind by notable </w:t>
      </w:r>
      <w:r w:rsidRPr="00360663">
        <w:rPr>
          <w:spacing w:val="-2"/>
          <w:sz w:val="16"/>
          <w:szCs w:val="16"/>
          <w:lang w:val="en-GB"/>
        </w:rPr>
        <w:t>7</w:t>
      </w:r>
      <w:r>
        <w:rPr>
          <w:spacing w:val="-2"/>
          <w:sz w:val="16"/>
          <w:szCs w:val="16"/>
          <w:lang w:val="en-GB"/>
        </w:rPr>
        <w:t>.</w:t>
      </w:r>
      <w:r w:rsidRPr="00360663">
        <w:rPr>
          <w:spacing w:val="-2"/>
          <w:sz w:val="16"/>
          <w:szCs w:val="16"/>
          <w:lang w:val="en-GB"/>
        </w:rPr>
        <w:t>5%.</w:t>
      </w:r>
    </w:p>
  </w:footnote>
  <w:footnote w:id="23">
    <w:p w14:paraId="792164F4" w14:textId="27917BEC" w:rsidR="007C581C" w:rsidRPr="00360663" w:rsidRDefault="007C581C" w:rsidP="00F77A50">
      <w:pPr>
        <w:pStyle w:val="Textpoznpodarou"/>
        <w:jc w:val="both"/>
        <w:rPr>
          <w:sz w:val="16"/>
          <w:szCs w:val="16"/>
          <w:lang w:val="en-GB"/>
        </w:rPr>
      </w:pPr>
      <w:r w:rsidRPr="00360663">
        <w:rPr>
          <w:rStyle w:val="Znakapoznpodarou"/>
          <w:sz w:val="16"/>
          <w:szCs w:val="16"/>
          <w:lang w:val="en-GB"/>
        </w:rPr>
        <w:footnoteRef/>
      </w:r>
      <w:r w:rsidRPr="00360663">
        <w:rPr>
          <w:sz w:val="16"/>
          <w:szCs w:val="16"/>
          <w:lang w:val="en-GB"/>
        </w:rPr>
        <w:t xml:space="preserve"> </w:t>
      </w:r>
      <w:r>
        <w:rPr>
          <w:sz w:val="16"/>
          <w:szCs w:val="16"/>
          <w:lang w:val="en-GB"/>
        </w:rPr>
        <w:t>Harvest of cereals was higher by 1.2% year-on-year last year</w:t>
      </w:r>
      <w:r w:rsidRPr="00360663">
        <w:rPr>
          <w:sz w:val="16"/>
          <w:szCs w:val="16"/>
          <w:lang w:val="en-GB"/>
        </w:rPr>
        <w:t>,</w:t>
      </w:r>
      <w:r>
        <w:rPr>
          <w:sz w:val="16"/>
          <w:szCs w:val="16"/>
          <w:lang w:val="en-GB"/>
        </w:rPr>
        <w:t xml:space="preserve"> on the contrary it fell for potatoes by </w:t>
      </w:r>
      <w:r w:rsidRPr="00360663">
        <w:rPr>
          <w:sz w:val="16"/>
          <w:szCs w:val="16"/>
          <w:lang w:val="en-GB"/>
        </w:rPr>
        <w:t>3</w:t>
      </w:r>
      <w:r>
        <w:rPr>
          <w:sz w:val="16"/>
          <w:szCs w:val="16"/>
          <w:lang w:val="en-GB"/>
        </w:rPr>
        <w:t>.</w:t>
      </w:r>
      <w:r w:rsidRPr="00360663">
        <w:rPr>
          <w:sz w:val="16"/>
          <w:szCs w:val="16"/>
          <w:lang w:val="en-GB"/>
        </w:rPr>
        <w:t>5% a</w:t>
      </w:r>
      <w:r>
        <w:rPr>
          <w:sz w:val="16"/>
          <w:szCs w:val="16"/>
          <w:lang w:val="en-GB"/>
        </w:rPr>
        <w:t xml:space="preserve">nd oilseed rape by </w:t>
      </w:r>
      <w:r w:rsidRPr="00360663">
        <w:rPr>
          <w:sz w:val="16"/>
          <w:szCs w:val="16"/>
          <w:lang w:val="en-GB"/>
        </w:rPr>
        <w:t>17</w:t>
      </w:r>
      <w:r>
        <w:rPr>
          <w:sz w:val="16"/>
          <w:szCs w:val="16"/>
          <w:lang w:val="en-GB"/>
        </w:rPr>
        <w:t>.</w:t>
      </w:r>
      <w:r w:rsidRPr="00360663">
        <w:rPr>
          <w:sz w:val="16"/>
          <w:szCs w:val="16"/>
          <w:lang w:val="en-GB"/>
        </w:rPr>
        <w:t>7% (</w:t>
      </w:r>
      <w:r>
        <w:rPr>
          <w:sz w:val="16"/>
          <w:szCs w:val="16"/>
          <w:lang w:val="en-GB"/>
        </w:rPr>
        <w:t xml:space="preserve">in the absolute amount it represented the weakest harvest since year </w:t>
      </w:r>
      <w:r w:rsidRPr="00360663">
        <w:rPr>
          <w:sz w:val="16"/>
          <w:szCs w:val="16"/>
          <w:lang w:val="en-GB"/>
        </w:rPr>
        <w:t xml:space="preserve">2006). </w:t>
      </w:r>
      <w:r>
        <w:rPr>
          <w:sz w:val="16"/>
          <w:szCs w:val="16"/>
          <w:lang w:val="en-GB"/>
        </w:rPr>
        <w:t xml:space="preserve">Other oil plants however fared well </w:t>
      </w:r>
      <w:r w:rsidRPr="00360663">
        <w:rPr>
          <w:sz w:val="16"/>
          <w:szCs w:val="16"/>
          <w:lang w:val="en-GB"/>
        </w:rPr>
        <w:t>(</w:t>
      </w:r>
      <w:r>
        <w:rPr>
          <w:sz w:val="16"/>
          <w:szCs w:val="16"/>
          <w:lang w:val="en-GB"/>
        </w:rPr>
        <w:t>mainly thanks to the expansion of the sowing area</w:t>
      </w:r>
      <w:r w:rsidRPr="00360663">
        <w:rPr>
          <w:sz w:val="16"/>
          <w:szCs w:val="16"/>
          <w:lang w:val="en-GB"/>
        </w:rPr>
        <w:t xml:space="preserve">), </w:t>
      </w:r>
      <w:r>
        <w:rPr>
          <w:sz w:val="16"/>
          <w:szCs w:val="16"/>
          <w:lang w:val="en-GB"/>
        </w:rPr>
        <w:t>legumes, sugar beet, hop plant, majority of forage crops and it was harvested more of all types of vegetables as well. Fruit farming experienced mild decrease, mainly du</w:t>
      </w:r>
      <w:r w:rsidR="00A8331C">
        <w:rPr>
          <w:sz w:val="16"/>
          <w:szCs w:val="16"/>
          <w:lang w:val="en-GB"/>
        </w:rPr>
        <w:t>e to the lower harvest of plums</w:t>
      </w:r>
      <w:r>
        <w:rPr>
          <w:sz w:val="16"/>
          <w:szCs w:val="16"/>
          <w:lang w:val="en-GB"/>
        </w:rPr>
        <w:t>.</w:t>
      </w:r>
    </w:p>
  </w:footnote>
  <w:footnote w:id="24">
    <w:p w14:paraId="112AEDEA" w14:textId="5592FFB1" w:rsidR="007C581C" w:rsidRPr="001751DC" w:rsidRDefault="007C581C" w:rsidP="00F77A50">
      <w:pPr>
        <w:pStyle w:val="Textpoznpodarou"/>
        <w:jc w:val="both"/>
        <w:rPr>
          <w:spacing w:val="-2"/>
          <w:sz w:val="16"/>
          <w:szCs w:val="16"/>
          <w:lang w:val="en-GB"/>
        </w:rPr>
      </w:pPr>
      <w:r w:rsidRPr="00360663">
        <w:rPr>
          <w:rStyle w:val="Znakapoznpodarou"/>
          <w:spacing w:val="-2"/>
          <w:sz w:val="16"/>
          <w:szCs w:val="16"/>
          <w:lang w:val="en-GB"/>
        </w:rPr>
        <w:footnoteRef/>
      </w:r>
      <w:r w:rsidRPr="00360663">
        <w:rPr>
          <w:spacing w:val="-2"/>
          <w:sz w:val="16"/>
          <w:szCs w:val="16"/>
          <w:lang w:val="en-GB"/>
        </w:rPr>
        <w:t xml:space="preserve"> </w:t>
      </w:r>
      <w:r>
        <w:rPr>
          <w:spacing w:val="-2"/>
          <w:sz w:val="16"/>
          <w:szCs w:val="16"/>
          <w:lang w:val="en-GB"/>
        </w:rPr>
        <w:t>Last year</w:t>
      </w:r>
      <w:r>
        <w:rPr>
          <w:spacing w:val="-2"/>
          <w:sz w:val="16"/>
          <w:szCs w:val="16"/>
        </w:rPr>
        <w:t>‘</w:t>
      </w:r>
      <w:r>
        <w:rPr>
          <w:spacing w:val="-2"/>
          <w:sz w:val="16"/>
          <w:szCs w:val="16"/>
          <w:lang w:val="en-US"/>
        </w:rPr>
        <w:t xml:space="preserve">s harvest of cereals </w:t>
      </w:r>
      <w:r w:rsidRPr="00360663">
        <w:rPr>
          <w:spacing w:val="-2"/>
          <w:sz w:val="16"/>
          <w:szCs w:val="16"/>
          <w:lang w:val="en-GB"/>
        </w:rPr>
        <w:t>(</w:t>
      </w:r>
      <w:r>
        <w:rPr>
          <w:spacing w:val="-2"/>
          <w:sz w:val="16"/>
          <w:szCs w:val="16"/>
          <w:lang w:val="en-GB"/>
        </w:rPr>
        <w:t>including corn</w:t>
      </w:r>
      <w:r w:rsidRPr="00360663">
        <w:rPr>
          <w:spacing w:val="-2"/>
          <w:sz w:val="16"/>
          <w:szCs w:val="16"/>
          <w:lang w:val="en-GB"/>
        </w:rPr>
        <w:t>)</w:t>
      </w:r>
      <w:r>
        <w:rPr>
          <w:spacing w:val="-2"/>
          <w:sz w:val="16"/>
          <w:szCs w:val="16"/>
          <w:lang w:val="en-GB"/>
        </w:rPr>
        <w:t xml:space="preserve"> was </w:t>
      </w:r>
      <w:r w:rsidRPr="00360663">
        <w:rPr>
          <w:spacing w:val="-2"/>
          <w:sz w:val="16"/>
          <w:szCs w:val="16"/>
          <w:lang w:val="en-GB"/>
        </w:rPr>
        <w:t>8</w:t>
      </w:r>
      <w:r>
        <w:rPr>
          <w:spacing w:val="-2"/>
          <w:sz w:val="16"/>
          <w:szCs w:val="16"/>
          <w:lang w:val="en-GB"/>
        </w:rPr>
        <w:t>.</w:t>
      </w:r>
      <w:r w:rsidRPr="00360663">
        <w:rPr>
          <w:spacing w:val="-2"/>
          <w:sz w:val="16"/>
          <w:szCs w:val="16"/>
          <w:lang w:val="en-GB"/>
        </w:rPr>
        <w:t>23</w:t>
      </w:r>
      <w:r w:rsidR="004F3ECA">
        <w:rPr>
          <w:spacing w:val="-2"/>
          <w:sz w:val="16"/>
          <w:szCs w:val="16"/>
          <w:lang w:val="en-GB"/>
        </w:rPr>
        <w:t xml:space="preserve"> million of to</w:t>
      </w:r>
      <w:r>
        <w:rPr>
          <w:spacing w:val="-2"/>
          <w:sz w:val="16"/>
          <w:szCs w:val="16"/>
          <w:lang w:val="en-GB"/>
        </w:rPr>
        <w:t xml:space="preserve">ns </w:t>
      </w:r>
      <w:r w:rsidRPr="00360663">
        <w:rPr>
          <w:spacing w:val="-2"/>
          <w:sz w:val="16"/>
          <w:szCs w:val="16"/>
          <w:lang w:val="en-GB"/>
        </w:rPr>
        <w:t>(</w:t>
      </w:r>
      <w:r>
        <w:rPr>
          <w:spacing w:val="-2"/>
          <w:sz w:val="16"/>
          <w:szCs w:val="16"/>
          <w:lang w:val="en-GB"/>
        </w:rPr>
        <w:t>the sixth largest harvest in the era of the independent CR</w:t>
      </w:r>
      <w:r w:rsidRPr="00360663">
        <w:rPr>
          <w:spacing w:val="-2"/>
          <w:sz w:val="16"/>
          <w:szCs w:val="16"/>
          <w:lang w:val="en-GB"/>
        </w:rPr>
        <w:t xml:space="preserve">). </w:t>
      </w:r>
      <w:r>
        <w:rPr>
          <w:spacing w:val="-2"/>
          <w:sz w:val="16"/>
          <w:szCs w:val="16"/>
          <w:lang w:val="en-GB"/>
        </w:rPr>
        <w:t xml:space="preserve">Compared to the average from </w:t>
      </w:r>
      <w:r w:rsidRPr="001751DC">
        <w:rPr>
          <w:spacing w:val="-2"/>
          <w:sz w:val="16"/>
          <w:szCs w:val="16"/>
          <w:lang w:val="en-GB"/>
        </w:rPr>
        <w:t xml:space="preserve">years 2011 </w:t>
      </w:r>
      <w:proofErr w:type="gramStart"/>
      <w:r w:rsidRPr="001751DC">
        <w:rPr>
          <w:spacing w:val="-2"/>
          <w:sz w:val="16"/>
          <w:szCs w:val="16"/>
          <w:lang w:val="en-GB"/>
        </w:rPr>
        <w:t>till</w:t>
      </w:r>
      <w:proofErr w:type="gramEnd"/>
      <w:r w:rsidRPr="001751DC">
        <w:rPr>
          <w:spacing w:val="-2"/>
          <w:sz w:val="16"/>
          <w:szCs w:val="16"/>
          <w:lang w:val="en-GB"/>
        </w:rPr>
        <w:t xml:space="preserve"> 2020, it was by 5.3% higher, solely thanks to the increase of the yield per hectare.</w:t>
      </w:r>
      <w:r>
        <w:rPr>
          <w:spacing w:val="-2"/>
          <w:sz w:val="16"/>
          <w:szCs w:val="16"/>
          <w:lang w:val="en-GB"/>
        </w:rPr>
        <w:t xml:space="preserve"> The harvest of potatoes </w:t>
      </w:r>
      <w:r w:rsidRPr="001751DC">
        <w:rPr>
          <w:spacing w:val="-2"/>
          <w:sz w:val="16"/>
          <w:szCs w:val="16"/>
          <w:lang w:val="en-GB"/>
        </w:rPr>
        <w:t>(+3</w:t>
      </w:r>
      <w:r>
        <w:rPr>
          <w:spacing w:val="-2"/>
          <w:sz w:val="16"/>
          <w:szCs w:val="16"/>
          <w:lang w:val="en-GB"/>
        </w:rPr>
        <w:t>.</w:t>
      </w:r>
      <w:r w:rsidRPr="001751DC">
        <w:rPr>
          <w:spacing w:val="-2"/>
          <w:sz w:val="16"/>
          <w:szCs w:val="16"/>
          <w:lang w:val="en-GB"/>
        </w:rPr>
        <w:t xml:space="preserve">4%), </w:t>
      </w:r>
      <w:r>
        <w:rPr>
          <w:spacing w:val="-2"/>
          <w:sz w:val="16"/>
          <w:szCs w:val="16"/>
          <w:lang w:val="en-GB"/>
        </w:rPr>
        <w:t xml:space="preserve">technical sugar beet </w:t>
      </w:r>
      <w:r w:rsidRPr="001751DC">
        <w:rPr>
          <w:spacing w:val="-2"/>
          <w:sz w:val="16"/>
          <w:szCs w:val="16"/>
          <w:lang w:val="en-GB"/>
        </w:rPr>
        <w:t>(+6</w:t>
      </w:r>
      <w:r>
        <w:rPr>
          <w:spacing w:val="-2"/>
          <w:sz w:val="16"/>
          <w:szCs w:val="16"/>
          <w:lang w:val="en-GB"/>
        </w:rPr>
        <w:t>.</w:t>
      </w:r>
      <w:r w:rsidRPr="001751DC">
        <w:rPr>
          <w:spacing w:val="-2"/>
          <w:sz w:val="16"/>
          <w:szCs w:val="16"/>
          <w:lang w:val="en-GB"/>
        </w:rPr>
        <w:t xml:space="preserve">5%), </w:t>
      </w:r>
      <w:r>
        <w:rPr>
          <w:spacing w:val="-2"/>
          <w:sz w:val="16"/>
          <w:szCs w:val="16"/>
          <w:lang w:val="en-GB"/>
        </w:rPr>
        <w:t xml:space="preserve">green maize and silage </w:t>
      </w:r>
      <w:r w:rsidRPr="001751DC">
        <w:rPr>
          <w:spacing w:val="-2"/>
          <w:sz w:val="16"/>
          <w:szCs w:val="16"/>
          <w:lang w:val="en-GB"/>
        </w:rPr>
        <w:t>(+3</w:t>
      </w:r>
      <w:r>
        <w:rPr>
          <w:spacing w:val="-2"/>
          <w:sz w:val="16"/>
          <w:szCs w:val="16"/>
          <w:lang w:val="en-GB"/>
        </w:rPr>
        <w:t>.</w:t>
      </w:r>
      <w:r w:rsidRPr="001751DC">
        <w:rPr>
          <w:spacing w:val="-2"/>
          <w:sz w:val="16"/>
          <w:szCs w:val="16"/>
          <w:lang w:val="en-GB"/>
        </w:rPr>
        <w:t>4%)</w:t>
      </w:r>
      <w:r>
        <w:rPr>
          <w:spacing w:val="-2"/>
          <w:sz w:val="16"/>
          <w:szCs w:val="16"/>
          <w:lang w:val="en-GB"/>
        </w:rPr>
        <w:t xml:space="preserve"> also slightly exceeded the long-term average</w:t>
      </w:r>
      <w:r w:rsidRPr="001751DC">
        <w:rPr>
          <w:spacing w:val="-2"/>
          <w:sz w:val="16"/>
          <w:szCs w:val="16"/>
          <w:lang w:val="en-GB"/>
        </w:rPr>
        <w:t xml:space="preserve">, </w:t>
      </w:r>
      <w:r>
        <w:rPr>
          <w:spacing w:val="-2"/>
          <w:sz w:val="16"/>
          <w:szCs w:val="16"/>
          <w:lang w:val="en-GB"/>
        </w:rPr>
        <w:t xml:space="preserve">more notably then for perennial forage crops </w:t>
      </w:r>
      <w:r w:rsidRPr="001751DC">
        <w:rPr>
          <w:spacing w:val="-2"/>
          <w:sz w:val="16"/>
          <w:szCs w:val="16"/>
          <w:lang w:val="en-GB"/>
        </w:rPr>
        <w:t>(+21</w:t>
      </w:r>
      <w:r>
        <w:rPr>
          <w:spacing w:val="-2"/>
          <w:sz w:val="16"/>
          <w:szCs w:val="16"/>
          <w:lang w:val="en-GB"/>
        </w:rPr>
        <w:t>.</w:t>
      </w:r>
      <w:r w:rsidRPr="001751DC">
        <w:rPr>
          <w:spacing w:val="-2"/>
          <w:sz w:val="16"/>
          <w:szCs w:val="16"/>
          <w:lang w:val="en-GB"/>
        </w:rPr>
        <w:t xml:space="preserve">4%) </w:t>
      </w:r>
      <w:r>
        <w:rPr>
          <w:spacing w:val="-2"/>
          <w:sz w:val="16"/>
          <w:szCs w:val="16"/>
          <w:lang w:val="en-GB"/>
        </w:rPr>
        <w:t xml:space="preserve">or the hop plant </w:t>
      </w:r>
      <w:r w:rsidRPr="001751DC">
        <w:rPr>
          <w:spacing w:val="-2"/>
          <w:sz w:val="16"/>
          <w:szCs w:val="16"/>
          <w:lang w:val="en-GB"/>
        </w:rPr>
        <w:t>(+39</w:t>
      </w:r>
      <w:r>
        <w:rPr>
          <w:spacing w:val="-2"/>
          <w:sz w:val="16"/>
          <w:szCs w:val="16"/>
          <w:lang w:val="en-GB"/>
        </w:rPr>
        <w:t>.</w:t>
      </w:r>
      <w:r w:rsidRPr="001751DC">
        <w:rPr>
          <w:spacing w:val="-2"/>
          <w:sz w:val="16"/>
          <w:szCs w:val="16"/>
          <w:lang w:val="en-GB"/>
        </w:rPr>
        <w:t xml:space="preserve">6%). </w:t>
      </w:r>
      <w:r>
        <w:rPr>
          <w:spacing w:val="-2"/>
          <w:sz w:val="16"/>
          <w:szCs w:val="16"/>
          <w:lang w:val="en-GB"/>
        </w:rPr>
        <w:t xml:space="preserve">Among the more significant plants, only the rape plan did not thrive </w:t>
      </w:r>
      <w:r w:rsidRPr="001751DC">
        <w:rPr>
          <w:spacing w:val="-2"/>
          <w:sz w:val="16"/>
          <w:szCs w:val="16"/>
          <w:lang w:val="en-GB"/>
        </w:rPr>
        <w:t>(–19</w:t>
      </w:r>
      <w:r>
        <w:rPr>
          <w:spacing w:val="-2"/>
          <w:sz w:val="16"/>
          <w:szCs w:val="16"/>
          <w:lang w:val="en-GB"/>
        </w:rPr>
        <w:t>.</w:t>
      </w:r>
      <w:r w:rsidRPr="001751DC">
        <w:rPr>
          <w:spacing w:val="-2"/>
          <w:sz w:val="16"/>
          <w:szCs w:val="16"/>
          <w:lang w:val="en-GB"/>
        </w:rPr>
        <w:t xml:space="preserve">4%), </w:t>
      </w:r>
      <w:proofErr w:type="gramStart"/>
      <w:r>
        <w:rPr>
          <w:spacing w:val="-2"/>
          <w:sz w:val="16"/>
          <w:szCs w:val="16"/>
          <w:lang w:val="en-GB"/>
        </w:rPr>
        <w:t>as a result</w:t>
      </w:r>
      <w:proofErr w:type="gramEnd"/>
      <w:r>
        <w:rPr>
          <w:spacing w:val="-2"/>
          <w:sz w:val="16"/>
          <w:szCs w:val="16"/>
          <w:lang w:val="en-GB"/>
        </w:rPr>
        <w:t xml:space="preserve"> of the significant decrease of the sowing area</w:t>
      </w:r>
      <w:r w:rsidRPr="001751DC">
        <w:rPr>
          <w:spacing w:val="-2"/>
          <w:sz w:val="16"/>
          <w:szCs w:val="16"/>
          <w:lang w:val="en-GB"/>
        </w:rPr>
        <w:t xml:space="preserve">, </w:t>
      </w:r>
      <w:r>
        <w:rPr>
          <w:spacing w:val="-2"/>
          <w:sz w:val="16"/>
          <w:szCs w:val="16"/>
          <w:lang w:val="en-GB"/>
        </w:rPr>
        <w:t>partially also the lowering of the yield per hectare</w:t>
      </w:r>
      <w:r w:rsidRPr="001751DC">
        <w:rPr>
          <w:spacing w:val="-2"/>
          <w:sz w:val="16"/>
          <w:szCs w:val="16"/>
          <w:lang w:val="en-GB"/>
        </w:rPr>
        <w:t>.</w:t>
      </w:r>
    </w:p>
  </w:footnote>
  <w:footnote w:id="25">
    <w:p w14:paraId="36F5D47E" w14:textId="404DD706" w:rsidR="007C581C" w:rsidRPr="00CE71E4" w:rsidRDefault="007C581C" w:rsidP="00F77A50">
      <w:pPr>
        <w:pStyle w:val="Textpoznpodarou"/>
        <w:jc w:val="both"/>
        <w:rPr>
          <w:rFonts w:cs="Arial"/>
          <w:color w:val="0D0D0D" w:themeColor="text1" w:themeTint="F2"/>
          <w:spacing w:val="-2"/>
          <w:sz w:val="16"/>
          <w:szCs w:val="16"/>
        </w:rPr>
      </w:pPr>
      <w:r w:rsidRPr="001751DC">
        <w:rPr>
          <w:rStyle w:val="Znakapoznpodarou"/>
          <w:rFonts w:cs="Arial"/>
          <w:color w:val="0D0D0D" w:themeColor="text1" w:themeTint="F2"/>
          <w:spacing w:val="-2"/>
          <w:sz w:val="16"/>
          <w:szCs w:val="16"/>
          <w:lang w:val="en-GB"/>
        </w:rPr>
        <w:footnoteRef/>
      </w:r>
      <w:r w:rsidRPr="001751DC">
        <w:rPr>
          <w:rFonts w:cs="Arial"/>
          <w:color w:val="0D0D0D" w:themeColor="text1" w:themeTint="F2"/>
          <w:spacing w:val="-2"/>
          <w:sz w:val="16"/>
          <w:szCs w:val="16"/>
          <w:lang w:val="en-GB"/>
        </w:rPr>
        <w:t xml:space="preserve"> Includes branches of mining and quarrying, manufacturing </w:t>
      </w:r>
      <w:proofErr w:type="gramStart"/>
      <w:r w:rsidRPr="001751DC">
        <w:rPr>
          <w:rFonts w:cs="Arial"/>
          <w:color w:val="0D0D0D" w:themeColor="text1" w:themeTint="F2"/>
          <w:spacing w:val="-2"/>
          <w:sz w:val="16"/>
          <w:szCs w:val="16"/>
          <w:lang w:val="en-GB"/>
        </w:rPr>
        <w:t>and also</w:t>
      </w:r>
      <w:proofErr w:type="gramEnd"/>
      <w:r w:rsidRPr="001751DC">
        <w:rPr>
          <w:rFonts w:cs="Arial"/>
          <w:color w:val="0D0D0D" w:themeColor="text1" w:themeTint="F2"/>
          <w:spacing w:val="-2"/>
          <w:sz w:val="16"/>
          <w:szCs w:val="16"/>
          <w:lang w:val="en-GB"/>
        </w:rPr>
        <w:t xml:space="preserve"> energetics (here as activities of production and distribution of electricity, gas, heat and air conditioning supply). All year-on-year</w:t>
      </w:r>
      <w:r w:rsidRPr="00973752">
        <w:rPr>
          <w:rFonts w:cs="Arial"/>
          <w:color w:val="0D0D0D" w:themeColor="text1" w:themeTint="F2"/>
          <w:spacing w:val="-2"/>
          <w:sz w:val="16"/>
          <w:szCs w:val="16"/>
          <w:lang w:val="en-GB"/>
        </w:rPr>
        <w:t xml:space="preserve"> rates of growth of</w:t>
      </w:r>
      <w:r>
        <w:rPr>
          <w:rFonts w:cs="Arial"/>
          <w:color w:val="0D0D0D" w:themeColor="text1" w:themeTint="F2"/>
          <w:spacing w:val="-2"/>
          <w:sz w:val="16"/>
          <w:szCs w:val="16"/>
          <w:lang w:val="en-GB"/>
        </w:rPr>
        <w:t xml:space="preserve"> </w:t>
      </w:r>
      <w:r w:rsidRPr="00973752">
        <w:rPr>
          <w:rFonts w:cs="Arial"/>
          <w:color w:val="0D0D0D" w:themeColor="text1" w:themeTint="F2"/>
          <w:spacing w:val="-2"/>
          <w:sz w:val="16"/>
          <w:szCs w:val="16"/>
          <w:lang w:val="en-GB"/>
        </w:rPr>
        <w:t>output (at the level of branch sections as well as divi</w:t>
      </w:r>
      <w:r>
        <w:rPr>
          <w:rFonts w:cs="Arial"/>
          <w:color w:val="0D0D0D" w:themeColor="text1" w:themeTint="F2"/>
          <w:spacing w:val="-2"/>
          <w:sz w:val="16"/>
          <w:szCs w:val="16"/>
          <w:lang w:val="en-GB"/>
        </w:rPr>
        <w:t>s</w:t>
      </w:r>
      <w:r w:rsidRPr="00973752">
        <w:rPr>
          <w:rFonts w:cs="Arial"/>
          <w:color w:val="0D0D0D" w:themeColor="text1" w:themeTint="F2"/>
          <w:spacing w:val="-2"/>
          <w:sz w:val="16"/>
          <w:szCs w:val="16"/>
          <w:lang w:val="en-GB"/>
        </w:rPr>
        <w:t xml:space="preserve">ions) are adjusted for calendar effects, </w:t>
      </w:r>
      <w:r>
        <w:rPr>
          <w:rFonts w:cs="Arial"/>
          <w:color w:val="0D0D0D" w:themeColor="text1" w:themeTint="F2"/>
          <w:spacing w:val="-2"/>
          <w:sz w:val="16"/>
          <w:szCs w:val="16"/>
          <w:lang w:val="en-GB"/>
        </w:rPr>
        <w:t xml:space="preserve">both </w:t>
      </w:r>
      <w:r w:rsidRPr="00973752">
        <w:rPr>
          <w:rFonts w:cs="Arial"/>
          <w:color w:val="0D0D0D" w:themeColor="text1" w:themeTint="F2"/>
          <w:spacing w:val="-2"/>
          <w:sz w:val="16"/>
          <w:szCs w:val="16"/>
          <w:lang w:val="en-GB"/>
        </w:rPr>
        <w:t>quarter-on-q</w:t>
      </w:r>
      <w:r>
        <w:rPr>
          <w:rFonts w:cs="Arial"/>
          <w:color w:val="0D0D0D" w:themeColor="text1" w:themeTint="F2"/>
          <w:spacing w:val="-2"/>
          <w:sz w:val="16"/>
          <w:szCs w:val="16"/>
          <w:lang w:val="en-GB"/>
        </w:rPr>
        <w:t>uarter and month-on-month</w:t>
      </w:r>
      <w:r w:rsidRPr="00973752">
        <w:rPr>
          <w:rFonts w:cs="Arial"/>
          <w:color w:val="0D0D0D" w:themeColor="text1" w:themeTint="F2"/>
          <w:spacing w:val="-2"/>
          <w:sz w:val="16"/>
          <w:szCs w:val="16"/>
          <w:lang w:val="en-GB"/>
        </w:rPr>
        <w:t xml:space="preserve"> rates </w:t>
      </w:r>
      <w:proofErr w:type="gramStart"/>
      <w:r w:rsidRPr="00973752">
        <w:rPr>
          <w:rFonts w:cs="Arial"/>
          <w:color w:val="0D0D0D" w:themeColor="text1" w:themeTint="F2"/>
          <w:spacing w:val="-2"/>
          <w:sz w:val="16"/>
          <w:szCs w:val="16"/>
          <w:lang w:val="en-GB"/>
        </w:rPr>
        <w:t>then also</w:t>
      </w:r>
      <w:proofErr w:type="gramEnd"/>
      <w:r w:rsidRPr="00973752">
        <w:rPr>
          <w:rFonts w:cs="Arial"/>
          <w:color w:val="0D0D0D" w:themeColor="text1" w:themeTint="F2"/>
          <w:spacing w:val="-2"/>
          <w:sz w:val="16"/>
          <w:szCs w:val="16"/>
          <w:lang w:val="en-GB"/>
        </w:rPr>
        <w:t xml:space="preserve"> for seasonal effects.</w:t>
      </w:r>
    </w:p>
  </w:footnote>
  <w:footnote w:id="26">
    <w:p w14:paraId="0FE5BF3E" w14:textId="4E450CCF" w:rsidR="007C581C" w:rsidRPr="00666B00" w:rsidRDefault="007C581C" w:rsidP="00F77A50">
      <w:pPr>
        <w:pStyle w:val="Textpoznpodarou"/>
        <w:jc w:val="both"/>
        <w:rPr>
          <w:sz w:val="16"/>
          <w:szCs w:val="16"/>
          <w:lang w:val="en-GB"/>
        </w:rPr>
      </w:pPr>
      <w:r w:rsidRPr="00EB7CEF">
        <w:rPr>
          <w:rStyle w:val="Znakapoznpodarou"/>
          <w:sz w:val="16"/>
          <w:szCs w:val="16"/>
        </w:rPr>
        <w:footnoteRef/>
      </w:r>
      <w:r w:rsidRPr="00EB7CEF">
        <w:rPr>
          <w:sz w:val="16"/>
          <w:szCs w:val="16"/>
        </w:rPr>
        <w:t xml:space="preserve"> </w:t>
      </w:r>
      <w:r w:rsidRPr="00666B00">
        <w:rPr>
          <w:sz w:val="16"/>
          <w:szCs w:val="16"/>
          <w:lang w:val="en-GB"/>
        </w:rPr>
        <w:t>30</w:t>
      </w:r>
      <w:r>
        <w:rPr>
          <w:sz w:val="16"/>
          <w:szCs w:val="16"/>
          <w:lang w:val="en-GB"/>
        </w:rPr>
        <w:t>.</w:t>
      </w:r>
      <w:r w:rsidRPr="00666B00">
        <w:rPr>
          <w:sz w:val="16"/>
          <w:szCs w:val="16"/>
          <w:lang w:val="en-GB"/>
        </w:rPr>
        <w:t>8%</w:t>
      </w:r>
      <w:r>
        <w:rPr>
          <w:sz w:val="16"/>
          <w:szCs w:val="16"/>
          <w:lang w:val="en-GB"/>
        </w:rPr>
        <w:t xml:space="preserve"> of the value of total domestic export of the industrial goods headed to Germany last year in Q2</w:t>
      </w:r>
      <w:r w:rsidRPr="00666B00">
        <w:rPr>
          <w:sz w:val="16"/>
          <w:szCs w:val="16"/>
          <w:lang w:val="en-GB"/>
        </w:rPr>
        <w:t>, 80%</w:t>
      </w:r>
      <w:r>
        <w:rPr>
          <w:sz w:val="16"/>
          <w:szCs w:val="16"/>
          <w:lang w:val="en-GB"/>
        </w:rPr>
        <w:t xml:space="preserve"> then into the EU</w:t>
      </w:r>
      <w:r w:rsidRPr="00666B00">
        <w:rPr>
          <w:sz w:val="16"/>
          <w:szCs w:val="16"/>
          <w:lang w:val="en-GB"/>
        </w:rPr>
        <w:t>.</w:t>
      </w:r>
    </w:p>
  </w:footnote>
  <w:footnote w:id="27">
    <w:p w14:paraId="7BE65C5A" w14:textId="4427C8AA" w:rsidR="007C581C" w:rsidRPr="00666B00" w:rsidRDefault="007C581C" w:rsidP="00F77A50">
      <w:pPr>
        <w:pStyle w:val="Textpoznpodarou"/>
        <w:rPr>
          <w:sz w:val="16"/>
          <w:szCs w:val="16"/>
          <w:lang w:val="en-GB"/>
        </w:rPr>
      </w:pPr>
      <w:r w:rsidRPr="00666B00">
        <w:rPr>
          <w:rStyle w:val="Znakapoznpodarou"/>
          <w:sz w:val="16"/>
          <w:szCs w:val="16"/>
          <w:lang w:val="en-GB"/>
        </w:rPr>
        <w:footnoteRef/>
      </w:r>
      <w:r w:rsidRPr="00666B00">
        <w:rPr>
          <w:sz w:val="16"/>
          <w:szCs w:val="16"/>
          <w:lang w:val="en-GB"/>
        </w:rPr>
        <w:t xml:space="preserve"> </w:t>
      </w:r>
      <w:r>
        <w:rPr>
          <w:sz w:val="16"/>
          <w:szCs w:val="16"/>
          <w:lang w:val="en-GB"/>
        </w:rPr>
        <w:t>The output increased in approximately two thirds of the main industrial branches year-on-year in Q</w:t>
      </w:r>
      <w:r w:rsidRPr="00666B00">
        <w:rPr>
          <w:sz w:val="16"/>
          <w:szCs w:val="16"/>
          <w:lang w:val="en-GB"/>
        </w:rPr>
        <w:t>4</w:t>
      </w:r>
      <w:r>
        <w:rPr>
          <w:sz w:val="16"/>
          <w:szCs w:val="16"/>
          <w:lang w:val="en-GB"/>
        </w:rPr>
        <w:t xml:space="preserve"> </w:t>
      </w:r>
      <w:r w:rsidRPr="00666B00">
        <w:rPr>
          <w:sz w:val="16"/>
          <w:szCs w:val="16"/>
          <w:lang w:val="en-GB"/>
        </w:rPr>
        <w:t>2021</w:t>
      </w:r>
      <w:r>
        <w:rPr>
          <w:sz w:val="16"/>
          <w:szCs w:val="16"/>
          <w:lang w:val="en-GB"/>
        </w:rPr>
        <w:t xml:space="preserve">. </w:t>
      </w:r>
    </w:p>
  </w:footnote>
  <w:footnote w:id="28">
    <w:p w14:paraId="4F71D6B0" w14:textId="5D9239A2" w:rsidR="007C581C" w:rsidRPr="00666B00" w:rsidRDefault="007C581C" w:rsidP="00F77A50">
      <w:pPr>
        <w:pStyle w:val="Textpoznpodarou"/>
        <w:jc w:val="both"/>
        <w:rPr>
          <w:sz w:val="16"/>
          <w:szCs w:val="16"/>
          <w:lang w:val="en-GB"/>
        </w:rPr>
      </w:pPr>
      <w:r w:rsidRPr="00666B00">
        <w:rPr>
          <w:rStyle w:val="Znakapoznpodarou"/>
          <w:sz w:val="16"/>
          <w:szCs w:val="16"/>
          <w:lang w:val="en-GB"/>
        </w:rPr>
        <w:footnoteRef/>
      </w:r>
      <w:r w:rsidRPr="00666B00">
        <w:rPr>
          <w:sz w:val="16"/>
          <w:szCs w:val="16"/>
          <w:lang w:val="en-GB"/>
        </w:rPr>
        <w:t xml:space="preserve"> </w:t>
      </w:r>
      <w:r>
        <w:rPr>
          <w:sz w:val="16"/>
          <w:szCs w:val="16"/>
          <w:lang w:val="en-GB"/>
        </w:rPr>
        <w:t xml:space="preserve">Difficulties with the involuntary shutdowns of production in the motor vehicle industry, which occurred last year </w:t>
      </w:r>
      <w:proofErr w:type="gramStart"/>
      <w:r>
        <w:rPr>
          <w:sz w:val="16"/>
          <w:szCs w:val="16"/>
          <w:lang w:val="en-GB"/>
        </w:rPr>
        <w:t>both in Summer and Autumn</w:t>
      </w:r>
      <w:proofErr w:type="gramEnd"/>
      <w:r>
        <w:rPr>
          <w:sz w:val="16"/>
          <w:szCs w:val="16"/>
          <w:lang w:val="en-GB"/>
        </w:rPr>
        <w:t xml:space="preserve">, however started to be evident in these sub-branches in Q4 2021. The output fell by </w:t>
      </w:r>
      <w:r w:rsidRPr="00666B00">
        <w:rPr>
          <w:sz w:val="16"/>
          <w:szCs w:val="16"/>
          <w:lang w:val="en-GB"/>
        </w:rPr>
        <w:t>4</w:t>
      </w:r>
      <w:r>
        <w:rPr>
          <w:sz w:val="16"/>
          <w:szCs w:val="16"/>
          <w:lang w:val="en-GB"/>
        </w:rPr>
        <w:t>.</w:t>
      </w:r>
      <w:r w:rsidRPr="00666B00">
        <w:rPr>
          <w:sz w:val="16"/>
          <w:szCs w:val="16"/>
          <w:lang w:val="en-GB"/>
        </w:rPr>
        <w:t>4%</w:t>
      </w:r>
      <w:r>
        <w:rPr>
          <w:sz w:val="16"/>
          <w:szCs w:val="16"/>
          <w:lang w:val="en-GB"/>
        </w:rPr>
        <w:t xml:space="preserve"> in manufacturing of rubber and plastic products year-on-year in Q4</w:t>
      </w:r>
      <w:r w:rsidRPr="00666B00">
        <w:rPr>
          <w:sz w:val="16"/>
          <w:szCs w:val="16"/>
          <w:lang w:val="en-GB"/>
        </w:rPr>
        <w:t xml:space="preserve">, </w:t>
      </w:r>
      <w:r>
        <w:rPr>
          <w:sz w:val="16"/>
          <w:szCs w:val="16"/>
          <w:lang w:val="en-GB"/>
        </w:rPr>
        <w:t xml:space="preserve">the decrease in the more diversified branch of manufacturing of electrical appliances was milder </w:t>
      </w:r>
      <w:r w:rsidRPr="00666B00">
        <w:rPr>
          <w:sz w:val="16"/>
          <w:szCs w:val="16"/>
          <w:lang w:val="en-GB"/>
        </w:rPr>
        <w:t>(1</w:t>
      </w:r>
      <w:r>
        <w:rPr>
          <w:sz w:val="16"/>
          <w:szCs w:val="16"/>
          <w:lang w:val="en-GB"/>
        </w:rPr>
        <w:t>.</w:t>
      </w:r>
      <w:r w:rsidRPr="00666B00">
        <w:rPr>
          <w:sz w:val="16"/>
          <w:szCs w:val="16"/>
          <w:lang w:val="en-GB"/>
        </w:rPr>
        <w:t>3%).</w:t>
      </w:r>
    </w:p>
  </w:footnote>
  <w:footnote w:id="29">
    <w:p w14:paraId="5D4610A7" w14:textId="26E5A44B" w:rsidR="007C581C" w:rsidRPr="00666B00" w:rsidRDefault="007C581C" w:rsidP="00F77A50">
      <w:pPr>
        <w:pStyle w:val="Textpoznpodarou"/>
        <w:jc w:val="both"/>
        <w:rPr>
          <w:sz w:val="16"/>
          <w:szCs w:val="16"/>
          <w:lang w:val="en-GB"/>
        </w:rPr>
      </w:pPr>
      <w:r w:rsidRPr="00666B00">
        <w:rPr>
          <w:rStyle w:val="Znakapoznpodarou"/>
          <w:sz w:val="16"/>
          <w:szCs w:val="16"/>
          <w:lang w:val="en-GB"/>
        </w:rPr>
        <w:footnoteRef/>
      </w:r>
      <w:r w:rsidRPr="00666B00">
        <w:rPr>
          <w:sz w:val="16"/>
          <w:szCs w:val="16"/>
          <w:lang w:val="en-GB"/>
        </w:rPr>
        <w:t xml:space="preserve"> </w:t>
      </w:r>
      <w:r>
        <w:rPr>
          <w:sz w:val="16"/>
          <w:szCs w:val="16"/>
          <w:lang w:val="en-GB"/>
        </w:rPr>
        <w:t>This field concentrated approximately one sixth of total industrial production in the CR in the last years</w:t>
      </w:r>
      <w:r w:rsidRPr="00666B00">
        <w:rPr>
          <w:sz w:val="16"/>
          <w:szCs w:val="16"/>
          <w:lang w:val="en-GB"/>
        </w:rPr>
        <w:t>.</w:t>
      </w:r>
    </w:p>
  </w:footnote>
  <w:footnote w:id="30">
    <w:p w14:paraId="63F9B407" w14:textId="3CF4D321" w:rsidR="007C581C" w:rsidRPr="00666B00" w:rsidRDefault="007C581C" w:rsidP="00F77A50">
      <w:pPr>
        <w:pStyle w:val="Textpoznpodarou"/>
        <w:jc w:val="both"/>
        <w:rPr>
          <w:sz w:val="16"/>
          <w:szCs w:val="16"/>
          <w:lang w:val="en-GB"/>
        </w:rPr>
      </w:pPr>
      <w:r w:rsidRPr="00666B00">
        <w:rPr>
          <w:rStyle w:val="Znakapoznpodarou"/>
          <w:sz w:val="16"/>
          <w:szCs w:val="16"/>
          <w:lang w:val="en-GB"/>
        </w:rPr>
        <w:footnoteRef/>
      </w:r>
      <w:r w:rsidRPr="00666B00">
        <w:rPr>
          <w:sz w:val="16"/>
          <w:szCs w:val="16"/>
          <w:lang w:val="en-GB"/>
        </w:rPr>
        <w:t xml:space="preserve"> </w:t>
      </w:r>
      <w:r>
        <w:rPr>
          <w:sz w:val="16"/>
          <w:szCs w:val="16"/>
          <w:lang w:val="en-GB"/>
        </w:rPr>
        <w:t xml:space="preserve">This </w:t>
      </w:r>
      <w:proofErr w:type="gramStart"/>
      <w:r>
        <w:rPr>
          <w:sz w:val="16"/>
          <w:szCs w:val="16"/>
          <w:lang w:val="en-GB"/>
        </w:rPr>
        <w:t>is also confirmed</w:t>
      </w:r>
      <w:proofErr w:type="gramEnd"/>
      <w:r>
        <w:rPr>
          <w:sz w:val="16"/>
          <w:szCs w:val="16"/>
          <w:lang w:val="en-GB"/>
        </w:rPr>
        <w:t xml:space="preserve"> by data related to the physical production. According to the date of the Automotive Industry Association, there was manufactured locally </w:t>
      </w:r>
      <w:r w:rsidRPr="00666B00">
        <w:rPr>
          <w:sz w:val="16"/>
          <w:szCs w:val="16"/>
          <w:lang w:val="en-GB"/>
        </w:rPr>
        <w:t>1</w:t>
      </w:r>
      <w:r>
        <w:rPr>
          <w:sz w:val="16"/>
          <w:szCs w:val="16"/>
          <w:lang w:val="en-GB"/>
        </w:rPr>
        <w:t>.</w:t>
      </w:r>
      <w:r w:rsidRPr="00666B00">
        <w:rPr>
          <w:sz w:val="16"/>
          <w:szCs w:val="16"/>
          <w:lang w:val="en-GB"/>
        </w:rPr>
        <w:t>105 mil</w:t>
      </w:r>
      <w:r>
        <w:rPr>
          <w:sz w:val="16"/>
          <w:szCs w:val="16"/>
          <w:lang w:val="en-GB"/>
        </w:rPr>
        <w:t xml:space="preserve"> of personal vehicles in the CR last year</w:t>
      </w:r>
      <w:r w:rsidRPr="00666B00">
        <w:rPr>
          <w:sz w:val="16"/>
          <w:szCs w:val="16"/>
          <w:lang w:val="en-GB"/>
        </w:rPr>
        <w:t>,</w:t>
      </w:r>
      <w:r>
        <w:rPr>
          <w:sz w:val="16"/>
          <w:szCs w:val="16"/>
          <w:lang w:val="en-GB"/>
        </w:rPr>
        <w:t xml:space="preserve"> which was by </w:t>
      </w:r>
      <w:r w:rsidRPr="00666B00">
        <w:rPr>
          <w:sz w:val="16"/>
          <w:szCs w:val="16"/>
          <w:lang w:val="en-GB"/>
        </w:rPr>
        <w:t xml:space="preserve">4% </w:t>
      </w:r>
      <w:r>
        <w:rPr>
          <w:sz w:val="16"/>
          <w:szCs w:val="16"/>
          <w:lang w:val="en-GB"/>
        </w:rPr>
        <w:t xml:space="preserve">less year-on-year and less compared to record year </w:t>
      </w:r>
      <w:r w:rsidRPr="00666B00">
        <w:rPr>
          <w:sz w:val="16"/>
          <w:szCs w:val="16"/>
          <w:lang w:val="en-GB"/>
        </w:rPr>
        <w:t>2018</w:t>
      </w:r>
      <w:r>
        <w:rPr>
          <w:sz w:val="16"/>
          <w:szCs w:val="16"/>
          <w:lang w:val="en-GB"/>
        </w:rPr>
        <w:t xml:space="preserve"> even by </w:t>
      </w:r>
      <w:r w:rsidRPr="00666B00">
        <w:rPr>
          <w:sz w:val="16"/>
          <w:szCs w:val="16"/>
          <w:lang w:val="en-GB"/>
        </w:rPr>
        <w:t xml:space="preserve">23%. </w:t>
      </w:r>
      <w:r>
        <w:rPr>
          <w:sz w:val="16"/>
          <w:szCs w:val="16"/>
          <w:lang w:val="en-GB"/>
        </w:rPr>
        <w:t xml:space="preserve">Only 318 </w:t>
      </w:r>
      <w:r w:rsidR="009A096C">
        <w:rPr>
          <w:sz w:val="16"/>
          <w:szCs w:val="16"/>
          <w:lang w:val="en-GB"/>
        </w:rPr>
        <w:t xml:space="preserve">thousand </w:t>
      </w:r>
      <w:r>
        <w:rPr>
          <w:sz w:val="16"/>
          <w:szCs w:val="16"/>
          <w:lang w:val="en-GB"/>
        </w:rPr>
        <w:t xml:space="preserve">manufactured motor vehicles  - i.e. only 29% of last </w:t>
      </w:r>
      <w:r w:rsidRPr="006365C6">
        <w:rPr>
          <w:sz w:val="16"/>
          <w:szCs w:val="16"/>
          <w:lang w:val="en-GB"/>
        </w:rPr>
        <w:t>year’s annual production - pertained</w:t>
      </w:r>
      <w:r>
        <w:rPr>
          <w:sz w:val="16"/>
          <w:szCs w:val="16"/>
          <w:lang w:val="en-GB"/>
        </w:rPr>
        <w:t xml:space="preserve"> to the five months of year </w:t>
      </w:r>
      <w:r w:rsidRPr="00666B00">
        <w:rPr>
          <w:sz w:val="16"/>
          <w:szCs w:val="16"/>
          <w:lang w:val="en-GB"/>
        </w:rPr>
        <w:t>2021,</w:t>
      </w:r>
      <w:r>
        <w:rPr>
          <w:sz w:val="16"/>
          <w:szCs w:val="16"/>
          <w:lang w:val="en-GB"/>
        </w:rPr>
        <w:t xml:space="preserve"> affected by the involuntary shutdowns of production or prolonged vacation leaves </w:t>
      </w:r>
      <w:r w:rsidRPr="00666B00">
        <w:rPr>
          <w:sz w:val="16"/>
          <w:szCs w:val="16"/>
          <w:lang w:val="en-GB"/>
        </w:rPr>
        <w:t>(</w:t>
      </w:r>
      <w:r>
        <w:rPr>
          <w:sz w:val="16"/>
          <w:szCs w:val="16"/>
          <w:lang w:val="en-GB"/>
        </w:rPr>
        <w:t>December and period from July till October</w:t>
      </w:r>
      <w:r w:rsidRPr="00666B00">
        <w:rPr>
          <w:sz w:val="16"/>
          <w:szCs w:val="16"/>
          <w:lang w:val="en-GB"/>
        </w:rPr>
        <w:t>)</w:t>
      </w:r>
      <w:r>
        <w:rPr>
          <w:sz w:val="16"/>
          <w:szCs w:val="16"/>
          <w:lang w:val="en-GB"/>
        </w:rPr>
        <w:t xml:space="preserve">. </w:t>
      </w:r>
    </w:p>
  </w:footnote>
  <w:footnote w:id="31">
    <w:p w14:paraId="5816D616" w14:textId="77777777" w:rsidR="00C12FCC" w:rsidRPr="0023640D" w:rsidRDefault="00C12FCC" w:rsidP="00F77A50">
      <w:pPr>
        <w:pStyle w:val="Textpoznpodarou"/>
        <w:jc w:val="both"/>
        <w:rPr>
          <w:sz w:val="16"/>
          <w:szCs w:val="16"/>
          <w:lang w:val="en-GB"/>
        </w:rPr>
      </w:pPr>
      <w:r w:rsidRPr="000345CC">
        <w:rPr>
          <w:rStyle w:val="Znakapoznpodarou"/>
          <w:sz w:val="16"/>
          <w:szCs w:val="16"/>
        </w:rPr>
        <w:footnoteRef/>
      </w:r>
      <w:r w:rsidRPr="000345CC">
        <w:rPr>
          <w:sz w:val="16"/>
          <w:szCs w:val="16"/>
        </w:rPr>
        <w:t xml:space="preserve"> </w:t>
      </w:r>
      <w:r w:rsidRPr="0023640D">
        <w:rPr>
          <w:sz w:val="16"/>
          <w:szCs w:val="16"/>
          <w:lang w:val="en-GB"/>
        </w:rPr>
        <w:t>The production slumped by one sixth for the whole year 202</w:t>
      </w:r>
      <w:r>
        <w:rPr>
          <w:sz w:val="16"/>
          <w:szCs w:val="16"/>
          <w:lang w:val="en-GB"/>
        </w:rPr>
        <w:t>1</w:t>
      </w:r>
      <w:r w:rsidRPr="0023640D">
        <w:rPr>
          <w:sz w:val="16"/>
          <w:szCs w:val="16"/>
          <w:lang w:val="en-GB"/>
        </w:rPr>
        <w:t xml:space="preserve">, i.e. the most in the comparable time series since year 2000. It </w:t>
      </w:r>
      <w:proofErr w:type="gramStart"/>
      <w:r w:rsidRPr="0023640D">
        <w:rPr>
          <w:sz w:val="16"/>
          <w:szCs w:val="16"/>
          <w:lang w:val="en-GB"/>
        </w:rPr>
        <w:t>was connected</w:t>
      </w:r>
      <w:proofErr w:type="gramEnd"/>
      <w:r w:rsidRPr="0023640D">
        <w:rPr>
          <w:sz w:val="16"/>
          <w:szCs w:val="16"/>
          <w:lang w:val="en-GB"/>
        </w:rPr>
        <w:t xml:space="preserve"> to the long-term transformation of the energetic mix of the economy, also accelerated b</w:t>
      </w:r>
      <w:r>
        <w:rPr>
          <w:sz w:val="16"/>
          <w:szCs w:val="16"/>
          <w:lang w:val="en-GB"/>
        </w:rPr>
        <w:t>y</w:t>
      </w:r>
      <w:r w:rsidRPr="0023640D">
        <w:rPr>
          <w:sz w:val="16"/>
          <w:szCs w:val="16"/>
          <w:lang w:val="en-GB"/>
        </w:rPr>
        <w:t xml:space="preserve"> the swift growth of prices of emission allowances. </w:t>
      </w:r>
    </w:p>
  </w:footnote>
  <w:footnote w:id="32">
    <w:p w14:paraId="7F1FF283" w14:textId="2FE994E4" w:rsidR="00C12FCC" w:rsidRPr="00C02B16" w:rsidRDefault="00C12FCC" w:rsidP="0023640D">
      <w:pPr>
        <w:pStyle w:val="Textpoznpodarou"/>
        <w:jc w:val="both"/>
        <w:rPr>
          <w:spacing w:val="-2"/>
          <w:sz w:val="16"/>
          <w:szCs w:val="16"/>
          <w:lang w:val="en-GB"/>
        </w:rPr>
      </w:pPr>
      <w:r w:rsidRPr="00C02B16">
        <w:rPr>
          <w:rStyle w:val="Znakapoznpodarou"/>
          <w:spacing w:val="-2"/>
          <w:sz w:val="16"/>
          <w:szCs w:val="16"/>
          <w:lang w:val="en-GB"/>
        </w:rPr>
        <w:footnoteRef/>
      </w:r>
      <w:r w:rsidRPr="00C02B16">
        <w:rPr>
          <w:spacing w:val="-2"/>
          <w:sz w:val="16"/>
          <w:szCs w:val="16"/>
          <w:lang w:val="en-GB"/>
        </w:rPr>
        <w:t xml:space="preserve"> </w:t>
      </w:r>
      <w:r w:rsidRPr="00AA7871">
        <w:rPr>
          <w:rFonts w:cs="Arial"/>
          <w:color w:val="0D0D0D" w:themeColor="text1" w:themeTint="F2"/>
          <w:spacing w:val="-3"/>
          <w:sz w:val="16"/>
          <w:szCs w:val="16"/>
          <w:lang w:val="en-GB"/>
        </w:rPr>
        <w:t>According to the preliminary data of the Energy Regulatory Office of the CR, the total gross electricity production reached 8</w:t>
      </w:r>
      <w:r>
        <w:rPr>
          <w:rFonts w:cs="Arial"/>
          <w:color w:val="0D0D0D" w:themeColor="text1" w:themeTint="F2"/>
          <w:spacing w:val="-3"/>
          <w:sz w:val="16"/>
          <w:szCs w:val="16"/>
          <w:lang w:val="en-GB"/>
        </w:rPr>
        <w:t>4</w:t>
      </w:r>
      <w:proofErr w:type="gramStart"/>
      <w:r>
        <w:rPr>
          <w:rFonts w:cs="Arial"/>
          <w:color w:val="0D0D0D" w:themeColor="text1" w:themeTint="F2"/>
          <w:spacing w:val="-3"/>
          <w:sz w:val="16"/>
          <w:szCs w:val="16"/>
          <w:lang w:val="en-GB"/>
        </w:rPr>
        <w:t>,9</w:t>
      </w:r>
      <w:proofErr w:type="gramEnd"/>
      <w:r>
        <w:rPr>
          <w:rFonts w:cs="Arial"/>
          <w:color w:val="0D0D0D" w:themeColor="text1" w:themeTint="F2"/>
          <w:spacing w:val="-3"/>
          <w:sz w:val="16"/>
          <w:szCs w:val="16"/>
          <w:lang w:val="en-GB"/>
        </w:rPr>
        <w:t xml:space="preserve"> TWh last year and increased by 4.2% year-on-year (it however dropped by 6.4% in year 2020)</w:t>
      </w:r>
      <w:r w:rsidRPr="00AA7871">
        <w:rPr>
          <w:rFonts w:cs="Arial"/>
          <w:color w:val="0D0D0D" w:themeColor="text1" w:themeTint="F2"/>
          <w:spacing w:val="-3"/>
          <w:sz w:val="16"/>
          <w:szCs w:val="16"/>
          <w:lang w:val="en-GB"/>
        </w:rPr>
        <w:t xml:space="preserve">. </w:t>
      </w:r>
      <w:r>
        <w:rPr>
          <w:spacing w:val="-2"/>
          <w:sz w:val="16"/>
          <w:szCs w:val="16"/>
          <w:lang w:val="en-GB"/>
        </w:rPr>
        <w:t xml:space="preserve">The gross domestic electricity consumption also slightly lagged behind the level from year 2019 last year, when it arrived at </w:t>
      </w:r>
      <w:r w:rsidRPr="00C02B16">
        <w:rPr>
          <w:spacing w:val="-2"/>
          <w:sz w:val="16"/>
          <w:szCs w:val="16"/>
          <w:lang w:val="en-GB"/>
        </w:rPr>
        <w:t>73</w:t>
      </w:r>
      <w:r>
        <w:rPr>
          <w:spacing w:val="-2"/>
          <w:sz w:val="16"/>
          <w:szCs w:val="16"/>
          <w:lang w:val="en-GB"/>
        </w:rPr>
        <w:t>.</w:t>
      </w:r>
      <w:r w:rsidRPr="00C02B16">
        <w:rPr>
          <w:spacing w:val="-2"/>
          <w:sz w:val="16"/>
          <w:szCs w:val="16"/>
          <w:lang w:val="en-GB"/>
        </w:rPr>
        <w:t>7 TWh a</w:t>
      </w:r>
      <w:r>
        <w:rPr>
          <w:spacing w:val="-2"/>
          <w:sz w:val="16"/>
          <w:szCs w:val="16"/>
          <w:lang w:val="en-GB"/>
        </w:rPr>
        <w:t xml:space="preserve">nd increased by </w:t>
      </w:r>
      <w:r w:rsidRPr="00C02B16">
        <w:rPr>
          <w:spacing w:val="-2"/>
          <w:sz w:val="16"/>
          <w:szCs w:val="16"/>
          <w:lang w:val="en-GB"/>
        </w:rPr>
        <w:t>3</w:t>
      </w:r>
      <w:r>
        <w:rPr>
          <w:spacing w:val="-2"/>
          <w:sz w:val="16"/>
          <w:szCs w:val="16"/>
          <w:lang w:val="en-GB"/>
        </w:rPr>
        <w:t>.</w:t>
      </w:r>
      <w:r w:rsidRPr="00C02B16">
        <w:rPr>
          <w:spacing w:val="-2"/>
          <w:sz w:val="16"/>
          <w:szCs w:val="16"/>
          <w:lang w:val="en-GB"/>
        </w:rPr>
        <w:t>2%</w:t>
      </w:r>
      <w:r>
        <w:rPr>
          <w:spacing w:val="-2"/>
          <w:sz w:val="16"/>
          <w:szCs w:val="16"/>
          <w:lang w:val="en-GB"/>
        </w:rPr>
        <w:t xml:space="preserve"> year-on-year</w:t>
      </w:r>
      <w:r w:rsidRPr="00C02B16">
        <w:rPr>
          <w:spacing w:val="-2"/>
          <w:sz w:val="16"/>
          <w:szCs w:val="16"/>
          <w:lang w:val="en-GB"/>
        </w:rPr>
        <w:t xml:space="preserve">. </w:t>
      </w:r>
      <w:r>
        <w:rPr>
          <w:spacing w:val="-2"/>
          <w:sz w:val="16"/>
          <w:szCs w:val="16"/>
          <w:lang w:val="en-GB"/>
        </w:rPr>
        <w:t xml:space="preserve">Households </w:t>
      </w:r>
      <w:r w:rsidRPr="00C02B16">
        <w:rPr>
          <w:spacing w:val="-2"/>
          <w:sz w:val="16"/>
          <w:szCs w:val="16"/>
          <w:lang w:val="en-GB"/>
        </w:rPr>
        <w:t>(+8</w:t>
      </w:r>
      <w:r>
        <w:rPr>
          <w:spacing w:val="-2"/>
          <w:sz w:val="16"/>
          <w:szCs w:val="16"/>
          <w:lang w:val="en-GB"/>
        </w:rPr>
        <w:t>.</w:t>
      </w:r>
      <w:r w:rsidRPr="00C02B16">
        <w:rPr>
          <w:spacing w:val="-2"/>
          <w:sz w:val="16"/>
          <w:szCs w:val="16"/>
          <w:lang w:val="en-GB"/>
        </w:rPr>
        <w:t>1%) a</w:t>
      </w:r>
      <w:r>
        <w:rPr>
          <w:spacing w:val="-2"/>
          <w:sz w:val="16"/>
          <w:szCs w:val="16"/>
          <w:lang w:val="en-GB"/>
        </w:rPr>
        <w:t xml:space="preserve">nd wholesale customers within businesses </w:t>
      </w:r>
      <w:r w:rsidRPr="00C02B16">
        <w:rPr>
          <w:spacing w:val="-2"/>
          <w:sz w:val="16"/>
          <w:szCs w:val="16"/>
          <w:lang w:val="en-GB"/>
        </w:rPr>
        <w:t>(+4</w:t>
      </w:r>
      <w:r>
        <w:rPr>
          <w:spacing w:val="-2"/>
          <w:sz w:val="16"/>
          <w:szCs w:val="16"/>
          <w:lang w:val="en-GB"/>
        </w:rPr>
        <w:t>.</w:t>
      </w:r>
      <w:r w:rsidRPr="00C02B16">
        <w:rPr>
          <w:spacing w:val="-2"/>
          <w:sz w:val="16"/>
          <w:szCs w:val="16"/>
          <w:lang w:val="en-GB"/>
        </w:rPr>
        <w:t>4%)</w:t>
      </w:r>
      <w:r>
        <w:rPr>
          <w:spacing w:val="-2"/>
          <w:sz w:val="16"/>
          <w:szCs w:val="16"/>
          <w:lang w:val="en-GB"/>
        </w:rPr>
        <w:t xml:space="preserve"> played a key role</w:t>
      </w:r>
      <w:r w:rsidRPr="00C02B16">
        <w:rPr>
          <w:spacing w:val="-2"/>
          <w:sz w:val="16"/>
          <w:szCs w:val="16"/>
          <w:lang w:val="en-GB"/>
        </w:rPr>
        <w:t xml:space="preserve">. </w:t>
      </w:r>
      <w:r>
        <w:rPr>
          <w:spacing w:val="-2"/>
          <w:sz w:val="16"/>
          <w:szCs w:val="16"/>
          <w:lang w:val="en-GB"/>
        </w:rPr>
        <w:t xml:space="preserve">By </w:t>
      </w:r>
      <w:proofErr w:type="gramStart"/>
      <w:r>
        <w:rPr>
          <w:spacing w:val="-2"/>
          <w:sz w:val="16"/>
          <w:szCs w:val="16"/>
          <w:lang w:val="en-GB"/>
        </w:rPr>
        <w:t>contrast</w:t>
      </w:r>
      <w:proofErr w:type="gramEnd"/>
      <w:r>
        <w:rPr>
          <w:spacing w:val="-2"/>
          <w:sz w:val="16"/>
          <w:szCs w:val="16"/>
          <w:lang w:val="en-GB"/>
        </w:rPr>
        <w:t xml:space="preserve"> retail consumers from the ranks of entrepreneurs consumed by 0.9% less year-on-year, by 3.4% for the two years. The total consumption of gas increased by 8.5% year-on-year in the CR last year, after taking into account the effect of the colder weather, the growth of the consumption was </w:t>
      </w:r>
      <w:r w:rsidRPr="00C02B16">
        <w:rPr>
          <w:spacing w:val="-2"/>
          <w:sz w:val="16"/>
          <w:szCs w:val="16"/>
          <w:lang w:val="en-GB"/>
        </w:rPr>
        <w:t>(</w:t>
      </w:r>
      <w:r>
        <w:rPr>
          <w:spacing w:val="-2"/>
          <w:sz w:val="16"/>
          <w:szCs w:val="16"/>
          <w:lang w:val="en-GB"/>
        </w:rPr>
        <w:t>after adjustment for thermal standard) only 3.5%.</w:t>
      </w:r>
      <w:r w:rsidRPr="00C02B16">
        <w:rPr>
          <w:spacing w:val="-2"/>
          <w:sz w:val="16"/>
          <w:szCs w:val="16"/>
          <w:lang w:val="en-GB"/>
        </w:rPr>
        <w:t xml:space="preserve"> </w:t>
      </w:r>
      <w:r>
        <w:rPr>
          <w:spacing w:val="-2"/>
          <w:sz w:val="16"/>
          <w:szCs w:val="16"/>
          <w:lang w:val="en-GB"/>
        </w:rPr>
        <w:t xml:space="preserve">In year </w:t>
      </w:r>
      <w:r w:rsidRPr="00C02B16">
        <w:rPr>
          <w:spacing w:val="-2"/>
          <w:sz w:val="16"/>
          <w:szCs w:val="16"/>
          <w:lang w:val="en-GB"/>
        </w:rPr>
        <w:t>2020</w:t>
      </w:r>
      <w:r>
        <w:rPr>
          <w:spacing w:val="-2"/>
          <w:sz w:val="16"/>
          <w:szCs w:val="16"/>
          <w:lang w:val="en-GB"/>
        </w:rPr>
        <w:t xml:space="preserve">, the recalculated consumption fell by 0.5% also due to the decrease of economic activity. </w:t>
      </w:r>
    </w:p>
  </w:footnote>
  <w:footnote w:id="33">
    <w:p w14:paraId="0A1BF7AC" w14:textId="48BA99DA" w:rsidR="00C12FCC" w:rsidRPr="000110E8" w:rsidRDefault="00C12FCC" w:rsidP="00F77A50">
      <w:pPr>
        <w:pStyle w:val="Textpoznpodarou"/>
        <w:jc w:val="both"/>
        <w:rPr>
          <w:sz w:val="16"/>
          <w:szCs w:val="16"/>
          <w:lang w:val="en-GB"/>
        </w:rPr>
      </w:pPr>
      <w:r w:rsidRPr="000345CC">
        <w:rPr>
          <w:rStyle w:val="Znakapoznpodarou"/>
          <w:sz w:val="16"/>
          <w:szCs w:val="16"/>
        </w:rPr>
        <w:footnoteRef/>
      </w:r>
      <w:r w:rsidRPr="000345CC">
        <w:rPr>
          <w:sz w:val="16"/>
          <w:szCs w:val="16"/>
        </w:rPr>
        <w:t xml:space="preserve"> </w:t>
      </w:r>
      <w:r w:rsidRPr="000110E8">
        <w:rPr>
          <w:sz w:val="16"/>
          <w:szCs w:val="16"/>
          <w:lang w:val="en-GB"/>
        </w:rPr>
        <w:t xml:space="preserve">Year-on-year rates of growth of sales </w:t>
      </w:r>
      <w:proofErr w:type="gramStart"/>
      <w:r w:rsidRPr="000110E8">
        <w:rPr>
          <w:sz w:val="16"/>
          <w:szCs w:val="16"/>
          <w:lang w:val="en-GB"/>
        </w:rPr>
        <w:t>are adjusted</w:t>
      </w:r>
      <w:proofErr w:type="gramEnd"/>
      <w:r w:rsidRPr="000110E8">
        <w:rPr>
          <w:sz w:val="16"/>
          <w:szCs w:val="16"/>
          <w:lang w:val="en-GB"/>
        </w:rPr>
        <w:t xml:space="preserve"> for calendar effects. </w:t>
      </w:r>
    </w:p>
  </w:footnote>
  <w:footnote w:id="34">
    <w:p w14:paraId="2E26B4FB" w14:textId="77777777" w:rsidR="00C12FCC" w:rsidRPr="000110E8" w:rsidRDefault="00C12FCC" w:rsidP="000110E8">
      <w:pPr>
        <w:pStyle w:val="Textpoznpodarou"/>
        <w:jc w:val="both"/>
        <w:rPr>
          <w:rFonts w:cs="Arial"/>
          <w:color w:val="0D0D0D" w:themeColor="text1" w:themeTint="F2"/>
          <w:spacing w:val="-2"/>
          <w:sz w:val="16"/>
          <w:szCs w:val="16"/>
          <w:lang w:val="en-GB"/>
        </w:rPr>
      </w:pPr>
      <w:r w:rsidRPr="000110E8">
        <w:rPr>
          <w:rStyle w:val="Znakapoznpodarou"/>
          <w:rFonts w:cs="Arial"/>
          <w:color w:val="0D0D0D" w:themeColor="text1" w:themeTint="F2"/>
          <w:spacing w:val="-2"/>
          <w:sz w:val="16"/>
          <w:szCs w:val="16"/>
          <w:lang w:val="en-GB"/>
        </w:rPr>
        <w:footnoteRef/>
      </w:r>
      <w:r w:rsidRPr="000110E8">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of orders is ongoing only in </w:t>
      </w:r>
      <w:r w:rsidRPr="000110E8">
        <w:rPr>
          <w:rFonts w:cs="Arial"/>
          <w:color w:val="0D0D0D" w:themeColor="text1" w:themeTint="F2"/>
          <w:sz w:val="16"/>
          <w:szCs w:val="16"/>
          <w:lang w:val="en-GB"/>
        </w:rPr>
        <w:t>12 </w:t>
      </w:r>
      <w:r>
        <w:rPr>
          <w:rFonts w:cs="Arial"/>
          <w:color w:val="0D0D0D" w:themeColor="text1" w:themeTint="F2"/>
          <w:sz w:val="16"/>
          <w:szCs w:val="16"/>
          <w:lang w:val="en-GB"/>
        </w:rPr>
        <w:t xml:space="preserve">manufacturing branches producing mostly custom-made products, with longer production cycle and larger stocks of orders. Year-on-year growth rates of orders </w:t>
      </w:r>
      <w:proofErr w:type="gramStart"/>
      <w:r>
        <w:rPr>
          <w:rFonts w:cs="Arial"/>
          <w:color w:val="0D0D0D" w:themeColor="text1" w:themeTint="F2"/>
          <w:sz w:val="16"/>
          <w:szCs w:val="16"/>
          <w:lang w:val="en-GB"/>
        </w:rPr>
        <w:t>are adjusted</w:t>
      </w:r>
      <w:proofErr w:type="gramEnd"/>
      <w:r>
        <w:rPr>
          <w:rFonts w:cs="Arial"/>
          <w:color w:val="0D0D0D" w:themeColor="text1" w:themeTint="F2"/>
          <w:sz w:val="16"/>
          <w:szCs w:val="16"/>
          <w:lang w:val="en-GB"/>
        </w:rPr>
        <w:t xml:space="preserve"> for calendar effects.</w:t>
      </w:r>
    </w:p>
  </w:footnote>
  <w:footnote w:id="35">
    <w:p w14:paraId="1DF9BB68" w14:textId="77777777" w:rsidR="00C12FCC" w:rsidRPr="007C7C8E" w:rsidRDefault="00C12FCC" w:rsidP="00F77A50">
      <w:pPr>
        <w:pStyle w:val="Textpoznpodarou"/>
        <w:jc w:val="both"/>
        <w:rPr>
          <w:sz w:val="16"/>
          <w:szCs w:val="16"/>
          <w:lang w:val="en-GB"/>
        </w:rPr>
      </w:pPr>
      <w:r w:rsidRPr="000110E8">
        <w:rPr>
          <w:rStyle w:val="Znakapoznpodarou"/>
          <w:sz w:val="16"/>
          <w:szCs w:val="16"/>
          <w:lang w:val="en-GB"/>
        </w:rPr>
        <w:footnoteRef/>
      </w:r>
      <w:r w:rsidRPr="000110E8">
        <w:rPr>
          <w:sz w:val="16"/>
          <w:szCs w:val="16"/>
          <w:lang w:val="en-GB"/>
        </w:rPr>
        <w:t xml:space="preserve"> </w:t>
      </w:r>
      <w:r>
        <w:rPr>
          <w:sz w:val="16"/>
          <w:szCs w:val="16"/>
          <w:lang w:val="en-GB"/>
        </w:rPr>
        <w:t xml:space="preserve">Largest utilisation of capacities had among the bigger industrial branches the manufacturing of construction materials or rubber and plastic products </w:t>
      </w:r>
      <w:r w:rsidRPr="000110E8">
        <w:rPr>
          <w:sz w:val="16"/>
          <w:szCs w:val="16"/>
          <w:lang w:val="en-GB"/>
        </w:rPr>
        <w:t>(s</w:t>
      </w:r>
      <w:r>
        <w:rPr>
          <w:sz w:val="16"/>
          <w:szCs w:val="16"/>
          <w:lang w:val="en-GB"/>
        </w:rPr>
        <w:t xml:space="preserve">imilarly </w:t>
      </w:r>
      <w:r w:rsidRPr="000110E8">
        <w:rPr>
          <w:sz w:val="16"/>
          <w:szCs w:val="16"/>
          <w:lang w:val="en-GB"/>
        </w:rPr>
        <w:t xml:space="preserve">90%) </w:t>
      </w:r>
      <w:proofErr w:type="gramStart"/>
      <w:r w:rsidRPr="000110E8">
        <w:rPr>
          <w:sz w:val="16"/>
          <w:szCs w:val="16"/>
          <w:lang w:val="en-GB"/>
        </w:rPr>
        <w:t>a</w:t>
      </w:r>
      <w:r>
        <w:rPr>
          <w:sz w:val="16"/>
          <w:szCs w:val="16"/>
          <w:lang w:val="en-GB"/>
        </w:rPr>
        <w:t>nd also</w:t>
      </w:r>
      <w:proofErr w:type="gramEnd"/>
      <w:r>
        <w:rPr>
          <w:sz w:val="16"/>
          <w:szCs w:val="16"/>
          <w:lang w:val="en-GB"/>
        </w:rPr>
        <w:t xml:space="preserve"> the chemical industry </w:t>
      </w:r>
      <w:r w:rsidRPr="000110E8">
        <w:rPr>
          <w:sz w:val="16"/>
          <w:szCs w:val="16"/>
          <w:lang w:val="en-GB"/>
        </w:rPr>
        <w:t>(84%)</w:t>
      </w:r>
      <w:r>
        <w:rPr>
          <w:sz w:val="16"/>
          <w:szCs w:val="16"/>
          <w:lang w:val="en-GB"/>
        </w:rPr>
        <w:t xml:space="preserve"> at the beginning of year 2022</w:t>
      </w:r>
      <w:r w:rsidRPr="000110E8">
        <w:rPr>
          <w:sz w:val="16"/>
          <w:szCs w:val="16"/>
          <w:lang w:val="en-GB"/>
        </w:rPr>
        <w:t xml:space="preserve">. </w:t>
      </w:r>
      <w:r>
        <w:rPr>
          <w:sz w:val="16"/>
          <w:szCs w:val="16"/>
          <w:lang w:val="en-GB"/>
        </w:rPr>
        <w:t xml:space="preserve">Among smaller branches it was then analogically e.g. manufacturing of </w:t>
      </w:r>
      <w:r w:rsidRPr="007C7C8E">
        <w:rPr>
          <w:sz w:val="16"/>
          <w:szCs w:val="16"/>
          <w:lang w:val="en-GB"/>
        </w:rPr>
        <w:t>furniture (92%), wood industry (93%) and manufacturing of paper product</w:t>
      </w:r>
      <w:r>
        <w:rPr>
          <w:sz w:val="16"/>
          <w:szCs w:val="16"/>
          <w:lang w:val="en-GB"/>
        </w:rPr>
        <w:t>s</w:t>
      </w:r>
      <w:r w:rsidRPr="007C7C8E">
        <w:rPr>
          <w:sz w:val="16"/>
          <w:szCs w:val="16"/>
          <w:lang w:val="en-GB"/>
        </w:rPr>
        <w:t xml:space="preserve"> (89%) or pharmaceutical products (87%). On the contrary, the manufacturers of beverages displayed the least utilised production capacities (67%), where this value </w:t>
      </w:r>
      <w:r>
        <w:rPr>
          <w:sz w:val="16"/>
          <w:szCs w:val="16"/>
          <w:lang w:val="en-GB"/>
        </w:rPr>
        <w:t xml:space="preserve">also </w:t>
      </w:r>
      <w:r w:rsidRPr="007C7C8E">
        <w:rPr>
          <w:sz w:val="16"/>
          <w:szCs w:val="16"/>
          <w:lang w:val="en-GB"/>
        </w:rPr>
        <w:t xml:space="preserve">considerably fell behind the long-term average. </w:t>
      </w:r>
    </w:p>
  </w:footnote>
  <w:footnote w:id="36">
    <w:p w14:paraId="32F82C47" w14:textId="24E6D86B" w:rsidR="00C12FCC" w:rsidRPr="007C7C8E" w:rsidRDefault="00C12FCC" w:rsidP="00507032">
      <w:pPr>
        <w:pStyle w:val="Textpoznpodarou"/>
        <w:jc w:val="both"/>
        <w:rPr>
          <w:sz w:val="16"/>
          <w:szCs w:val="16"/>
          <w:lang w:val="en-GB"/>
        </w:rPr>
      </w:pPr>
      <w:r w:rsidRPr="007C7C8E">
        <w:rPr>
          <w:rStyle w:val="Znakapoznpodarou"/>
          <w:sz w:val="16"/>
          <w:szCs w:val="16"/>
          <w:lang w:val="en-GB"/>
        </w:rPr>
        <w:footnoteRef/>
      </w:r>
      <w:r w:rsidRPr="007C7C8E">
        <w:rPr>
          <w:sz w:val="16"/>
          <w:szCs w:val="16"/>
          <w:lang w:val="en-GB"/>
        </w:rPr>
        <w:t xml:space="preserve"> Businesses could have stated more barriers simultaneously. </w:t>
      </w:r>
    </w:p>
  </w:footnote>
  <w:footnote w:id="37">
    <w:p w14:paraId="75C76553" w14:textId="47DC43FC" w:rsidR="00C12FCC" w:rsidRPr="00331A9D" w:rsidRDefault="00C12FCC" w:rsidP="00507032">
      <w:pPr>
        <w:pStyle w:val="Textpoznpodarou"/>
        <w:jc w:val="both"/>
        <w:rPr>
          <w:sz w:val="16"/>
          <w:szCs w:val="16"/>
        </w:rPr>
      </w:pPr>
      <w:r w:rsidRPr="007C7C8E">
        <w:rPr>
          <w:rStyle w:val="Znakapoznpodarou"/>
          <w:sz w:val="16"/>
          <w:szCs w:val="16"/>
          <w:lang w:val="en-GB"/>
        </w:rPr>
        <w:footnoteRef/>
      </w:r>
      <w:r w:rsidRPr="007C7C8E">
        <w:rPr>
          <w:sz w:val="16"/>
          <w:szCs w:val="16"/>
          <w:lang w:val="en-GB"/>
        </w:rPr>
        <w:t xml:space="preserve"> For instance the budget of the State Fund for Transport Infrastructure calculated (based on the first approved version of the state budget) with investment transfers from the state budget in record size of 80.4 CZK bn in year 2021.</w:t>
      </w:r>
      <w:r>
        <w:rPr>
          <w:sz w:val="16"/>
          <w:szCs w:val="16"/>
        </w:rPr>
        <w:t xml:space="preserve"> </w:t>
      </w:r>
    </w:p>
  </w:footnote>
  <w:footnote w:id="38">
    <w:p w14:paraId="7D871091" w14:textId="388B3CA1" w:rsidR="00C12FCC" w:rsidRPr="0000031A" w:rsidRDefault="00C12FCC" w:rsidP="00507032">
      <w:pPr>
        <w:pStyle w:val="Textpoznpodarou"/>
        <w:jc w:val="both"/>
        <w:rPr>
          <w:spacing w:val="-2"/>
          <w:sz w:val="16"/>
          <w:szCs w:val="16"/>
          <w:lang w:val="en-GB"/>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00031A">
        <w:rPr>
          <w:rFonts w:cs="Arial"/>
          <w:color w:val="0D0D0D" w:themeColor="text1" w:themeTint="F2"/>
          <w:spacing w:val="-2"/>
          <w:sz w:val="16"/>
          <w:szCs w:val="16"/>
          <w:lang w:val="en-GB"/>
        </w:rPr>
        <w:t>Data regarding the construction output are in constant prices, year-on</w:t>
      </w:r>
      <w:r>
        <w:rPr>
          <w:rFonts w:cs="Arial"/>
          <w:color w:val="0D0D0D" w:themeColor="text1" w:themeTint="F2"/>
          <w:spacing w:val="-2"/>
          <w:sz w:val="16"/>
          <w:szCs w:val="16"/>
          <w:lang w:val="en-GB"/>
        </w:rPr>
        <w:t>-year</w:t>
      </w:r>
      <w:r w:rsidRPr="0000031A">
        <w:rPr>
          <w:rFonts w:cs="Arial"/>
          <w:color w:val="0D0D0D" w:themeColor="text1" w:themeTint="F2"/>
          <w:spacing w:val="-2"/>
          <w:sz w:val="16"/>
          <w:szCs w:val="16"/>
          <w:lang w:val="en-GB"/>
        </w:rPr>
        <w:t xml:space="preserve"> rates of growth </w:t>
      </w:r>
      <w:proofErr w:type="gramStart"/>
      <w:r w:rsidRPr="0000031A">
        <w:rPr>
          <w:rFonts w:cs="Arial"/>
          <w:color w:val="0D0D0D" w:themeColor="text1" w:themeTint="F2"/>
          <w:spacing w:val="-2"/>
          <w:sz w:val="16"/>
          <w:szCs w:val="16"/>
          <w:lang w:val="en-GB"/>
        </w:rPr>
        <w:t>are adjusted</w:t>
      </w:r>
      <w:proofErr w:type="gramEnd"/>
      <w:r w:rsidRPr="0000031A">
        <w:rPr>
          <w:rFonts w:cs="Arial"/>
          <w:color w:val="0D0D0D" w:themeColor="text1" w:themeTint="F2"/>
          <w:spacing w:val="-2"/>
          <w:sz w:val="16"/>
          <w:szCs w:val="16"/>
          <w:lang w:val="en-GB"/>
        </w:rPr>
        <w:t xml:space="preserve"> for calendar effects, quarter-on-quarter then also for seasonal effect. </w:t>
      </w:r>
    </w:p>
  </w:footnote>
  <w:footnote w:id="39">
    <w:p w14:paraId="41938EC6" w14:textId="784A08E2" w:rsidR="00C12FCC" w:rsidRPr="004D42F8" w:rsidRDefault="00C12FCC" w:rsidP="00F77A50">
      <w:pPr>
        <w:pStyle w:val="Textpoznpodarou"/>
        <w:jc w:val="both"/>
        <w:rPr>
          <w:sz w:val="16"/>
          <w:szCs w:val="16"/>
          <w:lang w:val="en-GB"/>
        </w:rPr>
      </w:pPr>
      <w:r w:rsidRPr="00784ECC">
        <w:rPr>
          <w:rStyle w:val="Znakapoznpodarou"/>
          <w:sz w:val="16"/>
          <w:szCs w:val="16"/>
        </w:rPr>
        <w:footnoteRef/>
      </w:r>
      <w:r w:rsidRPr="00784ECC">
        <w:rPr>
          <w:sz w:val="16"/>
          <w:szCs w:val="16"/>
        </w:rPr>
        <w:t xml:space="preserve"> </w:t>
      </w:r>
      <w:r w:rsidRPr="004D42F8">
        <w:rPr>
          <w:sz w:val="16"/>
          <w:szCs w:val="16"/>
          <w:lang w:val="en-GB"/>
        </w:rPr>
        <w:t>Already 55% of entrepreneurs in construction expected continuing growth of the sale prices in the ne</w:t>
      </w:r>
      <w:r>
        <w:rPr>
          <w:sz w:val="16"/>
          <w:szCs w:val="16"/>
          <w:lang w:val="en-GB"/>
        </w:rPr>
        <w:t>x</w:t>
      </w:r>
      <w:r w:rsidRPr="004D42F8">
        <w:rPr>
          <w:sz w:val="16"/>
          <w:szCs w:val="16"/>
          <w:lang w:val="en-GB"/>
        </w:rPr>
        <w:t>t three months in February 2022.  It was negligibly more than in the so far record year 2008.</w:t>
      </w:r>
    </w:p>
  </w:footnote>
  <w:footnote w:id="40">
    <w:p w14:paraId="54D924C2" w14:textId="0075530B" w:rsidR="00C12FCC" w:rsidRPr="004D42F8" w:rsidRDefault="00C12FCC" w:rsidP="00F77A50">
      <w:pPr>
        <w:spacing w:after="0" w:line="240" w:lineRule="auto"/>
        <w:rPr>
          <w:lang w:val="en-GB"/>
        </w:rPr>
      </w:pPr>
      <w:r w:rsidRPr="004D42F8">
        <w:rPr>
          <w:rStyle w:val="Znakapoznpodarou"/>
          <w:color w:val="0D0D0D" w:themeColor="text1" w:themeTint="F2"/>
          <w:sz w:val="16"/>
          <w:szCs w:val="16"/>
          <w:lang w:val="en-GB"/>
        </w:rPr>
        <w:footnoteRef/>
      </w:r>
      <w:r w:rsidRPr="004D42F8">
        <w:rPr>
          <w:color w:val="0D0D0D" w:themeColor="text1" w:themeTint="F2"/>
          <w:sz w:val="16"/>
          <w:szCs w:val="16"/>
          <w:lang w:val="en-GB"/>
        </w:rPr>
        <w:t xml:space="preserve"> </w:t>
      </w:r>
      <w:r>
        <w:rPr>
          <w:color w:val="0D0D0D" w:themeColor="text1" w:themeTint="F2"/>
          <w:sz w:val="16"/>
          <w:szCs w:val="16"/>
          <w:lang w:val="en-GB"/>
        </w:rPr>
        <w:t xml:space="preserve">Without trade, financial industry, insurance industry, science, research and public services. All figures for services are in constant prices, year-on-year data </w:t>
      </w:r>
      <w:proofErr w:type="gramStart"/>
      <w:r>
        <w:rPr>
          <w:color w:val="0D0D0D" w:themeColor="text1" w:themeTint="F2"/>
          <w:sz w:val="16"/>
          <w:szCs w:val="16"/>
          <w:lang w:val="en-GB"/>
        </w:rPr>
        <w:t>are adjusted</w:t>
      </w:r>
      <w:proofErr w:type="gramEnd"/>
      <w:r>
        <w:rPr>
          <w:color w:val="0D0D0D" w:themeColor="text1" w:themeTint="F2"/>
          <w:sz w:val="16"/>
          <w:szCs w:val="16"/>
          <w:lang w:val="en-GB"/>
        </w:rPr>
        <w:t xml:space="preserve"> for calendar effects, quarter-on-quarter data are seasonally adjusted (including the effect of number of working days).</w:t>
      </w:r>
    </w:p>
  </w:footnote>
  <w:footnote w:id="41">
    <w:p w14:paraId="296416B9" w14:textId="43C371B6" w:rsidR="00C12FCC" w:rsidRPr="00A1040E" w:rsidRDefault="00C12FCC" w:rsidP="006F2992">
      <w:pPr>
        <w:spacing w:after="0" w:line="240" w:lineRule="auto"/>
        <w:rPr>
          <w:rFonts w:cs="Arial"/>
          <w:bCs/>
          <w:spacing w:val="-2"/>
          <w:sz w:val="16"/>
          <w:szCs w:val="16"/>
          <w:lang w:val="en-GB"/>
        </w:rPr>
      </w:pPr>
      <w:r w:rsidRPr="004D42F8">
        <w:rPr>
          <w:rStyle w:val="Znakapoznpodarou"/>
          <w:sz w:val="16"/>
          <w:szCs w:val="16"/>
          <w:lang w:val="en-GB"/>
        </w:rPr>
        <w:footnoteRef/>
      </w:r>
      <w:r w:rsidRPr="004D42F8">
        <w:rPr>
          <w:sz w:val="16"/>
          <w:szCs w:val="16"/>
          <w:lang w:val="en-GB"/>
        </w:rPr>
        <w:t xml:space="preserve"> </w:t>
      </w:r>
      <w:proofErr w:type="gramStart"/>
      <w:r>
        <w:rPr>
          <w:sz w:val="16"/>
          <w:szCs w:val="16"/>
          <w:lang w:val="en-GB"/>
        </w:rPr>
        <w:t>11.4</w:t>
      </w:r>
      <w:proofErr w:type="gramEnd"/>
      <w:r>
        <w:rPr>
          <w:sz w:val="16"/>
          <w:szCs w:val="16"/>
          <w:lang w:val="en-GB"/>
        </w:rPr>
        <w:t xml:space="preserve"> mil of visitors arrived at the mass accommodation facilities in the CR in year 2021. </w:t>
      </w:r>
      <w:r w:rsidRPr="00606EF7">
        <w:rPr>
          <w:color w:val="0D0D0D" w:themeColor="text1" w:themeTint="F2"/>
          <w:spacing w:val="-3"/>
          <w:sz w:val="16"/>
          <w:szCs w:val="16"/>
          <w:lang w:val="en-GB"/>
        </w:rPr>
        <w:t xml:space="preserve">The number of </w:t>
      </w:r>
      <w:r>
        <w:rPr>
          <w:color w:val="0D0D0D" w:themeColor="text1" w:themeTint="F2"/>
          <w:spacing w:val="-3"/>
          <w:sz w:val="16"/>
          <w:szCs w:val="16"/>
          <w:lang w:val="en-GB"/>
        </w:rPr>
        <w:t xml:space="preserve">their </w:t>
      </w:r>
      <w:r w:rsidRPr="00606EF7">
        <w:rPr>
          <w:color w:val="0D0D0D" w:themeColor="text1" w:themeTint="F2"/>
          <w:spacing w:val="-3"/>
          <w:sz w:val="16"/>
          <w:szCs w:val="16"/>
          <w:lang w:val="en-GB"/>
        </w:rPr>
        <w:t xml:space="preserve">overnight stays </w:t>
      </w:r>
      <w:r>
        <w:rPr>
          <w:color w:val="0D0D0D" w:themeColor="text1" w:themeTint="F2"/>
          <w:spacing w:val="-3"/>
          <w:sz w:val="16"/>
          <w:szCs w:val="16"/>
          <w:lang w:val="en-GB"/>
        </w:rPr>
        <w:t>slightly increased year-on-year (</w:t>
      </w:r>
      <w:r w:rsidRPr="004D42F8">
        <w:rPr>
          <w:rFonts w:cs="Arial"/>
          <w:bCs/>
          <w:spacing w:val="-2"/>
          <w:sz w:val="16"/>
          <w:szCs w:val="16"/>
          <w:lang w:val="en-GB"/>
        </w:rPr>
        <w:t>+1</w:t>
      </w:r>
      <w:r>
        <w:rPr>
          <w:rFonts w:cs="Arial"/>
          <w:bCs/>
          <w:spacing w:val="-2"/>
          <w:sz w:val="16"/>
          <w:szCs w:val="16"/>
          <w:lang w:val="en-GB"/>
        </w:rPr>
        <w:t>.</w:t>
      </w:r>
      <w:r w:rsidRPr="004D42F8">
        <w:rPr>
          <w:rFonts w:cs="Arial"/>
          <w:bCs/>
          <w:spacing w:val="-2"/>
          <w:sz w:val="16"/>
          <w:szCs w:val="16"/>
          <w:lang w:val="en-GB"/>
        </w:rPr>
        <w:t>8%)</w:t>
      </w:r>
      <w:r>
        <w:rPr>
          <w:rFonts w:cs="Arial"/>
          <w:bCs/>
          <w:spacing w:val="-2"/>
          <w:sz w:val="16"/>
          <w:szCs w:val="16"/>
          <w:lang w:val="en-GB"/>
        </w:rPr>
        <w:t xml:space="preserve">, for guests from abroad however it fell by 11.4% and reached only one quarter of the size from year 2019. </w:t>
      </w:r>
      <w:proofErr w:type="gramStart"/>
      <w:r>
        <w:rPr>
          <w:rFonts w:cs="Arial"/>
          <w:bCs/>
          <w:spacing w:val="-2"/>
          <w:sz w:val="16"/>
          <w:szCs w:val="16"/>
          <w:lang w:val="en-GB"/>
        </w:rPr>
        <w:t>One half</w:t>
      </w:r>
      <w:proofErr w:type="gramEnd"/>
      <w:r>
        <w:rPr>
          <w:rFonts w:cs="Arial"/>
          <w:bCs/>
          <w:spacing w:val="-2"/>
          <w:sz w:val="16"/>
          <w:szCs w:val="16"/>
          <w:lang w:val="en-GB"/>
        </w:rPr>
        <w:t xml:space="preserve"> of all overnight stays of non-residents pertained to guests from neighbouring countries with the CR last year. Due to the worsened epidemic </w:t>
      </w:r>
      <w:r w:rsidRPr="00A1040E">
        <w:rPr>
          <w:rFonts w:cs="Arial"/>
          <w:bCs/>
          <w:spacing w:val="-2"/>
          <w:sz w:val="16"/>
          <w:szCs w:val="16"/>
          <w:lang w:val="en-GB"/>
        </w:rPr>
        <w:t xml:space="preserve">situation as well as administrative obstacles in travelling, the extremely low </w:t>
      </w:r>
      <w:r>
        <w:rPr>
          <w:rFonts w:cs="Arial"/>
          <w:bCs/>
          <w:spacing w:val="-2"/>
          <w:sz w:val="16"/>
          <w:szCs w:val="16"/>
          <w:lang w:val="en-GB"/>
        </w:rPr>
        <w:t xml:space="preserve">portion </w:t>
      </w:r>
      <w:r w:rsidRPr="00A1040E">
        <w:rPr>
          <w:rFonts w:cs="Arial"/>
          <w:bCs/>
          <w:spacing w:val="-2"/>
          <w:sz w:val="16"/>
          <w:szCs w:val="16"/>
          <w:lang w:val="en-GB"/>
        </w:rPr>
        <w:t xml:space="preserve">of overnight stays from Russia persisted (3% of the number from year 2019), Great Britain (12%), distant Asian countries, especially China (2%) and Taiwan (1%), South Korea (3%) and Japan (6%), or for instance from the USA (16%). </w:t>
      </w:r>
      <w:r>
        <w:rPr>
          <w:rFonts w:cs="Arial"/>
          <w:bCs/>
          <w:spacing w:val="-2"/>
          <w:sz w:val="16"/>
          <w:szCs w:val="16"/>
          <w:lang w:val="en-GB"/>
        </w:rPr>
        <w:t xml:space="preserve">Among the more significant source countries, the numbers of overnight stays dropped the least for Slovakia </w:t>
      </w:r>
      <w:r w:rsidRPr="00A1040E">
        <w:rPr>
          <w:rFonts w:cs="Arial"/>
          <w:bCs/>
          <w:spacing w:val="-2"/>
          <w:sz w:val="16"/>
          <w:szCs w:val="16"/>
          <w:lang w:val="en-GB"/>
        </w:rPr>
        <w:t>(</w:t>
      </w:r>
      <w:r>
        <w:rPr>
          <w:rFonts w:cs="Arial"/>
          <w:bCs/>
          <w:spacing w:val="-2"/>
          <w:sz w:val="16"/>
          <w:szCs w:val="16"/>
          <w:lang w:val="en-GB"/>
        </w:rPr>
        <w:t xml:space="preserve">by </w:t>
      </w:r>
      <w:r w:rsidRPr="00A1040E">
        <w:rPr>
          <w:rFonts w:cs="Arial"/>
          <w:bCs/>
          <w:spacing w:val="-2"/>
          <w:sz w:val="16"/>
          <w:szCs w:val="16"/>
          <w:lang w:val="en-GB"/>
        </w:rPr>
        <w:t xml:space="preserve">50%), </w:t>
      </w:r>
      <w:r>
        <w:rPr>
          <w:rFonts w:cs="Arial"/>
          <w:bCs/>
          <w:spacing w:val="-2"/>
          <w:sz w:val="16"/>
          <w:szCs w:val="16"/>
          <w:lang w:val="en-GB"/>
        </w:rPr>
        <w:t xml:space="preserve">for clients from the CR the two-year decrease was only </w:t>
      </w:r>
      <w:r w:rsidRPr="00A1040E">
        <w:rPr>
          <w:rFonts w:cs="Arial"/>
          <w:bCs/>
          <w:spacing w:val="-2"/>
          <w:sz w:val="16"/>
          <w:szCs w:val="16"/>
          <w:lang w:val="en-GB"/>
        </w:rPr>
        <w:t>15%.</w:t>
      </w:r>
    </w:p>
  </w:footnote>
  <w:footnote w:id="42">
    <w:p w14:paraId="02D85569" w14:textId="77777777" w:rsidR="00C12FCC" w:rsidRPr="00A1040E" w:rsidRDefault="00C12FCC" w:rsidP="00545631">
      <w:pPr>
        <w:pStyle w:val="Textpoznpodarou"/>
        <w:jc w:val="both"/>
        <w:rPr>
          <w:sz w:val="16"/>
          <w:szCs w:val="16"/>
          <w:lang w:val="en-GB"/>
        </w:rPr>
      </w:pPr>
      <w:r w:rsidRPr="00A1040E">
        <w:rPr>
          <w:rStyle w:val="Znakapoznpodarou"/>
          <w:sz w:val="16"/>
          <w:szCs w:val="16"/>
          <w:lang w:val="en-GB"/>
        </w:rPr>
        <w:footnoteRef/>
      </w:r>
      <w:r w:rsidRPr="00A1040E">
        <w:rPr>
          <w:sz w:val="16"/>
          <w:szCs w:val="16"/>
          <w:lang w:val="en-GB"/>
        </w:rPr>
        <w:t xml:space="preserve"> </w:t>
      </w:r>
      <w:r>
        <w:rPr>
          <w:sz w:val="16"/>
          <w:szCs w:val="16"/>
          <w:lang w:val="en-GB"/>
        </w:rPr>
        <w:t>Data from the s</w:t>
      </w:r>
      <w:r w:rsidRPr="005128AC">
        <w:rPr>
          <w:sz w:val="16"/>
          <w:szCs w:val="16"/>
          <w:lang w:val="en-GB"/>
        </w:rPr>
        <w:t>egment</w:t>
      </w:r>
      <w:r>
        <w:rPr>
          <w:sz w:val="16"/>
          <w:szCs w:val="16"/>
          <w:lang w:val="en-GB"/>
        </w:rPr>
        <w:t xml:space="preserve"> of motion picture distribution also prove it. The operations of cinemas </w:t>
      </w:r>
      <w:proofErr w:type="gramStart"/>
      <w:r>
        <w:rPr>
          <w:sz w:val="16"/>
          <w:szCs w:val="16"/>
          <w:lang w:val="en-GB"/>
        </w:rPr>
        <w:t>were gradually renewed</w:t>
      </w:r>
      <w:proofErr w:type="gramEnd"/>
      <w:r>
        <w:rPr>
          <w:sz w:val="16"/>
          <w:szCs w:val="16"/>
          <w:lang w:val="en-GB"/>
        </w:rPr>
        <w:t xml:space="preserve"> at the turn of May and June last year. As of July, when the possibility of refreshment </w:t>
      </w:r>
      <w:proofErr w:type="gramStart"/>
      <w:r>
        <w:rPr>
          <w:sz w:val="16"/>
          <w:szCs w:val="16"/>
          <w:lang w:val="en-GB"/>
        </w:rPr>
        <w:t>was also allowed</w:t>
      </w:r>
      <w:proofErr w:type="gramEnd"/>
      <w:r>
        <w:rPr>
          <w:sz w:val="16"/>
          <w:szCs w:val="16"/>
          <w:lang w:val="en-GB"/>
        </w:rPr>
        <w:t xml:space="preserve"> in the cinema theatre, the number of visitors started to return to the pre pandemic level. Already 3.5 mil of visitors arrived at the cinemas in the CR in Q3, by </w:t>
      </w:r>
      <w:proofErr w:type="gramStart"/>
      <w:r>
        <w:rPr>
          <w:sz w:val="16"/>
          <w:szCs w:val="16"/>
          <w:lang w:val="en-GB"/>
        </w:rPr>
        <w:t>one half</w:t>
      </w:r>
      <w:proofErr w:type="gramEnd"/>
      <w:r>
        <w:rPr>
          <w:sz w:val="16"/>
          <w:szCs w:val="16"/>
          <w:lang w:val="en-GB"/>
        </w:rPr>
        <w:t xml:space="preserve"> more year-on-year and compared to the same period in year </w:t>
      </w:r>
      <w:r w:rsidRPr="00A1040E">
        <w:rPr>
          <w:sz w:val="16"/>
          <w:szCs w:val="16"/>
          <w:lang w:val="en-GB"/>
        </w:rPr>
        <w:t xml:space="preserve">2019 </w:t>
      </w:r>
      <w:r>
        <w:rPr>
          <w:sz w:val="16"/>
          <w:szCs w:val="16"/>
          <w:lang w:val="en-GB"/>
        </w:rPr>
        <w:t xml:space="preserve">by </w:t>
      </w:r>
      <w:r w:rsidRPr="00A1040E">
        <w:rPr>
          <w:sz w:val="16"/>
          <w:szCs w:val="16"/>
          <w:lang w:val="en-GB"/>
        </w:rPr>
        <w:t>17%</w:t>
      </w:r>
      <w:r>
        <w:rPr>
          <w:sz w:val="16"/>
          <w:szCs w:val="16"/>
          <w:lang w:val="en-GB"/>
        </w:rPr>
        <w:t xml:space="preserve"> less. Reintroduction of partial restrictions at the end of November </w:t>
      </w:r>
      <w:r w:rsidRPr="00A1040E">
        <w:rPr>
          <w:sz w:val="16"/>
          <w:szCs w:val="16"/>
          <w:lang w:val="en-GB"/>
        </w:rPr>
        <w:t>(</w:t>
      </w:r>
      <w:r>
        <w:rPr>
          <w:sz w:val="16"/>
          <w:szCs w:val="16"/>
          <w:lang w:val="en-GB"/>
        </w:rPr>
        <w:t xml:space="preserve">admission only to </w:t>
      </w:r>
      <w:proofErr w:type="gramStart"/>
      <w:r>
        <w:rPr>
          <w:sz w:val="16"/>
          <w:szCs w:val="16"/>
          <w:lang w:val="en-GB"/>
        </w:rPr>
        <w:t>vaccinated</w:t>
      </w:r>
      <w:proofErr w:type="gramEnd"/>
      <w:r>
        <w:rPr>
          <w:sz w:val="16"/>
          <w:szCs w:val="16"/>
          <w:lang w:val="en-GB"/>
        </w:rPr>
        <w:t xml:space="preserve"> and persons who went through the disease </w:t>
      </w:r>
      <w:r w:rsidRPr="00A1040E">
        <w:rPr>
          <w:sz w:val="16"/>
          <w:szCs w:val="16"/>
          <w:lang w:val="en-GB"/>
        </w:rPr>
        <w:t>covid-19)</w:t>
      </w:r>
      <w:r>
        <w:rPr>
          <w:sz w:val="16"/>
          <w:szCs w:val="16"/>
          <w:lang w:val="en-GB"/>
        </w:rPr>
        <w:t xml:space="preserve"> inhibited the return to normal</w:t>
      </w:r>
      <w:r w:rsidRPr="00A1040E">
        <w:rPr>
          <w:sz w:val="16"/>
          <w:szCs w:val="16"/>
          <w:lang w:val="en-GB"/>
        </w:rPr>
        <w:t xml:space="preserve">. </w:t>
      </w:r>
      <w:r>
        <w:rPr>
          <w:sz w:val="16"/>
          <w:szCs w:val="16"/>
          <w:lang w:val="en-GB"/>
        </w:rPr>
        <w:t xml:space="preserve">The attendance climbed up to </w:t>
      </w:r>
      <w:r w:rsidRPr="00A1040E">
        <w:rPr>
          <w:sz w:val="16"/>
          <w:szCs w:val="16"/>
          <w:lang w:val="en-GB"/>
        </w:rPr>
        <w:t>7</w:t>
      </w:r>
      <w:r>
        <w:rPr>
          <w:sz w:val="16"/>
          <w:szCs w:val="16"/>
          <w:lang w:val="en-GB"/>
        </w:rPr>
        <w:t>.</w:t>
      </w:r>
      <w:r w:rsidRPr="00A1040E">
        <w:rPr>
          <w:sz w:val="16"/>
          <w:szCs w:val="16"/>
          <w:lang w:val="en-GB"/>
        </w:rPr>
        <w:t>14 mil</w:t>
      </w:r>
      <w:r>
        <w:rPr>
          <w:sz w:val="16"/>
          <w:szCs w:val="16"/>
          <w:lang w:val="en-GB"/>
        </w:rPr>
        <w:t xml:space="preserve"> persons for the whole last year</w:t>
      </w:r>
      <w:r w:rsidRPr="00A1040E">
        <w:rPr>
          <w:sz w:val="16"/>
          <w:szCs w:val="16"/>
          <w:lang w:val="en-GB"/>
        </w:rPr>
        <w:t xml:space="preserve">, </w:t>
      </w:r>
      <w:r>
        <w:rPr>
          <w:sz w:val="16"/>
          <w:szCs w:val="16"/>
          <w:lang w:val="en-GB"/>
        </w:rPr>
        <w:t xml:space="preserve">which was by 12% more year-on-year, but compared to the record year </w:t>
      </w:r>
      <w:r w:rsidRPr="00A1040E">
        <w:rPr>
          <w:sz w:val="16"/>
          <w:szCs w:val="16"/>
          <w:lang w:val="en-GB"/>
        </w:rPr>
        <w:t>2019</w:t>
      </w:r>
      <w:r>
        <w:rPr>
          <w:sz w:val="16"/>
          <w:szCs w:val="16"/>
          <w:lang w:val="en-GB"/>
        </w:rPr>
        <w:t xml:space="preserve">, it represented a decrease of </w:t>
      </w:r>
      <w:r w:rsidRPr="00A1040E">
        <w:rPr>
          <w:sz w:val="16"/>
          <w:szCs w:val="16"/>
          <w:lang w:val="en-GB"/>
        </w:rPr>
        <w:t>61%.</w:t>
      </w:r>
    </w:p>
  </w:footnote>
  <w:footnote w:id="43">
    <w:p w14:paraId="474146C8" w14:textId="012C4E0E" w:rsidR="00C12FCC" w:rsidRPr="00EA2691" w:rsidRDefault="00C12FCC" w:rsidP="00F77A50">
      <w:pPr>
        <w:spacing w:after="0" w:line="240" w:lineRule="auto"/>
        <w:rPr>
          <w:spacing w:val="-2"/>
          <w:lang w:val="en-GB"/>
        </w:rPr>
      </w:pPr>
      <w:r w:rsidRPr="00BE7370">
        <w:rPr>
          <w:rStyle w:val="Znakapoznpodarou"/>
          <w:color w:val="0D0D0D" w:themeColor="text1" w:themeTint="F2"/>
          <w:spacing w:val="-2"/>
          <w:sz w:val="16"/>
          <w:szCs w:val="16"/>
        </w:rPr>
        <w:footnoteRef/>
      </w:r>
      <w:r w:rsidRPr="00BE7370">
        <w:rPr>
          <w:color w:val="0D0D0D" w:themeColor="text1" w:themeTint="F2"/>
          <w:spacing w:val="-2"/>
          <w:sz w:val="16"/>
          <w:szCs w:val="16"/>
        </w:rPr>
        <w:t xml:space="preserve"> </w:t>
      </w:r>
      <w:r w:rsidRPr="00EA2691">
        <w:rPr>
          <w:color w:val="0D0D0D" w:themeColor="text1" w:themeTint="F2"/>
          <w:spacing w:val="-2"/>
          <w:sz w:val="16"/>
          <w:szCs w:val="16"/>
          <w:lang w:val="en-GB"/>
        </w:rPr>
        <w:t>All year-on-year rat</w:t>
      </w:r>
      <w:r>
        <w:rPr>
          <w:color w:val="0D0D0D" w:themeColor="text1" w:themeTint="F2"/>
          <w:spacing w:val="-2"/>
          <w:sz w:val="16"/>
          <w:szCs w:val="16"/>
          <w:lang w:val="en-GB"/>
        </w:rPr>
        <w:t>e</w:t>
      </w:r>
      <w:r w:rsidRPr="00EA2691">
        <w:rPr>
          <w:color w:val="0D0D0D" w:themeColor="text1" w:themeTint="F2"/>
          <w:spacing w:val="-2"/>
          <w:sz w:val="16"/>
          <w:szCs w:val="16"/>
          <w:lang w:val="en-GB"/>
        </w:rPr>
        <w:t xml:space="preserve">s of growth of retail sales </w:t>
      </w:r>
      <w:proofErr w:type="gramStart"/>
      <w:r w:rsidRPr="00EA2691">
        <w:rPr>
          <w:color w:val="0D0D0D" w:themeColor="text1" w:themeTint="F2"/>
          <w:spacing w:val="-2"/>
          <w:sz w:val="16"/>
          <w:szCs w:val="16"/>
          <w:lang w:val="en-GB"/>
        </w:rPr>
        <w:t>are stated in constant prices and adjusted for calendar effects, quarter-on-quarter</w:t>
      </w:r>
      <w:proofErr w:type="gramEnd"/>
      <w:r w:rsidRPr="00EA2691">
        <w:rPr>
          <w:color w:val="0D0D0D" w:themeColor="text1" w:themeTint="F2"/>
          <w:spacing w:val="-2"/>
          <w:sz w:val="16"/>
          <w:szCs w:val="16"/>
          <w:lang w:val="en-GB"/>
        </w:rPr>
        <w:t xml:space="preserve"> or month-on-month growth rates are adjusted for seasonal effects (including the number of working days). Retail includes branches CZ-NACE 47.</w:t>
      </w:r>
    </w:p>
  </w:footnote>
  <w:footnote w:id="44">
    <w:p w14:paraId="2E4531D0" w14:textId="48D718D5" w:rsidR="00C12FCC" w:rsidRPr="00EA2691" w:rsidRDefault="00C12FCC" w:rsidP="00F77A50">
      <w:pPr>
        <w:pStyle w:val="Textpoznpodarou"/>
        <w:jc w:val="both"/>
        <w:rPr>
          <w:spacing w:val="-4"/>
          <w:sz w:val="16"/>
          <w:szCs w:val="16"/>
          <w:lang w:val="en-GB"/>
        </w:rPr>
      </w:pPr>
      <w:r w:rsidRPr="00EA2691">
        <w:rPr>
          <w:rStyle w:val="Znakapoznpodarou"/>
          <w:spacing w:val="-4"/>
          <w:sz w:val="16"/>
          <w:szCs w:val="16"/>
          <w:lang w:val="en-GB"/>
        </w:rPr>
        <w:footnoteRef/>
      </w:r>
      <w:r w:rsidRPr="00EA2691">
        <w:rPr>
          <w:spacing w:val="-4"/>
          <w:sz w:val="16"/>
          <w:szCs w:val="16"/>
          <w:lang w:val="en-GB"/>
        </w:rPr>
        <w:t xml:space="preserve"> </w:t>
      </w:r>
      <w:r>
        <w:rPr>
          <w:spacing w:val="-4"/>
          <w:sz w:val="16"/>
          <w:szCs w:val="16"/>
          <w:lang w:val="en-GB"/>
        </w:rPr>
        <w:t xml:space="preserve">Growing consumer confidence </w:t>
      </w:r>
      <w:proofErr w:type="gramStart"/>
      <w:r>
        <w:rPr>
          <w:spacing w:val="-4"/>
          <w:sz w:val="16"/>
          <w:szCs w:val="16"/>
          <w:lang w:val="en-GB"/>
        </w:rPr>
        <w:t>was linked</w:t>
      </w:r>
      <w:proofErr w:type="gramEnd"/>
      <w:r>
        <w:rPr>
          <w:spacing w:val="-4"/>
          <w:sz w:val="16"/>
          <w:szCs w:val="16"/>
          <w:lang w:val="en-GB"/>
        </w:rPr>
        <w:t xml:space="preserve"> to the low unemployment also for the most part of the year continuing real growth of wages </w:t>
      </w:r>
      <w:r w:rsidRPr="00EA2691">
        <w:rPr>
          <w:spacing w:val="-4"/>
          <w:sz w:val="16"/>
          <w:szCs w:val="16"/>
          <w:lang w:val="en-GB"/>
        </w:rPr>
        <w:t>(</w:t>
      </w:r>
      <w:r>
        <w:rPr>
          <w:spacing w:val="-4"/>
          <w:sz w:val="16"/>
          <w:szCs w:val="16"/>
          <w:lang w:val="en-GB"/>
        </w:rPr>
        <w:t>supported by the payment of extraordinary bonuses in parts of the public sector as well as lower taxation on income</w:t>
      </w:r>
      <w:r w:rsidRPr="00EA2691">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Unparalleled high worries of people regarding the growth of prices could have worked against faster realisation of delayed consumption at the end of the year</w:t>
      </w:r>
      <w:r w:rsidRPr="00EA2691">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which </w:t>
      </w:r>
      <w:proofErr w:type="gramStart"/>
      <w:r>
        <w:rPr>
          <w:rFonts w:cs="Arial"/>
          <w:color w:val="0D0D0D" w:themeColor="text1" w:themeTint="F2"/>
          <w:spacing w:val="-4"/>
          <w:sz w:val="16"/>
          <w:szCs w:val="16"/>
          <w:lang w:val="en-GB"/>
        </w:rPr>
        <w:t>were also grounded</w:t>
      </w:r>
      <w:proofErr w:type="gramEnd"/>
      <w:r>
        <w:rPr>
          <w:rFonts w:cs="Arial"/>
          <w:color w:val="0D0D0D" w:themeColor="text1" w:themeTint="F2"/>
          <w:spacing w:val="-4"/>
          <w:sz w:val="16"/>
          <w:szCs w:val="16"/>
          <w:lang w:val="en-GB"/>
        </w:rPr>
        <w:t xml:space="preserve"> in the real economy. </w:t>
      </w:r>
    </w:p>
  </w:footnote>
  <w:footnote w:id="45">
    <w:p w14:paraId="2F94B328" w14:textId="4B13EB21" w:rsidR="00C12FCC" w:rsidRPr="00EA2691" w:rsidRDefault="00C12FCC" w:rsidP="00F77A50">
      <w:pPr>
        <w:pStyle w:val="Textpoznpodarou"/>
        <w:jc w:val="both"/>
        <w:rPr>
          <w:spacing w:val="-2"/>
          <w:sz w:val="16"/>
          <w:szCs w:val="16"/>
          <w:lang w:val="en-GB"/>
        </w:rPr>
      </w:pPr>
      <w:r w:rsidRPr="00EA2691">
        <w:rPr>
          <w:rStyle w:val="Znakapoznpodarou"/>
          <w:spacing w:val="-2"/>
          <w:sz w:val="16"/>
          <w:szCs w:val="16"/>
          <w:lang w:val="en-GB"/>
        </w:rPr>
        <w:footnoteRef/>
      </w:r>
      <w:r w:rsidRPr="00EA2691">
        <w:rPr>
          <w:spacing w:val="-2"/>
          <w:sz w:val="16"/>
          <w:szCs w:val="16"/>
          <w:lang w:val="en-GB"/>
        </w:rPr>
        <w:t xml:space="preserve"> </w:t>
      </w:r>
      <w:proofErr w:type="gramStart"/>
      <w:r>
        <w:rPr>
          <w:spacing w:val="-2"/>
          <w:sz w:val="16"/>
          <w:szCs w:val="16"/>
          <w:lang w:val="en-GB"/>
        </w:rPr>
        <w:t>Similarly</w:t>
      </w:r>
      <w:proofErr w:type="gramEnd"/>
      <w:r>
        <w:rPr>
          <w:spacing w:val="-2"/>
          <w:sz w:val="16"/>
          <w:szCs w:val="16"/>
          <w:lang w:val="en-GB"/>
        </w:rPr>
        <w:t xml:space="preserve"> to year </w:t>
      </w:r>
      <w:r w:rsidRPr="00EA2691">
        <w:rPr>
          <w:spacing w:val="-2"/>
          <w:sz w:val="16"/>
          <w:szCs w:val="16"/>
          <w:lang w:val="en-GB"/>
        </w:rPr>
        <w:t>2020</w:t>
      </w:r>
      <w:r>
        <w:rPr>
          <w:spacing w:val="-2"/>
          <w:sz w:val="16"/>
          <w:szCs w:val="16"/>
          <w:lang w:val="en-GB"/>
        </w:rPr>
        <w:t xml:space="preserve"> thus also recorded slightly weaker pace compared to both the EU and euro area. The retail sales rose by </w:t>
      </w:r>
      <w:r w:rsidRPr="00EA2691">
        <w:rPr>
          <w:spacing w:val="-2"/>
          <w:sz w:val="16"/>
          <w:szCs w:val="16"/>
          <w:lang w:val="en-GB"/>
        </w:rPr>
        <w:t>5</w:t>
      </w:r>
      <w:r>
        <w:rPr>
          <w:spacing w:val="-2"/>
          <w:sz w:val="16"/>
          <w:szCs w:val="16"/>
          <w:lang w:val="en-GB"/>
        </w:rPr>
        <w:t>.</w:t>
      </w:r>
      <w:r w:rsidRPr="00EA2691">
        <w:rPr>
          <w:spacing w:val="-2"/>
          <w:sz w:val="16"/>
          <w:szCs w:val="16"/>
          <w:lang w:val="en-GB"/>
        </w:rPr>
        <w:t>5%</w:t>
      </w:r>
      <w:r>
        <w:rPr>
          <w:spacing w:val="-2"/>
          <w:sz w:val="16"/>
          <w:szCs w:val="16"/>
          <w:lang w:val="en-GB"/>
        </w:rPr>
        <w:t xml:space="preserve"> in the EU</w:t>
      </w:r>
      <w:r w:rsidRPr="00EA2691">
        <w:rPr>
          <w:spacing w:val="-2"/>
          <w:sz w:val="16"/>
          <w:szCs w:val="16"/>
          <w:lang w:val="en-GB"/>
        </w:rPr>
        <w:t xml:space="preserve"> a</w:t>
      </w:r>
      <w:r>
        <w:rPr>
          <w:spacing w:val="-2"/>
          <w:sz w:val="16"/>
          <w:szCs w:val="16"/>
          <w:lang w:val="en-GB"/>
        </w:rPr>
        <w:t xml:space="preserve">nd </w:t>
      </w:r>
      <w:r w:rsidRPr="00EA2691">
        <w:rPr>
          <w:spacing w:val="-2"/>
          <w:sz w:val="16"/>
          <w:szCs w:val="16"/>
          <w:lang w:val="en-GB"/>
        </w:rPr>
        <w:t>5</w:t>
      </w:r>
      <w:r>
        <w:rPr>
          <w:spacing w:val="-2"/>
          <w:sz w:val="16"/>
          <w:szCs w:val="16"/>
          <w:lang w:val="en-GB"/>
        </w:rPr>
        <w:t>.</w:t>
      </w:r>
      <w:r w:rsidRPr="00EA2691">
        <w:rPr>
          <w:spacing w:val="-2"/>
          <w:sz w:val="16"/>
          <w:szCs w:val="16"/>
          <w:lang w:val="en-GB"/>
        </w:rPr>
        <w:t>0%</w:t>
      </w:r>
      <w:r>
        <w:rPr>
          <w:spacing w:val="-2"/>
          <w:sz w:val="16"/>
          <w:szCs w:val="16"/>
          <w:lang w:val="en-GB"/>
        </w:rPr>
        <w:t xml:space="preserve"> in the euro area last year</w:t>
      </w:r>
      <w:r w:rsidRPr="00EA2691">
        <w:rPr>
          <w:spacing w:val="-2"/>
          <w:sz w:val="16"/>
          <w:szCs w:val="16"/>
          <w:lang w:val="en-GB"/>
        </w:rPr>
        <w:t>.</w:t>
      </w:r>
      <w:r>
        <w:rPr>
          <w:spacing w:val="-2"/>
          <w:sz w:val="16"/>
          <w:szCs w:val="16"/>
          <w:lang w:val="en-GB"/>
        </w:rPr>
        <w:t xml:space="preserve"> The sales strengthened the most in Slovenia </w:t>
      </w:r>
      <w:r w:rsidRPr="00EA2691">
        <w:rPr>
          <w:spacing w:val="-2"/>
          <w:sz w:val="16"/>
          <w:szCs w:val="16"/>
          <w:lang w:val="en-GB"/>
        </w:rPr>
        <w:t>(+18</w:t>
      </w:r>
      <w:r>
        <w:rPr>
          <w:spacing w:val="-2"/>
          <w:sz w:val="16"/>
          <w:szCs w:val="16"/>
          <w:lang w:val="en-GB"/>
        </w:rPr>
        <w:t>.</w:t>
      </w:r>
      <w:r w:rsidRPr="00EA2691">
        <w:rPr>
          <w:spacing w:val="-2"/>
          <w:sz w:val="16"/>
          <w:szCs w:val="16"/>
          <w:lang w:val="en-GB"/>
        </w:rPr>
        <w:t>9%),</w:t>
      </w:r>
      <w:r>
        <w:rPr>
          <w:spacing w:val="-2"/>
          <w:sz w:val="16"/>
          <w:szCs w:val="16"/>
          <w:lang w:val="en-GB"/>
        </w:rPr>
        <w:t xml:space="preserve"> Lithuania </w:t>
      </w:r>
      <w:r w:rsidRPr="00EA2691">
        <w:rPr>
          <w:spacing w:val="-2"/>
          <w:sz w:val="16"/>
          <w:szCs w:val="16"/>
          <w:lang w:val="en-GB"/>
        </w:rPr>
        <w:t>(+12</w:t>
      </w:r>
      <w:r>
        <w:rPr>
          <w:spacing w:val="-2"/>
          <w:sz w:val="16"/>
          <w:szCs w:val="16"/>
          <w:lang w:val="en-GB"/>
        </w:rPr>
        <w:t>.</w:t>
      </w:r>
      <w:r w:rsidRPr="00EA2691">
        <w:rPr>
          <w:spacing w:val="-2"/>
          <w:sz w:val="16"/>
          <w:szCs w:val="16"/>
          <w:lang w:val="en-GB"/>
        </w:rPr>
        <w:t>9%) a</w:t>
      </w:r>
      <w:r>
        <w:rPr>
          <w:spacing w:val="-2"/>
          <w:sz w:val="16"/>
          <w:szCs w:val="16"/>
          <w:lang w:val="en-GB"/>
        </w:rPr>
        <w:t xml:space="preserve">nd Bulgaria </w:t>
      </w:r>
      <w:r w:rsidRPr="00EA2691">
        <w:rPr>
          <w:spacing w:val="-2"/>
          <w:sz w:val="16"/>
          <w:szCs w:val="16"/>
          <w:lang w:val="en-GB"/>
        </w:rPr>
        <w:t>(+12</w:t>
      </w:r>
      <w:r>
        <w:rPr>
          <w:spacing w:val="-2"/>
          <w:sz w:val="16"/>
          <w:szCs w:val="16"/>
          <w:lang w:val="en-GB"/>
        </w:rPr>
        <w:t>.</w:t>
      </w:r>
      <w:r w:rsidRPr="00EA2691">
        <w:rPr>
          <w:spacing w:val="-2"/>
          <w:sz w:val="16"/>
          <w:szCs w:val="16"/>
          <w:lang w:val="en-GB"/>
        </w:rPr>
        <w:t>2%),</w:t>
      </w:r>
      <w:r>
        <w:rPr>
          <w:spacing w:val="-2"/>
          <w:sz w:val="16"/>
          <w:szCs w:val="16"/>
          <w:lang w:val="en-GB"/>
        </w:rPr>
        <w:t xml:space="preserve"> among larger economies then in France </w:t>
      </w:r>
      <w:r w:rsidRPr="00EA2691">
        <w:rPr>
          <w:spacing w:val="-2"/>
          <w:sz w:val="16"/>
          <w:szCs w:val="16"/>
          <w:lang w:val="en-GB"/>
        </w:rPr>
        <w:t>(+9</w:t>
      </w:r>
      <w:r>
        <w:rPr>
          <w:spacing w:val="-2"/>
          <w:sz w:val="16"/>
          <w:szCs w:val="16"/>
          <w:lang w:val="en-GB"/>
        </w:rPr>
        <w:t>.</w:t>
      </w:r>
      <w:r w:rsidRPr="00EA2691">
        <w:rPr>
          <w:spacing w:val="-2"/>
          <w:sz w:val="16"/>
          <w:szCs w:val="16"/>
          <w:lang w:val="en-GB"/>
        </w:rPr>
        <w:t>7%), Pol</w:t>
      </w:r>
      <w:r>
        <w:rPr>
          <w:spacing w:val="-2"/>
          <w:sz w:val="16"/>
          <w:szCs w:val="16"/>
          <w:lang w:val="en-GB"/>
        </w:rPr>
        <w:t xml:space="preserve">and </w:t>
      </w:r>
      <w:r w:rsidRPr="00EA2691">
        <w:rPr>
          <w:spacing w:val="-2"/>
          <w:sz w:val="16"/>
          <w:szCs w:val="16"/>
          <w:lang w:val="en-GB"/>
        </w:rPr>
        <w:t>(+9</w:t>
      </w:r>
      <w:r>
        <w:rPr>
          <w:spacing w:val="-2"/>
          <w:sz w:val="16"/>
          <w:szCs w:val="16"/>
          <w:lang w:val="en-GB"/>
        </w:rPr>
        <w:t>.</w:t>
      </w:r>
      <w:r w:rsidRPr="00EA2691">
        <w:rPr>
          <w:spacing w:val="-2"/>
          <w:sz w:val="16"/>
          <w:szCs w:val="16"/>
          <w:lang w:val="en-GB"/>
        </w:rPr>
        <w:t>3%) a</w:t>
      </w:r>
      <w:r>
        <w:rPr>
          <w:spacing w:val="-2"/>
          <w:sz w:val="16"/>
          <w:szCs w:val="16"/>
          <w:lang w:val="en-GB"/>
        </w:rPr>
        <w:t xml:space="preserve">nd Italy </w:t>
      </w:r>
      <w:r w:rsidRPr="00EA2691">
        <w:rPr>
          <w:spacing w:val="-2"/>
          <w:sz w:val="16"/>
          <w:szCs w:val="16"/>
          <w:lang w:val="en-GB"/>
        </w:rPr>
        <w:t>(+8</w:t>
      </w:r>
      <w:r>
        <w:rPr>
          <w:spacing w:val="-2"/>
          <w:sz w:val="16"/>
          <w:szCs w:val="16"/>
          <w:lang w:val="en-GB"/>
        </w:rPr>
        <w:t>.</w:t>
      </w:r>
      <w:r w:rsidRPr="00EA2691">
        <w:rPr>
          <w:spacing w:val="-2"/>
          <w:sz w:val="16"/>
          <w:szCs w:val="16"/>
          <w:lang w:val="en-GB"/>
        </w:rPr>
        <w:t xml:space="preserve">2%). </w:t>
      </w:r>
      <w:r>
        <w:rPr>
          <w:spacing w:val="-2"/>
          <w:sz w:val="16"/>
          <w:szCs w:val="16"/>
          <w:lang w:val="en-GB"/>
        </w:rPr>
        <w:t xml:space="preserve">The sales grew less in Slovakia </w:t>
      </w:r>
      <w:r w:rsidRPr="00EA2691">
        <w:rPr>
          <w:spacing w:val="-2"/>
          <w:sz w:val="16"/>
          <w:szCs w:val="16"/>
          <w:lang w:val="en-GB"/>
        </w:rPr>
        <w:t>(+1</w:t>
      </w:r>
      <w:r>
        <w:rPr>
          <w:spacing w:val="-2"/>
          <w:sz w:val="16"/>
          <w:szCs w:val="16"/>
          <w:lang w:val="en-GB"/>
        </w:rPr>
        <w:t>.</w:t>
      </w:r>
      <w:r w:rsidRPr="00EA2691">
        <w:rPr>
          <w:spacing w:val="-2"/>
          <w:sz w:val="16"/>
          <w:szCs w:val="16"/>
          <w:lang w:val="en-GB"/>
        </w:rPr>
        <w:t>3%) a</w:t>
      </w:r>
      <w:r>
        <w:rPr>
          <w:spacing w:val="-2"/>
          <w:sz w:val="16"/>
          <w:szCs w:val="16"/>
          <w:lang w:val="en-GB"/>
        </w:rPr>
        <w:t xml:space="preserve">nd also Germany </w:t>
      </w:r>
      <w:r w:rsidRPr="00EA2691">
        <w:rPr>
          <w:spacing w:val="-2"/>
          <w:sz w:val="16"/>
          <w:szCs w:val="16"/>
          <w:lang w:val="en-GB"/>
        </w:rPr>
        <w:t>(+0</w:t>
      </w:r>
      <w:r>
        <w:rPr>
          <w:spacing w:val="-2"/>
          <w:sz w:val="16"/>
          <w:szCs w:val="16"/>
          <w:lang w:val="en-GB"/>
        </w:rPr>
        <w:t>.</w:t>
      </w:r>
      <w:r w:rsidRPr="00EA2691">
        <w:rPr>
          <w:spacing w:val="-2"/>
          <w:sz w:val="16"/>
          <w:szCs w:val="16"/>
          <w:lang w:val="en-GB"/>
        </w:rPr>
        <w:t xml:space="preserve">9%), </w:t>
      </w:r>
      <w:r>
        <w:rPr>
          <w:spacing w:val="-2"/>
          <w:sz w:val="16"/>
          <w:szCs w:val="16"/>
          <w:lang w:val="en-GB"/>
        </w:rPr>
        <w:t xml:space="preserve">where they however showed unusually strong growth in year </w:t>
      </w:r>
      <w:r w:rsidRPr="00EA2691">
        <w:rPr>
          <w:spacing w:val="-2"/>
          <w:sz w:val="16"/>
          <w:szCs w:val="16"/>
          <w:lang w:val="en-GB"/>
        </w:rPr>
        <w:t>2020 (+4</w:t>
      </w:r>
      <w:r>
        <w:rPr>
          <w:spacing w:val="-2"/>
          <w:sz w:val="16"/>
          <w:szCs w:val="16"/>
          <w:lang w:val="en-GB"/>
        </w:rPr>
        <w:t>.</w:t>
      </w:r>
      <w:r w:rsidRPr="00EA2691">
        <w:rPr>
          <w:spacing w:val="-2"/>
          <w:sz w:val="16"/>
          <w:szCs w:val="16"/>
          <w:lang w:val="en-GB"/>
        </w:rPr>
        <w:t xml:space="preserve">4%) – </w:t>
      </w:r>
      <w:r>
        <w:rPr>
          <w:spacing w:val="-2"/>
          <w:sz w:val="16"/>
          <w:szCs w:val="16"/>
          <w:lang w:val="en-GB"/>
        </w:rPr>
        <w:t>the highest in the whole Union</w:t>
      </w:r>
      <w:r w:rsidRPr="00EA2691">
        <w:rPr>
          <w:spacing w:val="-2"/>
          <w:sz w:val="16"/>
          <w:szCs w:val="16"/>
          <w:lang w:val="en-GB"/>
        </w:rPr>
        <w:t xml:space="preserve">. </w:t>
      </w:r>
      <w:r>
        <w:rPr>
          <w:spacing w:val="-2"/>
          <w:sz w:val="16"/>
          <w:szCs w:val="16"/>
          <w:lang w:val="en-GB"/>
        </w:rPr>
        <w:t xml:space="preserve">Sales for food decreased apart from the CR only in other five Union countries last year </w:t>
      </w:r>
      <w:r w:rsidRPr="00EA2691">
        <w:rPr>
          <w:spacing w:val="-2"/>
          <w:sz w:val="16"/>
          <w:szCs w:val="16"/>
          <w:lang w:val="en-GB"/>
        </w:rPr>
        <w:t>(</w:t>
      </w:r>
      <w:r>
        <w:rPr>
          <w:spacing w:val="-2"/>
          <w:sz w:val="16"/>
          <w:szCs w:val="16"/>
          <w:lang w:val="en-GB"/>
        </w:rPr>
        <w:t>for instance in both Poland and Germany</w:t>
      </w:r>
      <w:r w:rsidRPr="00EA2691">
        <w:rPr>
          <w:spacing w:val="-2"/>
          <w:sz w:val="16"/>
          <w:szCs w:val="16"/>
          <w:lang w:val="en-GB"/>
        </w:rPr>
        <w:t xml:space="preserve">). </w:t>
      </w:r>
      <w:r>
        <w:rPr>
          <w:spacing w:val="-2"/>
          <w:sz w:val="16"/>
          <w:szCs w:val="16"/>
          <w:lang w:val="en-GB"/>
        </w:rPr>
        <w:t xml:space="preserve">On the </w:t>
      </w:r>
      <w:proofErr w:type="gramStart"/>
      <w:r>
        <w:rPr>
          <w:spacing w:val="-2"/>
          <w:sz w:val="16"/>
          <w:szCs w:val="16"/>
          <w:lang w:val="en-GB"/>
        </w:rPr>
        <w:t>contrary</w:t>
      </w:r>
      <w:proofErr w:type="gramEnd"/>
      <w:r>
        <w:rPr>
          <w:spacing w:val="-2"/>
          <w:sz w:val="16"/>
          <w:szCs w:val="16"/>
          <w:lang w:val="en-GB"/>
        </w:rPr>
        <w:t xml:space="preserve"> the domestic growth of sales for non-food goods moved closed to the level of the EU </w:t>
      </w:r>
      <w:r w:rsidRPr="00EA2691">
        <w:rPr>
          <w:spacing w:val="-2"/>
          <w:sz w:val="16"/>
          <w:szCs w:val="16"/>
          <w:lang w:val="en-GB"/>
        </w:rPr>
        <w:t>(8</w:t>
      </w:r>
      <w:r>
        <w:rPr>
          <w:spacing w:val="-2"/>
          <w:sz w:val="16"/>
          <w:szCs w:val="16"/>
          <w:lang w:val="en-GB"/>
        </w:rPr>
        <w:t>.</w:t>
      </w:r>
      <w:r w:rsidRPr="00EA2691">
        <w:rPr>
          <w:spacing w:val="-2"/>
          <w:sz w:val="16"/>
          <w:szCs w:val="16"/>
          <w:lang w:val="en-GB"/>
        </w:rPr>
        <w:t>3%).</w:t>
      </w:r>
    </w:p>
  </w:footnote>
  <w:footnote w:id="46">
    <w:p w14:paraId="76A9E104" w14:textId="7B2F41FA" w:rsidR="00C12FCC" w:rsidRPr="00EA2691" w:rsidRDefault="00C12FCC" w:rsidP="00F77A50">
      <w:pPr>
        <w:pStyle w:val="Textpoznpodarou"/>
        <w:jc w:val="both"/>
        <w:rPr>
          <w:sz w:val="16"/>
          <w:szCs w:val="16"/>
          <w:lang w:val="en-GB"/>
        </w:rPr>
      </w:pPr>
      <w:r w:rsidRPr="00EA2691">
        <w:rPr>
          <w:rStyle w:val="Znakapoznpodarou"/>
          <w:sz w:val="16"/>
          <w:szCs w:val="16"/>
          <w:lang w:val="en-GB"/>
        </w:rPr>
        <w:footnoteRef/>
      </w:r>
      <w:r w:rsidRPr="00EA2691">
        <w:rPr>
          <w:sz w:val="16"/>
          <w:szCs w:val="16"/>
          <w:lang w:val="en-GB"/>
        </w:rPr>
        <w:t xml:space="preserve"> </w:t>
      </w:r>
      <w:r>
        <w:rPr>
          <w:sz w:val="16"/>
          <w:szCs w:val="16"/>
          <w:lang w:val="en-GB"/>
        </w:rPr>
        <w:t>Rising consumer prices of fuels could have also worked against the growth of consumption at the end of the last year</w:t>
      </w:r>
      <w:r w:rsidRPr="00EA2691">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For </w:t>
      </w:r>
      <w:proofErr w:type="gramStart"/>
      <w:r>
        <w:rPr>
          <w:rFonts w:cs="Arial"/>
          <w:color w:val="0D0D0D" w:themeColor="text1" w:themeTint="F2"/>
          <w:spacing w:val="-4"/>
          <w:sz w:val="16"/>
          <w:szCs w:val="16"/>
          <w:lang w:val="en-GB"/>
        </w:rPr>
        <w:t>example</w:t>
      </w:r>
      <w:proofErr w:type="gramEnd"/>
      <w:r>
        <w:rPr>
          <w:rFonts w:cs="Arial"/>
          <w:color w:val="0D0D0D" w:themeColor="text1" w:themeTint="F2"/>
          <w:spacing w:val="-4"/>
          <w:sz w:val="16"/>
          <w:szCs w:val="16"/>
          <w:lang w:val="en-GB"/>
        </w:rPr>
        <w:t xml:space="preserve"> </w:t>
      </w:r>
      <w:r w:rsidRPr="00EA2691">
        <w:rPr>
          <w:spacing w:val="-2"/>
          <w:sz w:val="16"/>
          <w:szCs w:val="16"/>
          <w:lang w:val="en-GB"/>
        </w:rPr>
        <w:t xml:space="preserve">Natural 95 </w:t>
      </w:r>
      <w:r>
        <w:rPr>
          <w:spacing w:val="-2"/>
          <w:sz w:val="16"/>
          <w:szCs w:val="16"/>
          <w:lang w:val="en-GB"/>
        </w:rPr>
        <w:t>was sold on average for approximately 37 CZK per litre at petrol stations in November</w:t>
      </w:r>
      <w:r w:rsidRPr="00EA2691">
        <w:rPr>
          <w:spacing w:val="-2"/>
          <w:sz w:val="16"/>
          <w:szCs w:val="16"/>
          <w:lang w:val="en-GB"/>
        </w:rPr>
        <w:t xml:space="preserve">, </w:t>
      </w:r>
      <w:r>
        <w:rPr>
          <w:spacing w:val="-2"/>
          <w:sz w:val="16"/>
          <w:szCs w:val="16"/>
          <w:lang w:val="en-GB"/>
        </w:rPr>
        <w:t xml:space="preserve">which was the highest value since October </w:t>
      </w:r>
      <w:r w:rsidRPr="00EA2691">
        <w:rPr>
          <w:spacing w:val="-2"/>
          <w:sz w:val="16"/>
          <w:szCs w:val="16"/>
          <w:lang w:val="en-GB"/>
        </w:rPr>
        <w:t>2012.</w:t>
      </w:r>
    </w:p>
  </w:footnote>
  <w:footnote w:id="47">
    <w:p w14:paraId="0F7CA25D" w14:textId="79012E18" w:rsidR="007C581C" w:rsidRPr="0097386E" w:rsidRDefault="007C581C" w:rsidP="00A02E8B">
      <w:pPr>
        <w:pStyle w:val="Textpoznpodarou"/>
        <w:rPr>
          <w:sz w:val="16"/>
          <w:szCs w:val="16"/>
          <w:lang w:val="en-GB"/>
        </w:rPr>
      </w:pPr>
      <w:r w:rsidRPr="003A7B9C">
        <w:rPr>
          <w:rStyle w:val="Znakapoznpodarou"/>
          <w:sz w:val="16"/>
          <w:szCs w:val="16"/>
        </w:rPr>
        <w:footnoteRef/>
      </w:r>
      <w:r w:rsidRPr="003A7B9C">
        <w:rPr>
          <w:sz w:val="16"/>
          <w:szCs w:val="16"/>
        </w:rPr>
        <w:t xml:space="preserve"> </w:t>
      </w:r>
      <w:r w:rsidRPr="0097386E">
        <w:rPr>
          <w:sz w:val="16"/>
          <w:szCs w:val="16"/>
          <w:lang w:val="en-GB"/>
        </w:rPr>
        <w:t xml:space="preserve">Especially the increase of the value of export of metallic waste had an effect. </w:t>
      </w:r>
    </w:p>
  </w:footnote>
  <w:footnote w:id="48">
    <w:p w14:paraId="3B6D8428" w14:textId="6237F516" w:rsidR="007C581C" w:rsidRPr="0087187B" w:rsidRDefault="007C581C" w:rsidP="00A02E8B">
      <w:pPr>
        <w:pStyle w:val="Textpoznpodarou"/>
        <w:rPr>
          <w:sz w:val="16"/>
          <w:szCs w:val="16"/>
          <w:lang w:val="en-GB"/>
        </w:rPr>
      </w:pPr>
      <w:r w:rsidRPr="009A4676">
        <w:rPr>
          <w:rStyle w:val="Znakapoznpodarou"/>
          <w:sz w:val="16"/>
          <w:szCs w:val="16"/>
        </w:rPr>
        <w:footnoteRef/>
      </w:r>
      <w:r w:rsidRPr="009A4676">
        <w:rPr>
          <w:sz w:val="16"/>
          <w:szCs w:val="16"/>
        </w:rPr>
        <w:t xml:space="preserve"> </w:t>
      </w:r>
      <w:r w:rsidRPr="0087187B">
        <w:rPr>
          <w:sz w:val="16"/>
          <w:szCs w:val="16"/>
          <w:lang w:val="en-GB"/>
        </w:rPr>
        <w:t>Within Q4</w:t>
      </w:r>
      <w:r>
        <w:rPr>
          <w:sz w:val="16"/>
          <w:szCs w:val="16"/>
          <w:lang w:val="en-GB"/>
        </w:rPr>
        <w:t>s</w:t>
      </w:r>
      <w:r w:rsidRPr="0087187B">
        <w:rPr>
          <w:sz w:val="16"/>
          <w:szCs w:val="16"/>
          <w:lang w:val="en-GB"/>
        </w:rPr>
        <w:t xml:space="preserve"> of the year, the foreign trade ended in deficit in years 2005–2008 and 2010.</w:t>
      </w:r>
    </w:p>
  </w:footnote>
  <w:footnote w:id="49">
    <w:p w14:paraId="7373B91C" w14:textId="4E277233" w:rsidR="007C581C" w:rsidRPr="0087187B" w:rsidRDefault="007C581C" w:rsidP="00A02E8B">
      <w:pPr>
        <w:pStyle w:val="Textpoznpodarou"/>
        <w:rPr>
          <w:sz w:val="16"/>
          <w:szCs w:val="16"/>
          <w:lang w:val="en-GB"/>
        </w:rPr>
      </w:pPr>
      <w:r w:rsidRPr="0087187B">
        <w:rPr>
          <w:rStyle w:val="Znakapoznpodarou"/>
          <w:sz w:val="16"/>
          <w:szCs w:val="16"/>
          <w:lang w:val="en-GB"/>
        </w:rPr>
        <w:footnoteRef/>
      </w:r>
      <w:r w:rsidRPr="0087187B">
        <w:rPr>
          <w:sz w:val="16"/>
          <w:szCs w:val="16"/>
          <w:lang w:val="en-GB"/>
        </w:rPr>
        <w:t xml:space="preserve"> </w:t>
      </w:r>
      <w:r>
        <w:rPr>
          <w:sz w:val="16"/>
          <w:szCs w:val="16"/>
          <w:lang w:val="en-GB"/>
        </w:rPr>
        <w:t>Surplus reached 79.0 CZK bn in Q</w:t>
      </w:r>
      <w:r w:rsidRPr="0087187B">
        <w:rPr>
          <w:sz w:val="16"/>
          <w:szCs w:val="16"/>
          <w:lang w:val="en-GB"/>
        </w:rPr>
        <w:t>4</w:t>
      </w:r>
      <w:r>
        <w:rPr>
          <w:sz w:val="16"/>
          <w:szCs w:val="16"/>
          <w:lang w:val="en-GB"/>
        </w:rPr>
        <w:t xml:space="preserve"> </w:t>
      </w:r>
      <w:r w:rsidRPr="0087187B">
        <w:rPr>
          <w:sz w:val="16"/>
          <w:szCs w:val="16"/>
          <w:lang w:val="en-GB"/>
        </w:rPr>
        <w:t>2020</w:t>
      </w:r>
      <w:r>
        <w:rPr>
          <w:sz w:val="16"/>
          <w:szCs w:val="16"/>
          <w:lang w:val="en-GB"/>
        </w:rPr>
        <w:t xml:space="preserve">, which was the largest recorded result. </w:t>
      </w:r>
    </w:p>
  </w:footnote>
  <w:footnote w:id="50">
    <w:p w14:paraId="2A559405" w14:textId="6FF4146E" w:rsidR="007C581C" w:rsidRPr="00F34AF4" w:rsidRDefault="007C581C" w:rsidP="00F34AF4">
      <w:pPr>
        <w:pStyle w:val="Textpoznpodarou"/>
        <w:jc w:val="both"/>
        <w:rPr>
          <w:sz w:val="16"/>
          <w:szCs w:val="16"/>
          <w:lang w:val="en-GB"/>
        </w:rPr>
      </w:pPr>
      <w:r w:rsidRPr="000A4298">
        <w:rPr>
          <w:rStyle w:val="Znakapoznpodarou"/>
          <w:sz w:val="16"/>
          <w:szCs w:val="16"/>
        </w:rPr>
        <w:footnoteRef/>
      </w:r>
      <w:r>
        <w:rPr>
          <w:sz w:val="16"/>
          <w:szCs w:val="16"/>
        </w:rPr>
        <w:t xml:space="preserve"> </w:t>
      </w:r>
      <w:r w:rsidRPr="00F34AF4">
        <w:rPr>
          <w:sz w:val="16"/>
          <w:szCs w:val="16"/>
          <w:lang w:val="en-GB"/>
        </w:rPr>
        <w:t xml:space="preserve">Imputed rent expresses the cost of owner housing. Apart from the prices of housing themselves, it also consists of costs of construction and renovation and further fees. More at: </w:t>
      </w:r>
      <w:hyperlink r:id="rId1" w:history="1">
        <w:r w:rsidRPr="00F34AF4">
          <w:rPr>
            <w:rStyle w:val="Hypertextovodkaz"/>
            <w:sz w:val="16"/>
            <w:szCs w:val="16"/>
            <w:lang w:val="en-GB"/>
          </w:rPr>
          <w:t>https://www.czso.cz/csu/czso/metodicka-poznamka-k-indexu-spotrebitelskych-cen-imputovane-najemne</w:t>
        </w:r>
      </w:hyperlink>
    </w:p>
  </w:footnote>
  <w:footnote w:id="51">
    <w:p w14:paraId="301C4156" w14:textId="74607B68" w:rsidR="007C581C" w:rsidRPr="00A21647" w:rsidRDefault="007C581C" w:rsidP="009B553D">
      <w:pPr>
        <w:pStyle w:val="Textpoznpodarou"/>
        <w:rPr>
          <w:sz w:val="16"/>
          <w:szCs w:val="16"/>
          <w:lang w:val="en-GB"/>
        </w:rPr>
      </w:pPr>
      <w:r w:rsidRPr="00C055FA">
        <w:rPr>
          <w:rStyle w:val="Znakapoznpodarou"/>
          <w:sz w:val="16"/>
          <w:szCs w:val="16"/>
        </w:rPr>
        <w:footnoteRef/>
      </w:r>
      <w:r w:rsidRPr="00C055FA">
        <w:rPr>
          <w:sz w:val="16"/>
          <w:szCs w:val="16"/>
        </w:rPr>
        <w:t xml:space="preserve"> </w:t>
      </w:r>
      <w:r w:rsidRPr="00A21647">
        <w:rPr>
          <w:sz w:val="16"/>
          <w:szCs w:val="16"/>
          <w:lang w:val="en-GB"/>
        </w:rPr>
        <w:t xml:space="preserve">HICP does not contain the imputed rent. </w:t>
      </w:r>
    </w:p>
  </w:footnote>
  <w:footnote w:id="52">
    <w:p w14:paraId="47034F97" w14:textId="6416BDA1" w:rsidR="007C581C" w:rsidRPr="00037362" w:rsidRDefault="007C581C" w:rsidP="009B553D">
      <w:pPr>
        <w:pStyle w:val="Textpoznpodarou"/>
        <w:rPr>
          <w:sz w:val="16"/>
          <w:szCs w:val="16"/>
          <w:lang w:val="en-GB"/>
        </w:rPr>
      </w:pPr>
      <w:r w:rsidRPr="005F66A4">
        <w:rPr>
          <w:rStyle w:val="Znakapoznpodarou"/>
          <w:sz w:val="16"/>
          <w:szCs w:val="16"/>
        </w:rPr>
        <w:footnoteRef/>
      </w:r>
      <w:r w:rsidRPr="005F66A4">
        <w:rPr>
          <w:sz w:val="16"/>
          <w:szCs w:val="16"/>
        </w:rPr>
        <w:t xml:space="preserve"> </w:t>
      </w:r>
      <w:r w:rsidRPr="00037362">
        <w:rPr>
          <w:sz w:val="16"/>
          <w:szCs w:val="16"/>
          <w:lang w:val="en-GB"/>
        </w:rPr>
        <w:t xml:space="preserve">Data </w:t>
      </w:r>
      <w:proofErr w:type="gramStart"/>
      <w:r w:rsidRPr="00037362">
        <w:rPr>
          <w:sz w:val="16"/>
          <w:szCs w:val="16"/>
          <w:lang w:val="en-GB"/>
        </w:rPr>
        <w:t>are not given</w:t>
      </w:r>
      <w:proofErr w:type="gramEnd"/>
      <w:r w:rsidRPr="00037362">
        <w:rPr>
          <w:sz w:val="16"/>
          <w:szCs w:val="16"/>
          <w:lang w:val="en-GB"/>
        </w:rPr>
        <w:t xml:space="preserve"> due to the protection of individual data. </w:t>
      </w:r>
    </w:p>
  </w:footnote>
  <w:footnote w:id="53">
    <w:p w14:paraId="65113B68" w14:textId="314D2D2D" w:rsidR="007C581C" w:rsidRPr="00350728" w:rsidRDefault="007C581C" w:rsidP="009B553D">
      <w:pPr>
        <w:pStyle w:val="Textpoznpodarou"/>
        <w:rPr>
          <w:sz w:val="16"/>
          <w:szCs w:val="16"/>
          <w:lang w:val="en-GB"/>
        </w:rPr>
      </w:pPr>
      <w:r w:rsidRPr="000C5F73">
        <w:rPr>
          <w:rStyle w:val="Znakapoznpodarou"/>
          <w:sz w:val="16"/>
          <w:szCs w:val="16"/>
        </w:rPr>
        <w:footnoteRef/>
      </w:r>
      <w:r w:rsidRPr="000C5F73">
        <w:rPr>
          <w:sz w:val="16"/>
          <w:szCs w:val="16"/>
        </w:rPr>
        <w:t xml:space="preserve"> </w:t>
      </w:r>
      <w:r w:rsidRPr="00350728">
        <w:rPr>
          <w:sz w:val="16"/>
          <w:szCs w:val="16"/>
          <w:lang w:val="en-GB"/>
        </w:rPr>
        <w:t xml:space="preserve">Excluding prices of water supply and waste management. </w:t>
      </w:r>
    </w:p>
  </w:footnote>
  <w:footnote w:id="54">
    <w:p w14:paraId="6120DFAB" w14:textId="4818D8F1" w:rsidR="007C581C" w:rsidRPr="00DF199C" w:rsidRDefault="007C581C" w:rsidP="009B553D">
      <w:pPr>
        <w:pStyle w:val="Textpoznpodarou"/>
        <w:rPr>
          <w:sz w:val="16"/>
          <w:szCs w:val="16"/>
          <w:lang w:val="en-GB"/>
        </w:rPr>
      </w:pPr>
      <w:r w:rsidRPr="00C11C5A">
        <w:rPr>
          <w:rStyle w:val="Znakapoznpodarou"/>
          <w:sz w:val="16"/>
          <w:szCs w:val="16"/>
        </w:rPr>
        <w:footnoteRef/>
      </w:r>
      <w:r>
        <w:rPr>
          <w:sz w:val="16"/>
          <w:szCs w:val="16"/>
        </w:rPr>
        <w:t xml:space="preserve"> </w:t>
      </w:r>
      <w:r w:rsidRPr="00DF199C">
        <w:rPr>
          <w:sz w:val="16"/>
          <w:szCs w:val="16"/>
          <w:lang w:val="en-GB"/>
        </w:rPr>
        <w:t>According to the CNB data, the average koruna foreign attained 26.444 CZK/EUR in 2020. Last year it was 25.645 CZK/EUR.</w:t>
      </w:r>
      <w:r>
        <w:rPr>
          <w:sz w:val="16"/>
          <w:szCs w:val="16"/>
          <w:lang w:val="en-GB"/>
        </w:rPr>
        <w:t xml:space="preserve"> The koruna foreign exchange was also stronger against dollar. The average was </w:t>
      </w:r>
      <w:r w:rsidRPr="00DF199C">
        <w:rPr>
          <w:sz w:val="16"/>
          <w:szCs w:val="16"/>
          <w:lang w:val="en-GB"/>
        </w:rPr>
        <w:t>23</w:t>
      </w:r>
      <w:r>
        <w:rPr>
          <w:sz w:val="16"/>
          <w:szCs w:val="16"/>
          <w:lang w:val="en-GB"/>
        </w:rPr>
        <w:t>.</w:t>
      </w:r>
      <w:r w:rsidRPr="00DF199C">
        <w:rPr>
          <w:sz w:val="16"/>
          <w:szCs w:val="16"/>
          <w:lang w:val="en-GB"/>
        </w:rPr>
        <w:t>196 CZK/USD</w:t>
      </w:r>
      <w:r>
        <w:rPr>
          <w:sz w:val="16"/>
          <w:szCs w:val="16"/>
          <w:lang w:val="en-GB"/>
        </w:rPr>
        <w:t xml:space="preserve"> in 2020, </w:t>
      </w:r>
      <w:r w:rsidRPr="00DF199C">
        <w:rPr>
          <w:sz w:val="16"/>
          <w:szCs w:val="16"/>
          <w:lang w:val="en-GB"/>
        </w:rPr>
        <w:t>21</w:t>
      </w:r>
      <w:r>
        <w:rPr>
          <w:sz w:val="16"/>
          <w:szCs w:val="16"/>
          <w:lang w:val="en-GB"/>
        </w:rPr>
        <w:t>.</w:t>
      </w:r>
      <w:r w:rsidRPr="00DF199C">
        <w:rPr>
          <w:sz w:val="16"/>
          <w:szCs w:val="16"/>
          <w:lang w:val="en-GB"/>
        </w:rPr>
        <w:t>682 CZK/USD</w:t>
      </w:r>
      <w:r>
        <w:rPr>
          <w:sz w:val="16"/>
          <w:szCs w:val="16"/>
          <w:lang w:val="en-GB"/>
        </w:rPr>
        <w:t xml:space="preserve"> last year</w:t>
      </w:r>
      <w:r w:rsidRPr="00DF199C">
        <w:rPr>
          <w:sz w:val="16"/>
          <w:szCs w:val="16"/>
          <w:lang w:val="en-GB"/>
        </w:rPr>
        <w:t>.</w:t>
      </w:r>
    </w:p>
  </w:footnote>
  <w:footnote w:id="55">
    <w:p w14:paraId="4531899F" w14:textId="61475F73" w:rsidR="007C581C" w:rsidRPr="00DF199C" w:rsidRDefault="007C581C" w:rsidP="009B553D">
      <w:pPr>
        <w:pStyle w:val="Textpoznpodarou"/>
        <w:rPr>
          <w:sz w:val="16"/>
          <w:szCs w:val="16"/>
          <w:lang w:val="en-GB"/>
        </w:rPr>
      </w:pPr>
      <w:r w:rsidRPr="00DF199C">
        <w:rPr>
          <w:rStyle w:val="Znakapoznpodarou"/>
          <w:sz w:val="16"/>
          <w:szCs w:val="16"/>
          <w:lang w:val="en-GB"/>
        </w:rPr>
        <w:footnoteRef/>
      </w:r>
      <w:r w:rsidRPr="00DF199C">
        <w:rPr>
          <w:sz w:val="16"/>
          <w:szCs w:val="16"/>
          <w:lang w:val="en-GB"/>
        </w:rPr>
        <w:t xml:space="preserve"> SITC 2 – crude materials, inedible, except fuels.</w:t>
      </w:r>
    </w:p>
  </w:footnote>
  <w:footnote w:id="56">
    <w:p w14:paraId="18798530" w14:textId="7FB0329E" w:rsidR="007C581C" w:rsidRPr="002C5B25" w:rsidRDefault="007C581C" w:rsidP="00DF199C">
      <w:pPr>
        <w:pStyle w:val="Textpoznpodarou"/>
        <w:jc w:val="both"/>
        <w:rPr>
          <w:sz w:val="16"/>
          <w:szCs w:val="16"/>
          <w:lang w:val="en-GB"/>
        </w:rPr>
      </w:pPr>
      <w:r w:rsidRPr="002C5B25">
        <w:rPr>
          <w:rStyle w:val="Znakapoznpodarou"/>
          <w:sz w:val="16"/>
          <w:szCs w:val="16"/>
          <w:lang w:val="en-GB"/>
        </w:rPr>
        <w:footnoteRef/>
      </w:r>
      <w:r w:rsidRPr="002C5B25">
        <w:rPr>
          <w:sz w:val="16"/>
          <w:szCs w:val="16"/>
          <w:lang w:val="en-GB"/>
        </w:rPr>
        <w:t xml:space="preserve"> SITC 6 – </w:t>
      </w:r>
      <w:r w:rsidRPr="00062BF9">
        <w:rPr>
          <w:sz w:val="16"/>
          <w:szCs w:val="16"/>
          <w:lang w:val="en-GB"/>
        </w:rPr>
        <w:t>ma</w:t>
      </w:r>
      <w:r>
        <w:rPr>
          <w:sz w:val="16"/>
          <w:szCs w:val="16"/>
          <w:lang w:val="en-GB"/>
        </w:rPr>
        <w:t xml:space="preserve">nufactured </w:t>
      </w:r>
      <w:r w:rsidRPr="00062BF9">
        <w:rPr>
          <w:sz w:val="16"/>
          <w:szCs w:val="16"/>
          <w:lang w:val="en-GB"/>
        </w:rPr>
        <w:t>goods classified chiefly by material.</w:t>
      </w:r>
    </w:p>
  </w:footnote>
  <w:footnote w:id="57">
    <w:p w14:paraId="112D0E6A" w14:textId="10001C70" w:rsidR="007C581C" w:rsidRPr="00B95CD4" w:rsidRDefault="007C581C" w:rsidP="00B01D0F">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B95CD4">
        <w:rPr>
          <w:color w:val="0D0D0D" w:themeColor="text1" w:themeTint="F2"/>
          <w:spacing w:val="-2"/>
          <w:sz w:val="16"/>
          <w:szCs w:val="16"/>
          <w:lang w:val="en-GB"/>
        </w:rPr>
        <w:t xml:space="preserve">Data regarding employment in this chapter stem from the national accounts conception. They </w:t>
      </w:r>
      <w:proofErr w:type="gramStart"/>
      <w:r w:rsidRPr="00B95CD4">
        <w:rPr>
          <w:color w:val="0D0D0D" w:themeColor="text1" w:themeTint="F2"/>
          <w:spacing w:val="-2"/>
          <w:sz w:val="16"/>
          <w:szCs w:val="16"/>
          <w:lang w:val="en-GB"/>
        </w:rPr>
        <w:t>are expressed in physical persons and adjusted for seasonal effects</w:t>
      </w:r>
      <w:proofErr w:type="gramEnd"/>
      <w:r w:rsidRPr="00B95CD4">
        <w:rPr>
          <w:color w:val="0D0D0D" w:themeColor="text1" w:themeTint="F2"/>
          <w:spacing w:val="-2"/>
          <w:sz w:val="16"/>
          <w:szCs w:val="16"/>
          <w:lang w:val="en-GB"/>
        </w:rPr>
        <w:t xml:space="preserve">. </w:t>
      </w:r>
    </w:p>
  </w:footnote>
  <w:footnote w:id="58">
    <w:p w14:paraId="088EB162" w14:textId="511C1629"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The more detailed data from the Labour Force Sample Survey </w:t>
      </w:r>
      <w:r w:rsidRPr="00B95CD4">
        <w:rPr>
          <w:color w:val="0D0D0D" w:themeColor="text1" w:themeTint="F2"/>
          <w:sz w:val="16"/>
          <w:szCs w:val="16"/>
          <w:lang w:val="en-GB"/>
        </w:rPr>
        <w:t>(</w:t>
      </w:r>
      <w:r>
        <w:rPr>
          <w:color w:val="0D0D0D" w:themeColor="text1" w:themeTint="F2"/>
          <w:sz w:val="16"/>
          <w:szCs w:val="16"/>
          <w:lang w:val="en-GB"/>
        </w:rPr>
        <w:t>LFSS</w:t>
      </w:r>
      <w:r w:rsidRPr="00B95CD4">
        <w:rPr>
          <w:spacing w:val="-3"/>
          <w:sz w:val="16"/>
          <w:szCs w:val="16"/>
          <w:lang w:val="en-GB"/>
        </w:rPr>
        <w:t>)</w:t>
      </w:r>
      <w:r w:rsidRPr="00B95CD4">
        <w:rPr>
          <w:color w:val="0D0D0D" w:themeColor="text1" w:themeTint="F2"/>
          <w:sz w:val="16"/>
          <w:szCs w:val="16"/>
          <w:lang w:val="en-GB"/>
        </w:rPr>
        <w:t xml:space="preserve"> </w:t>
      </w:r>
      <w:r>
        <w:rPr>
          <w:color w:val="0D0D0D" w:themeColor="text1" w:themeTint="F2"/>
          <w:sz w:val="16"/>
          <w:szCs w:val="16"/>
          <w:lang w:val="en-GB"/>
        </w:rPr>
        <w:t>show, that next to the entrepreneurs without employees the number of entrepreneurs with employees and assisting family members also fell year-on-year in Q</w:t>
      </w:r>
      <w:r w:rsidRPr="00B95CD4">
        <w:rPr>
          <w:color w:val="0D0D0D" w:themeColor="text1" w:themeTint="F2"/>
          <w:sz w:val="16"/>
          <w:szCs w:val="16"/>
          <w:lang w:val="en-GB"/>
        </w:rPr>
        <w:t>4</w:t>
      </w:r>
      <w:r>
        <w:rPr>
          <w:color w:val="0D0D0D" w:themeColor="text1" w:themeTint="F2"/>
          <w:sz w:val="16"/>
          <w:szCs w:val="16"/>
          <w:lang w:val="en-GB"/>
        </w:rPr>
        <w:t xml:space="preserve"> </w:t>
      </w:r>
      <w:r w:rsidRPr="00B95CD4">
        <w:rPr>
          <w:color w:val="0D0D0D" w:themeColor="text1" w:themeTint="F2"/>
          <w:sz w:val="16"/>
          <w:szCs w:val="16"/>
          <w:lang w:val="en-GB"/>
        </w:rPr>
        <w:t>2021</w:t>
      </w:r>
      <w:r>
        <w:rPr>
          <w:color w:val="0D0D0D" w:themeColor="text1" w:themeTint="F2"/>
          <w:sz w:val="16"/>
          <w:szCs w:val="16"/>
          <w:lang w:val="en-GB"/>
        </w:rPr>
        <w:t xml:space="preserve"> </w:t>
      </w:r>
      <w:r w:rsidRPr="00B95CD4">
        <w:rPr>
          <w:color w:val="0D0D0D" w:themeColor="text1" w:themeTint="F2"/>
          <w:sz w:val="16"/>
          <w:szCs w:val="16"/>
          <w:lang w:val="en-GB"/>
        </w:rPr>
        <w:t>(</w:t>
      </w:r>
      <w:r>
        <w:rPr>
          <w:color w:val="0D0D0D" w:themeColor="text1" w:themeTint="F2"/>
          <w:sz w:val="16"/>
          <w:szCs w:val="16"/>
          <w:lang w:val="en-GB"/>
        </w:rPr>
        <w:t xml:space="preserve">by </w:t>
      </w:r>
      <w:r w:rsidRPr="00B95CD4">
        <w:rPr>
          <w:color w:val="0D0D0D" w:themeColor="text1" w:themeTint="F2"/>
          <w:sz w:val="16"/>
          <w:szCs w:val="16"/>
          <w:lang w:val="en-GB"/>
        </w:rPr>
        <w:t>11 t</w:t>
      </w:r>
      <w:r>
        <w:rPr>
          <w:color w:val="0D0D0D" w:themeColor="text1" w:themeTint="F2"/>
          <w:sz w:val="16"/>
          <w:szCs w:val="16"/>
          <w:lang w:val="en-GB"/>
        </w:rPr>
        <w:t>housand and 8 thousand respectively</w:t>
      </w:r>
      <w:r w:rsidRPr="00B95CD4">
        <w:rPr>
          <w:color w:val="0D0D0D" w:themeColor="text1" w:themeTint="F2"/>
          <w:sz w:val="16"/>
          <w:szCs w:val="16"/>
          <w:lang w:val="en-GB"/>
        </w:rPr>
        <w:t>)</w:t>
      </w:r>
      <w:r>
        <w:rPr>
          <w:color w:val="0D0D0D" w:themeColor="text1" w:themeTint="F2"/>
          <w:sz w:val="16"/>
          <w:szCs w:val="16"/>
          <w:lang w:val="en-GB"/>
        </w:rPr>
        <w:t xml:space="preserve">. Both these categories are within the national accounts conception placed into the employee group. </w:t>
      </w:r>
    </w:p>
  </w:footnote>
  <w:footnote w:id="59">
    <w:p w14:paraId="6537AAE8" w14:textId="3E722EFD"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Mild decrease of the number of self-employed manifested for example in the period of after crisis expansion of the domestic economy in years </w:t>
      </w:r>
      <w:r w:rsidRPr="00B95CD4">
        <w:rPr>
          <w:color w:val="0D0D0D" w:themeColor="text1" w:themeTint="F2"/>
          <w:sz w:val="16"/>
          <w:szCs w:val="16"/>
          <w:lang w:val="en-GB"/>
        </w:rPr>
        <w:t>2014 a</w:t>
      </w:r>
      <w:r>
        <w:rPr>
          <w:color w:val="0D0D0D" w:themeColor="text1" w:themeTint="F2"/>
          <w:sz w:val="16"/>
          <w:szCs w:val="16"/>
          <w:lang w:val="en-GB"/>
        </w:rPr>
        <w:t>nd</w:t>
      </w:r>
      <w:r w:rsidRPr="00B95CD4">
        <w:rPr>
          <w:color w:val="0D0D0D" w:themeColor="text1" w:themeTint="F2"/>
          <w:sz w:val="16"/>
          <w:szCs w:val="16"/>
          <w:lang w:val="en-GB"/>
        </w:rPr>
        <w:t> 2015.</w:t>
      </w:r>
    </w:p>
  </w:footnote>
  <w:footnote w:id="60">
    <w:p w14:paraId="23A469DD" w14:textId="14B1996B"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Branches with the predominance of the public services, containing apart from the above mentioned activities also p</w:t>
      </w:r>
      <w:r w:rsidRPr="00010816">
        <w:rPr>
          <w:color w:val="0D0D0D" w:themeColor="text1" w:themeTint="F2"/>
          <w:sz w:val="16"/>
          <w:szCs w:val="16"/>
          <w:lang w:val="en-GB"/>
        </w:rPr>
        <w:t>ublic administration, education, health and social work</w:t>
      </w:r>
      <w:r w:rsidRPr="00B95CD4">
        <w:rPr>
          <w:color w:val="0D0D0D" w:themeColor="text1" w:themeTint="F2"/>
          <w:sz w:val="16"/>
          <w:szCs w:val="16"/>
          <w:lang w:val="en-GB"/>
        </w:rPr>
        <w:t xml:space="preserve">, </w:t>
      </w:r>
      <w:r>
        <w:rPr>
          <w:color w:val="0D0D0D" w:themeColor="text1" w:themeTint="F2"/>
          <w:sz w:val="16"/>
          <w:szCs w:val="16"/>
          <w:lang w:val="en-GB"/>
        </w:rPr>
        <w:t xml:space="preserve">had a pro-growth effect on the total employment the most out of all branches also for the whole period of years </w:t>
      </w:r>
      <w:r w:rsidRPr="00B95CD4">
        <w:rPr>
          <w:color w:val="0D0D0D" w:themeColor="text1" w:themeTint="F2"/>
          <w:sz w:val="16"/>
          <w:szCs w:val="16"/>
          <w:lang w:val="en-GB"/>
        </w:rPr>
        <w:t>2020 a</w:t>
      </w:r>
      <w:r>
        <w:rPr>
          <w:color w:val="0D0D0D" w:themeColor="text1" w:themeTint="F2"/>
          <w:sz w:val="16"/>
          <w:szCs w:val="16"/>
          <w:lang w:val="en-GB"/>
        </w:rPr>
        <w:t>nd</w:t>
      </w:r>
      <w:r w:rsidRPr="00B95CD4">
        <w:rPr>
          <w:color w:val="0D0D0D" w:themeColor="text1" w:themeTint="F2"/>
          <w:sz w:val="16"/>
          <w:szCs w:val="16"/>
          <w:lang w:val="en-GB"/>
        </w:rPr>
        <w:t> 2021.</w:t>
      </w:r>
    </w:p>
  </w:footnote>
  <w:footnote w:id="61">
    <w:p w14:paraId="757E061E" w14:textId="3288C8CC"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It however remained by more than 5% (resp. 67 thousand persons) behind its pre-pandemic peak. </w:t>
      </w:r>
    </w:p>
  </w:footnote>
  <w:footnote w:id="62">
    <w:p w14:paraId="7EBDADFF" w14:textId="17C230E0" w:rsidR="007C581C" w:rsidRPr="00B95CD4" w:rsidRDefault="007C581C" w:rsidP="00B01D0F">
      <w:pPr>
        <w:pStyle w:val="Textpoznpodarou"/>
        <w:jc w:val="both"/>
        <w:rPr>
          <w:color w:val="0D0D0D" w:themeColor="text1" w:themeTint="F2"/>
          <w:sz w:val="16"/>
          <w:szCs w:val="16"/>
          <w:lang w:val="en-GB"/>
        </w:rPr>
      </w:pPr>
      <w:r w:rsidRPr="00B95CD4">
        <w:rPr>
          <w:rStyle w:val="Znakapoznpodarou"/>
          <w:color w:val="0D0D0D" w:themeColor="text1" w:themeTint="F2"/>
          <w:sz w:val="16"/>
          <w:szCs w:val="16"/>
          <w:lang w:val="en-GB"/>
        </w:rPr>
        <w:footnoteRef/>
      </w:r>
      <w:r w:rsidRPr="00B95CD4">
        <w:rPr>
          <w:color w:val="0D0D0D" w:themeColor="text1" w:themeTint="F2"/>
          <w:sz w:val="16"/>
          <w:szCs w:val="16"/>
          <w:lang w:val="en-GB"/>
        </w:rPr>
        <w:t xml:space="preserve"> </w:t>
      </w:r>
      <w:r>
        <w:rPr>
          <w:color w:val="0D0D0D" w:themeColor="text1" w:themeTint="F2"/>
          <w:sz w:val="16"/>
          <w:szCs w:val="16"/>
          <w:lang w:val="en-GB"/>
        </w:rPr>
        <w:t xml:space="preserve">More than 35% of all workers in these branches consisted of self-employed persons in year </w:t>
      </w:r>
      <w:r w:rsidRPr="00B95CD4">
        <w:rPr>
          <w:color w:val="0D0D0D" w:themeColor="text1" w:themeTint="F2"/>
          <w:sz w:val="16"/>
          <w:szCs w:val="16"/>
          <w:lang w:val="en-GB"/>
        </w:rPr>
        <w:t xml:space="preserve">2021. </w:t>
      </w:r>
      <w:r>
        <w:rPr>
          <w:color w:val="0D0D0D" w:themeColor="text1" w:themeTint="F2"/>
          <w:sz w:val="16"/>
          <w:szCs w:val="16"/>
          <w:lang w:val="en-GB"/>
        </w:rPr>
        <w:t xml:space="preserve">They also had more than doubled representation compared to the whole economy in construction </w:t>
      </w:r>
      <w:r w:rsidRPr="00B95CD4">
        <w:rPr>
          <w:color w:val="0D0D0D" w:themeColor="text1" w:themeTint="F2"/>
          <w:sz w:val="16"/>
          <w:szCs w:val="16"/>
          <w:lang w:val="en-GB"/>
        </w:rPr>
        <w:t xml:space="preserve">(33%), </w:t>
      </w:r>
      <w:r>
        <w:rPr>
          <w:color w:val="0D0D0D" w:themeColor="text1" w:themeTint="F2"/>
          <w:sz w:val="16"/>
          <w:szCs w:val="16"/>
          <w:lang w:val="en-GB"/>
        </w:rPr>
        <w:t xml:space="preserve">real estate activities </w:t>
      </w:r>
      <w:r w:rsidRPr="00B95CD4">
        <w:rPr>
          <w:color w:val="0D0D0D" w:themeColor="text1" w:themeTint="F2"/>
          <w:sz w:val="16"/>
          <w:szCs w:val="16"/>
          <w:lang w:val="en-GB"/>
        </w:rPr>
        <w:t>(31%) a</w:t>
      </w:r>
      <w:r>
        <w:rPr>
          <w:color w:val="0D0D0D" w:themeColor="text1" w:themeTint="F2"/>
          <w:sz w:val="16"/>
          <w:szCs w:val="16"/>
          <w:lang w:val="en-GB"/>
        </w:rPr>
        <w:t xml:space="preserve">nd agriculture and forestry </w:t>
      </w:r>
      <w:r w:rsidRPr="00B95CD4">
        <w:rPr>
          <w:color w:val="0D0D0D" w:themeColor="text1" w:themeTint="F2"/>
          <w:sz w:val="16"/>
          <w:szCs w:val="16"/>
          <w:lang w:val="en-GB"/>
        </w:rPr>
        <w:t>(29%).</w:t>
      </w:r>
    </w:p>
  </w:footnote>
  <w:footnote w:id="63">
    <w:p w14:paraId="4DC90EA4" w14:textId="47DC5D7B" w:rsidR="007C581C" w:rsidRPr="0008695E" w:rsidRDefault="007C581C" w:rsidP="00B01D0F">
      <w:pPr>
        <w:pStyle w:val="Textpoznpodarou"/>
        <w:jc w:val="both"/>
        <w:rPr>
          <w:spacing w:val="-4"/>
          <w:sz w:val="16"/>
          <w:szCs w:val="16"/>
          <w:lang w:val="en-GB"/>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w:t>
      </w:r>
      <w:r w:rsidRPr="0008695E">
        <w:rPr>
          <w:color w:val="0D0D0D" w:themeColor="text1" w:themeTint="F2"/>
          <w:sz w:val="16"/>
          <w:szCs w:val="16"/>
          <w:lang w:val="en-GB"/>
        </w:rPr>
        <w:t>Number of all foreigners working in the CR in the employee position strongly grew for a major part of the last year.</w:t>
      </w:r>
      <w:r>
        <w:rPr>
          <w:color w:val="0D0D0D" w:themeColor="text1" w:themeTint="F2"/>
          <w:sz w:val="16"/>
          <w:szCs w:val="16"/>
          <w:lang w:val="en-GB"/>
        </w:rPr>
        <w:t xml:space="preserve"> In </w:t>
      </w:r>
      <w:proofErr w:type="gramStart"/>
      <w:r>
        <w:rPr>
          <w:color w:val="0D0D0D" w:themeColor="text1" w:themeTint="F2"/>
          <w:sz w:val="16"/>
          <w:szCs w:val="16"/>
          <w:lang w:val="en-GB"/>
        </w:rPr>
        <w:t>September</w:t>
      </w:r>
      <w:proofErr w:type="gramEnd"/>
      <w:r>
        <w:rPr>
          <w:color w:val="0D0D0D" w:themeColor="text1" w:themeTint="F2"/>
          <w:sz w:val="16"/>
          <w:szCs w:val="16"/>
          <w:lang w:val="en-GB"/>
        </w:rPr>
        <w:t xml:space="preserve"> the labour offices registered record </w:t>
      </w:r>
      <w:r w:rsidRPr="0008695E">
        <w:rPr>
          <w:color w:val="0D0D0D" w:themeColor="text1" w:themeTint="F2"/>
          <w:spacing w:val="-4"/>
          <w:sz w:val="16"/>
          <w:szCs w:val="16"/>
          <w:lang w:val="en-GB"/>
        </w:rPr>
        <w:t>720 t</w:t>
      </w:r>
      <w:r>
        <w:rPr>
          <w:color w:val="0D0D0D" w:themeColor="text1" w:themeTint="F2"/>
          <w:spacing w:val="-4"/>
          <w:sz w:val="16"/>
          <w:szCs w:val="16"/>
          <w:lang w:val="en-GB"/>
        </w:rPr>
        <w:t>housand of them</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 Their number mildly fell just at the end of the year </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to </w:t>
      </w:r>
      <w:r w:rsidRPr="0008695E">
        <w:rPr>
          <w:color w:val="0D0D0D" w:themeColor="text1" w:themeTint="F2"/>
          <w:spacing w:val="-4"/>
          <w:sz w:val="16"/>
          <w:szCs w:val="16"/>
          <w:lang w:val="en-GB"/>
        </w:rPr>
        <w:t>702 t</w:t>
      </w:r>
      <w:r>
        <w:rPr>
          <w:color w:val="0D0D0D" w:themeColor="text1" w:themeTint="F2"/>
          <w:spacing w:val="-4"/>
          <w:sz w:val="16"/>
          <w:szCs w:val="16"/>
          <w:lang w:val="en-GB"/>
        </w:rPr>
        <w:t>housand</w:t>
      </w:r>
      <w:r w:rsidRPr="0008695E">
        <w:rPr>
          <w:color w:val="0D0D0D" w:themeColor="text1" w:themeTint="F2"/>
          <w:spacing w:val="-4"/>
          <w:sz w:val="16"/>
          <w:szCs w:val="16"/>
          <w:lang w:val="en-GB"/>
        </w:rPr>
        <w:t>)</w:t>
      </w:r>
      <w:proofErr w:type="gramStart"/>
      <w:r w:rsidRPr="0008695E">
        <w:rPr>
          <w:color w:val="0D0D0D" w:themeColor="text1" w:themeTint="F2"/>
          <w:spacing w:val="-4"/>
          <w:sz w:val="16"/>
          <w:szCs w:val="16"/>
          <w:lang w:val="en-GB"/>
        </w:rPr>
        <w:t>,</w:t>
      </w:r>
      <w:proofErr w:type="gramEnd"/>
      <w:r w:rsidRPr="0008695E">
        <w:rPr>
          <w:color w:val="0D0D0D" w:themeColor="text1" w:themeTint="F2"/>
          <w:spacing w:val="-4"/>
          <w:sz w:val="16"/>
          <w:szCs w:val="16"/>
          <w:lang w:val="en-GB"/>
        </w:rPr>
        <w:t xml:space="preserve"> </w:t>
      </w:r>
      <w:r>
        <w:rPr>
          <w:color w:val="0D0D0D" w:themeColor="text1" w:themeTint="F2"/>
          <w:spacing w:val="-4"/>
          <w:sz w:val="16"/>
          <w:szCs w:val="16"/>
          <w:lang w:val="en-GB"/>
        </w:rPr>
        <w:t xml:space="preserve">still it was by nearly one tenth higher year-on-year. This increase was from nearly two thirds the result of the strong inflow of workers from Ukraine, whose number </w:t>
      </w:r>
      <w:r w:rsidRPr="0008695E">
        <w:rPr>
          <w:color w:val="0D0D0D" w:themeColor="text1" w:themeTint="F2"/>
          <w:spacing w:val="-4"/>
          <w:sz w:val="16"/>
          <w:szCs w:val="16"/>
          <w:lang w:val="en-GB"/>
        </w:rPr>
        <w:t>(195 t</w:t>
      </w:r>
      <w:r>
        <w:rPr>
          <w:color w:val="0D0D0D" w:themeColor="text1" w:themeTint="F2"/>
          <w:spacing w:val="-4"/>
          <w:sz w:val="16"/>
          <w:szCs w:val="16"/>
          <w:lang w:val="en-GB"/>
        </w:rPr>
        <w:t>housand</w:t>
      </w:r>
      <w:r w:rsidRPr="0008695E">
        <w:rPr>
          <w:color w:val="0D0D0D" w:themeColor="text1" w:themeTint="F2"/>
          <w:spacing w:val="-4"/>
          <w:sz w:val="16"/>
          <w:szCs w:val="16"/>
          <w:lang w:val="en-GB"/>
        </w:rPr>
        <w:t xml:space="preserve">) </w:t>
      </w:r>
      <w:r>
        <w:rPr>
          <w:color w:val="0D0D0D" w:themeColor="text1" w:themeTint="F2"/>
          <w:spacing w:val="-4"/>
          <w:sz w:val="16"/>
          <w:szCs w:val="16"/>
          <w:lang w:val="en-GB"/>
        </w:rPr>
        <w:t xml:space="preserve">approached the long-term dominant group of workers from Slovakia </w:t>
      </w:r>
      <w:r w:rsidRPr="0008695E">
        <w:rPr>
          <w:color w:val="0D0D0D" w:themeColor="text1" w:themeTint="F2"/>
          <w:spacing w:val="-4"/>
          <w:sz w:val="16"/>
          <w:szCs w:val="16"/>
          <w:lang w:val="en-GB"/>
        </w:rPr>
        <w:t>(209 t</w:t>
      </w:r>
      <w:r>
        <w:rPr>
          <w:color w:val="0D0D0D" w:themeColor="text1" w:themeTint="F2"/>
          <w:spacing w:val="-4"/>
          <w:sz w:val="16"/>
          <w:szCs w:val="16"/>
          <w:lang w:val="en-GB"/>
        </w:rPr>
        <w:t>housand</w:t>
      </w:r>
      <w:r w:rsidRPr="0008695E">
        <w:rPr>
          <w:color w:val="0D0D0D" w:themeColor="text1" w:themeTint="F2"/>
          <w:spacing w:val="-4"/>
          <w:sz w:val="16"/>
          <w:szCs w:val="16"/>
          <w:lang w:val="en-GB"/>
        </w:rPr>
        <w:t>).</w:t>
      </w:r>
      <w:r>
        <w:rPr>
          <w:color w:val="0D0D0D" w:themeColor="text1" w:themeTint="F2"/>
          <w:spacing w:val="-4"/>
          <w:sz w:val="16"/>
          <w:szCs w:val="16"/>
          <w:lang w:val="en-GB"/>
        </w:rPr>
        <w:t xml:space="preserve"> Nearly </w:t>
      </w:r>
      <w:proofErr w:type="gramStart"/>
      <w:r>
        <w:rPr>
          <w:color w:val="0D0D0D" w:themeColor="text1" w:themeTint="F2"/>
          <w:spacing w:val="-4"/>
          <w:sz w:val="16"/>
          <w:szCs w:val="16"/>
          <w:lang w:val="en-GB"/>
        </w:rPr>
        <w:t>one half</w:t>
      </w:r>
      <w:proofErr w:type="gramEnd"/>
      <w:r>
        <w:rPr>
          <w:color w:val="0D0D0D" w:themeColor="text1" w:themeTint="F2"/>
          <w:spacing w:val="-4"/>
          <w:sz w:val="16"/>
          <w:szCs w:val="16"/>
          <w:lang w:val="en-GB"/>
        </w:rPr>
        <w:t xml:space="preserve"> of all registered employees from Ukraine did not need a work permit in the CR, the most often due to granted permanent residency. </w:t>
      </w:r>
      <w:proofErr w:type="gramStart"/>
      <w:r>
        <w:rPr>
          <w:color w:val="0D0D0D" w:themeColor="text1" w:themeTint="F2"/>
          <w:spacing w:val="-4"/>
          <w:sz w:val="16"/>
          <w:szCs w:val="16"/>
          <w:lang w:val="en-GB"/>
        </w:rPr>
        <w:t>3</w:t>
      </w:r>
      <w:r w:rsidRPr="0008695E">
        <w:rPr>
          <w:color w:val="0D0D0D" w:themeColor="text1" w:themeTint="F2"/>
          <w:spacing w:val="-4"/>
          <w:sz w:val="16"/>
          <w:szCs w:val="16"/>
          <w:lang w:val="en-GB"/>
        </w:rPr>
        <w:t>7%</w:t>
      </w:r>
      <w:proofErr w:type="gramEnd"/>
      <w:r>
        <w:rPr>
          <w:color w:val="0D0D0D" w:themeColor="text1" w:themeTint="F2"/>
          <w:spacing w:val="-4"/>
          <w:sz w:val="16"/>
          <w:szCs w:val="16"/>
          <w:lang w:val="en-GB"/>
        </w:rPr>
        <w:t xml:space="preserve"> of Ukrainians had at their disposal the residency permit, thanks to the employee cards further 70 thousand were working here. </w:t>
      </w:r>
      <w:proofErr w:type="gramStart"/>
      <w:r>
        <w:rPr>
          <w:color w:val="0D0D0D" w:themeColor="text1" w:themeTint="F2"/>
          <w:spacing w:val="-4"/>
          <w:sz w:val="16"/>
          <w:szCs w:val="16"/>
          <w:lang w:val="en-GB"/>
        </w:rPr>
        <w:t>58%</w:t>
      </w:r>
      <w:proofErr w:type="gramEnd"/>
      <w:r>
        <w:rPr>
          <w:color w:val="0D0D0D" w:themeColor="text1" w:themeTint="F2"/>
          <w:spacing w:val="-4"/>
          <w:sz w:val="16"/>
          <w:szCs w:val="16"/>
          <w:lang w:val="en-GB"/>
        </w:rPr>
        <w:t xml:space="preserve"> of all employees from Ukraine were males, slightly less than for all foreign employees in the CR </w:t>
      </w:r>
      <w:r w:rsidRPr="0008695E">
        <w:rPr>
          <w:color w:val="0D0D0D" w:themeColor="text1" w:themeTint="F2"/>
          <w:spacing w:val="-4"/>
          <w:sz w:val="16"/>
          <w:szCs w:val="16"/>
          <w:lang w:val="en-GB"/>
        </w:rPr>
        <w:t>(62%).</w:t>
      </w:r>
    </w:p>
  </w:footnote>
  <w:footnote w:id="64">
    <w:p w14:paraId="3299F803" w14:textId="49031BB6" w:rsidR="007C581C" w:rsidRPr="0008695E" w:rsidRDefault="007C581C" w:rsidP="00B01D0F">
      <w:pPr>
        <w:pStyle w:val="Textpoznpodarou"/>
        <w:jc w:val="both"/>
        <w:rPr>
          <w:sz w:val="16"/>
          <w:szCs w:val="16"/>
          <w:lang w:val="en-GB"/>
        </w:rPr>
      </w:pPr>
      <w:r w:rsidRPr="0008695E">
        <w:rPr>
          <w:rStyle w:val="Znakapoznpodarou"/>
          <w:sz w:val="16"/>
          <w:szCs w:val="16"/>
          <w:lang w:val="en-GB"/>
        </w:rPr>
        <w:footnoteRef/>
      </w:r>
      <w:r w:rsidRPr="0008695E">
        <w:rPr>
          <w:sz w:val="16"/>
          <w:szCs w:val="16"/>
          <w:lang w:val="en-GB"/>
        </w:rPr>
        <w:t xml:space="preserve"> </w:t>
      </w:r>
      <w:r w:rsidR="00417849">
        <w:rPr>
          <w:sz w:val="16"/>
          <w:szCs w:val="16"/>
          <w:lang w:val="en-GB"/>
        </w:rPr>
        <w:t>E</w:t>
      </w:r>
      <w:r>
        <w:rPr>
          <w:sz w:val="16"/>
          <w:szCs w:val="16"/>
          <w:lang w:val="en-GB"/>
        </w:rPr>
        <w:t xml:space="preserve">mployment rate for males in the productive age was in the CR the third highest among the Union members </w:t>
      </w:r>
      <w:r w:rsidRPr="0008695E">
        <w:rPr>
          <w:spacing w:val="2"/>
          <w:sz w:val="16"/>
          <w:szCs w:val="16"/>
          <w:lang w:val="en-GB"/>
        </w:rPr>
        <w:t xml:space="preserve">– </w:t>
      </w:r>
      <w:r>
        <w:rPr>
          <w:spacing w:val="2"/>
          <w:sz w:val="16"/>
          <w:szCs w:val="16"/>
          <w:lang w:val="en-GB"/>
        </w:rPr>
        <w:t xml:space="preserve">after Netherlands </w:t>
      </w:r>
      <w:r w:rsidRPr="0008695E">
        <w:rPr>
          <w:spacing w:val="2"/>
          <w:sz w:val="16"/>
          <w:szCs w:val="16"/>
          <w:lang w:val="en-GB"/>
        </w:rPr>
        <w:t>(84</w:t>
      </w:r>
      <w:r>
        <w:rPr>
          <w:spacing w:val="2"/>
          <w:sz w:val="16"/>
          <w:szCs w:val="16"/>
          <w:lang w:val="en-GB"/>
        </w:rPr>
        <w:t>.</w:t>
      </w:r>
      <w:r w:rsidRPr="0008695E">
        <w:rPr>
          <w:spacing w:val="2"/>
          <w:sz w:val="16"/>
          <w:szCs w:val="16"/>
          <w:lang w:val="en-GB"/>
        </w:rPr>
        <w:t>8%) a</w:t>
      </w:r>
      <w:r>
        <w:rPr>
          <w:spacing w:val="2"/>
          <w:sz w:val="16"/>
          <w:szCs w:val="16"/>
          <w:lang w:val="en-GB"/>
        </w:rPr>
        <w:t xml:space="preserve">nd Malta </w:t>
      </w:r>
      <w:r w:rsidRPr="0008695E">
        <w:rPr>
          <w:spacing w:val="2"/>
          <w:sz w:val="16"/>
          <w:szCs w:val="16"/>
          <w:lang w:val="en-GB"/>
        </w:rPr>
        <w:t xml:space="preserve">(83%). </w:t>
      </w:r>
      <w:r>
        <w:rPr>
          <w:spacing w:val="2"/>
          <w:sz w:val="16"/>
          <w:szCs w:val="16"/>
          <w:lang w:val="en-GB"/>
        </w:rPr>
        <w:t xml:space="preserve">For females thirteen countries reached higher rate </w:t>
      </w:r>
      <w:r w:rsidRPr="0008695E">
        <w:rPr>
          <w:spacing w:val="2"/>
          <w:sz w:val="16"/>
          <w:szCs w:val="16"/>
          <w:lang w:val="en-GB"/>
        </w:rPr>
        <w:t xml:space="preserve">– </w:t>
      </w:r>
      <w:r>
        <w:rPr>
          <w:spacing w:val="2"/>
          <w:sz w:val="16"/>
          <w:szCs w:val="16"/>
          <w:lang w:val="en-GB"/>
        </w:rPr>
        <w:t xml:space="preserve">next to the Netherlands </w:t>
      </w:r>
      <w:r w:rsidRPr="0008695E">
        <w:rPr>
          <w:spacing w:val="2"/>
          <w:sz w:val="16"/>
          <w:szCs w:val="16"/>
          <w:lang w:val="en-GB"/>
        </w:rPr>
        <w:t>(78</w:t>
      </w:r>
      <w:r>
        <w:rPr>
          <w:spacing w:val="2"/>
          <w:sz w:val="16"/>
          <w:szCs w:val="16"/>
          <w:lang w:val="en-GB"/>
        </w:rPr>
        <w:t>.</w:t>
      </w:r>
      <w:r w:rsidRPr="0008695E">
        <w:rPr>
          <w:spacing w:val="2"/>
          <w:sz w:val="16"/>
          <w:szCs w:val="16"/>
          <w:lang w:val="en-GB"/>
        </w:rPr>
        <w:t>3%)</w:t>
      </w:r>
      <w:r>
        <w:rPr>
          <w:spacing w:val="2"/>
          <w:sz w:val="16"/>
          <w:szCs w:val="16"/>
          <w:lang w:val="en-GB"/>
        </w:rPr>
        <w:t xml:space="preserve"> also for example all Baltic states, Hungary or Slovenia. The majority of states of the South Europe traditionally presented low employment – mainly Italy </w:t>
      </w:r>
      <w:r w:rsidRPr="0008695E">
        <w:rPr>
          <w:spacing w:val="2"/>
          <w:sz w:val="16"/>
          <w:szCs w:val="16"/>
          <w:lang w:val="en-GB"/>
        </w:rPr>
        <w:t>(</w:t>
      </w:r>
      <w:r>
        <w:rPr>
          <w:spacing w:val="2"/>
          <w:sz w:val="16"/>
          <w:szCs w:val="16"/>
          <w:lang w:val="en-GB"/>
        </w:rPr>
        <w:t xml:space="preserve">males </w:t>
      </w:r>
      <w:r w:rsidRPr="0008695E">
        <w:rPr>
          <w:spacing w:val="2"/>
          <w:sz w:val="16"/>
          <w:szCs w:val="16"/>
          <w:lang w:val="en-GB"/>
        </w:rPr>
        <w:t>68</w:t>
      </w:r>
      <w:r>
        <w:rPr>
          <w:spacing w:val="2"/>
          <w:sz w:val="16"/>
          <w:szCs w:val="16"/>
          <w:lang w:val="en-GB"/>
        </w:rPr>
        <w:t>.</w:t>
      </w:r>
      <w:r w:rsidRPr="0008695E">
        <w:rPr>
          <w:spacing w:val="2"/>
          <w:sz w:val="16"/>
          <w:szCs w:val="16"/>
          <w:lang w:val="en-GB"/>
        </w:rPr>
        <w:t xml:space="preserve">5%, </w:t>
      </w:r>
      <w:r>
        <w:rPr>
          <w:spacing w:val="2"/>
          <w:sz w:val="16"/>
          <w:szCs w:val="16"/>
          <w:lang w:val="en-GB"/>
        </w:rPr>
        <w:t xml:space="preserve">females </w:t>
      </w:r>
      <w:r w:rsidRPr="0008695E">
        <w:rPr>
          <w:spacing w:val="2"/>
          <w:sz w:val="16"/>
          <w:szCs w:val="16"/>
          <w:lang w:val="en-GB"/>
        </w:rPr>
        <w:t>49</w:t>
      </w:r>
      <w:r>
        <w:rPr>
          <w:spacing w:val="2"/>
          <w:sz w:val="16"/>
          <w:szCs w:val="16"/>
          <w:lang w:val="en-GB"/>
        </w:rPr>
        <w:t>.</w:t>
      </w:r>
      <w:r w:rsidRPr="0008695E">
        <w:rPr>
          <w:spacing w:val="2"/>
          <w:sz w:val="16"/>
          <w:szCs w:val="16"/>
          <w:lang w:val="en-GB"/>
        </w:rPr>
        <w:t>9%).</w:t>
      </w:r>
      <w:r>
        <w:rPr>
          <w:spacing w:val="2"/>
          <w:sz w:val="16"/>
          <w:szCs w:val="16"/>
          <w:lang w:val="en-GB"/>
        </w:rPr>
        <w:t xml:space="preserve"> </w:t>
      </w:r>
      <w:proofErr w:type="gramStart"/>
      <w:r>
        <w:rPr>
          <w:spacing w:val="2"/>
          <w:sz w:val="16"/>
          <w:szCs w:val="16"/>
          <w:lang w:val="en-GB"/>
        </w:rPr>
        <w:t xml:space="preserve">The total employment rate of persons aged </w:t>
      </w:r>
      <w:r w:rsidRPr="0008695E">
        <w:rPr>
          <w:spacing w:val="2"/>
          <w:sz w:val="16"/>
          <w:szCs w:val="16"/>
          <w:lang w:val="en-GB"/>
        </w:rPr>
        <w:t>55 </w:t>
      </w:r>
      <w:r>
        <w:rPr>
          <w:spacing w:val="2"/>
          <w:sz w:val="16"/>
          <w:szCs w:val="16"/>
          <w:lang w:val="en-GB"/>
        </w:rPr>
        <w:t xml:space="preserve">till </w:t>
      </w:r>
      <w:r w:rsidRPr="0008695E">
        <w:rPr>
          <w:spacing w:val="2"/>
          <w:sz w:val="16"/>
          <w:szCs w:val="16"/>
          <w:lang w:val="en-GB"/>
        </w:rPr>
        <w:t>64 </w:t>
      </w:r>
      <w:r>
        <w:rPr>
          <w:spacing w:val="2"/>
          <w:sz w:val="16"/>
          <w:szCs w:val="16"/>
          <w:lang w:val="en-GB"/>
        </w:rPr>
        <w:t xml:space="preserve">years in the CR </w:t>
      </w:r>
      <w:r w:rsidRPr="0008695E">
        <w:rPr>
          <w:spacing w:val="2"/>
          <w:sz w:val="16"/>
          <w:szCs w:val="16"/>
          <w:lang w:val="en-GB"/>
        </w:rPr>
        <w:t>(70</w:t>
      </w:r>
      <w:r>
        <w:rPr>
          <w:spacing w:val="2"/>
          <w:sz w:val="16"/>
          <w:szCs w:val="16"/>
          <w:lang w:val="en-GB"/>
        </w:rPr>
        <w:t>.</w:t>
      </w:r>
      <w:r w:rsidRPr="0008695E">
        <w:rPr>
          <w:spacing w:val="2"/>
          <w:sz w:val="16"/>
          <w:szCs w:val="16"/>
          <w:lang w:val="en-GB"/>
        </w:rPr>
        <w:t>8%)</w:t>
      </w:r>
      <w:r>
        <w:rPr>
          <w:spacing w:val="2"/>
          <w:sz w:val="16"/>
          <w:szCs w:val="16"/>
          <w:lang w:val="en-GB"/>
        </w:rPr>
        <w:t xml:space="preserve"> was within the EU states the sixth highest, it was placed above the level of the Union also for persons aged </w:t>
      </w:r>
      <w:r w:rsidRPr="0008695E">
        <w:rPr>
          <w:spacing w:val="2"/>
          <w:sz w:val="16"/>
          <w:szCs w:val="16"/>
          <w:lang w:val="en-GB"/>
        </w:rPr>
        <w:t>65</w:t>
      </w:r>
      <w:r>
        <w:rPr>
          <w:spacing w:val="2"/>
          <w:sz w:val="16"/>
          <w:szCs w:val="16"/>
          <w:lang w:val="en-GB"/>
        </w:rPr>
        <w:t xml:space="preserve"> till </w:t>
      </w:r>
      <w:r w:rsidRPr="0008695E">
        <w:rPr>
          <w:spacing w:val="2"/>
          <w:sz w:val="16"/>
          <w:szCs w:val="16"/>
          <w:lang w:val="en-GB"/>
        </w:rPr>
        <w:t>74 </w:t>
      </w:r>
      <w:r>
        <w:rPr>
          <w:spacing w:val="2"/>
          <w:sz w:val="16"/>
          <w:szCs w:val="16"/>
          <w:lang w:val="en-GB"/>
        </w:rPr>
        <w:t xml:space="preserve">years, on the contrary for young people up to </w:t>
      </w:r>
      <w:r w:rsidRPr="0008695E">
        <w:rPr>
          <w:spacing w:val="2"/>
          <w:sz w:val="16"/>
          <w:szCs w:val="16"/>
          <w:lang w:val="en-GB"/>
        </w:rPr>
        <w:t>25 </w:t>
      </w:r>
      <w:r>
        <w:rPr>
          <w:spacing w:val="2"/>
          <w:sz w:val="16"/>
          <w:szCs w:val="16"/>
          <w:lang w:val="en-GB"/>
        </w:rPr>
        <w:t xml:space="preserve">years </w:t>
      </w:r>
      <w:r w:rsidRPr="0008695E">
        <w:rPr>
          <w:spacing w:val="2"/>
          <w:sz w:val="16"/>
          <w:szCs w:val="16"/>
          <w:lang w:val="en-GB"/>
        </w:rPr>
        <w:t>(25</w:t>
      </w:r>
      <w:r>
        <w:rPr>
          <w:spacing w:val="2"/>
          <w:sz w:val="16"/>
          <w:szCs w:val="16"/>
          <w:lang w:val="en-GB"/>
        </w:rPr>
        <w:t>.</w:t>
      </w:r>
      <w:r w:rsidRPr="0008695E">
        <w:rPr>
          <w:spacing w:val="2"/>
          <w:sz w:val="16"/>
          <w:szCs w:val="16"/>
          <w:lang w:val="en-GB"/>
        </w:rPr>
        <w:t>8%)</w:t>
      </w:r>
      <w:r>
        <w:rPr>
          <w:spacing w:val="2"/>
          <w:sz w:val="16"/>
          <w:szCs w:val="16"/>
          <w:lang w:val="en-GB"/>
        </w:rPr>
        <w:t xml:space="preserve"> it considerably lagged behind the level of the EU </w:t>
      </w:r>
      <w:r w:rsidRPr="0008695E">
        <w:rPr>
          <w:spacing w:val="2"/>
          <w:sz w:val="16"/>
          <w:szCs w:val="16"/>
          <w:lang w:val="en-GB"/>
        </w:rPr>
        <w:t>(34</w:t>
      </w:r>
      <w:r>
        <w:rPr>
          <w:spacing w:val="2"/>
          <w:sz w:val="16"/>
          <w:szCs w:val="16"/>
          <w:lang w:val="en-GB"/>
        </w:rPr>
        <w:t>.</w:t>
      </w:r>
      <w:r w:rsidRPr="0008695E">
        <w:rPr>
          <w:spacing w:val="2"/>
          <w:sz w:val="16"/>
          <w:szCs w:val="16"/>
          <w:lang w:val="en-GB"/>
        </w:rPr>
        <w:t>5%).</w:t>
      </w:r>
      <w:proofErr w:type="gramEnd"/>
    </w:p>
  </w:footnote>
  <w:footnote w:id="65">
    <w:p w14:paraId="7968F94D" w14:textId="62D1C99E" w:rsidR="007C581C" w:rsidRPr="00BE5F23" w:rsidRDefault="007C581C" w:rsidP="00B01D0F">
      <w:pPr>
        <w:pStyle w:val="Textpoznpodarou"/>
        <w:jc w:val="both"/>
        <w:rPr>
          <w:sz w:val="16"/>
          <w:szCs w:val="16"/>
          <w:lang w:val="en-GB"/>
        </w:rPr>
      </w:pPr>
      <w:r w:rsidRPr="001907B2">
        <w:rPr>
          <w:rStyle w:val="Znakapoznpodarou"/>
          <w:sz w:val="16"/>
          <w:szCs w:val="16"/>
        </w:rPr>
        <w:footnoteRef/>
      </w:r>
      <w:r w:rsidRPr="001907B2">
        <w:rPr>
          <w:sz w:val="16"/>
          <w:szCs w:val="16"/>
        </w:rPr>
        <w:t xml:space="preserve"> </w:t>
      </w:r>
      <w:r>
        <w:rPr>
          <w:sz w:val="16"/>
          <w:szCs w:val="16"/>
        </w:rPr>
        <w:t xml:space="preserve">In </w:t>
      </w:r>
      <w:r w:rsidRPr="00BE5F23">
        <w:rPr>
          <w:sz w:val="16"/>
          <w:szCs w:val="16"/>
          <w:lang w:val="en-GB"/>
        </w:rPr>
        <w:t xml:space="preserve">industry this difficulty was especially pressing in the manufacturing of construction materials and also in many smaller manufacturing activities. In services analogically mainly in the land transport, warehousing, postal and courier services, architectural and engineering activities and activities associated with buildings and landscape activities. </w:t>
      </w:r>
    </w:p>
  </w:footnote>
  <w:footnote w:id="66">
    <w:p w14:paraId="32D2CB3B" w14:textId="5CB06FD1" w:rsidR="007C581C" w:rsidRPr="00C55AC4" w:rsidRDefault="007C581C" w:rsidP="00B01D0F">
      <w:pPr>
        <w:pStyle w:val="Textpoznpodarou"/>
        <w:jc w:val="both"/>
        <w:rPr>
          <w:spacing w:val="-3"/>
          <w:sz w:val="16"/>
          <w:szCs w:val="16"/>
          <w:lang w:val="en-GB"/>
        </w:rPr>
      </w:pPr>
      <w:r w:rsidRPr="004E68B1">
        <w:rPr>
          <w:rStyle w:val="Znakapoznpodarou"/>
          <w:spacing w:val="-3"/>
          <w:sz w:val="16"/>
          <w:szCs w:val="16"/>
        </w:rPr>
        <w:footnoteRef/>
      </w:r>
      <w:r>
        <w:rPr>
          <w:spacing w:val="-3"/>
          <w:sz w:val="16"/>
          <w:szCs w:val="16"/>
        </w:rPr>
        <w:t xml:space="preserve"> </w:t>
      </w:r>
      <w:r w:rsidRPr="00C55AC4">
        <w:rPr>
          <w:spacing w:val="-3"/>
          <w:sz w:val="16"/>
          <w:szCs w:val="16"/>
          <w:lang w:val="en-GB"/>
        </w:rPr>
        <w:t xml:space="preserve">Unless stated otherwise, all date regarding the unemployment rate stem from the LFSS (based on the ILO methodology) and are adjusted for seasonal effects. </w:t>
      </w:r>
    </w:p>
  </w:footnote>
  <w:footnote w:id="67">
    <w:p w14:paraId="5BCB6B07" w14:textId="223C327B" w:rsidR="007C581C" w:rsidRPr="00C55AC4" w:rsidRDefault="007C581C" w:rsidP="00B01D0F">
      <w:pPr>
        <w:pStyle w:val="Textpoznpodarou"/>
        <w:jc w:val="both"/>
        <w:rPr>
          <w:sz w:val="16"/>
          <w:szCs w:val="16"/>
          <w:lang w:val="en-GB"/>
        </w:rPr>
      </w:pPr>
      <w:r w:rsidRPr="00C55AC4">
        <w:rPr>
          <w:rStyle w:val="Znakapoznpodarou"/>
          <w:sz w:val="16"/>
          <w:szCs w:val="16"/>
          <w:lang w:val="en-GB"/>
        </w:rPr>
        <w:footnoteRef/>
      </w:r>
      <w:r w:rsidRPr="00C55AC4">
        <w:rPr>
          <w:sz w:val="16"/>
          <w:szCs w:val="16"/>
          <w:lang w:val="en-GB"/>
        </w:rPr>
        <w:t xml:space="preserve"> </w:t>
      </w:r>
      <w:r>
        <w:rPr>
          <w:sz w:val="16"/>
          <w:szCs w:val="16"/>
          <w:lang w:val="en-GB"/>
        </w:rPr>
        <w:t>While 12.3% of females aged 15 and over worked part-time in Q1 2019</w:t>
      </w:r>
      <w:r w:rsidRPr="00C55AC4">
        <w:rPr>
          <w:sz w:val="16"/>
          <w:szCs w:val="16"/>
          <w:lang w:val="en-GB"/>
        </w:rPr>
        <w:t>,</w:t>
      </w:r>
      <w:r>
        <w:rPr>
          <w:sz w:val="16"/>
          <w:szCs w:val="16"/>
          <w:lang w:val="en-GB"/>
        </w:rPr>
        <w:t xml:space="preserve"> only </w:t>
      </w:r>
      <w:r w:rsidRPr="00C55AC4">
        <w:rPr>
          <w:sz w:val="16"/>
          <w:szCs w:val="16"/>
          <w:lang w:val="en-GB"/>
        </w:rPr>
        <w:t>10</w:t>
      </w:r>
      <w:r>
        <w:rPr>
          <w:sz w:val="16"/>
          <w:szCs w:val="16"/>
          <w:lang w:val="en-GB"/>
        </w:rPr>
        <w:t>.</w:t>
      </w:r>
      <w:r w:rsidRPr="00C55AC4">
        <w:rPr>
          <w:sz w:val="16"/>
          <w:szCs w:val="16"/>
          <w:lang w:val="en-GB"/>
        </w:rPr>
        <w:t>7%</w:t>
      </w:r>
      <w:r>
        <w:rPr>
          <w:sz w:val="16"/>
          <w:szCs w:val="16"/>
          <w:lang w:val="en-GB"/>
        </w:rPr>
        <w:t xml:space="preserve"> in Q3 2021</w:t>
      </w:r>
      <w:r w:rsidRPr="00C55AC4">
        <w:rPr>
          <w:sz w:val="16"/>
          <w:szCs w:val="16"/>
          <w:lang w:val="en-GB"/>
        </w:rPr>
        <w:t xml:space="preserve">. </w:t>
      </w:r>
      <w:r>
        <w:rPr>
          <w:sz w:val="16"/>
          <w:szCs w:val="16"/>
          <w:lang w:val="en-GB"/>
        </w:rPr>
        <w:t xml:space="preserve">The situation of females aged 15 to 29 years improved during the last </w:t>
      </w:r>
      <w:r w:rsidRPr="00455F84">
        <w:rPr>
          <w:sz w:val="16"/>
          <w:szCs w:val="16"/>
          <w:lang w:val="en-GB"/>
        </w:rPr>
        <w:t xml:space="preserve">year’s Summer, the proportion of part-time jobs reached 14.1% here (the level closed to years 2018 and 2019). </w:t>
      </w:r>
      <w:r>
        <w:rPr>
          <w:sz w:val="16"/>
          <w:szCs w:val="16"/>
          <w:lang w:val="en-GB"/>
        </w:rPr>
        <w:t xml:space="preserve">It also led to the increase of the employment rate of young women during the year </w:t>
      </w:r>
      <w:r w:rsidRPr="00455F84">
        <w:rPr>
          <w:sz w:val="16"/>
          <w:szCs w:val="16"/>
          <w:lang w:val="en-GB"/>
        </w:rPr>
        <w:t>2021</w:t>
      </w:r>
      <w:r>
        <w:rPr>
          <w:sz w:val="16"/>
          <w:szCs w:val="16"/>
          <w:lang w:val="en-GB"/>
        </w:rPr>
        <w:t xml:space="preserve">. By </w:t>
      </w:r>
      <w:proofErr w:type="gramStart"/>
      <w:r>
        <w:rPr>
          <w:sz w:val="16"/>
          <w:szCs w:val="16"/>
          <w:lang w:val="en-GB"/>
        </w:rPr>
        <w:t>contrast</w:t>
      </w:r>
      <w:proofErr w:type="gramEnd"/>
      <w:r>
        <w:rPr>
          <w:sz w:val="16"/>
          <w:szCs w:val="16"/>
          <w:lang w:val="en-GB"/>
        </w:rPr>
        <w:t xml:space="preserve"> the employment rate for both males and females aged </w:t>
      </w:r>
      <w:r w:rsidRPr="00455F84">
        <w:rPr>
          <w:sz w:val="16"/>
          <w:szCs w:val="16"/>
          <w:lang w:val="en-GB"/>
        </w:rPr>
        <w:t>65 </w:t>
      </w:r>
      <w:r>
        <w:rPr>
          <w:sz w:val="16"/>
          <w:szCs w:val="16"/>
          <w:lang w:val="en-GB"/>
        </w:rPr>
        <w:t xml:space="preserve">till </w:t>
      </w:r>
      <w:r w:rsidRPr="00455F84">
        <w:rPr>
          <w:sz w:val="16"/>
          <w:szCs w:val="16"/>
          <w:lang w:val="en-GB"/>
        </w:rPr>
        <w:t>74 </w:t>
      </w:r>
      <w:r>
        <w:rPr>
          <w:sz w:val="16"/>
          <w:szCs w:val="16"/>
          <w:lang w:val="en-GB"/>
        </w:rPr>
        <w:t xml:space="preserve">years stagnated year-on-year and the percentage share of part-time jobs among the employed was decreasing. </w:t>
      </w:r>
    </w:p>
  </w:footnote>
  <w:footnote w:id="68">
    <w:p w14:paraId="63830BC8" w14:textId="7FE2E9B3" w:rsidR="007C581C" w:rsidRPr="00C55AC4" w:rsidRDefault="007C581C" w:rsidP="00B01D0F">
      <w:pPr>
        <w:pStyle w:val="Textpoznpodarou"/>
        <w:jc w:val="both"/>
        <w:rPr>
          <w:sz w:val="16"/>
          <w:szCs w:val="16"/>
          <w:lang w:val="en-GB"/>
        </w:rPr>
      </w:pPr>
      <w:r w:rsidRPr="00C55AC4">
        <w:rPr>
          <w:rStyle w:val="Znakapoznpodarou"/>
          <w:sz w:val="16"/>
          <w:szCs w:val="16"/>
          <w:lang w:val="en-GB"/>
        </w:rPr>
        <w:footnoteRef/>
      </w:r>
      <w:r w:rsidRPr="00C55AC4">
        <w:rPr>
          <w:sz w:val="16"/>
          <w:szCs w:val="16"/>
          <w:lang w:val="en-GB"/>
        </w:rPr>
        <w:t xml:space="preserve"> </w:t>
      </w:r>
      <w:proofErr w:type="gramStart"/>
      <w:r>
        <w:rPr>
          <w:sz w:val="16"/>
          <w:szCs w:val="16"/>
          <w:lang w:val="en-GB"/>
        </w:rPr>
        <w:t>However</w:t>
      </w:r>
      <w:proofErr w:type="gramEnd"/>
      <w:r>
        <w:rPr>
          <w:sz w:val="16"/>
          <w:szCs w:val="16"/>
          <w:lang w:val="en-GB"/>
        </w:rPr>
        <w:t xml:space="preserve"> they again increased in connection with the dynamic worsening of the epidemic situation for a short time </w:t>
      </w:r>
      <w:r>
        <w:rPr>
          <w:color w:val="0D0D0D" w:themeColor="text1" w:themeTint="F2"/>
          <w:spacing w:val="-4"/>
          <w:sz w:val="16"/>
          <w:szCs w:val="16"/>
          <w:lang w:val="en-GB"/>
        </w:rPr>
        <w:t>in November</w:t>
      </w:r>
      <w:r w:rsidRPr="00C55AC4">
        <w:rPr>
          <w:color w:val="0D0D0D" w:themeColor="text1" w:themeTint="F2"/>
          <w:spacing w:val="-4"/>
          <w:sz w:val="16"/>
          <w:szCs w:val="16"/>
          <w:lang w:val="en-GB"/>
        </w:rPr>
        <w:t xml:space="preserve">, </w:t>
      </w:r>
      <w:r>
        <w:rPr>
          <w:color w:val="0D0D0D" w:themeColor="text1" w:themeTint="F2"/>
          <w:spacing w:val="-4"/>
          <w:sz w:val="16"/>
          <w:szCs w:val="16"/>
          <w:lang w:val="en-GB"/>
        </w:rPr>
        <w:t xml:space="preserve">they were however far from reaching the level from the beginning of the year. </w:t>
      </w:r>
    </w:p>
  </w:footnote>
  <w:footnote w:id="69">
    <w:p w14:paraId="3567EE92" w14:textId="0AE289D1" w:rsidR="007C581C" w:rsidRPr="00F23C06" w:rsidRDefault="007C581C" w:rsidP="00B01D0F">
      <w:pPr>
        <w:pStyle w:val="Textpoznpodarou"/>
        <w:jc w:val="both"/>
        <w:rPr>
          <w:rFonts w:cs="Arial"/>
          <w:sz w:val="16"/>
          <w:szCs w:val="16"/>
          <w:lang w:val="en-GB" w:eastAsia="en-US"/>
        </w:rPr>
      </w:pPr>
      <w:r w:rsidRPr="008E23D8">
        <w:rPr>
          <w:rStyle w:val="Znakapoznpodarou"/>
          <w:sz w:val="16"/>
          <w:szCs w:val="16"/>
        </w:rPr>
        <w:footnoteRef/>
      </w:r>
      <w:r w:rsidRPr="008E23D8">
        <w:rPr>
          <w:sz w:val="16"/>
          <w:szCs w:val="16"/>
        </w:rPr>
        <w:t xml:space="preserve"> </w:t>
      </w:r>
      <w:proofErr w:type="gramStart"/>
      <w:r w:rsidRPr="00F23C06">
        <w:rPr>
          <w:sz w:val="16"/>
          <w:szCs w:val="16"/>
          <w:lang w:val="en-GB"/>
        </w:rPr>
        <w:t>Significant part of the positions however remains vacant in the long-term</w:t>
      </w:r>
      <w:proofErr w:type="gramEnd"/>
      <w:r w:rsidRPr="00F23C06">
        <w:rPr>
          <w:sz w:val="16"/>
          <w:szCs w:val="16"/>
          <w:lang w:val="en-GB"/>
        </w:rPr>
        <w:t xml:space="preserve">, </w:t>
      </w:r>
      <w:proofErr w:type="gramStart"/>
      <w:r w:rsidRPr="00F23C06">
        <w:rPr>
          <w:sz w:val="16"/>
          <w:szCs w:val="16"/>
          <w:lang w:val="en-GB"/>
        </w:rPr>
        <w:t>they cannot be actively considered</w:t>
      </w:r>
      <w:proofErr w:type="gramEnd"/>
      <w:r w:rsidRPr="00F23C06">
        <w:rPr>
          <w:sz w:val="16"/>
          <w:szCs w:val="16"/>
          <w:lang w:val="en-GB"/>
        </w:rPr>
        <w:t xml:space="preserve">. </w:t>
      </w:r>
      <w:r>
        <w:rPr>
          <w:sz w:val="16"/>
          <w:szCs w:val="16"/>
          <w:lang w:val="en-GB"/>
        </w:rPr>
        <w:t xml:space="preserve">Among the job vacancies offered on the internet website of the labour office in January </w:t>
      </w:r>
      <w:r w:rsidRPr="00F23C06">
        <w:rPr>
          <w:color w:val="0D0D0D" w:themeColor="text1" w:themeTint="F2"/>
          <w:spacing w:val="-4"/>
          <w:sz w:val="16"/>
          <w:szCs w:val="16"/>
          <w:lang w:val="en-GB"/>
        </w:rPr>
        <w:t>2022</w:t>
      </w:r>
      <w:r>
        <w:rPr>
          <w:color w:val="0D0D0D" w:themeColor="text1" w:themeTint="F2"/>
          <w:spacing w:val="-4"/>
          <w:sz w:val="16"/>
          <w:szCs w:val="16"/>
          <w:lang w:val="en-GB"/>
        </w:rPr>
        <w:t xml:space="preserve">, only approximate </w:t>
      </w:r>
      <w:proofErr w:type="gramStart"/>
      <w:r>
        <w:rPr>
          <w:color w:val="0D0D0D" w:themeColor="text1" w:themeTint="F2"/>
          <w:spacing w:val="-4"/>
          <w:sz w:val="16"/>
          <w:szCs w:val="16"/>
          <w:lang w:val="en-GB"/>
        </w:rPr>
        <w:t>one half</w:t>
      </w:r>
      <w:proofErr w:type="gramEnd"/>
      <w:r>
        <w:rPr>
          <w:color w:val="0D0D0D" w:themeColor="text1" w:themeTint="F2"/>
          <w:spacing w:val="-4"/>
          <w:sz w:val="16"/>
          <w:szCs w:val="16"/>
          <w:lang w:val="en-GB"/>
        </w:rPr>
        <w:t xml:space="preserve"> was active </w:t>
      </w:r>
      <w:r w:rsidRPr="00F23C06">
        <w:rPr>
          <w:color w:val="0D0D0D" w:themeColor="text1" w:themeTint="F2"/>
          <w:spacing w:val="-4"/>
          <w:sz w:val="16"/>
          <w:szCs w:val="16"/>
          <w:lang w:val="en-GB"/>
        </w:rPr>
        <w:t>(</w:t>
      </w:r>
      <w:r>
        <w:rPr>
          <w:color w:val="0D0D0D" w:themeColor="text1" w:themeTint="F2"/>
          <w:spacing w:val="-4"/>
          <w:sz w:val="16"/>
          <w:szCs w:val="16"/>
          <w:lang w:val="en-GB"/>
        </w:rPr>
        <w:t xml:space="preserve">offers, where last change occurred after </w:t>
      </w:r>
      <w:r w:rsidRPr="00F23C06">
        <w:rPr>
          <w:color w:val="0D0D0D" w:themeColor="text1" w:themeTint="F2"/>
          <w:spacing w:val="-4"/>
          <w:sz w:val="16"/>
          <w:szCs w:val="16"/>
          <w:lang w:val="en-GB"/>
        </w:rPr>
        <w:t>1</w:t>
      </w:r>
      <w:r w:rsidRPr="00F23C06">
        <w:rPr>
          <w:color w:val="0D0D0D" w:themeColor="text1" w:themeTint="F2"/>
          <w:spacing w:val="-4"/>
          <w:sz w:val="16"/>
          <w:szCs w:val="16"/>
          <w:vertAlign w:val="superscript"/>
          <w:lang w:val="en-GB"/>
        </w:rPr>
        <w:t>st</w:t>
      </w:r>
      <w:r>
        <w:rPr>
          <w:color w:val="0D0D0D" w:themeColor="text1" w:themeTint="F2"/>
          <w:spacing w:val="-4"/>
          <w:sz w:val="16"/>
          <w:szCs w:val="16"/>
          <w:lang w:val="en-GB"/>
        </w:rPr>
        <w:t xml:space="preserve"> July </w:t>
      </w:r>
      <w:r w:rsidRPr="00F23C06">
        <w:rPr>
          <w:color w:val="0D0D0D" w:themeColor="text1" w:themeTint="F2"/>
          <w:spacing w:val="-4"/>
          <w:sz w:val="16"/>
          <w:szCs w:val="16"/>
          <w:lang w:val="en-GB"/>
        </w:rPr>
        <w:t>2021 a</w:t>
      </w:r>
      <w:r>
        <w:rPr>
          <w:color w:val="0D0D0D" w:themeColor="text1" w:themeTint="F2"/>
          <w:spacing w:val="-4"/>
          <w:sz w:val="16"/>
          <w:szCs w:val="16"/>
          <w:lang w:val="en-GB"/>
        </w:rPr>
        <w:t xml:space="preserve">nd the starting date was </w:t>
      </w:r>
      <w:r w:rsidRPr="00F23C06">
        <w:rPr>
          <w:color w:val="0D0D0D" w:themeColor="text1" w:themeTint="F2"/>
          <w:spacing w:val="-4"/>
          <w:sz w:val="16"/>
          <w:szCs w:val="16"/>
          <w:lang w:val="en-GB"/>
        </w:rPr>
        <w:t>1</w:t>
      </w:r>
      <w:r w:rsidRPr="00F23C06">
        <w:rPr>
          <w:color w:val="0D0D0D" w:themeColor="text1" w:themeTint="F2"/>
          <w:spacing w:val="-4"/>
          <w:sz w:val="16"/>
          <w:szCs w:val="16"/>
          <w:vertAlign w:val="superscript"/>
          <w:lang w:val="en-GB"/>
        </w:rPr>
        <w:t>st</w:t>
      </w:r>
      <w:r>
        <w:rPr>
          <w:color w:val="0D0D0D" w:themeColor="text1" w:themeTint="F2"/>
          <w:spacing w:val="-4"/>
          <w:sz w:val="16"/>
          <w:szCs w:val="16"/>
          <w:lang w:val="en-GB"/>
        </w:rPr>
        <w:t xml:space="preserve"> October </w:t>
      </w:r>
      <w:r w:rsidRPr="00F23C06">
        <w:rPr>
          <w:color w:val="0D0D0D" w:themeColor="text1" w:themeTint="F2"/>
          <w:spacing w:val="-4"/>
          <w:sz w:val="16"/>
          <w:szCs w:val="16"/>
          <w:lang w:val="en-GB"/>
        </w:rPr>
        <w:t>2021</w:t>
      </w:r>
      <w:r>
        <w:rPr>
          <w:color w:val="0D0D0D" w:themeColor="text1" w:themeTint="F2"/>
          <w:spacing w:val="-4"/>
          <w:sz w:val="16"/>
          <w:szCs w:val="16"/>
          <w:lang w:val="en-GB"/>
        </w:rPr>
        <w:t xml:space="preserve"> or later</w:t>
      </w:r>
      <w:r w:rsidRPr="00F23C06">
        <w:rPr>
          <w:color w:val="0D0D0D" w:themeColor="text1" w:themeTint="F2"/>
          <w:spacing w:val="-4"/>
          <w:sz w:val="16"/>
          <w:szCs w:val="16"/>
          <w:lang w:val="en-GB"/>
        </w:rPr>
        <w:t>)</w:t>
      </w:r>
      <w:r>
        <w:rPr>
          <w:color w:val="0D0D0D" w:themeColor="text1" w:themeTint="F2"/>
          <w:spacing w:val="-4"/>
          <w:sz w:val="16"/>
          <w:szCs w:val="16"/>
          <w:lang w:val="en-GB"/>
        </w:rPr>
        <w:t xml:space="preserve">. </w:t>
      </w:r>
    </w:p>
  </w:footnote>
  <w:footnote w:id="70">
    <w:p w14:paraId="6A82CF55" w14:textId="1AF2A4CE" w:rsidR="007C581C" w:rsidRPr="00F23C06" w:rsidRDefault="007C581C" w:rsidP="00301FB5">
      <w:pPr>
        <w:pStyle w:val="Textpoznpodarou"/>
        <w:jc w:val="both"/>
        <w:rPr>
          <w:sz w:val="16"/>
          <w:szCs w:val="16"/>
          <w:lang w:val="en-GB"/>
        </w:rPr>
      </w:pPr>
      <w:r w:rsidRPr="00F23C06">
        <w:rPr>
          <w:rStyle w:val="Znakapoznpodarou"/>
          <w:sz w:val="16"/>
          <w:szCs w:val="16"/>
          <w:lang w:val="en-GB"/>
        </w:rPr>
        <w:footnoteRef/>
      </w:r>
      <w:r w:rsidRPr="00F23C06">
        <w:rPr>
          <w:sz w:val="16"/>
          <w:szCs w:val="16"/>
          <w:lang w:val="en-GB"/>
        </w:rPr>
        <w:t xml:space="preserve"> </w:t>
      </w:r>
      <w:r>
        <w:rPr>
          <w:sz w:val="16"/>
          <w:szCs w:val="16"/>
          <w:lang w:val="en-GB"/>
        </w:rPr>
        <w:t xml:space="preserve">It generally concerned the districts of the Central, South and West CR. The largest number of job applicants per one job vacancy </w:t>
      </w:r>
      <w:proofErr w:type="gramStart"/>
      <w:r>
        <w:rPr>
          <w:sz w:val="16"/>
          <w:szCs w:val="16"/>
          <w:lang w:val="en-GB"/>
        </w:rPr>
        <w:t>was reported</w:t>
      </w:r>
      <w:proofErr w:type="gramEnd"/>
      <w:r>
        <w:rPr>
          <w:sz w:val="16"/>
          <w:szCs w:val="16"/>
          <w:lang w:val="en-GB"/>
        </w:rPr>
        <w:t xml:space="preserve"> from the </w:t>
      </w:r>
      <w:r w:rsidRPr="00F23C06">
        <w:rPr>
          <w:sz w:val="16"/>
          <w:szCs w:val="16"/>
          <w:lang w:val="en-GB"/>
        </w:rPr>
        <w:t>Karviná</w:t>
      </w:r>
      <w:r>
        <w:rPr>
          <w:sz w:val="16"/>
          <w:szCs w:val="16"/>
          <w:lang w:val="en-GB"/>
        </w:rPr>
        <w:t xml:space="preserve"> district</w:t>
      </w:r>
      <w:r w:rsidRPr="00F23C06">
        <w:rPr>
          <w:sz w:val="16"/>
          <w:szCs w:val="16"/>
          <w:lang w:val="en-GB"/>
        </w:rPr>
        <w:t xml:space="preserve"> (10), Bruntál, Ústí nad Labem a</w:t>
      </w:r>
      <w:r>
        <w:rPr>
          <w:sz w:val="16"/>
          <w:szCs w:val="16"/>
          <w:lang w:val="en-GB"/>
        </w:rPr>
        <w:t>nd</w:t>
      </w:r>
      <w:r w:rsidRPr="00F23C06">
        <w:rPr>
          <w:sz w:val="16"/>
          <w:szCs w:val="16"/>
          <w:lang w:val="en-GB"/>
        </w:rPr>
        <w:t> Most (s</w:t>
      </w:r>
      <w:r>
        <w:rPr>
          <w:sz w:val="16"/>
          <w:szCs w:val="16"/>
          <w:lang w:val="en-GB"/>
        </w:rPr>
        <w:t xml:space="preserve">imilarly </w:t>
      </w:r>
      <w:r w:rsidRPr="00F23C06">
        <w:rPr>
          <w:sz w:val="16"/>
          <w:szCs w:val="16"/>
          <w:lang w:val="en-GB"/>
        </w:rPr>
        <w:t>5).</w:t>
      </w:r>
    </w:p>
  </w:footnote>
  <w:footnote w:id="71">
    <w:p w14:paraId="557C4A2A" w14:textId="57574941" w:rsidR="007C581C" w:rsidRPr="00F23C06" w:rsidRDefault="007C581C" w:rsidP="00B01D0F">
      <w:pPr>
        <w:pStyle w:val="Textpoznpodarou"/>
        <w:rPr>
          <w:sz w:val="16"/>
          <w:szCs w:val="16"/>
          <w:lang w:val="en-GB"/>
        </w:rPr>
      </w:pPr>
      <w:r w:rsidRPr="00F23C06">
        <w:rPr>
          <w:rStyle w:val="Znakapoznpodarou"/>
          <w:sz w:val="16"/>
          <w:szCs w:val="16"/>
          <w:lang w:val="en-GB"/>
        </w:rPr>
        <w:footnoteRef/>
      </w:r>
      <w:r w:rsidRPr="00F23C06">
        <w:rPr>
          <w:sz w:val="16"/>
          <w:szCs w:val="16"/>
          <w:lang w:val="en-GB"/>
        </w:rPr>
        <w:t xml:space="preserve"> </w:t>
      </w:r>
      <w:r>
        <w:rPr>
          <w:sz w:val="16"/>
          <w:szCs w:val="16"/>
          <w:lang w:val="en-GB"/>
        </w:rPr>
        <w:t xml:space="preserve">Reason was the payment of extraordinary bonuses for the first pandemic wave </w:t>
      </w:r>
      <w:r w:rsidRPr="00F23C06">
        <w:rPr>
          <w:sz w:val="16"/>
          <w:szCs w:val="16"/>
          <w:lang w:val="en-GB"/>
        </w:rPr>
        <w:t>(</w:t>
      </w:r>
      <w:r>
        <w:rPr>
          <w:sz w:val="16"/>
          <w:szCs w:val="16"/>
          <w:lang w:val="en-GB"/>
        </w:rPr>
        <w:t xml:space="preserve">from the Spring </w:t>
      </w:r>
      <w:r w:rsidRPr="00F23C06">
        <w:rPr>
          <w:sz w:val="16"/>
          <w:szCs w:val="16"/>
          <w:lang w:val="en-GB"/>
        </w:rPr>
        <w:t>2020).</w:t>
      </w:r>
    </w:p>
  </w:footnote>
  <w:footnote w:id="72">
    <w:p w14:paraId="1C3619D5" w14:textId="1D9300DD" w:rsidR="007C581C" w:rsidRPr="00F23C06" w:rsidRDefault="007C581C" w:rsidP="00B01D0F">
      <w:pPr>
        <w:pStyle w:val="Textpoznpodarou"/>
        <w:jc w:val="both"/>
        <w:rPr>
          <w:spacing w:val="-6"/>
          <w:sz w:val="16"/>
          <w:szCs w:val="16"/>
          <w:lang w:val="en-GB"/>
        </w:rPr>
      </w:pPr>
      <w:r w:rsidRPr="00F23C06">
        <w:rPr>
          <w:rStyle w:val="Znakapoznpodarou"/>
          <w:spacing w:val="-6"/>
          <w:sz w:val="16"/>
          <w:szCs w:val="16"/>
          <w:lang w:val="en-GB"/>
        </w:rPr>
        <w:footnoteRef/>
      </w:r>
      <w:r w:rsidRPr="00F23C06">
        <w:rPr>
          <w:spacing w:val="-6"/>
          <w:sz w:val="16"/>
          <w:szCs w:val="16"/>
          <w:lang w:val="en-GB"/>
        </w:rPr>
        <w:t xml:space="preserve"> </w:t>
      </w:r>
      <w:r>
        <w:rPr>
          <w:spacing w:val="-6"/>
          <w:sz w:val="16"/>
          <w:szCs w:val="16"/>
          <w:lang w:val="en-GB"/>
        </w:rPr>
        <w:t xml:space="preserve">In this small branch, the development of both wages and employment is usually volatile. The size of earnings was affected </w:t>
      </w:r>
      <w:r w:rsidRPr="00F23C06">
        <w:rPr>
          <w:spacing w:val="-6"/>
          <w:sz w:val="16"/>
          <w:szCs w:val="16"/>
          <w:lang w:val="en-GB"/>
        </w:rPr>
        <w:t>(</w:t>
      </w:r>
      <w:r>
        <w:rPr>
          <w:spacing w:val="-6"/>
          <w:sz w:val="16"/>
          <w:szCs w:val="16"/>
          <w:lang w:val="en-GB"/>
        </w:rPr>
        <w:t>mainly in Q</w:t>
      </w:r>
      <w:r w:rsidRPr="00F23C06">
        <w:rPr>
          <w:spacing w:val="-6"/>
          <w:sz w:val="16"/>
          <w:szCs w:val="16"/>
          <w:lang w:val="en-GB"/>
        </w:rPr>
        <w:t>4)</w:t>
      </w:r>
      <w:r>
        <w:rPr>
          <w:spacing w:val="-6"/>
          <w:sz w:val="16"/>
          <w:szCs w:val="16"/>
          <w:lang w:val="en-GB"/>
        </w:rPr>
        <w:t xml:space="preserve"> by the swift growth of the number of hours worked. </w:t>
      </w:r>
    </w:p>
  </w:footnote>
  <w:footnote w:id="73">
    <w:p w14:paraId="6289BB6C" w14:textId="466BF20D" w:rsidR="007C581C" w:rsidRPr="00DF65BA" w:rsidRDefault="007C581C" w:rsidP="00B01D0F">
      <w:pPr>
        <w:pStyle w:val="Textpoznpodarou"/>
        <w:rPr>
          <w:sz w:val="16"/>
          <w:szCs w:val="16"/>
        </w:rPr>
      </w:pPr>
      <w:r w:rsidRPr="00DF65BA">
        <w:rPr>
          <w:rStyle w:val="Znakapoznpodarou"/>
          <w:sz w:val="16"/>
          <w:szCs w:val="16"/>
        </w:rPr>
        <w:footnoteRef/>
      </w:r>
      <w:r w:rsidRPr="00DF65BA">
        <w:rPr>
          <w:sz w:val="16"/>
          <w:szCs w:val="16"/>
        </w:rPr>
        <w:t xml:space="preserve"> </w:t>
      </w:r>
      <w:r w:rsidRPr="00926FBD">
        <w:rPr>
          <w:sz w:val="16"/>
          <w:szCs w:val="16"/>
          <w:lang w:val="en-GB"/>
        </w:rPr>
        <w:t>With more than 200 thousand employees</w:t>
      </w:r>
      <w:r>
        <w:rPr>
          <w:sz w:val="16"/>
          <w:szCs w:val="16"/>
        </w:rPr>
        <w:t xml:space="preserve">. </w:t>
      </w:r>
    </w:p>
  </w:footnote>
  <w:footnote w:id="74">
    <w:p w14:paraId="3D4072D8" w14:textId="1462EF81" w:rsidR="007C581C" w:rsidRPr="004F7395" w:rsidRDefault="007C581C" w:rsidP="000200BE">
      <w:pPr>
        <w:pStyle w:val="Textpoznpodarou"/>
        <w:rPr>
          <w:sz w:val="16"/>
          <w:szCs w:val="16"/>
          <w:lang w:val="en-GB"/>
        </w:rPr>
      </w:pPr>
      <w:r>
        <w:rPr>
          <w:rStyle w:val="Znakapoznpodarou"/>
          <w:sz w:val="16"/>
          <w:szCs w:val="16"/>
        </w:rPr>
        <w:footnoteRef/>
      </w:r>
      <w:r>
        <w:rPr>
          <w:sz w:val="16"/>
          <w:szCs w:val="16"/>
        </w:rPr>
        <w:t xml:space="preserve"> </w:t>
      </w:r>
      <w:r w:rsidRPr="004F7395">
        <w:rPr>
          <w:sz w:val="16"/>
          <w:szCs w:val="16"/>
          <w:lang w:val="en-GB"/>
        </w:rPr>
        <w:t xml:space="preserve">Unless stated otherwise, the source of data in the chapter is the Czech National Bank database ARAD. The values of exchange rates </w:t>
      </w:r>
      <w:proofErr w:type="gramStart"/>
      <w:r w:rsidRPr="004F7395">
        <w:rPr>
          <w:sz w:val="16"/>
          <w:szCs w:val="16"/>
          <w:lang w:val="en-GB"/>
        </w:rPr>
        <w:t>are also t</w:t>
      </w:r>
      <w:r>
        <w:rPr>
          <w:sz w:val="16"/>
          <w:szCs w:val="16"/>
          <w:lang w:val="en-GB"/>
        </w:rPr>
        <w:t>aken</w:t>
      </w:r>
      <w:r w:rsidRPr="004F7395">
        <w:rPr>
          <w:sz w:val="16"/>
          <w:szCs w:val="16"/>
          <w:lang w:val="en-GB"/>
        </w:rPr>
        <w:t xml:space="preserve"> over</w:t>
      </w:r>
      <w:proofErr w:type="gramEnd"/>
      <w:r w:rsidRPr="004F7395">
        <w:rPr>
          <w:sz w:val="16"/>
          <w:szCs w:val="16"/>
          <w:lang w:val="en-GB"/>
        </w:rPr>
        <w:t xml:space="preserve"> from the CNB. </w:t>
      </w:r>
    </w:p>
  </w:footnote>
  <w:footnote w:id="75">
    <w:p w14:paraId="6C828CCD" w14:textId="2D816BD4" w:rsidR="007C581C" w:rsidRPr="004F7395" w:rsidRDefault="007C581C" w:rsidP="000200BE">
      <w:pPr>
        <w:pStyle w:val="Textpoznpodarou"/>
        <w:rPr>
          <w:sz w:val="16"/>
          <w:szCs w:val="16"/>
          <w:lang w:val="en-GB"/>
        </w:rPr>
      </w:pPr>
      <w:r w:rsidRPr="004F7395">
        <w:rPr>
          <w:rStyle w:val="Znakapoznpodarou"/>
          <w:sz w:val="16"/>
          <w:szCs w:val="16"/>
          <w:lang w:val="en-GB"/>
        </w:rPr>
        <w:footnoteRef/>
      </w:r>
      <w:r w:rsidRPr="004F7395">
        <w:rPr>
          <w:sz w:val="16"/>
          <w:szCs w:val="16"/>
          <w:lang w:val="en-GB"/>
        </w:rPr>
        <w:t xml:space="preserve"> </w:t>
      </w:r>
      <w:r>
        <w:rPr>
          <w:sz w:val="16"/>
          <w:szCs w:val="16"/>
          <w:lang w:val="en-GB"/>
        </w:rPr>
        <w:t xml:space="preserve">Unless stated otherwise, the change of the interest rates is meant the difference between the </w:t>
      </w:r>
      <w:proofErr w:type="gramStart"/>
      <w:r>
        <w:rPr>
          <w:sz w:val="16"/>
          <w:szCs w:val="16"/>
          <w:lang w:val="en-GB"/>
        </w:rPr>
        <w:t>value</w:t>
      </w:r>
      <w:proofErr w:type="gramEnd"/>
      <w:r>
        <w:rPr>
          <w:sz w:val="16"/>
          <w:szCs w:val="16"/>
          <w:lang w:val="en-GB"/>
        </w:rPr>
        <w:t xml:space="preserve"> as of </w:t>
      </w:r>
      <w:r w:rsidRPr="004F7395">
        <w:rPr>
          <w:sz w:val="16"/>
          <w:szCs w:val="16"/>
          <w:lang w:val="en-GB"/>
        </w:rPr>
        <w:t>31. 12. a</w:t>
      </w:r>
      <w:r>
        <w:rPr>
          <w:sz w:val="16"/>
          <w:szCs w:val="16"/>
          <w:lang w:val="en-GB"/>
        </w:rPr>
        <w:t>nd</w:t>
      </w:r>
      <w:r w:rsidRPr="004F7395">
        <w:rPr>
          <w:sz w:val="16"/>
          <w:szCs w:val="16"/>
          <w:lang w:val="en-GB"/>
        </w:rPr>
        <w:t> 30. 9.</w:t>
      </w:r>
    </w:p>
  </w:footnote>
  <w:footnote w:id="76">
    <w:p w14:paraId="6760877C" w14:textId="1EEBD652" w:rsidR="007C581C" w:rsidRPr="004F7395" w:rsidRDefault="007C581C" w:rsidP="000200BE">
      <w:pPr>
        <w:pStyle w:val="Textpoznpodarou"/>
        <w:rPr>
          <w:sz w:val="16"/>
          <w:szCs w:val="16"/>
          <w:lang w:val="en-GB"/>
        </w:rPr>
      </w:pPr>
      <w:r w:rsidRPr="004F7395">
        <w:rPr>
          <w:rStyle w:val="Znakapoznpodarou"/>
          <w:sz w:val="16"/>
          <w:szCs w:val="16"/>
          <w:lang w:val="en-GB"/>
        </w:rPr>
        <w:footnoteRef/>
      </w:r>
      <w:r w:rsidRPr="004F7395">
        <w:rPr>
          <w:sz w:val="16"/>
          <w:szCs w:val="16"/>
          <w:lang w:val="en-GB"/>
        </w:rPr>
        <w:t xml:space="preserve"> </w:t>
      </w:r>
      <w:r>
        <w:rPr>
          <w:sz w:val="16"/>
          <w:szCs w:val="16"/>
          <w:lang w:val="en-GB"/>
        </w:rPr>
        <w:t xml:space="preserve">Population including entrepreneurs. </w:t>
      </w:r>
    </w:p>
  </w:footnote>
  <w:footnote w:id="77">
    <w:p w14:paraId="7D3A995A" w14:textId="196D891C" w:rsidR="007C581C" w:rsidRPr="00FE3E07" w:rsidRDefault="007C581C" w:rsidP="000200BE">
      <w:pPr>
        <w:pStyle w:val="Textpoznpodarou"/>
        <w:rPr>
          <w:sz w:val="16"/>
          <w:szCs w:val="16"/>
          <w:lang w:val="en-GB"/>
        </w:rPr>
      </w:pPr>
      <w:r w:rsidRPr="00FE3E07">
        <w:rPr>
          <w:rStyle w:val="Znakapoznpodarou"/>
          <w:sz w:val="16"/>
          <w:szCs w:val="16"/>
          <w:lang w:val="en-GB"/>
        </w:rPr>
        <w:footnoteRef/>
      </w:r>
      <w:r w:rsidRPr="00FE3E07">
        <w:rPr>
          <w:sz w:val="16"/>
          <w:szCs w:val="16"/>
          <w:lang w:val="en-GB"/>
        </w:rPr>
        <w:t xml:space="preserve"> </w:t>
      </w:r>
      <w:r>
        <w:rPr>
          <w:sz w:val="16"/>
          <w:szCs w:val="16"/>
          <w:lang w:val="en-GB"/>
        </w:rPr>
        <w:t xml:space="preserve">The refinanced credit and other provisions are included in the new contracts </w:t>
      </w:r>
      <w:r w:rsidRPr="00FE3E07">
        <w:rPr>
          <w:sz w:val="16"/>
          <w:szCs w:val="16"/>
          <w:lang w:val="en-GB"/>
        </w:rPr>
        <w:t>(</w:t>
      </w:r>
      <w:r>
        <w:rPr>
          <w:sz w:val="16"/>
          <w:szCs w:val="16"/>
          <w:lang w:val="en-GB"/>
        </w:rPr>
        <w:t>mainly the suspensions of payments in the last year</w:t>
      </w:r>
      <w:r w:rsidRPr="00FE3E07">
        <w:rPr>
          <w:sz w:val="16"/>
          <w:szCs w:val="16"/>
          <w:lang w:val="en-GB"/>
        </w:rPr>
        <w:t>).</w:t>
      </w:r>
    </w:p>
  </w:footnote>
  <w:footnote w:id="78">
    <w:p w14:paraId="009AB0C5" w14:textId="7E103299" w:rsidR="007C581C" w:rsidRPr="003B7313" w:rsidRDefault="007C581C" w:rsidP="00144108">
      <w:pPr>
        <w:pStyle w:val="Textpoznpodarou"/>
        <w:jc w:val="both"/>
        <w:rPr>
          <w:spacing w:val="-3"/>
          <w:sz w:val="16"/>
          <w:szCs w:val="16"/>
          <w:lang w:val="en-GB"/>
        </w:rPr>
      </w:pPr>
      <w:r w:rsidRPr="004A27B5">
        <w:rPr>
          <w:rStyle w:val="Znakapoznpodarou"/>
          <w:spacing w:val="-3"/>
          <w:sz w:val="16"/>
          <w:szCs w:val="16"/>
        </w:rPr>
        <w:footnoteRef/>
      </w:r>
      <w:r w:rsidRPr="004A27B5">
        <w:rPr>
          <w:spacing w:val="-3"/>
          <w:sz w:val="16"/>
          <w:szCs w:val="16"/>
        </w:rPr>
        <w:t xml:space="preserve"> </w:t>
      </w:r>
      <w:r w:rsidRPr="003B7313">
        <w:rPr>
          <w:spacing w:val="-3"/>
          <w:sz w:val="16"/>
          <w:szCs w:val="16"/>
          <w:lang w:val="en-GB"/>
        </w:rPr>
        <w:t xml:space="preserve">Unless stated otherwise, </w:t>
      </w:r>
      <w:r w:rsidRPr="003B7313">
        <w:rPr>
          <w:sz w:val="16"/>
          <w:szCs w:val="16"/>
          <w:lang w:val="en-GB"/>
        </w:rPr>
        <w:t>all data related to the state budget stem from the data of the Ministry of Finance regarding the cash fulfilment</w:t>
      </w:r>
      <w:r w:rsidRPr="003B7313">
        <w:rPr>
          <w:rFonts w:cs="Arial"/>
          <w:color w:val="0D0D0D" w:themeColor="text1" w:themeTint="F2"/>
          <w:spacing w:val="-3"/>
          <w:sz w:val="16"/>
          <w:szCs w:val="16"/>
          <w:lang w:val="en-GB"/>
        </w:rPr>
        <w:t>.</w:t>
      </w:r>
    </w:p>
  </w:footnote>
  <w:footnote w:id="79">
    <w:p w14:paraId="497C13FD" w14:textId="4C781153" w:rsidR="007C581C" w:rsidRPr="00301FD5" w:rsidRDefault="007C581C" w:rsidP="00144108">
      <w:pPr>
        <w:pStyle w:val="Textpoznpodarou"/>
        <w:jc w:val="both"/>
        <w:rPr>
          <w:sz w:val="16"/>
          <w:szCs w:val="16"/>
          <w:lang w:val="en-GB"/>
        </w:rPr>
      </w:pPr>
      <w:r w:rsidRPr="003B7313">
        <w:rPr>
          <w:rStyle w:val="Znakapoznpodarou"/>
          <w:sz w:val="16"/>
          <w:szCs w:val="16"/>
          <w:lang w:val="en-GB"/>
        </w:rPr>
        <w:footnoteRef/>
      </w:r>
      <w:r w:rsidRPr="003B7313">
        <w:rPr>
          <w:sz w:val="16"/>
          <w:szCs w:val="16"/>
          <w:lang w:val="en-GB"/>
        </w:rPr>
        <w:t xml:space="preserve"> </w:t>
      </w:r>
      <w:r>
        <w:rPr>
          <w:spacing w:val="-2"/>
          <w:sz w:val="16"/>
          <w:szCs w:val="16"/>
          <w:lang w:val="en-GB"/>
        </w:rPr>
        <w:t>C</w:t>
      </w:r>
      <w:r>
        <w:rPr>
          <w:color w:val="0D0D0D" w:themeColor="text1" w:themeTint="F2"/>
          <w:spacing w:val="-2"/>
          <w:sz w:val="16"/>
          <w:szCs w:val="16"/>
          <w:lang w:val="en-GB"/>
        </w:rPr>
        <w:t>ompared to the budget anticipations (anchored in the amendment of the Act on the state budget for year 2021, effective as of 1</w:t>
      </w:r>
      <w:r w:rsidRPr="003B7313">
        <w:rPr>
          <w:color w:val="0D0D0D" w:themeColor="text1" w:themeTint="F2"/>
          <w:spacing w:val="-2"/>
          <w:sz w:val="16"/>
          <w:szCs w:val="16"/>
          <w:vertAlign w:val="superscript"/>
          <w:lang w:val="en-GB"/>
        </w:rPr>
        <w:t>st</w:t>
      </w:r>
      <w:r>
        <w:rPr>
          <w:color w:val="0D0D0D" w:themeColor="text1" w:themeTint="F2"/>
          <w:spacing w:val="-2"/>
          <w:sz w:val="16"/>
          <w:szCs w:val="16"/>
          <w:lang w:val="en-GB"/>
        </w:rPr>
        <w:t xml:space="preserve"> March 2021) it represented deficit lower by </w:t>
      </w:r>
      <w:r w:rsidRPr="00301FD5">
        <w:rPr>
          <w:sz w:val="16"/>
          <w:szCs w:val="16"/>
          <w:lang w:val="en-GB"/>
        </w:rPr>
        <w:t>80</w:t>
      </w:r>
      <w:r>
        <w:rPr>
          <w:sz w:val="16"/>
          <w:szCs w:val="16"/>
          <w:lang w:val="en-GB"/>
        </w:rPr>
        <w:t xml:space="preserve"> CZK bn</w:t>
      </w:r>
      <w:r w:rsidRPr="00301FD5">
        <w:rPr>
          <w:sz w:val="16"/>
          <w:szCs w:val="16"/>
          <w:lang w:val="en-GB"/>
        </w:rPr>
        <w:t xml:space="preserve">. </w:t>
      </w:r>
      <w:proofErr w:type="gramStart"/>
      <w:r>
        <w:rPr>
          <w:sz w:val="16"/>
          <w:szCs w:val="16"/>
          <w:lang w:val="en-GB"/>
        </w:rPr>
        <w:t>Mainly</w:t>
      </w:r>
      <w:proofErr w:type="gramEnd"/>
      <w:r>
        <w:rPr>
          <w:sz w:val="16"/>
          <w:szCs w:val="16"/>
          <w:lang w:val="en-GB"/>
        </w:rPr>
        <w:t xml:space="preserve"> the higher than anticipated growth of the collection of direct taxes (especially the corporate tax</w:t>
      </w:r>
      <w:r w:rsidRPr="00301FD5">
        <w:rPr>
          <w:sz w:val="16"/>
          <w:szCs w:val="16"/>
          <w:lang w:val="en-GB"/>
        </w:rPr>
        <w:t>)</w:t>
      </w:r>
      <w:r>
        <w:rPr>
          <w:sz w:val="16"/>
          <w:szCs w:val="16"/>
          <w:lang w:val="en-GB"/>
        </w:rPr>
        <w:t xml:space="preserve"> stood behind it</w:t>
      </w:r>
      <w:r w:rsidRPr="00301FD5">
        <w:rPr>
          <w:sz w:val="16"/>
          <w:szCs w:val="16"/>
          <w:lang w:val="en-GB"/>
        </w:rPr>
        <w:t>.</w:t>
      </w:r>
    </w:p>
  </w:footnote>
  <w:footnote w:id="80">
    <w:p w14:paraId="3817A103" w14:textId="3725ABC9" w:rsidR="007C581C" w:rsidRPr="00301FD5" w:rsidRDefault="007C581C" w:rsidP="00144108">
      <w:pPr>
        <w:pStyle w:val="Textpoznpodarou"/>
        <w:jc w:val="both"/>
        <w:rPr>
          <w:sz w:val="16"/>
          <w:szCs w:val="16"/>
          <w:lang w:val="en-GB"/>
        </w:rPr>
      </w:pPr>
      <w:r w:rsidRPr="00301FD5">
        <w:rPr>
          <w:rStyle w:val="Znakapoznpodarou"/>
          <w:sz w:val="16"/>
          <w:szCs w:val="16"/>
          <w:lang w:val="en-GB"/>
        </w:rPr>
        <w:footnoteRef/>
      </w:r>
      <w:r w:rsidRPr="00301FD5">
        <w:rPr>
          <w:sz w:val="16"/>
          <w:szCs w:val="16"/>
          <w:lang w:val="en-GB"/>
        </w:rPr>
        <w:t xml:space="preserve"> </w:t>
      </w:r>
      <w:r>
        <w:rPr>
          <w:sz w:val="16"/>
          <w:szCs w:val="16"/>
          <w:lang w:val="en-GB"/>
        </w:rPr>
        <w:t xml:space="preserve">The cumulated SB deficit for the first five months of year </w:t>
      </w:r>
      <w:r w:rsidRPr="00301FD5">
        <w:rPr>
          <w:sz w:val="16"/>
          <w:szCs w:val="16"/>
          <w:lang w:val="en-GB"/>
        </w:rPr>
        <w:t>2021</w:t>
      </w:r>
      <w:r>
        <w:rPr>
          <w:sz w:val="16"/>
          <w:szCs w:val="16"/>
          <w:lang w:val="en-GB"/>
        </w:rPr>
        <w:t xml:space="preserve"> arrived at </w:t>
      </w:r>
      <w:r w:rsidRPr="00301FD5">
        <w:rPr>
          <w:sz w:val="16"/>
          <w:szCs w:val="16"/>
          <w:lang w:val="en-GB"/>
        </w:rPr>
        <w:t>255 </w:t>
      </w:r>
      <w:r>
        <w:rPr>
          <w:sz w:val="16"/>
          <w:szCs w:val="16"/>
          <w:lang w:val="en-GB"/>
        </w:rPr>
        <w:t>CZK bn</w:t>
      </w:r>
      <w:r w:rsidRPr="00301FD5">
        <w:rPr>
          <w:sz w:val="16"/>
          <w:szCs w:val="16"/>
          <w:lang w:val="en-GB"/>
        </w:rPr>
        <w:t>.</w:t>
      </w:r>
    </w:p>
  </w:footnote>
  <w:footnote w:id="81">
    <w:p w14:paraId="7D88B5B2" w14:textId="2E05ADBD" w:rsidR="007C581C" w:rsidRPr="00301FD5" w:rsidRDefault="007C581C" w:rsidP="00144108">
      <w:pPr>
        <w:pStyle w:val="Textpoznpodarou"/>
        <w:jc w:val="both"/>
        <w:rPr>
          <w:spacing w:val="-2"/>
          <w:sz w:val="16"/>
          <w:szCs w:val="16"/>
          <w:lang w:val="en-GB"/>
        </w:rPr>
      </w:pPr>
      <w:r w:rsidRPr="00301FD5">
        <w:rPr>
          <w:rStyle w:val="Znakapoznpodarou"/>
          <w:spacing w:val="-2"/>
          <w:sz w:val="16"/>
          <w:szCs w:val="16"/>
          <w:lang w:val="en-GB"/>
        </w:rPr>
        <w:footnoteRef/>
      </w:r>
      <w:r w:rsidRPr="00301FD5">
        <w:rPr>
          <w:spacing w:val="-2"/>
          <w:sz w:val="16"/>
          <w:szCs w:val="16"/>
          <w:lang w:val="en-GB"/>
        </w:rPr>
        <w:t xml:space="preserve"> </w:t>
      </w:r>
      <w:r>
        <w:rPr>
          <w:spacing w:val="-2"/>
          <w:sz w:val="16"/>
          <w:szCs w:val="16"/>
          <w:lang w:val="en-GB"/>
        </w:rPr>
        <w:t xml:space="preserve">Since January </w:t>
      </w:r>
      <w:r w:rsidRPr="00301FD5">
        <w:rPr>
          <w:sz w:val="16"/>
          <w:szCs w:val="16"/>
          <w:lang w:val="en-GB"/>
        </w:rPr>
        <w:t>2021</w:t>
      </w:r>
      <w:r>
        <w:rPr>
          <w:sz w:val="16"/>
          <w:szCs w:val="16"/>
          <w:lang w:val="en-GB"/>
        </w:rPr>
        <w:t xml:space="preserve">, the ratio of municipalities on the </w:t>
      </w:r>
      <w:proofErr w:type="gramStart"/>
      <w:r>
        <w:rPr>
          <w:sz w:val="16"/>
          <w:szCs w:val="16"/>
          <w:lang w:val="en-GB"/>
        </w:rPr>
        <w:t>state-wide</w:t>
      </w:r>
      <w:proofErr w:type="gramEnd"/>
      <w:r>
        <w:rPr>
          <w:sz w:val="16"/>
          <w:szCs w:val="16"/>
          <w:lang w:val="en-GB"/>
        </w:rPr>
        <w:t xml:space="preserve"> collection of shared taxes increased from </w:t>
      </w:r>
      <w:r w:rsidRPr="00301FD5">
        <w:rPr>
          <w:sz w:val="16"/>
          <w:szCs w:val="16"/>
          <w:lang w:val="en-GB"/>
        </w:rPr>
        <w:t>23</w:t>
      </w:r>
      <w:r>
        <w:rPr>
          <w:sz w:val="16"/>
          <w:szCs w:val="16"/>
          <w:lang w:val="en-GB"/>
        </w:rPr>
        <w:t>.</w:t>
      </w:r>
      <w:r w:rsidRPr="00301FD5">
        <w:rPr>
          <w:sz w:val="16"/>
          <w:szCs w:val="16"/>
          <w:lang w:val="en-GB"/>
        </w:rPr>
        <w:t>58%</w:t>
      </w:r>
      <w:r>
        <w:rPr>
          <w:sz w:val="16"/>
          <w:szCs w:val="16"/>
          <w:lang w:val="en-GB"/>
        </w:rPr>
        <w:t xml:space="preserve"> to </w:t>
      </w:r>
      <w:r w:rsidRPr="00301FD5">
        <w:rPr>
          <w:sz w:val="16"/>
          <w:szCs w:val="16"/>
          <w:lang w:val="en-GB"/>
        </w:rPr>
        <w:t>25</w:t>
      </w:r>
      <w:r>
        <w:rPr>
          <w:sz w:val="16"/>
          <w:szCs w:val="16"/>
          <w:lang w:val="en-GB"/>
        </w:rPr>
        <w:t>.</w:t>
      </w:r>
      <w:r w:rsidRPr="00301FD5">
        <w:rPr>
          <w:sz w:val="16"/>
          <w:szCs w:val="16"/>
          <w:lang w:val="en-GB"/>
        </w:rPr>
        <w:t xml:space="preserve">84% </w:t>
      </w:r>
      <w:r>
        <w:rPr>
          <w:sz w:val="16"/>
          <w:szCs w:val="16"/>
          <w:lang w:val="en-GB"/>
        </w:rPr>
        <w:t xml:space="preserve">and regions from </w:t>
      </w:r>
      <w:r w:rsidRPr="00301FD5">
        <w:rPr>
          <w:sz w:val="16"/>
          <w:szCs w:val="16"/>
          <w:lang w:val="en-GB"/>
        </w:rPr>
        <w:t>8</w:t>
      </w:r>
      <w:r>
        <w:rPr>
          <w:sz w:val="16"/>
          <w:szCs w:val="16"/>
          <w:lang w:val="en-GB"/>
        </w:rPr>
        <w:t>.</w:t>
      </w:r>
      <w:r w:rsidRPr="00301FD5">
        <w:rPr>
          <w:sz w:val="16"/>
          <w:szCs w:val="16"/>
          <w:lang w:val="en-GB"/>
        </w:rPr>
        <w:t xml:space="preserve">92% </w:t>
      </w:r>
      <w:r>
        <w:rPr>
          <w:sz w:val="16"/>
          <w:szCs w:val="16"/>
          <w:lang w:val="en-GB"/>
        </w:rPr>
        <w:t xml:space="preserve">to </w:t>
      </w:r>
      <w:r w:rsidRPr="00301FD5">
        <w:rPr>
          <w:sz w:val="16"/>
          <w:szCs w:val="16"/>
          <w:lang w:val="en-GB"/>
        </w:rPr>
        <w:t>9</w:t>
      </w:r>
      <w:r>
        <w:rPr>
          <w:sz w:val="16"/>
          <w:szCs w:val="16"/>
          <w:lang w:val="en-GB"/>
        </w:rPr>
        <w:t>.</w:t>
      </w:r>
      <w:r w:rsidRPr="00301FD5">
        <w:rPr>
          <w:sz w:val="16"/>
          <w:szCs w:val="16"/>
          <w:lang w:val="en-GB"/>
        </w:rPr>
        <w:t>78%. T</w:t>
      </w:r>
      <w:r>
        <w:rPr>
          <w:sz w:val="16"/>
          <w:szCs w:val="16"/>
          <w:lang w:val="en-GB"/>
        </w:rPr>
        <w:t xml:space="preserve">his increase represented according to the MF estimations an adverse impact on the annual SB tax collection </w:t>
      </w:r>
      <w:proofErr w:type="gramStart"/>
      <w:r>
        <w:rPr>
          <w:sz w:val="16"/>
          <w:szCs w:val="16"/>
          <w:lang w:val="en-GB"/>
        </w:rPr>
        <w:t xml:space="preserve">in the amount of </w:t>
      </w:r>
      <w:r w:rsidRPr="00301FD5">
        <w:rPr>
          <w:sz w:val="16"/>
          <w:szCs w:val="16"/>
          <w:lang w:val="en-GB"/>
        </w:rPr>
        <w:t>27</w:t>
      </w:r>
      <w:r>
        <w:rPr>
          <w:sz w:val="16"/>
          <w:szCs w:val="16"/>
          <w:lang w:val="en-GB"/>
        </w:rPr>
        <w:t>.</w:t>
      </w:r>
      <w:r w:rsidRPr="00301FD5">
        <w:rPr>
          <w:sz w:val="16"/>
          <w:szCs w:val="16"/>
          <w:lang w:val="en-GB"/>
        </w:rPr>
        <w:t>4</w:t>
      </w:r>
      <w:r>
        <w:rPr>
          <w:sz w:val="16"/>
          <w:szCs w:val="16"/>
          <w:lang w:val="en-GB"/>
        </w:rPr>
        <w:t xml:space="preserve"> CZK</w:t>
      </w:r>
      <w:proofErr w:type="gramEnd"/>
      <w:r>
        <w:rPr>
          <w:sz w:val="16"/>
          <w:szCs w:val="16"/>
          <w:lang w:val="en-GB"/>
        </w:rPr>
        <w:t xml:space="preserve"> bn</w:t>
      </w:r>
      <w:r w:rsidRPr="00301FD5">
        <w:rPr>
          <w:sz w:val="16"/>
          <w:szCs w:val="16"/>
          <w:lang w:val="en-GB"/>
        </w:rPr>
        <w:t>.</w:t>
      </w:r>
    </w:p>
  </w:footnote>
  <w:footnote w:id="82">
    <w:p w14:paraId="00AF640E" w14:textId="517A47CF" w:rsidR="007C581C" w:rsidRPr="00301FD5" w:rsidRDefault="007C581C" w:rsidP="00144108">
      <w:pPr>
        <w:pStyle w:val="Textpoznpodarou"/>
        <w:jc w:val="both"/>
        <w:rPr>
          <w:sz w:val="16"/>
          <w:szCs w:val="16"/>
          <w:lang w:val="en-GB"/>
        </w:rPr>
      </w:pPr>
      <w:r w:rsidRPr="00301FD5">
        <w:rPr>
          <w:rStyle w:val="Znakapoznpodarou"/>
          <w:sz w:val="16"/>
          <w:szCs w:val="16"/>
          <w:lang w:val="en-GB"/>
        </w:rPr>
        <w:footnoteRef/>
      </w:r>
      <w:r w:rsidRPr="00301FD5">
        <w:rPr>
          <w:sz w:val="16"/>
          <w:szCs w:val="16"/>
          <w:lang w:val="en-GB"/>
        </w:rPr>
        <w:t xml:space="preserve"> </w:t>
      </w:r>
      <w:r>
        <w:rPr>
          <w:sz w:val="16"/>
          <w:szCs w:val="16"/>
          <w:lang w:val="en-GB"/>
        </w:rPr>
        <w:t xml:space="preserve">Lowered rate </w:t>
      </w:r>
      <w:r w:rsidRPr="00301FD5">
        <w:rPr>
          <w:sz w:val="16"/>
          <w:szCs w:val="16"/>
          <w:lang w:val="en-GB"/>
        </w:rPr>
        <w:t>(</w:t>
      </w:r>
      <w:r>
        <w:rPr>
          <w:sz w:val="16"/>
          <w:szCs w:val="16"/>
          <w:lang w:val="en-GB"/>
        </w:rPr>
        <w:t xml:space="preserve">from </w:t>
      </w:r>
      <w:r w:rsidRPr="00301FD5">
        <w:rPr>
          <w:sz w:val="16"/>
          <w:szCs w:val="16"/>
          <w:lang w:val="en-GB"/>
        </w:rPr>
        <w:t>15%</w:t>
      </w:r>
      <w:r>
        <w:rPr>
          <w:sz w:val="16"/>
          <w:szCs w:val="16"/>
          <w:lang w:val="en-GB"/>
        </w:rPr>
        <w:t xml:space="preserve"> to </w:t>
      </w:r>
      <w:r w:rsidRPr="00301FD5">
        <w:rPr>
          <w:sz w:val="16"/>
          <w:szCs w:val="16"/>
          <w:lang w:val="en-GB"/>
        </w:rPr>
        <w:t xml:space="preserve">10%) </w:t>
      </w:r>
      <w:r>
        <w:rPr>
          <w:sz w:val="16"/>
          <w:szCs w:val="16"/>
          <w:lang w:val="en-GB"/>
        </w:rPr>
        <w:t xml:space="preserve">on food and accommodation and services, cultural and sport events, further also for example on water rate, sewer rate, drinking water or draught beer, was introduced starting May last year, resp. July. The VAT collection for year </w:t>
      </w:r>
      <w:r w:rsidRPr="00301FD5">
        <w:rPr>
          <w:sz w:val="16"/>
          <w:szCs w:val="16"/>
          <w:lang w:val="en-GB"/>
        </w:rPr>
        <w:t>2021</w:t>
      </w:r>
      <w:r>
        <w:rPr>
          <w:sz w:val="16"/>
          <w:szCs w:val="16"/>
          <w:lang w:val="en-GB"/>
        </w:rPr>
        <w:t xml:space="preserve"> </w:t>
      </w:r>
      <w:proofErr w:type="gramStart"/>
      <w:r>
        <w:rPr>
          <w:sz w:val="16"/>
          <w:szCs w:val="16"/>
          <w:lang w:val="en-GB"/>
        </w:rPr>
        <w:t>was also mildly subdued</w:t>
      </w:r>
      <w:proofErr w:type="gramEnd"/>
      <w:r>
        <w:rPr>
          <w:sz w:val="16"/>
          <w:szCs w:val="16"/>
          <w:lang w:val="en-GB"/>
        </w:rPr>
        <w:t xml:space="preserve"> by the temporary tax waiver for protective equipment </w:t>
      </w:r>
      <w:r w:rsidRPr="00301FD5">
        <w:rPr>
          <w:sz w:val="16"/>
          <w:szCs w:val="16"/>
          <w:lang w:val="en-GB"/>
        </w:rPr>
        <w:t>(</w:t>
      </w:r>
      <w:r>
        <w:rPr>
          <w:sz w:val="16"/>
          <w:szCs w:val="16"/>
          <w:lang w:val="en-GB"/>
        </w:rPr>
        <w:t>e.g. respirators</w:t>
      </w:r>
      <w:r w:rsidRPr="00301FD5">
        <w:rPr>
          <w:sz w:val="16"/>
          <w:szCs w:val="16"/>
          <w:lang w:val="en-GB"/>
        </w:rPr>
        <w:t>) a</w:t>
      </w:r>
      <w:r>
        <w:rPr>
          <w:sz w:val="16"/>
          <w:szCs w:val="16"/>
          <w:lang w:val="en-GB"/>
        </w:rPr>
        <w:t xml:space="preserve">nd for tests as well as vaccines associated with the </w:t>
      </w:r>
      <w:r w:rsidRPr="00301FD5">
        <w:rPr>
          <w:sz w:val="16"/>
          <w:szCs w:val="16"/>
          <w:lang w:val="en-GB"/>
        </w:rPr>
        <w:t>covid-19</w:t>
      </w:r>
      <w:r>
        <w:rPr>
          <w:sz w:val="16"/>
          <w:szCs w:val="16"/>
          <w:lang w:val="en-GB"/>
        </w:rPr>
        <w:t xml:space="preserve"> epidemy</w:t>
      </w:r>
      <w:r w:rsidRPr="00301FD5">
        <w:rPr>
          <w:sz w:val="16"/>
          <w:szCs w:val="16"/>
          <w:lang w:val="en-GB"/>
        </w:rPr>
        <w:t>.</w:t>
      </w:r>
    </w:p>
  </w:footnote>
  <w:footnote w:id="83">
    <w:p w14:paraId="639E2043" w14:textId="62BCD3BF" w:rsidR="007C581C" w:rsidRPr="00301FD5" w:rsidRDefault="007C581C" w:rsidP="00144108">
      <w:pPr>
        <w:pStyle w:val="Textpoznpodarou"/>
        <w:jc w:val="both"/>
        <w:rPr>
          <w:spacing w:val="-4"/>
          <w:sz w:val="16"/>
          <w:szCs w:val="16"/>
          <w:lang w:val="en-GB"/>
        </w:rPr>
      </w:pPr>
      <w:r w:rsidRPr="00301FD5">
        <w:rPr>
          <w:rStyle w:val="Znakapoznpodarou"/>
          <w:spacing w:val="-4"/>
          <w:sz w:val="16"/>
          <w:szCs w:val="16"/>
          <w:lang w:val="en-GB"/>
        </w:rPr>
        <w:footnoteRef/>
      </w:r>
      <w:r w:rsidRPr="00301FD5">
        <w:rPr>
          <w:spacing w:val="-4"/>
          <w:sz w:val="16"/>
          <w:szCs w:val="16"/>
          <w:lang w:val="en-GB"/>
        </w:rPr>
        <w:t xml:space="preserve"> </w:t>
      </w:r>
      <w:r>
        <w:rPr>
          <w:spacing w:val="-4"/>
          <w:sz w:val="16"/>
          <w:szCs w:val="16"/>
          <w:lang w:val="en-GB"/>
        </w:rPr>
        <w:t xml:space="preserve">SB collection of this tax fell by </w:t>
      </w:r>
      <w:r w:rsidRPr="00301FD5">
        <w:rPr>
          <w:spacing w:val="-4"/>
          <w:sz w:val="16"/>
          <w:szCs w:val="16"/>
          <w:lang w:val="en-GB"/>
        </w:rPr>
        <w:t>2</w:t>
      </w:r>
      <w:r>
        <w:rPr>
          <w:spacing w:val="-4"/>
          <w:sz w:val="16"/>
          <w:szCs w:val="16"/>
          <w:lang w:val="en-GB"/>
        </w:rPr>
        <w:t>.</w:t>
      </w:r>
      <w:r w:rsidRPr="00301FD5">
        <w:rPr>
          <w:spacing w:val="-4"/>
          <w:sz w:val="16"/>
          <w:szCs w:val="16"/>
          <w:lang w:val="en-GB"/>
        </w:rPr>
        <w:t>3</w:t>
      </w:r>
      <w:r>
        <w:rPr>
          <w:spacing w:val="-4"/>
          <w:sz w:val="16"/>
          <w:szCs w:val="16"/>
          <w:lang w:val="en-GB"/>
        </w:rPr>
        <w:t xml:space="preserve"> CZK bn </w:t>
      </w:r>
      <w:r w:rsidRPr="00301FD5">
        <w:rPr>
          <w:spacing w:val="-4"/>
          <w:sz w:val="16"/>
          <w:szCs w:val="16"/>
          <w:lang w:val="en-GB"/>
        </w:rPr>
        <w:t>(</w:t>
      </w:r>
      <w:r w:rsidRPr="00301FD5">
        <w:rPr>
          <w:color w:val="0D0D0D" w:themeColor="text1" w:themeTint="F2"/>
          <w:spacing w:val="-4"/>
          <w:sz w:val="16"/>
          <w:szCs w:val="16"/>
          <w:lang w:val="en-GB"/>
        </w:rPr>
        <w:t>–</w:t>
      </w:r>
      <w:r w:rsidRPr="00301FD5">
        <w:rPr>
          <w:spacing w:val="-4"/>
          <w:sz w:val="16"/>
          <w:szCs w:val="16"/>
          <w:lang w:val="en-GB"/>
        </w:rPr>
        <w:t>3</w:t>
      </w:r>
      <w:r>
        <w:rPr>
          <w:spacing w:val="-4"/>
          <w:sz w:val="16"/>
          <w:szCs w:val="16"/>
          <w:lang w:val="en-GB"/>
        </w:rPr>
        <w:t>.</w:t>
      </w:r>
      <w:r w:rsidRPr="00301FD5">
        <w:rPr>
          <w:spacing w:val="-4"/>
          <w:sz w:val="16"/>
          <w:szCs w:val="16"/>
          <w:lang w:val="en-GB"/>
        </w:rPr>
        <w:t>0%)</w:t>
      </w:r>
      <w:r>
        <w:rPr>
          <w:spacing w:val="-4"/>
          <w:sz w:val="16"/>
          <w:szCs w:val="16"/>
          <w:lang w:val="en-GB"/>
        </w:rPr>
        <w:t xml:space="preserve"> year-on-year last year</w:t>
      </w:r>
      <w:r w:rsidRPr="00301FD5">
        <w:rPr>
          <w:spacing w:val="-4"/>
          <w:sz w:val="16"/>
          <w:szCs w:val="16"/>
          <w:lang w:val="en-GB"/>
        </w:rPr>
        <w:t xml:space="preserve">, </w:t>
      </w:r>
      <w:r>
        <w:rPr>
          <w:spacing w:val="-4"/>
          <w:sz w:val="16"/>
          <w:szCs w:val="16"/>
          <w:lang w:val="en-GB"/>
        </w:rPr>
        <w:t xml:space="preserve">the lowering of the tariff itself led based on the MF estimation to decreased collection by </w:t>
      </w:r>
      <w:r w:rsidRPr="00301FD5">
        <w:rPr>
          <w:spacing w:val="-4"/>
          <w:sz w:val="16"/>
          <w:szCs w:val="16"/>
          <w:lang w:val="en-GB"/>
        </w:rPr>
        <w:t>4</w:t>
      </w:r>
      <w:r>
        <w:rPr>
          <w:spacing w:val="-4"/>
          <w:sz w:val="16"/>
          <w:szCs w:val="16"/>
          <w:lang w:val="en-GB"/>
        </w:rPr>
        <w:t>.</w:t>
      </w:r>
      <w:r w:rsidRPr="00301FD5">
        <w:rPr>
          <w:spacing w:val="-4"/>
          <w:sz w:val="16"/>
          <w:szCs w:val="16"/>
          <w:lang w:val="en-GB"/>
        </w:rPr>
        <w:t>7</w:t>
      </w:r>
      <w:r>
        <w:rPr>
          <w:spacing w:val="-4"/>
          <w:sz w:val="16"/>
          <w:szCs w:val="16"/>
          <w:lang w:val="en-GB"/>
        </w:rPr>
        <w:t xml:space="preserve"> bn</w:t>
      </w:r>
      <w:r w:rsidRPr="00301FD5">
        <w:rPr>
          <w:spacing w:val="-4"/>
          <w:sz w:val="16"/>
          <w:szCs w:val="16"/>
          <w:lang w:val="en-GB"/>
        </w:rPr>
        <w:t>.</w:t>
      </w:r>
    </w:p>
  </w:footnote>
  <w:footnote w:id="84">
    <w:p w14:paraId="44488681" w14:textId="6369412C" w:rsidR="007C581C" w:rsidRPr="007910A8" w:rsidRDefault="007C581C" w:rsidP="00144108">
      <w:pPr>
        <w:pStyle w:val="Textpoznpodarou"/>
        <w:jc w:val="both"/>
        <w:rPr>
          <w:sz w:val="16"/>
          <w:szCs w:val="16"/>
          <w:lang w:val="en-GB"/>
        </w:rPr>
      </w:pPr>
      <w:r w:rsidRPr="00301FD5">
        <w:rPr>
          <w:rStyle w:val="Znakapoznpodarou"/>
          <w:sz w:val="16"/>
          <w:szCs w:val="16"/>
          <w:lang w:val="en-GB"/>
        </w:rPr>
        <w:footnoteRef/>
      </w:r>
      <w:r w:rsidRPr="00301FD5">
        <w:rPr>
          <w:sz w:val="16"/>
          <w:szCs w:val="16"/>
          <w:lang w:val="en-GB"/>
        </w:rPr>
        <w:t xml:space="preserve"> </w:t>
      </w:r>
      <w:r w:rsidRPr="007910A8">
        <w:rPr>
          <w:sz w:val="16"/>
          <w:szCs w:val="16"/>
          <w:lang w:val="en-GB"/>
        </w:rPr>
        <w:t xml:space="preserve">According to the CZSO data, </w:t>
      </w:r>
      <w:r>
        <w:rPr>
          <w:sz w:val="16"/>
          <w:szCs w:val="16"/>
          <w:lang w:val="en-GB"/>
        </w:rPr>
        <w:t xml:space="preserve">the year-on-year consumption of diesel fuel increased in the CR from January </w:t>
      </w:r>
      <w:proofErr w:type="gramStart"/>
      <w:r>
        <w:rPr>
          <w:sz w:val="16"/>
          <w:szCs w:val="16"/>
          <w:lang w:val="en-GB"/>
        </w:rPr>
        <w:t>till</w:t>
      </w:r>
      <w:proofErr w:type="gramEnd"/>
      <w:r>
        <w:rPr>
          <w:sz w:val="16"/>
          <w:szCs w:val="16"/>
          <w:lang w:val="en-GB"/>
        </w:rPr>
        <w:t xml:space="preserve"> October </w:t>
      </w:r>
      <w:r w:rsidRPr="007910A8">
        <w:rPr>
          <w:sz w:val="16"/>
          <w:szCs w:val="16"/>
          <w:lang w:val="en-GB"/>
        </w:rPr>
        <w:t>202</w:t>
      </w:r>
      <w:r>
        <w:rPr>
          <w:sz w:val="16"/>
          <w:szCs w:val="16"/>
          <w:lang w:val="en-GB"/>
        </w:rPr>
        <w:t xml:space="preserve">1 year-on-year </w:t>
      </w:r>
      <w:r w:rsidRPr="007910A8">
        <w:rPr>
          <w:sz w:val="16"/>
          <w:szCs w:val="16"/>
          <w:lang w:val="en-GB"/>
        </w:rPr>
        <w:t>(+7</w:t>
      </w:r>
      <w:r>
        <w:rPr>
          <w:sz w:val="16"/>
          <w:szCs w:val="16"/>
          <w:lang w:val="en-GB"/>
        </w:rPr>
        <w:t>.</w:t>
      </w:r>
      <w:r w:rsidRPr="007910A8">
        <w:rPr>
          <w:sz w:val="16"/>
          <w:szCs w:val="16"/>
          <w:lang w:val="en-GB"/>
        </w:rPr>
        <w:t>1%) a</w:t>
      </w:r>
      <w:r>
        <w:rPr>
          <w:sz w:val="16"/>
          <w:szCs w:val="16"/>
          <w:lang w:val="en-GB"/>
        </w:rPr>
        <w:t xml:space="preserve">nd also the petrol by slower rate </w:t>
      </w:r>
      <w:r w:rsidRPr="007910A8">
        <w:rPr>
          <w:sz w:val="16"/>
          <w:szCs w:val="16"/>
          <w:lang w:val="en-GB"/>
        </w:rPr>
        <w:t>(+0</w:t>
      </w:r>
      <w:r>
        <w:rPr>
          <w:sz w:val="16"/>
          <w:szCs w:val="16"/>
          <w:lang w:val="en-GB"/>
        </w:rPr>
        <w:t>.</w:t>
      </w:r>
      <w:r w:rsidRPr="007910A8">
        <w:rPr>
          <w:sz w:val="16"/>
          <w:szCs w:val="16"/>
          <w:lang w:val="en-GB"/>
        </w:rPr>
        <w:t xml:space="preserve">9%). </w:t>
      </w:r>
      <w:r>
        <w:rPr>
          <w:sz w:val="16"/>
          <w:szCs w:val="16"/>
          <w:lang w:val="en-GB"/>
        </w:rPr>
        <w:t xml:space="preserve">Following the sharp dive during the year </w:t>
      </w:r>
      <w:r w:rsidRPr="007910A8">
        <w:rPr>
          <w:sz w:val="16"/>
          <w:szCs w:val="16"/>
          <w:lang w:val="en-GB"/>
        </w:rPr>
        <w:t>2020</w:t>
      </w:r>
      <w:r>
        <w:rPr>
          <w:sz w:val="16"/>
          <w:szCs w:val="16"/>
          <w:lang w:val="en-GB"/>
        </w:rPr>
        <w:t xml:space="preserve">, the consumption of kerosene in fact stagnated for the first ten months of the last year </w:t>
      </w:r>
      <w:r w:rsidRPr="007910A8">
        <w:rPr>
          <w:sz w:val="16"/>
          <w:szCs w:val="16"/>
          <w:lang w:val="en-GB"/>
        </w:rPr>
        <w:t>(</w:t>
      </w:r>
      <w:r w:rsidRPr="007910A8">
        <w:rPr>
          <w:color w:val="0D0D0D" w:themeColor="text1" w:themeTint="F2"/>
          <w:spacing w:val="-4"/>
          <w:sz w:val="16"/>
          <w:szCs w:val="16"/>
          <w:lang w:val="en-GB"/>
        </w:rPr>
        <w:t>–</w:t>
      </w:r>
      <w:r w:rsidRPr="007910A8">
        <w:rPr>
          <w:sz w:val="16"/>
          <w:szCs w:val="16"/>
          <w:lang w:val="en-GB"/>
        </w:rPr>
        <w:t>0</w:t>
      </w:r>
      <w:r>
        <w:rPr>
          <w:sz w:val="16"/>
          <w:szCs w:val="16"/>
          <w:lang w:val="en-GB"/>
        </w:rPr>
        <w:t>.</w:t>
      </w:r>
      <w:r w:rsidRPr="007910A8">
        <w:rPr>
          <w:sz w:val="16"/>
          <w:szCs w:val="16"/>
          <w:lang w:val="en-GB"/>
        </w:rPr>
        <w:t xml:space="preserve">7%). </w:t>
      </w:r>
      <w:r>
        <w:rPr>
          <w:sz w:val="16"/>
          <w:szCs w:val="16"/>
          <w:lang w:val="en-GB"/>
        </w:rPr>
        <w:t xml:space="preserve">In comparison to the pre-pandemic year </w:t>
      </w:r>
      <w:r w:rsidRPr="007910A8">
        <w:rPr>
          <w:sz w:val="16"/>
          <w:szCs w:val="16"/>
          <w:lang w:val="en-GB"/>
        </w:rPr>
        <w:t>2019</w:t>
      </w:r>
      <w:r>
        <w:rPr>
          <w:sz w:val="16"/>
          <w:szCs w:val="16"/>
          <w:lang w:val="en-GB"/>
        </w:rPr>
        <w:t xml:space="preserve"> however, the consumption of all main oil products still considerably lagged behind, except for diesel </w:t>
      </w:r>
      <w:r w:rsidRPr="007910A8">
        <w:rPr>
          <w:sz w:val="16"/>
          <w:szCs w:val="16"/>
          <w:lang w:val="en-GB"/>
        </w:rPr>
        <w:t>(+1</w:t>
      </w:r>
      <w:r>
        <w:rPr>
          <w:sz w:val="16"/>
          <w:szCs w:val="16"/>
          <w:lang w:val="en-GB"/>
        </w:rPr>
        <w:t>.</w:t>
      </w:r>
      <w:r w:rsidRPr="007910A8">
        <w:rPr>
          <w:sz w:val="16"/>
          <w:szCs w:val="16"/>
          <w:lang w:val="en-GB"/>
        </w:rPr>
        <w:t>8%).</w:t>
      </w:r>
    </w:p>
  </w:footnote>
  <w:footnote w:id="85">
    <w:p w14:paraId="2D5CD1D7" w14:textId="5592FB14" w:rsidR="007C581C" w:rsidRPr="007910A8" w:rsidRDefault="007C581C" w:rsidP="00144108">
      <w:pPr>
        <w:pStyle w:val="Textpoznpodarou"/>
        <w:jc w:val="both"/>
        <w:rPr>
          <w:sz w:val="16"/>
          <w:szCs w:val="16"/>
          <w:lang w:val="en-GB"/>
        </w:rPr>
      </w:pPr>
      <w:r w:rsidRPr="007910A8">
        <w:rPr>
          <w:rStyle w:val="Znakapoznpodarou"/>
          <w:sz w:val="16"/>
          <w:szCs w:val="16"/>
          <w:lang w:val="en-GB"/>
        </w:rPr>
        <w:footnoteRef/>
      </w:r>
      <w:r w:rsidRPr="007910A8">
        <w:rPr>
          <w:sz w:val="16"/>
          <w:szCs w:val="16"/>
          <w:lang w:val="en-GB"/>
        </w:rPr>
        <w:t xml:space="preserve"> </w:t>
      </w:r>
      <w:r>
        <w:rPr>
          <w:sz w:val="16"/>
          <w:szCs w:val="16"/>
          <w:lang w:val="en-GB"/>
        </w:rPr>
        <w:t xml:space="preserve">It presented mainly the waiver of the June advance payment for this tax </w:t>
      </w:r>
      <w:r w:rsidRPr="007910A8">
        <w:rPr>
          <w:spacing w:val="-2"/>
          <w:sz w:val="16"/>
          <w:szCs w:val="16"/>
          <w:lang w:val="en-GB"/>
        </w:rPr>
        <w:t>(</w:t>
      </w:r>
      <w:r>
        <w:rPr>
          <w:spacing w:val="-2"/>
          <w:sz w:val="16"/>
          <w:szCs w:val="16"/>
          <w:lang w:val="en-GB"/>
        </w:rPr>
        <w:t xml:space="preserve">with negative impact on the SB level collection </w:t>
      </w:r>
      <w:proofErr w:type="gramStart"/>
      <w:r>
        <w:rPr>
          <w:spacing w:val="-2"/>
          <w:sz w:val="16"/>
          <w:szCs w:val="16"/>
          <w:lang w:val="en-GB"/>
        </w:rPr>
        <w:t>in the amount of 13.5 CZK</w:t>
      </w:r>
      <w:proofErr w:type="gramEnd"/>
      <w:r>
        <w:rPr>
          <w:spacing w:val="-2"/>
          <w:sz w:val="16"/>
          <w:szCs w:val="16"/>
          <w:lang w:val="en-GB"/>
        </w:rPr>
        <w:t xml:space="preserve"> bn in year 2020</w:t>
      </w:r>
      <w:r w:rsidRPr="007910A8">
        <w:rPr>
          <w:spacing w:val="-2"/>
          <w:sz w:val="16"/>
          <w:szCs w:val="16"/>
          <w:lang w:val="en-GB"/>
        </w:rPr>
        <w:t>).</w:t>
      </w:r>
      <w:r>
        <w:rPr>
          <w:spacing w:val="-2"/>
          <w:sz w:val="16"/>
          <w:szCs w:val="16"/>
          <w:lang w:val="en-GB"/>
        </w:rPr>
        <w:t xml:space="preserve"> Part of the cancelled and unpaid June advance payment of year </w:t>
      </w:r>
      <w:r w:rsidRPr="007910A8">
        <w:rPr>
          <w:spacing w:val="-2"/>
          <w:sz w:val="16"/>
          <w:szCs w:val="16"/>
          <w:lang w:val="en-GB"/>
        </w:rPr>
        <w:t>2020</w:t>
      </w:r>
      <w:r>
        <w:rPr>
          <w:spacing w:val="-2"/>
          <w:sz w:val="16"/>
          <w:szCs w:val="16"/>
          <w:lang w:val="en-GB"/>
        </w:rPr>
        <w:t xml:space="preserve"> </w:t>
      </w:r>
      <w:proofErr w:type="gramStart"/>
      <w:r>
        <w:rPr>
          <w:spacing w:val="-2"/>
          <w:sz w:val="16"/>
          <w:szCs w:val="16"/>
          <w:lang w:val="en-GB"/>
        </w:rPr>
        <w:t>was paid</w:t>
      </w:r>
      <w:proofErr w:type="gramEnd"/>
      <w:r>
        <w:rPr>
          <w:spacing w:val="-2"/>
          <w:sz w:val="16"/>
          <w:szCs w:val="16"/>
          <w:lang w:val="en-GB"/>
        </w:rPr>
        <w:t xml:space="preserve"> last year in the tax realignment. </w:t>
      </w:r>
    </w:p>
  </w:footnote>
  <w:footnote w:id="86">
    <w:p w14:paraId="5CEAE9D0" w14:textId="6E81E7DF" w:rsidR="007C581C" w:rsidRPr="007910A8" w:rsidRDefault="007C581C" w:rsidP="00144108">
      <w:pPr>
        <w:pStyle w:val="Textpoznpodarou"/>
        <w:jc w:val="both"/>
        <w:rPr>
          <w:spacing w:val="-2"/>
          <w:sz w:val="16"/>
          <w:szCs w:val="16"/>
          <w:lang w:val="en-GB"/>
        </w:rPr>
      </w:pPr>
      <w:r w:rsidRPr="007910A8">
        <w:rPr>
          <w:rStyle w:val="Znakapoznpodarou"/>
          <w:spacing w:val="-2"/>
          <w:sz w:val="16"/>
          <w:szCs w:val="16"/>
          <w:lang w:val="en-GB"/>
        </w:rPr>
        <w:footnoteRef/>
      </w:r>
      <w:r w:rsidRPr="007910A8">
        <w:rPr>
          <w:spacing w:val="-2"/>
          <w:sz w:val="16"/>
          <w:szCs w:val="16"/>
          <w:lang w:val="en-GB"/>
        </w:rPr>
        <w:t xml:space="preserve"> T</w:t>
      </w:r>
      <w:r>
        <w:rPr>
          <w:spacing w:val="-2"/>
          <w:sz w:val="16"/>
          <w:szCs w:val="16"/>
          <w:lang w:val="en-GB"/>
        </w:rPr>
        <w:t>hey react to the worsened financial situation of businesses</w:t>
      </w:r>
      <w:r w:rsidRPr="007910A8">
        <w:rPr>
          <w:spacing w:val="-2"/>
          <w:sz w:val="16"/>
          <w:szCs w:val="16"/>
          <w:lang w:val="en-GB"/>
        </w:rPr>
        <w:t xml:space="preserve">. </w:t>
      </w:r>
      <w:r>
        <w:rPr>
          <w:spacing w:val="-2"/>
          <w:sz w:val="16"/>
          <w:szCs w:val="16"/>
          <w:lang w:val="en-GB"/>
        </w:rPr>
        <w:t xml:space="preserve">According to the MF estimations, these requests led to the decrease of the revenues from corporate tax into the SB by </w:t>
      </w:r>
      <w:r w:rsidRPr="007910A8">
        <w:rPr>
          <w:spacing w:val="-2"/>
          <w:sz w:val="16"/>
          <w:szCs w:val="16"/>
          <w:lang w:val="en-GB"/>
        </w:rPr>
        <w:t>6</w:t>
      </w:r>
      <w:r>
        <w:rPr>
          <w:spacing w:val="-2"/>
          <w:sz w:val="16"/>
          <w:szCs w:val="16"/>
          <w:lang w:val="en-GB"/>
        </w:rPr>
        <w:t>.</w:t>
      </w:r>
      <w:r w:rsidRPr="007910A8">
        <w:rPr>
          <w:spacing w:val="-2"/>
          <w:sz w:val="16"/>
          <w:szCs w:val="16"/>
          <w:lang w:val="en-GB"/>
        </w:rPr>
        <w:t>9</w:t>
      </w:r>
      <w:r>
        <w:rPr>
          <w:spacing w:val="-2"/>
          <w:sz w:val="16"/>
          <w:szCs w:val="16"/>
          <w:lang w:val="en-GB"/>
        </w:rPr>
        <w:t xml:space="preserve"> bn in year 2020</w:t>
      </w:r>
      <w:r w:rsidRPr="007910A8">
        <w:rPr>
          <w:spacing w:val="-2"/>
          <w:sz w:val="16"/>
          <w:szCs w:val="16"/>
          <w:lang w:val="en-GB"/>
        </w:rPr>
        <w:t xml:space="preserve">, </w:t>
      </w:r>
      <w:r>
        <w:rPr>
          <w:spacing w:val="-2"/>
          <w:sz w:val="16"/>
          <w:szCs w:val="16"/>
          <w:lang w:val="en-GB"/>
        </w:rPr>
        <w:t xml:space="preserve">by 22.1 bn in year </w:t>
      </w:r>
      <w:r w:rsidRPr="007910A8">
        <w:rPr>
          <w:spacing w:val="-2"/>
          <w:sz w:val="16"/>
          <w:szCs w:val="16"/>
          <w:lang w:val="en-GB"/>
        </w:rPr>
        <w:t>2021.</w:t>
      </w:r>
    </w:p>
  </w:footnote>
  <w:footnote w:id="87">
    <w:p w14:paraId="47C95365" w14:textId="77777777" w:rsidR="007C581C" w:rsidRPr="007910A8" w:rsidRDefault="007C581C" w:rsidP="00C024F0">
      <w:pPr>
        <w:pStyle w:val="Textpoznpodarou"/>
        <w:jc w:val="both"/>
        <w:rPr>
          <w:sz w:val="16"/>
          <w:szCs w:val="16"/>
          <w:lang w:val="en-GB"/>
        </w:rPr>
      </w:pPr>
      <w:r w:rsidRPr="007910A8">
        <w:rPr>
          <w:rStyle w:val="Znakapoznpodarou"/>
          <w:sz w:val="16"/>
          <w:szCs w:val="16"/>
          <w:lang w:val="en-GB"/>
        </w:rPr>
        <w:footnoteRef/>
      </w:r>
      <w:r w:rsidRPr="007910A8">
        <w:rPr>
          <w:sz w:val="16"/>
          <w:szCs w:val="16"/>
          <w:lang w:val="en-GB"/>
        </w:rPr>
        <w:t xml:space="preserve"> </w:t>
      </w:r>
      <w:r>
        <w:rPr>
          <w:sz w:val="16"/>
          <w:szCs w:val="16"/>
          <w:lang w:val="en-GB"/>
        </w:rPr>
        <w:t xml:space="preserve">SB revenue from this tax arrived at </w:t>
      </w:r>
      <w:r w:rsidRPr="007910A8">
        <w:rPr>
          <w:sz w:val="16"/>
          <w:szCs w:val="16"/>
          <w:lang w:val="en-GB"/>
        </w:rPr>
        <w:t>109</w:t>
      </w:r>
      <w:r>
        <w:rPr>
          <w:sz w:val="16"/>
          <w:szCs w:val="16"/>
          <w:lang w:val="en-GB"/>
        </w:rPr>
        <w:t>.</w:t>
      </w:r>
      <w:r w:rsidRPr="007910A8">
        <w:rPr>
          <w:sz w:val="16"/>
          <w:szCs w:val="16"/>
          <w:lang w:val="en-GB"/>
        </w:rPr>
        <w:t>1</w:t>
      </w:r>
      <w:r>
        <w:rPr>
          <w:sz w:val="16"/>
          <w:szCs w:val="16"/>
          <w:lang w:val="en-GB"/>
        </w:rPr>
        <w:t xml:space="preserve"> CZK bn last year, which was the least in the last six years. Still it presented result considerably exceeding the last year</w:t>
      </w:r>
      <w:r>
        <w:rPr>
          <w:sz w:val="16"/>
          <w:szCs w:val="16"/>
        </w:rPr>
        <w:t>‘</w:t>
      </w:r>
      <w:r>
        <w:rPr>
          <w:sz w:val="16"/>
          <w:szCs w:val="16"/>
          <w:lang w:val="en-US"/>
        </w:rPr>
        <w:t xml:space="preserve">s budget anticipation </w:t>
      </w:r>
      <w:r w:rsidRPr="007910A8">
        <w:rPr>
          <w:sz w:val="16"/>
          <w:szCs w:val="16"/>
          <w:lang w:val="en-GB"/>
        </w:rPr>
        <w:t>(</w:t>
      </w:r>
      <w:r>
        <w:rPr>
          <w:sz w:val="16"/>
          <w:szCs w:val="16"/>
          <w:lang w:val="en-GB"/>
        </w:rPr>
        <w:t>b</w:t>
      </w:r>
      <w:r>
        <w:rPr>
          <w:sz w:val="16"/>
          <w:szCs w:val="16"/>
        </w:rPr>
        <w:t xml:space="preserve">y </w:t>
      </w:r>
      <w:r w:rsidRPr="007E3F0E">
        <w:rPr>
          <w:sz w:val="16"/>
          <w:szCs w:val="16"/>
          <w:lang w:val="en-GB"/>
        </w:rPr>
        <w:t>more than 21 bn</w:t>
      </w:r>
      <w:r w:rsidRPr="007910A8">
        <w:rPr>
          <w:sz w:val="16"/>
          <w:szCs w:val="16"/>
          <w:lang w:val="en-GB"/>
        </w:rPr>
        <w:t>).</w:t>
      </w:r>
    </w:p>
  </w:footnote>
  <w:footnote w:id="88">
    <w:p w14:paraId="119126D5" w14:textId="77777777" w:rsidR="007C581C" w:rsidRPr="007910A8" w:rsidRDefault="007C581C" w:rsidP="00144108">
      <w:pPr>
        <w:pStyle w:val="Textpoznpodarou"/>
        <w:jc w:val="both"/>
        <w:rPr>
          <w:sz w:val="16"/>
          <w:szCs w:val="16"/>
          <w:lang w:val="en-GB"/>
        </w:rPr>
      </w:pPr>
      <w:r w:rsidRPr="007910A8">
        <w:rPr>
          <w:rStyle w:val="Znakapoznpodarou"/>
          <w:sz w:val="16"/>
          <w:szCs w:val="16"/>
          <w:lang w:val="en-GB"/>
        </w:rPr>
        <w:footnoteRef/>
      </w:r>
      <w:r w:rsidRPr="007910A8">
        <w:rPr>
          <w:sz w:val="16"/>
          <w:szCs w:val="16"/>
          <w:lang w:val="en-GB"/>
        </w:rPr>
        <w:t xml:space="preserve"> </w:t>
      </w:r>
      <w:r>
        <w:rPr>
          <w:sz w:val="16"/>
          <w:szCs w:val="16"/>
          <w:lang w:val="en-GB"/>
        </w:rPr>
        <w:t xml:space="preserve">Based on the MF calculations, it concerned at the SB level 16.1 CZK bn in year </w:t>
      </w:r>
      <w:r w:rsidRPr="007910A8">
        <w:rPr>
          <w:sz w:val="16"/>
          <w:szCs w:val="16"/>
          <w:lang w:val="en-GB"/>
        </w:rPr>
        <w:t>2020, 12</w:t>
      </w:r>
      <w:r>
        <w:rPr>
          <w:sz w:val="16"/>
          <w:szCs w:val="16"/>
          <w:lang w:val="en-GB"/>
        </w:rPr>
        <w:t>.</w:t>
      </w:r>
      <w:r w:rsidRPr="007910A8">
        <w:rPr>
          <w:sz w:val="16"/>
          <w:szCs w:val="16"/>
          <w:lang w:val="en-GB"/>
        </w:rPr>
        <w:t>1</w:t>
      </w:r>
      <w:r>
        <w:rPr>
          <w:sz w:val="16"/>
          <w:szCs w:val="16"/>
          <w:lang w:val="en-GB"/>
        </w:rPr>
        <w:t xml:space="preserve"> bn one year later. </w:t>
      </w:r>
    </w:p>
  </w:footnote>
  <w:footnote w:id="89">
    <w:p w14:paraId="42D49236" w14:textId="552E3921" w:rsidR="007C581C" w:rsidRPr="0005658B" w:rsidRDefault="007C581C" w:rsidP="00144108">
      <w:pPr>
        <w:pStyle w:val="Textpoznpodarou"/>
        <w:jc w:val="both"/>
        <w:rPr>
          <w:spacing w:val="-4"/>
          <w:sz w:val="16"/>
          <w:szCs w:val="16"/>
          <w:lang w:val="en-GB"/>
        </w:rPr>
      </w:pPr>
      <w:r w:rsidRPr="002940A2">
        <w:rPr>
          <w:rStyle w:val="Znakapoznpodarou"/>
          <w:spacing w:val="-4"/>
          <w:sz w:val="16"/>
          <w:szCs w:val="16"/>
        </w:rPr>
        <w:footnoteRef/>
      </w:r>
      <w:r w:rsidRPr="002940A2">
        <w:rPr>
          <w:spacing w:val="-4"/>
          <w:sz w:val="16"/>
          <w:szCs w:val="16"/>
        </w:rPr>
        <w:t xml:space="preserve"> </w:t>
      </w:r>
      <w:r w:rsidRPr="0005658B">
        <w:rPr>
          <w:spacing w:val="-4"/>
          <w:sz w:val="16"/>
          <w:szCs w:val="16"/>
          <w:lang w:val="en-GB"/>
        </w:rPr>
        <w:t xml:space="preserve">Total net revenues of the CR from the EU budget </w:t>
      </w:r>
      <w:proofErr w:type="gramStart"/>
      <w:r w:rsidRPr="0005658B">
        <w:rPr>
          <w:spacing w:val="-4"/>
          <w:sz w:val="16"/>
          <w:szCs w:val="16"/>
          <w:lang w:val="en-GB"/>
        </w:rPr>
        <w:t>were gauged</w:t>
      </w:r>
      <w:proofErr w:type="gramEnd"/>
      <w:r w:rsidRPr="0005658B">
        <w:rPr>
          <w:spacing w:val="-4"/>
          <w:sz w:val="16"/>
          <w:szCs w:val="16"/>
          <w:lang w:val="en-GB"/>
        </w:rPr>
        <w:t xml:space="preserve"> at 131.7 CZK bn last year and went down by nearly one tenth year-on-year. </w:t>
      </w:r>
      <w:r>
        <w:rPr>
          <w:spacing w:val="-4"/>
          <w:sz w:val="16"/>
          <w:szCs w:val="16"/>
          <w:lang w:val="en-GB"/>
        </w:rPr>
        <w:t xml:space="preserve">Weaker revenues from the Cohesion funds </w:t>
      </w:r>
      <w:r w:rsidRPr="0005658B">
        <w:rPr>
          <w:spacing w:val="-4"/>
          <w:sz w:val="16"/>
          <w:szCs w:val="16"/>
          <w:lang w:val="en-GB"/>
        </w:rPr>
        <w:t>(</w:t>
      </w:r>
      <w:r w:rsidRPr="0005658B">
        <w:rPr>
          <w:color w:val="0D0D0D" w:themeColor="text1" w:themeTint="F2"/>
          <w:spacing w:val="-4"/>
          <w:sz w:val="16"/>
          <w:szCs w:val="16"/>
          <w:lang w:val="en-GB"/>
        </w:rPr>
        <w:t>–</w:t>
      </w:r>
      <w:r w:rsidRPr="0005658B">
        <w:rPr>
          <w:spacing w:val="-4"/>
          <w:sz w:val="16"/>
          <w:szCs w:val="16"/>
          <w:lang w:val="en-GB"/>
        </w:rPr>
        <w:t>5</w:t>
      </w:r>
      <w:r>
        <w:rPr>
          <w:spacing w:val="-4"/>
          <w:sz w:val="16"/>
          <w:szCs w:val="16"/>
          <w:lang w:val="en-GB"/>
        </w:rPr>
        <w:t>.</w:t>
      </w:r>
      <w:r w:rsidRPr="0005658B">
        <w:rPr>
          <w:spacing w:val="-4"/>
          <w:sz w:val="16"/>
          <w:szCs w:val="16"/>
          <w:lang w:val="en-GB"/>
        </w:rPr>
        <w:t>8</w:t>
      </w:r>
      <w:r>
        <w:rPr>
          <w:spacing w:val="-4"/>
          <w:sz w:val="16"/>
          <w:szCs w:val="16"/>
          <w:lang w:val="en-GB"/>
        </w:rPr>
        <w:t xml:space="preserve"> CZK bn</w:t>
      </w:r>
      <w:r w:rsidRPr="0005658B">
        <w:rPr>
          <w:spacing w:val="-4"/>
          <w:sz w:val="16"/>
          <w:szCs w:val="16"/>
          <w:lang w:val="en-GB"/>
        </w:rPr>
        <w:t xml:space="preserve">, resp. </w:t>
      </w:r>
      <w:r w:rsidRPr="0005658B">
        <w:rPr>
          <w:color w:val="0D0D0D" w:themeColor="text1" w:themeTint="F2"/>
          <w:spacing w:val="-4"/>
          <w:sz w:val="16"/>
          <w:szCs w:val="16"/>
          <w:lang w:val="en-GB"/>
        </w:rPr>
        <w:t>–</w:t>
      </w:r>
      <w:r w:rsidRPr="0005658B">
        <w:rPr>
          <w:spacing w:val="-4"/>
          <w:sz w:val="16"/>
          <w:szCs w:val="16"/>
          <w:lang w:val="en-GB"/>
        </w:rPr>
        <w:t>19%) a</w:t>
      </w:r>
      <w:r>
        <w:rPr>
          <w:spacing w:val="-4"/>
          <w:sz w:val="16"/>
          <w:szCs w:val="16"/>
          <w:lang w:val="en-GB"/>
        </w:rPr>
        <w:t xml:space="preserve">nd from structural funds </w:t>
      </w:r>
      <w:r w:rsidRPr="0005658B">
        <w:rPr>
          <w:spacing w:val="-4"/>
          <w:sz w:val="16"/>
          <w:szCs w:val="16"/>
          <w:lang w:val="en-GB"/>
        </w:rPr>
        <w:t>(</w:t>
      </w:r>
      <w:r w:rsidRPr="0005658B">
        <w:rPr>
          <w:color w:val="0D0D0D" w:themeColor="text1" w:themeTint="F2"/>
          <w:spacing w:val="-4"/>
          <w:sz w:val="16"/>
          <w:szCs w:val="16"/>
          <w:lang w:val="en-GB"/>
        </w:rPr>
        <w:t>–</w:t>
      </w:r>
      <w:r w:rsidRPr="0005658B">
        <w:rPr>
          <w:spacing w:val="-4"/>
          <w:sz w:val="16"/>
          <w:szCs w:val="16"/>
          <w:lang w:val="en-GB"/>
        </w:rPr>
        <w:t>5</w:t>
      </w:r>
      <w:r>
        <w:rPr>
          <w:spacing w:val="-4"/>
          <w:sz w:val="16"/>
          <w:szCs w:val="16"/>
          <w:lang w:val="en-GB"/>
        </w:rPr>
        <w:t>.</w:t>
      </w:r>
      <w:r w:rsidRPr="0005658B">
        <w:rPr>
          <w:spacing w:val="-4"/>
          <w:sz w:val="16"/>
          <w:szCs w:val="16"/>
          <w:lang w:val="en-GB"/>
        </w:rPr>
        <w:t>6</w:t>
      </w:r>
      <w:r>
        <w:rPr>
          <w:spacing w:val="-4"/>
          <w:sz w:val="16"/>
          <w:szCs w:val="16"/>
          <w:lang w:val="en-GB"/>
        </w:rPr>
        <w:t xml:space="preserve"> bn</w:t>
      </w:r>
      <w:r w:rsidRPr="0005658B">
        <w:rPr>
          <w:spacing w:val="-4"/>
          <w:sz w:val="16"/>
          <w:szCs w:val="16"/>
          <w:lang w:val="en-GB"/>
        </w:rPr>
        <w:t xml:space="preserve">, </w:t>
      </w:r>
      <w:r w:rsidRPr="0005658B">
        <w:rPr>
          <w:color w:val="0D0D0D" w:themeColor="text1" w:themeTint="F2"/>
          <w:spacing w:val="-4"/>
          <w:sz w:val="16"/>
          <w:szCs w:val="16"/>
          <w:lang w:val="en-GB"/>
        </w:rPr>
        <w:t>–</w:t>
      </w:r>
      <w:r w:rsidRPr="0005658B">
        <w:rPr>
          <w:spacing w:val="-4"/>
          <w:sz w:val="16"/>
          <w:szCs w:val="16"/>
          <w:lang w:val="en-GB"/>
        </w:rPr>
        <w:t>7 %)</w:t>
      </w:r>
      <w:r>
        <w:rPr>
          <w:spacing w:val="-4"/>
          <w:sz w:val="16"/>
          <w:szCs w:val="16"/>
          <w:lang w:val="en-GB"/>
        </w:rPr>
        <w:t xml:space="preserve"> contributed the most</w:t>
      </w:r>
      <w:r w:rsidRPr="0005658B">
        <w:rPr>
          <w:spacing w:val="-4"/>
          <w:sz w:val="16"/>
          <w:szCs w:val="16"/>
          <w:lang w:val="en-GB"/>
        </w:rPr>
        <w:t xml:space="preserve">. </w:t>
      </w:r>
      <w:r>
        <w:rPr>
          <w:spacing w:val="-4"/>
          <w:sz w:val="16"/>
          <w:szCs w:val="16"/>
          <w:lang w:val="en-GB"/>
        </w:rPr>
        <w:t xml:space="preserve">Received direct payments into agriculture, which reached </w:t>
      </w:r>
      <w:r w:rsidRPr="0005658B">
        <w:rPr>
          <w:spacing w:val="-4"/>
          <w:sz w:val="16"/>
          <w:szCs w:val="16"/>
          <w:lang w:val="en-GB"/>
        </w:rPr>
        <w:t>21</w:t>
      </w:r>
      <w:r>
        <w:rPr>
          <w:spacing w:val="-4"/>
          <w:sz w:val="16"/>
          <w:szCs w:val="16"/>
          <w:lang w:val="en-GB"/>
        </w:rPr>
        <w:t>.</w:t>
      </w:r>
      <w:r w:rsidRPr="0005658B">
        <w:rPr>
          <w:spacing w:val="-4"/>
          <w:sz w:val="16"/>
          <w:szCs w:val="16"/>
          <w:lang w:val="en-GB"/>
        </w:rPr>
        <w:t>8</w:t>
      </w:r>
      <w:r>
        <w:rPr>
          <w:spacing w:val="-4"/>
          <w:sz w:val="16"/>
          <w:szCs w:val="16"/>
          <w:lang w:val="en-GB"/>
        </w:rPr>
        <w:t xml:space="preserve"> CZK bn and dropped only by </w:t>
      </w:r>
      <w:r w:rsidRPr="0005658B">
        <w:rPr>
          <w:spacing w:val="-4"/>
          <w:sz w:val="16"/>
          <w:szCs w:val="16"/>
          <w:lang w:val="en-GB"/>
        </w:rPr>
        <w:t>4%</w:t>
      </w:r>
      <w:r>
        <w:rPr>
          <w:spacing w:val="-4"/>
          <w:sz w:val="16"/>
          <w:szCs w:val="16"/>
          <w:lang w:val="en-GB"/>
        </w:rPr>
        <w:t xml:space="preserve"> year-on-year, remained on the contrary relatively stable</w:t>
      </w:r>
      <w:r w:rsidRPr="0005658B">
        <w:rPr>
          <w:spacing w:val="-4"/>
          <w:sz w:val="16"/>
          <w:szCs w:val="16"/>
          <w:lang w:val="en-GB"/>
        </w:rPr>
        <w:t xml:space="preserve">. </w:t>
      </w:r>
      <w:r>
        <w:rPr>
          <w:spacing w:val="-4"/>
          <w:sz w:val="16"/>
          <w:szCs w:val="16"/>
          <w:lang w:val="en-GB"/>
        </w:rPr>
        <w:t xml:space="preserve">The CR stayed in the position of significant net recipient from the EU funds </w:t>
      </w:r>
      <w:r w:rsidRPr="0005658B">
        <w:rPr>
          <w:spacing w:val="-4"/>
          <w:sz w:val="16"/>
          <w:szCs w:val="16"/>
          <w:lang w:val="en-GB"/>
        </w:rPr>
        <w:t>(+65</w:t>
      </w:r>
      <w:r>
        <w:rPr>
          <w:spacing w:val="-4"/>
          <w:sz w:val="16"/>
          <w:szCs w:val="16"/>
          <w:lang w:val="en-GB"/>
        </w:rPr>
        <w:t>.</w:t>
      </w:r>
      <w:r w:rsidRPr="0005658B">
        <w:rPr>
          <w:spacing w:val="-4"/>
          <w:sz w:val="16"/>
          <w:szCs w:val="16"/>
          <w:lang w:val="en-GB"/>
        </w:rPr>
        <w:t>3</w:t>
      </w:r>
      <w:r>
        <w:rPr>
          <w:spacing w:val="-4"/>
          <w:sz w:val="16"/>
          <w:szCs w:val="16"/>
          <w:lang w:val="en-GB"/>
        </w:rPr>
        <w:t xml:space="preserve"> CZK bn</w:t>
      </w:r>
      <w:r w:rsidRPr="0005658B">
        <w:rPr>
          <w:spacing w:val="-4"/>
          <w:sz w:val="16"/>
          <w:szCs w:val="16"/>
          <w:lang w:val="en-GB"/>
        </w:rPr>
        <w:t>),</w:t>
      </w:r>
      <w:r>
        <w:rPr>
          <w:spacing w:val="-4"/>
          <w:sz w:val="16"/>
          <w:szCs w:val="16"/>
          <w:lang w:val="en-GB"/>
        </w:rPr>
        <w:t xml:space="preserve"> despite the fact that the payments of the CR into the EU budget increased by one tenth against the year </w:t>
      </w:r>
      <w:r w:rsidRPr="0005658B">
        <w:rPr>
          <w:spacing w:val="-4"/>
          <w:sz w:val="16"/>
          <w:szCs w:val="16"/>
          <w:lang w:val="en-GB"/>
        </w:rPr>
        <w:t>2020</w:t>
      </w:r>
      <w:r>
        <w:rPr>
          <w:spacing w:val="-4"/>
          <w:sz w:val="16"/>
          <w:szCs w:val="16"/>
          <w:lang w:val="en-GB"/>
        </w:rPr>
        <w:t xml:space="preserve"> </w:t>
      </w:r>
      <w:r w:rsidRPr="0005658B">
        <w:rPr>
          <w:spacing w:val="-4"/>
          <w:sz w:val="16"/>
          <w:szCs w:val="16"/>
          <w:lang w:val="en-GB"/>
        </w:rPr>
        <w:t>(</w:t>
      </w:r>
      <w:r>
        <w:rPr>
          <w:spacing w:val="-4"/>
          <w:sz w:val="16"/>
          <w:szCs w:val="16"/>
          <w:lang w:val="en-GB"/>
        </w:rPr>
        <w:t>besides other things also due to the expansion of volume of the EU budget as well as due to the covid crisis</w:t>
      </w:r>
      <w:r w:rsidRPr="0005658B">
        <w:rPr>
          <w:spacing w:val="-4"/>
          <w:sz w:val="16"/>
          <w:szCs w:val="16"/>
          <w:lang w:val="en-GB"/>
        </w:rPr>
        <w:t xml:space="preserve">). </w:t>
      </w:r>
      <w:proofErr w:type="gramStart"/>
      <w:r>
        <w:rPr>
          <w:spacing w:val="-4"/>
          <w:sz w:val="16"/>
          <w:szCs w:val="16"/>
          <w:lang w:val="en-GB"/>
        </w:rPr>
        <w:t xml:space="preserve">After adding the revenues from the new EU tool to the support of recovery, which the CR utilises in the National recovery plan, the net positive position of the CR towards the EU would approach </w:t>
      </w:r>
      <w:r w:rsidRPr="0005658B">
        <w:rPr>
          <w:spacing w:val="-4"/>
          <w:sz w:val="16"/>
          <w:szCs w:val="16"/>
          <w:lang w:val="en-GB"/>
        </w:rPr>
        <w:t>90</w:t>
      </w:r>
      <w:r>
        <w:rPr>
          <w:spacing w:val="-4"/>
          <w:sz w:val="16"/>
          <w:szCs w:val="16"/>
          <w:lang w:val="en-GB"/>
        </w:rPr>
        <w:t xml:space="preserve"> CZK bn last year </w:t>
      </w:r>
      <w:r w:rsidRPr="0005658B">
        <w:rPr>
          <w:spacing w:val="-4"/>
          <w:sz w:val="16"/>
          <w:szCs w:val="16"/>
          <w:lang w:val="en-GB"/>
        </w:rPr>
        <w:t>a</w:t>
      </w:r>
      <w:r>
        <w:rPr>
          <w:spacing w:val="-4"/>
          <w:sz w:val="16"/>
          <w:szCs w:val="16"/>
          <w:lang w:val="en-GB"/>
        </w:rPr>
        <w:t xml:space="preserve">nd slightly thus overtook the value from year </w:t>
      </w:r>
      <w:r w:rsidRPr="0005658B">
        <w:rPr>
          <w:spacing w:val="-4"/>
          <w:sz w:val="16"/>
          <w:szCs w:val="16"/>
          <w:lang w:val="en-GB"/>
        </w:rPr>
        <w:t xml:space="preserve">2019, </w:t>
      </w:r>
      <w:r>
        <w:rPr>
          <w:spacing w:val="-4"/>
          <w:sz w:val="16"/>
          <w:szCs w:val="16"/>
          <w:lang w:val="en-GB"/>
        </w:rPr>
        <w:t>which was the second highest in the history of the CR membership in the Union</w:t>
      </w:r>
      <w:r w:rsidRPr="0005658B">
        <w:rPr>
          <w:spacing w:val="-4"/>
          <w:sz w:val="16"/>
          <w:szCs w:val="16"/>
          <w:lang w:val="en-GB"/>
        </w:rPr>
        <w:t>.</w:t>
      </w:r>
      <w:proofErr w:type="gramEnd"/>
    </w:p>
  </w:footnote>
  <w:footnote w:id="90">
    <w:p w14:paraId="6FF9FF6D" w14:textId="53CA6569" w:rsidR="007C581C" w:rsidRPr="0005658B" w:rsidRDefault="007C581C" w:rsidP="00144108">
      <w:pPr>
        <w:pStyle w:val="Textpoznpodarou"/>
        <w:jc w:val="both"/>
        <w:rPr>
          <w:color w:val="0D0D0D" w:themeColor="text1" w:themeTint="F2"/>
          <w:spacing w:val="-4"/>
          <w:sz w:val="16"/>
          <w:szCs w:val="16"/>
          <w:lang w:val="en-GB"/>
        </w:rPr>
      </w:pPr>
      <w:r w:rsidRPr="0005658B">
        <w:rPr>
          <w:rStyle w:val="Znakapoznpodarou"/>
          <w:spacing w:val="-4"/>
          <w:sz w:val="16"/>
          <w:szCs w:val="16"/>
          <w:lang w:val="en-GB"/>
        </w:rPr>
        <w:footnoteRef/>
      </w:r>
      <w:r w:rsidRPr="0005658B">
        <w:rPr>
          <w:spacing w:val="-4"/>
          <w:sz w:val="16"/>
          <w:szCs w:val="16"/>
          <w:lang w:val="en-GB"/>
        </w:rPr>
        <w:t xml:space="preserve"> </w:t>
      </w:r>
      <w:proofErr w:type="gramStart"/>
      <w:r>
        <w:rPr>
          <w:spacing w:val="-4"/>
          <w:sz w:val="16"/>
          <w:szCs w:val="16"/>
          <w:lang w:val="en-GB"/>
        </w:rPr>
        <w:t xml:space="preserve">It concerned mainly the compensation of part of wages and compulsory payments withing the program </w:t>
      </w:r>
      <w:r w:rsidRPr="0005658B">
        <w:rPr>
          <w:color w:val="0D0D0D" w:themeColor="text1" w:themeTint="F2"/>
          <w:spacing w:val="-4"/>
          <w:sz w:val="16"/>
          <w:szCs w:val="16"/>
          <w:lang w:val="en-GB"/>
        </w:rPr>
        <w:t xml:space="preserve">Antivirus A, A+ </w:t>
      </w:r>
      <w:r>
        <w:rPr>
          <w:color w:val="0D0D0D" w:themeColor="text1" w:themeTint="F2"/>
          <w:spacing w:val="-4"/>
          <w:sz w:val="16"/>
          <w:szCs w:val="16"/>
          <w:lang w:val="en-GB"/>
        </w:rPr>
        <w:t xml:space="preserve">and </w:t>
      </w:r>
      <w:r w:rsidRPr="0005658B">
        <w:rPr>
          <w:color w:val="0D0D0D" w:themeColor="text1" w:themeTint="F2"/>
          <w:spacing w:val="-4"/>
          <w:sz w:val="16"/>
          <w:szCs w:val="16"/>
          <w:lang w:val="en-GB"/>
        </w:rPr>
        <w:t>B (25</w:t>
      </w:r>
      <w:r>
        <w:rPr>
          <w:color w:val="0D0D0D" w:themeColor="text1" w:themeTint="F2"/>
          <w:spacing w:val="-4"/>
          <w:sz w:val="16"/>
          <w:szCs w:val="16"/>
          <w:lang w:val="en-GB"/>
        </w:rPr>
        <w:t>.</w:t>
      </w:r>
      <w:r w:rsidRPr="0005658B">
        <w:rPr>
          <w:color w:val="0D0D0D" w:themeColor="text1" w:themeTint="F2"/>
          <w:spacing w:val="-4"/>
          <w:sz w:val="16"/>
          <w:szCs w:val="16"/>
          <w:lang w:val="en-GB"/>
        </w:rPr>
        <w:t>8</w:t>
      </w:r>
      <w:r>
        <w:rPr>
          <w:color w:val="0D0D0D" w:themeColor="text1" w:themeTint="F2"/>
          <w:spacing w:val="-4"/>
          <w:sz w:val="16"/>
          <w:szCs w:val="16"/>
          <w:lang w:val="en-GB"/>
        </w:rPr>
        <w:t xml:space="preserve"> CZK bn paid out from the SB in year 2021</w:t>
      </w:r>
      <w:r w:rsidRPr="0005658B">
        <w:rPr>
          <w:color w:val="0D0D0D" w:themeColor="text1" w:themeTint="F2"/>
          <w:spacing w:val="-4"/>
          <w:sz w:val="16"/>
          <w:szCs w:val="16"/>
          <w:lang w:val="en-GB"/>
        </w:rPr>
        <w:t>) a</w:t>
      </w:r>
      <w:r>
        <w:rPr>
          <w:color w:val="0D0D0D" w:themeColor="text1" w:themeTint="F2"/>
          <w:spacing w:val="-4"/>
          <w:sz w:val="16"/>
          <w:szCs w:val="16"/>
          <w:lang w:val="en-GB"/>
        </w:rPr>
        <w:t xml:space="preserve">nd special programs on the direct support of affected sectors of the economy, e.g. in the area of food services, tourism, culture, education, sport, transportation, agriculture and food industry </w:t>
      </w:r>
      <w:r w:rsidRPr="0005658B">
        <w:rPr>
          <w:color w:val="0D0D0D" w:themeColor="text1" w:themeTint="F2"/>
          <w:spacing w:val="-4"/>
          <w:sz w:val="16"/>
          <w:szCs w:val="16"/>
          <w:lang w:val="en-GB"/>
        </w:rPr>
        <w:t>(</w:t>
      </w:r>
      <w:r>
        <w:rPr>
          <w:color w:val="0D0D0D" w:themeColor="text1" w:themeTint="F2"/>
          <w:spacing w:val="-4"/>
          <w:sz w:val="16"/>
          <w:szCs w:val="16"/>
          <w:lang w:val="en-GB"/>
        </w:rPr>
        <w:t xml:space="preserve">including newer programs </w:t>
      </w:r>
      <w:r w:rsidRPr="0005658B">
        <w:rPr>
          <w:color w:val="0D0D0D" w:themeColor="text1" w:themeTint="F2"/>
          <w:spacing w:val="-4"/>
          <w:sz w:val="16"/>
          <w:szCs w:val="16"/>
          <w:lang w:val="en-GB"/>
        </w:rPr>
        <w:t xml:space="preserve">COVID 2021, COVID </w:t>
      </w:r>
      <w:r>
        <w:rPr>
          <w:color w:val="0D0D0D" w:themeColor="text1" w:themeTint="F2"/>
          <w:spacing w:val="-4"/>
          <w:sz w:val="16"/>
          <w:szCs w:val="16"/>
          <w:lang w:val="en-GB"/>
        </w:rPr>
        <w:t>Rent</w:t>
      </w:r>
      <w:r w:rsidRPr="0005658B">
        <w:rPr>
          <w:color w:val="0D0D0D" w:themeColor="text1" w:themeTint="F2"/>
          <w:spacing w:val="-4"/>
          <w:sz w:val="16"/>
          <w:szCs w:val="16"/>
          <w:lang w:val="en-GB"/>
        </w:rPr>
        <w:t>, COVID</w:t>
      </w:r>
      <w:r>
        <w:rPr>
          <w:color w:val="0D0D0D" w:themeColor="text1" w:themeTint="F2"/>
          <w:spacing w:val="-4"/>
          <w:sz w:val="16"/>
          <w:szCs w:val="16"/>
          <w:lang w:val="en-GB"/>
        </w:rPr>
        <w:t xml:space="preserve"> costs not covered</w:t>
      </w:r>
      <w:r w:rsidRPr="0005658B">
        <w:rPr>
          <w:color w:val="0D0D0D" w:themeColor="text1" w:themeTint="F2"/>
          <w:spacing w:val="-4"/>
          <w:sz w:val="16"/>
          <w:szCs w:val="16"/>
          <w:lang w:val="en-GB"/>
        </w:rPr>
        <w:t>),</w:t>
      </w:r>
      <w:r>
        <w:rPr>
          <w:color w:val="0D0D0D" w:themeColor="text1" w:themeTint="F2"/>
          <w:spacing w:val="-4"/>
          <w:sz w:val="16"/>
          <w:szCs w:val="16"/>
          <w:lang w:val="en-GB"/>
        </w:rPr>
        <w:t xml:space="preserve"> in the total amount of </w:t>
      </w:r>
      <w:r w:rsidRPr="0005658B">
        <w:rPr>
          <w:color w:val="0D0D0D" w:themeColor="text1" w:themeTint="F2"/>
          <w:spacing w:val="-4"/>
          <w:sz w:val="16"/>
          <w:szCs w:val="16"/>
          <w:lang w:val="en-GB"/>
        </w:rPr>
        <w:t>38</w:t>
      </w:r>
      <w:r>
        <w:rPr>
          <w:color w:val="0D0D0D" w:themeColor="text1" w:themeTint="F2"/>
          <w:spacing w:val="-4"/>
          <w:sz w:val="16"/>
          <w:szCs w:val="16"/>
          <w:lang w:val="en-GB"/>
        </w:rPr>
        <w:t>.</w:t>
      </w:r>
      <w:r w:rsidRPr="0005658B">
        <w:rPr>
          <w:color w:val="0D0D0D" w:themeColor="text1" w:themeTint="F2"/>
          <w:spacing w:val="-4"/>
          <w:sz w:val="16"/>
          <w:szCs w:val="16"/>
          <w:lang w:val="en-GB"/>
        </w:rPr>
        <w:t>5</w:t>
      </w:r>
      <w:r>
        <w:rPr>
          <w:color w:val="0D0D0D" w:themeColor="text1" w:themeTint="F2"/>
          <w:spacing w:val="-4"/>
          <w:sz w:val="16"/>
          <w:szCs w:val="16"/>
          <w:lang w:val="en-GB"/>
        </w:rPr>
        <w:t xml:space="preserve"> bn.</w:t>
      </w:r>
      <w:proofErr w:type="gramEnd"/>
      <w:r w:rsidRPr="0005658B">
        <w:rPr>
          <w:color w:val="0D0D0D" w:themeColor="text1" w:themeTint="F2"/>
          <w:spacing w:val="-4"/>
          <w:sz w:val="16"/>
          <w:szCs w:val="16"/>
          <w:lang w:val="en-GB"/>
        </w:rPr>
        <w:t xml:space="preserve"> </w:t>
      </w:r>
      <w:proofErr w:type="gramStart"/>
      <w:r>
        <w:rPr>
          <w:color w:val="0D0D0D" w:themeColor="text1" w:themeTint="F2"/>
          <w:spacing w:val="-4"/>
          <w:sz w:val="16"/>
          <w:szCs w:val="16"/>
          <w:lang w:val="en-GB"/>
        </w:rPr>
        <w:t xml:space="preserve">Further, it was higher expenditures in health care, especially strengthened payments of the state per so called state insured person </w:t>
      </w:r>
      <w:r w:rsidRPr="0005658B">
        <w:rPr>
          <w:color w:val="0D0D0D" w:themeColor="text1" w:themeTint="F2"/>
          <w:spacing w:val="-4"/>
          <w:sz w:val="16"/>
          <w:szCs w:val="16"/>
          <w:lang w:val="en-GB"/>
        </w:rPr>
        <w:t>(50</w:t>
      </w:r>
      <w:r>
        <w:rPr>
          <w:color w:val="0D0D0D" w:themeColor="text1" w:themeTint="F2"/>
          <w:spacing w:val="-4"/>
          <w:sz w:val="16"/>
          <w:szCs w:val="16"/>
          <w:lang w:val="en-GB"/>
        </w:rPr>
        <w:t>.</w:t>
      </w:r>
      <w:r w:rsidRPr="0005658B">
        <w:rPr>
          <w:color w:val="0D0D0D" w:themeColor="text1" w:themeTint="F2"/>
          <w:spacing w:val="-4"/>
          <w:sz w:val="16"/>
          <w:szCs w:val="16"/>
          <w:lang w:val="en-GB"/>
        </w:rPr>
        <w:t>0</w:t>
      </w:r>
      <w:r>
        <w:rPr>
          <w:color w:val="0D0D0D" w:themeColor="text1" w:themeTint="F2"/>
          <w:spacing w:val="-4"/>
          <w:sz w:val="16"/>
          <w:szCs w:val="16"/>
          <w:lang w:val="en-GB"/>
        </w:rPr>
        <w:t xml:space="preserve"> bn</w:t>
      </w:r>
      <w:r w:rsidRPr="0005658B">
        <w:rPr>
          <w:color w:val="0D0D0D" w:themeColor="text1" w:themeTint="F2"/>
          <w:spacing w:val="-4"/>
          <w:sz w:val="16"/>
          <w:szCs w:val="16"/>
          <w:lang w:val="en-GB"/>
        </w:rPr>
        <w:t xml:space="preserve">), </w:t>
      </w:r>
      <w:r>
        <w:rPr>
          <w:color w:val="0D0D0D" w:themeColor="text1" w:themeTint="F2"/>
          <w:spacing w:val="-4"/>
          <w:sz w:val="16"/>
          <w:szCs w:val="16"/>
          <w:lang w:val="en-GB"/>
        </w:rPr>
        <w:t xml:space="preserve">heightened personal costs of workers in health and social care </w:t>
      </w:r>
      <w:r w:rsidRPr="0005658B">
        <w:rPr>
          <w:color w:val="0D0D0D" w:themeColor="text1" w:themeTint="F2"/>
          <w:spacing w:val="-4"/>
          <w:sz w:val="16"/>
          <w:szCs w:val="16"/>
          <w:lang w:val="en-GB"/>
        </w:rPr>
        <w:t>(16</w:t>
      </w:r>
      <w:r>
        <w:rPr>
          <w:color w:val="0D0D0D" w:themeColor="text1" w:themeTint="F2"/>
          <w:spacing w:val="-4"/>
          <w:sz w:val="16"/>
          <w:szCs w:val="16"/>
          <w:lang w:val="en-GB"/>
        </w:rPr>
        <w:t>.</w:t>
      </w:r>
      <w:r w:rsidRPr="0005658B">
        <w:rPr>
          <w:color w:val="0D0D0D" w:themeColor="text1" w:themeTint="F2"/>
          <w:spacing w:val="-4"/>
          <w:sz w:val="16"/>
          <w:szCs w:val="16"/>
          <w:lang w:val="en-GB"/>
        </w:rPr>
        <w:t>8</w:t>
      </w:r>
      <w:r>
        <w:rPr>
          <w:color w:val="0D0D0D" w:themeColor="text1" w:themeTint="F2"/>
          <w:spacing w:val="-4"/>
          <w:sz w:val="16"/>
          <w:szCs w:val="16"/>
          <w:lang w:val="en-GB"/>
        </w:rPr>
        <w:t xml:space="preserve"> bn</w:t>
      </w:r>
      <w:r w:rsidRPr="0005658B">
        <w:rPr>
          <w:color w:val="0D0D0D" w:themeColor="text1" w:themeTint="F2"/>
          <w:spacing w:val="-4"/>
          <w:sz w:val="16"/>
          <w:szCs w:val="16"/>
          <w:lang w:val="en-GB"/>
        </w:rPr>
        <w:t xml:space="preserve">), </w:t>
      </w:r>
      <w:r>
        <w:rPr>
          <w:color w:val="0D0D0D" w:themeColor="text1" w:themeTint="F2"/>
          <w:spacing w:val="-4"/>
          <w:sz w:val="16"/>
          <w:szCs w:val="16"/>
          <w:lang w:val="en-GB"/>
        </w:rPr>
        <w:t xml:space="preserve">purchases of protective equipment including vaccines </w:t>
      </w:r>
      <w:r w:rsidRPr="0005658B">
        <w:rPr>
          <w:color w:val="0D0D0D" w:themeColor="text1" w:themeTint="F2"/>
          <w:spacing w:val="-4"/>
          <w:sz w:val="16"/>
          <w:szCs w:val="16"/>
          <w:lang w:val="en-GB"/>
        </w:rPr>
        <w:t>(7</w:t>
      </w:r>
      <w:r>
        <w:rPr>
          <w:color w:val="0D0D0D" w:themeColor="text1" w:themeTint="F2"/>
          <w:spacing w:val="-4"/>
          <w:sz w:val="16"/>
          <w:szCs w:val="16"/>
          <w:lang w:val="en-GB"/>
        </w:rPr>
        <w:t>.</w:t>
      </w:r>
      <w:r w:rsidRPr="0005658B">
        <w:rPr>
          <w:color w:val="0D0D0D" w:themeColor="text1" w:themeTint="F2"/>
          <w:spacing w:val="-4"/>
          <w:sz w:val="16"/>
          <w:szCs w:val="16"/>
          <w:lang w:val="en-GB"/>
        </w:rPr>
        <w:t>9</w:t>
      </w:r>
      <w:r>
        <w:rPr>
          <w:color w:val="0D0D0D" w:themeColor="text1" w:themeTint="F2"/>
          <w:spacing w:val="-4"/>
          <w:sz w:val="16"/>
          <w:szCs w:val="16"/>
          <w:lang w:val="en-GB"/>
        </w:rPr>
        <w:t xml:space="preserve"> bn</w:t>
      </w:r>
      <w:r w:rsidRPr="0005658B">
        <w:rPr>
          <w:color w:val="0D0D0D" w:themeColor="text1" w:themeTint="F2"/>
          <w:spacing w:val="-4"/>
          <w:sz w:val="16"/>
          <w:szCs w:val="16"/>
          <w:lang w:val="en-GB"/>
        </w:rPr>
        <w:t>) a</w:t>
      </w:r>
      <w:r>
        <w:rPr>
          <w:color w:val="0D0D0D" w:themeColor="text1" w:themeTint="F2"/>
          <w:spacing w:val="-4"/>
          <w:sz w:val="16"/>
          <w:szCs w:val="16"/>
          <w:lang w:val="en-GB"/>
        </w:rPr>
        <w:t xml:space="preserve">nd finally also the heightened expenditures on some social benefits </w:t>
      </w:r>
      <w:r w:rsidRPr="0005658B">
        <w:rPr>
          <w:color w:val="0D0D0D" w:themeColor="text1" w:themeTint="F2"/>
          <w:spacing w:val="-4"/>
          <w:sz w:val="16"/>
          <w:szCs w:val="16"/>
          <w:lang w:val="en-GB"/>
        </w:rPr>
        <w:t xml:space="preserve">– </w:t>
      </w:r>
      <w:r>
        <w:rPr>
          <w:color w:val="0D0D0D" w:themeColor="text1" w:themeTint="F2"/>
          <w:spacing w:val="-4"/>
          <w:sz w:val="16"/>
          <w:szCs w:val="16"/>
          <w:lang w:val="en-GB"/>
        </w:rPr>
        <w:t xml:space="preserve">care benefits, extraordinary benefit for employees in the quarantine or isolation </w:t>
      </w:r>
      <w:r w:rsidRPr="0005658B">
        <w:rPr>
          <w:color w:val="0D0D0D" w:themeColor="text1" w:themeTint="F2"/>
          <w:spacing w:val="-4"/>
          <w:sz w:val="16"/>
          <w:szCs w:val="16"/>
          <w:lang w:val="en-GB"/>
        </w:rPr>
        <w:t>(5</w:t>
      </w:r>
      <w:r>
        <w:rPr>
          <w:color w:val="0D0D0D" w:themeColor="text1" w:themeTint="F2"/>
          <w:spacing w:val="-4"/>
          <w:sz w:val="16"/>
          <w:szCs w:val="16"/>
          <w:lang w:val="en-GB"/>
        </w:rPr>
        <w:t>.</w:t>
      </w:r>
      <w:r w:rsidRPr="0005658B">
        <w:rPr>
          <w:color w:val="0D0D0D" w:themeColor="text1" w:themeTint="F2"/>
          <w:spacing w:val="-4"/>
          <w:sz w:val="16"/>
          <w:szCs w:val="16"/>
          <w:lang w:val="en-GB"/>
        </w:rPr>
        <w:t>9</w:t>
      </w:r>
      <w:r>
        <w:rPr>
          <w:color w:val="0D0D0D" w:themeColor="text1" w:themeTint="F2"/>
          <w:spacing w:val="-4"/>
          <w:sz w:val="16"/>
          <w:szCs w:val="16"/>
          <w:lang w:val="en-GB"/>
        </w:rPr>
        <w:t xml:space="preserve"> bn</w:t>
      </w:r>
      <w:r w:rsidRPr="0005658B">
        <w:rPr>
          <w:color w:val="0D0D0D" w:themeColor="text1" w:themeTint="F2"/>
          <w:spacing w:val="-4"/>
          <w:sz w:val="16"/>
          <w:szCs w:val="16"/>
          <w:lang w:val="en-GB"/>
        </w:rPr>
        <w:t>).</w:t>
      </w:r>
      <w:proofErr w:type="gramEnd"/>
    </w:p>
    <w:p w14:paraId="64C8E252" w14:textId="18FA4233" w:rsidR="007C581C" w:rsidRPr="00186D4B" w:rsidRDefault="007C581C" w:rsidP="00144108">
      <w:pPr>
        <w:pStyle w:val="Textpoznpodarou"/>
        <w:jc w:val="both"/>
        <w:rPr>
          <w:color w:val="0D0D0D" w:themeColor="text1" w:themeTint="F2"/>
          <w:spacing w:val="-4"/>
          <w:sz w:val="16"/>
          <w:szCs w:val="16"/>
          <w:lang w:val="en-GB"/>
        </w:rPr>
      </w:pPr>
      <w:r>
        <w:rPr>
          <w:color w:val="0D0D0D" w:themeColor="text1" w:themeTint="F2"/>
          <w:spacing w:val="-4"/>
          <w:sz w:val="16"/>
          <w:szCs w:val="16"/>
          <w:lang w:val="en-GB"/>
        </w:rPr>
        <w:t xml:space="preserve">Majority from the given data increased compared to year </w:t>
      </w:r>
      <w:r w:rsidRPr="0005658B">
        <w:rPr>
          <w:color w:val="0D0D0D" w:themeColor="text1" w:themeTint="F2"/>
          <w:spacing w:val="-4"/>
          <w:sz w:val="16"/>
          <w:szCs w:val="16"/>
          <w:lang w:val="en-GB"/>
        </w:rPr>
        <w:t xml:space="preserve">2020. </w:t>
      </w:r>
      <w:r>
        <w:rPr>
          <w:color w:val="0D0D0D" w:themeColor="text1" w:themeTint="F2"/>
          <w:spacing w:val="-4"/>
          <w:sz w:val="16"/>
          <w:szCs w:val="16"/>
          <w:lang w:val="en-GB"/>
        </w:rPr>
        <w:t>Care benefits, purchases of protective equipment and hospital debt elimination</w:t>
      </w:r>
      <w:r w:rsidRPr="00186D4B">
        <w:rPr>
          <w:color w:val="0D0D0D" w:themeColor="text1" w:themeTint="F2"/>
          <w:spacing w:val="-4"/>
          <w:sz w:val="16"/>
          <w:szCs w:val="16"/>
          <w:lang w:val="en-GB"/>
        </w:rPr>
        <w:t>.</w:t>
      </w:r>
    </w:p>
  </w:footnote>
  <w:footnote w:id="91">
    <w:p w14:paraId="099F4905" w14:textId="620BBF75" w:rsidR="007C581C" w:rsidRPr="0058075B" w:rsidRDefault="007C581C" w:rsidP="00144108">
      <w:pPr>
        <w:pStyle w:val="Textpoznpodarou"/>
        <w:rPr>
          <w:spacing w:val="-2"/>
          <w:sz w:val="16"/>
          <w:szCs w:val="16"/>
          <w:lang w:val="en-GB"/>
        </w:rPr>
      </w:pPr>
      <w:r w:rsidRPr="00813E8A">
        <w:rPr>
          <w:rStyle w:val="Znakapoznpodarou"/>
          <w:spacing w:val="-2"/>
          <w:sz w:val="16"/>
          <w:szCs w:val="16"/>
        </w:rPr>
        <w:footnoteRef/>
      </w:r>
      <w:r w:rsidRPr="00813E8A">
        <w:rPr>
          <w:spacing w:val="-2"/>
          <w:sz w:val="16"/>
          <w:szCs w:val="16"/>
        </w:rPr>
        <w:t xml:space="preserve"> </w:t>
      </w:r>
      <w:r w:rsidRPr="0058075B">
        <w:rPr>
          <w:spacing w:val="-2"/>
          <w:sz w:val="16"/>
          <w:szCs w:val="16"/>
          <w:lang w:val="en-GB"/>
        </w:rPr>
        <w:t>It reflects the approved increase of pedagogical as well as non-pedagogical workers year-on-year last year (by 9%, resp. 4</w:t>
      </w:r>
      <w:r>
        <w:rPr>
          <w:spacing w:val="-2"/>
          <w:sz w:val="16"/>
          <w:szCs w:val="16"/>
          <w:lang w:val="en-GB"/>
        </w:rPr>
        <w:t>.</w:t>
      </w:r>
      <w:r w:rsidRPr="0058075B">
        <w:rPr>
          <w:spacing w:val="-2"/>
          <w:sz w:val="16"/>
          <w:szCs w:val="16"/>
          <w:lang w:val="en-GB"/>
        </w:rPr>
        <w:t>3%).</w:t>
      </w:r>
    </w:p>
  </w:footnote>
  <w:footnote w:id="92">
    <w:p w14:paraId="3EC10781" w14:textId="1053438D" w:rsidR="007C581C" w:rsidRPr="0058075B" w:rsidRDefault="007C581C" w:rsidP="00144108">
      <w:pPr>
        <w:pStyle w:val="Textpoznpodarou"/>
        <w:rPr>
          <w:sz w:val="16"/>
          <w:szCs w:val="16"/>
          <w:lang w:val="en-GB"/>
        </w:rPr>
      </w:pPr>
      <w:r w:rsidRPr="0058075B">
        <w:rPr>
          <w:rStyle w:val="Znakapoznpodarou"/>
          <w:spacing w:val="-2"/>
          <w:sz w:val="16"/>
          <w:szCs w:val="16"/>
          <w:lang w:val="en-GB"/>
        </w:rPr>
        <w:footnoteRef/>
      </w:r>
      <w:r w:rsidRPr="0058075B">
        <w:rPr>
          <w:spacing w:val="-2"/>
          <w:sz w:val="16"/>
          <w:szCs w:val="16"/>
          <w:lang w:val="en-GB"/>
        </w:rPr>
        <w:t xml:space="preserve"> </w:t>
      </w:r>
      <w:r>
        <w:rPr>
          <w:spacing w:val="-2"/>
          <w:sz w:val="16"/>
          <w:szCs w:val="16"/>
          <w:lang w:val="en-GB"/>
        </w:rPr>
        <w:t xml:space="preserve">These expenditures do not contain expenditures on servicing the state debt </w:t>
      </w:r>
      <w:proofErr w:type="gramStart"/>
      <w:r>
        <w:rPr>
          <w:spacing w:val="-2"/>
          <w:sz w:val="16"/>
          <w:szCs w:val="16"/>
          <w:lang w:val="en-GB"/>
        </w:rPr>
        <w:t>and also</w:t>
      </w:r>
      <w:proofErr w:type="gramEnd"/>
      <w:r>
        <w:rPr>
          <w:spacing w:val="-2"/>
          <w:sz w:val="16"/>
          <w:szCs w:val="16"/>
          <w:lang w:val="en-GB"/>
        </w:rPr>
        <w:t xml:space="preserve"> in the latest years marginal item of expenditures on implementing the guarantees. </w:t>
      </w:r>
    </w:p>
  </w:footnote>
  <w:footnote w:id="93">
    <w:p w14:paraId="0E49ACAB" w14:textId="20FEC04C" w:rsidR="007C581C" w:rsidRPr="0058075B" w:rsidRDefault="007C581C" w:rsidP="00144108">
      <w:pPr>
        <w:pStyle w:val="Textpoznpodarou"/>
        <w:rPr>
          <w:sz w:val="16"/>
          <w:szCs w:val="16"/>
          <w:lang w:val="en-GB"/>
        </w:rPr>
      </w:pPr>
      <w:r w:rsidRPr="0058075B">
        <w:rPr>
          <w:rStyle w:val="Znakapoznpodarou"/>
          <w:sz w:val="16"/>
          <w:szCs w:val="16"/>
          <w:lang w:val="en-GB"/>
        </w:rPr>
        <w:footnoteRef/>
      </w:r>
      <w:r w:rsidRPr="0058075B">
        <w:rPr>
          <w:sz w:val="16"/>
          <w:szCs w:val="16"/>
          <w:lang w:val="en-GB"/>
        </w:rPr>
        <w:t xml:space="preserve"> </w:t>
      </w:r>
      <w:r>
        <w:rPr>
          <w:sz w:val="16"/>
          <w:szCs w:val="16"/>
          <w:lang w:val="en-GB"/>
        </w:rPr>
        <w:t xml:space="preserve">The proportion of social benefits on all SB expenditures decreased for the fifth year in a row year-on-year </w:t>
      </w:r>
      <w:r w:rsidRPr="0058075B">
        <w:rPr>
          <w:spacing w:val="-5"/>
          <w:sz w:val="16"/>
          <w:szCs w:val="16"/>
          <w:lang w:val="en-GB"/>
        </w:rPr>
        <w:t>(</w:t>
      </w:r>
      <w:r>
        <w:rPr>
          <w:spacing w:val="-5"/>
          <w:sz w:val="16"/>
          <w:szCs w:val="16"/>
          <w:lang w:val="en-GB"/>
        </w:rPr>
        <w:t xml:space="preserve">to </w:t>
      </w:r>
      <w:r w:rsidRPr="0058075B">
        <w:rPr>
          <w:spacing w:val="-5"/>
          <w:sz w:val="16"/>
          <w:szCs w:val="16"/>
          <w:lang w:val="en-GB"/>
        </w:rPr>
        <w:t>36</w:t>
      </w:r>
      <w:r>
        <w:rPr>
          <w:spacing w:val="-5"/>
          <w:sz w:val="16"/>
          <w:szCs w:val="16"/>
          <w:lang w:val="en-GB"/>
        </w:rPr>
        <w:t>.</w:t>
      </w:r>
      <w:r w:rsidRPr="0058075B">
        <w:rPr>
          <w:spacing w:val="-5"/>
          <w:sz w:val="16"/>
          <w:szCs w:val="16"/>
          <w:lang w:val="en-GB"/>
        </w:rPr>
        <w:t>3%, minimum</w:t>
      </w:r>
      <w:r>
        <w:rPr>
          <w:spacing w:val="-5"/>
          <w:sz w:val="16"/>
          <w:szCs w:val="16"/>
          <w:lang w:val="en-GB"/>
        </w:rPr>
        <w:t xml:space="preserve"> in the comparable series after year </w:t>
      </w:r>
      <w:r w:rsidRPr="0058075B">
        <w:rPr>
          <w:spacing w:val="-5"/>
          <w:sz w:val="16"/>
          <w:szCs w:val="16"/>
          <w:lang w:val="en-GB"/>
        </w:rPr>
        <w:t>2011).</w:t>
      </w:r>
    </w:p>
  </w:footnote>
  <w:footnote w:id="94">
    <w:p w14:paraId="3B71D691" w14:textId="17855BAF" w:rsidR="007C581C" w:rsidRPr="0058075B" w:rsidRDefault="007C581C" w:rsidP="00144108">
      <w:pPr>
        <w:pStyle w:val="Textpoznpodarou"/>
        <w:rPr>
          <w:sz w:val="16"/>
          <w:szCs w:val="16"/>
          <w:lang w:val="en-GB"/>
        </w:rPr>
      </w:pPr>
      <w:r w:rsidRPr="0058075B">
        <w:rPr>
          <w:rStyle w:val="Znakapoznpodarou"/>
          <w:sz w:val="16"/>
          <w:szCs w:val="16"/>
          <w:lang w:val="en-GB"/>
        </w:rPr>
        <w:footnoteRef/>
      </w:r>
      <w:r w:rsidRPr="0058075B">
        <w:rPr>
          <w:sz w:val="16"/>
          <w:szCs w:val="16"/>
          <w:lang w:val="en-GB"/>
        </w:rPr>
        <w:t xml:space="preserve"> </w:t>
      </w:r>
      <w:r>
        <w:rPr>
          <w:sz w:val="16"/>
          <w:szCs w:val="16"/>
          <w:lang w:val="en-GB"/>
        </w:rPr>
        <w:t xml:space="preserve">Introduction of crisis care benefit </w:t>
      </w:r>
      <w:r w:rsidRPr="0058075B">
        <w:rPr>
          <w:sz w:val="16"/>
          <w:szCs w:val="16"/>
          <w:lang w:val="en-GB"/>
        </w:rPr>
        <w:t>(</w:t>
      </w:r>
      <w:r>
        <w:rPr>
          <w:sz w:val="16"/>
          <w:szCs w:val="16"/>
          <w:lang w:val="en-GB"/>
        </w:rPr>
        <w:t>associated with the home care for the children for the reason of forced shutdown of schools or the quarantine</w:t>
      </w:r>
      <w:r w:rsidRPr="0058075B">
        <w:rPr>
          <w:sz w:val="16"/>
          <w:szCs w:val="16"/>
          <w:lang w:val="en-GB"/>
        </w:rPr>
        <w:t>),</w:t>
      </w:r>
      <w:r>
        <w:rPr>
          <w:sz w:val="16"/>
          <w:szCs w:val="16"/>
          <w:lang w:val="en-GB"/>
        </w:rPr>
        <w:t xml:space="preserve"> increase of the parental allowance and faster rate of the pension adjustment </w:t>
      </w:r>
      <w:proofErr w:type="gramStart"/>
      <w:r>
        <w:rPr>
          <w:sz w:val="16"/>
          <w:szCs w:val="16"/>
          <w:lang w:val="en-GB"/>
        </w:rPr>
        <w:t>were mainly reflected</w:t>
      </w:r>
      <w:proofErr w:type="gramEnd"/>
      <w:r>
        <w:rPr>
          <w:sz w:val="16"/>
          <w:szCs w:val="16"/>
          <w:lang w:val="en-GB"/>
        </w:rPr>
        <w:t xml:space="preserve"> in the high growth</w:t>
      </w:r>
      <w:r w:rsidRPr="0058075B">
        <w:rPr>
          <w:sz w:val="16"/>
          <w:szCs w:val="16"/>
          <w:lang w:val="en-GB"/>
        </w:rPr>
        <w:t>.</w:t>
      </w:r>
    </w:p>
  </w:footnote>
  <w:footnote w:id="95">
    <w:p w14:paraId="1941463B" w14:textId="6F236A1B" w:rsidR="007C581C" w:rsidRPr="0058075B" w:rsidRDefault="007C581C" w:rsidP="00144108">
      <w:pPr>
        <w:pStyle w:val="Textpoznpodarou"/>
        <w:rPr>
          <w:sz w:val="16"/>
          <w:szCs w:val="16"/>
          <w:lang w:val="en-GB"/>
        </w:rPr>
      </w:pPr>
      <w:r w:rsidRPr="0058075B">
        <w:rPr>
          <w:rStyle w:val="Znakapoznpodarou"/>
          <w:sz w:val="16"/>
          <w:szCs w:val="16"/>
          <w:lang w:val="en-GB"/>
        </w:rPr>
        <w:footnoteRef/>
      </w:r>
      <w:r w:rsidRPr="0058075B">
        <w:rPr>
          <w:sz w:val="16"/>
          <w:szCs w:val="16"/>
          <w:lang w:val="en-GB"/>
        </w:rPr>
        <w:t xml:space="preserve"> </w:t>
      </w:r>
      <w:r>
        <w:rPr>
          <w:sz w:val="16"/>
          <w:szCs w:val="16"/>
          <w:lang w:val="en-GB"/>
        </w:rPr>
        <w:t xml:space="preserve">The contribution was </w:t>
      </w:r>
      <w:proofErr w:type="gramStart"/>
      <w:r w:rsidRPr="0058075B">
        <w:rPr>
          <w:sz w:val="16"/>
          <w:szCs w:val="16"/>
          <w:lang w:val="en-GB"/>
        </w:rPr>
        <w:t>5</w:t>
      </w:r>
      <w:proofErr w:type="gramEnd"/>
      <w:r>
        <w:rPr>
          <w:sz w:val="16"/>
          <w:szCs w:val="16"/>
          <w:lang w:val="en-GB"/>
        </w:rPr>
        <w:t xml:space="preserve"> CZK thousand and meant increase of total expenditures for the SB by nearly </w:t>
      </w:r>
      <w:r w:rsidRPr="0058075B">
        <w:rPr>
          <w:sz w:val="16"/>
          <w:szCs w:val="16"/>
          <w:lang w:val="en-GB"/>
        </w:rPr>
        <w:t>15 </w:t>
      </w:r>
      <w:r>
        <w:rPr>
          <w:sz w:val="16"/>
          <w:szCs w:val="16"/>
          <w:lang w:val="en-GB"/>
        </w:rPr>
        <w:t>CZK bn</w:t>
      </w:r>
      <w:r w:rsidRPr="0058075B">
        <w:rPr>
          <w:sz w:val="16"/>
          <w:szCs w:val="16"/>
          <w:lang w:val="en-GB"/>
        </w:rPr>
        <w:t xml:space="preserve">. </w:t>
      </w:r>
      <w:r>
        <w:rPr>
          <w:sz w:val="16"/>
          <w:szCs w:val="16"/>
          <w:lang w:val="en-GB"/>
        </w:rPr>
        <w:t xml:space="preserve">From January </w:t>
      </w:r>
      <w:proofErr w:type="gramStart"/>
      <w:r>
        <w:rPr>
          <w:sz w:val="16"/>
          <w:szCs w:val="16"/>
          <w:lang w:val="en-GB"/>
        </w:rPr>
        <w:t>till</w:t>
      </w:r>
      <w:proofErr w:type="gramEnd"/>
      <w:r>
        <w:rPr>
          <w:sz w:val="16"/>
          <w:szCs w:val="16"/>
          <w:lang w:val="en-GB"/>
        </w:rPr>
        <w:t xml:space="preserve"> November </w:t>
      </w:r>
      <w:r w:rsidRPr="0058075B">
        <w:rPr>
          <w:sz w:val="16"/>
          <w:szCs w:val="16"/>
          <w:lang w:val="en-GB"/>
        </w:rPr>
        <w:t>2021</w:t>
      </w:r>
      <w:r>
        <w:rPr>
          <w:sz w:val="16"/>
          <w:szCs w:val="16"/>
          <w:lang w:val="en-GB"/>
        </w:rPr>
        <w:t xml:space="preserve">, the year-on-year growth of expenditures on pensions equalled </w:t>
      </w:r>
      <w:r w:rsidRPr="0058075B">
        <w:rPr>
          <w:sz w:val="16"/>
          <w:szCs w:val="16"/>
          <w:lang w:val="en-GB"/>
        </w:rPr>
        <w:t>5</w:t>
      </w:r>
      <w:r>
        <w:rPr>
          <w:sz w:val="16"/>
          <w:szCs w:val="16"/>
          <w:lang w:val="en-GB"/>
        </w:rPr>
        <w:t>.</w:t>
      </w:r>
      <w:r w:rsidRPr="0058075B">
        <w:rPr>
          <w:sz w:val="16"/>
          <w:szCs w:val="16"/>
          <w:lang w:val="en-GB"/>
        </w:rPr>
        <w:t>4% a</w:t>
      </w:r>
      <w:r>
        <w:rPr>
          <w:sz w:val="16"/>
          <w:szCs w:val="16"/>
          <w:lang w:val="en-GB"/>
        </w:rPr>
        <w:t xml:space="preserve">nd reflected for the major part the effect of the commons pensions adjustment. </w:t>
      </w:r>
    </w:p>
  </w:footnote>
  <w:footnote w:id="96">
    <w:p w14:paraId="782FF8D5" w14:textId="3BDA5B83" w:rsidR="007C581C" w:rsidRPr="0058075B" w:rsidRDefault="007C581C" w:rsidP="00144108">
      <w:pPr>
        <w:pStyle w:val="Textpoznpodarou"/>
        <w:jc w:val="both"/>
        <w:rPr>
          <w:spacing w:val="-4"/>
          <w:sz w:val="16"/>
          <w:szCs w:val="16"/>
          <w:lang w:val="en-GB"/>
        </w:rPr>
      </w:pPr>
      <w:r w:rsidRPr="0058075B">
        <w:rPr>
          <w:rStyle w:val="Znakapoznpodarou"/>
          <w:spacing w:val="-4"/>
          <w:sz w:val="16"/>
          <w:szCs w:val="16"/>
          <w:lang w:val="en-GB"/>
        </w:rPr>
        <w:footnoteRef/>
      </w:r>
      <w:r w:rsidRPr="0058075B">
        <w:rPr>
          <w:spacing w:val="-4"/>
          <w:sz w:val="16"/>
          <w:szCs w:val="16"/>
          <w:lang w:val="en-GB"/>
        </w:rPr>
        <w:t xml:space="preserve"> </w:t>
      </w:r>
      <w:r>
        <w:rPr>
          <w:spacing w:val="-4"/>
          <w:sz w:val="16"/>
          <w:szCs w:val="16"/>
          <w:lang w:val="en-GB"/>
        </w:rPr>
        <w:t xml:space="preserve">The volume of collected insurance was negatively marked by the cancellation of minimal advance payments for self-employed persons in both Q2 and Q3 </w:t>
      </w:r>
      <w:proofErr w:type="gramStart"/>
      <w:r>
        <w:rPr>
          <w:spacing w:val="-4"/>
          <w:sz w:val="16"/>
          <w:szCs w:val="16"/>
          <w:lang w:val="en-GB"/>
        </w:rPr>
        <w:t>and also</w:t>
      </w:r>
      <w:proofErr w:type="gramEnd"/>
      <w:r>
        <w:rPr>
          <w:spacing w:val="-4"/>
          <w:sz w:val="16"/>
          <w:szCs w:val="16"/>
          <w:lang w:val="en-GB"/>
        </w:rPr>
        <w:t xml:space="preserve"> by the waiver of insurance paid by the employer (</w:t>
      </w:r>
      <w:r w:rsidRPr="0058075B">
        <w:rPr>
          <w:spacing w:val="-4"/>
          <w:sz w:val="16"/>
          <w:szCs w:val="16"/>
          <w:lang w:val="en-GB"/>
        </w:rPr>
        <w:t>program Antivirus C).</w:t>
      </w:r>
    </w:p>
  </w:footnote>
  <w:footnote w:id="97">
    <w:p w14:paraId="6369F472" w14:textId="18C56C5A" w:rsidR="007C581C" w:rsidRPr="0058075B" w:rsidRDefault="007C581C" w:rsidP="00144108">
      <w:pPr>
        <w:pStyle w:val="Textpoznpodarou"/>
        <w:jc w:val="both"/>
        <w:rPr>
          <w:spacing w:val="-4"/>
          <w:lang w:val="en-GB"/>
        </w:rPr>
      </w:pPr>
      <w:r w:rsidRPr="0058075B">
        <w:rPr>
          <w:rStyle w:val="Znakapoznpodarou"/>
          <w:spacing w:val="-4"/>
          <w:sz w:val="16"/>
          <w:szCs w:val="16"/>
          <w:lang w:val="en-GB"/>
        </w:rPr>
        <w:footnoteRef/>
      </w:r>
      <w:r w:rsidRPr="0058075B">
        <w:rPr>
          <w:spacing w:val="-4"/>
          <w:sz w:val="16"/>
          <w:szCs w:val="16"/>
          <w:lang w:val="en-GB"/>
        </w:rPr>
        <w:t xml:space="preserve"> </w:t>
      </w:r>
      <w:r>
        <w:rPr>
          <w:spacing w:val="-4"/>
          <w:sz w:val="16"/>
          <w:szCs w:val="16"/>
          <w:lang w:val="en-GB"/>
        </w:rPr>
        <w:t xml:space="preserve">It </w:t>
      </w:r>
      <w:proofErr w:type="gramStart"/>
      <w:r>
        <w:rPr>
          <w:spacing w:val="-4"/>
          <w:sz w:val="16"/>
          <w:szCs w:val="16"/>
          <w:lang w:val="en-GB"/>
        </w:rPr>
        <w:t>is expressed</w:t>
      </w:r>
      <w:proofErr w:type="gramEnd"/>
      <w:r>
        <w:rPr>
          <w:spacing w:val="-4"/>
          <w:sz w:val="16"/>
          <w:szCs w:val="16"/>
          <w:lang w:val="en-GB"/>
        </w:rPr>
        <w:t xml:space="preserve"> as a difference between revenues and expenditures on pensions from the SB budget. Costs of management of the pension insurance system </w:t>
      </w:r>
      <w:r>
        <w:rPr>
          <w:rFonts w:cs="Arial"/>
          <w:color w:val="0D0D0D" w:themeColor="text1" w:themeTint="F2"/>
          <w:spacing w:val="-4"/>
          <w:sz w:val="16"/>
          <w:szCs w:val="16"/>
          <w:lang w:val="en-GB"/>
        </w:rPr>
        <w:t>are not included in the expenditures</w:t>
      </w:r>
      <w:r w:rsidRPr="0058075B">
        <w:rPr>
          <w:rFonts w:cs="Arial"/>
          <w:color w:val="0D0D0D" w:themeColor="text1" w:themeTint="F2"/>
          <w:spacing w:val="-4"/>
          <w:sz w:val="16"/>
          <w:szCs w:val="16"/>
          <w:lang w:val="en-GB"/>
        </w:rPr>
        <w:t>.</w:t>
      </w:r>
    </w:p>
  </w:footnote>
  <w:footnote w:id="98">
    <w:p w14:paraId="72D396FF" w14:textId="7713745F" w:rsidR="007C581C" w:rsidRPr="0058075B" w:rsidRDefault="007C581C" w:rsidP="00144108">
      <w:pPr>
        <w:pStyle w:val="Textpoznpodarou"/>
        <w:jc w:val="both"/>
        <w:rPr>
          <w:spacing w:val="-2"/>
          <w:sz w:val="16"/>
          <w:szCs w:val="16"/>
          <w:lang w:val="en-GB"/>
        </w:rPr>
      </w:pPr>
      <w:r w:rsidRPr="0058075B">
        <w:rPr>
          <w:rStyle w:val="Znakapoznpodarou"/>
          <w:spacing w:val="-2"/>
          <w:sz w:val="16"/>
          <w:szCs w:val="16"/>
          <w:lang w:val="en-GB"/>
        </w:rPr>
        <w:footnoteRef/>
      </w:r>
      <w:r w:rsidRPr="0058075B">
        <w:rPr>
          <w:spacing w:val="-2"/>
          <w:sz w:val="16"/>
          <w:szCs w:val="16"/>
          <w:lang w:val="en-GB"/>
        </w:rPr>
        <w:t xml:space="preserve"> </w:t>
      </w:r>
      <w:r>
        <w:rPr>
          <w:spacing w:val="-2"/>
          <w:sz w:val="16"/>
          <w:szCs w:val="16"/>
          <w:lang w:val="en-GB"/>
        </w:rPr>
        <w:t xml:space="preserve">From </w:t>
      </w:r>
      <w:r w:rsidRPr="0058075B">
        <w:rPr>
          <w:spacing w:val="-2"/>
          <w:sz w:val="16"/>
          <w:szCs w:val="16"/>
          <w:lang w:val="en-GB"/>
        </w:rPr>
        <w:t>1</w:t>
      </w:r>
      <w:r w:rsidRPr="006B4CBF">
        <w:rPr>
          <w:spacing w:val="-2"/>
          <w:sz w:val="16"/>
          <w:szCs w:val="16"/>
          <w:vertAlign w:val="superscript"/>
          <w:lang w:val="en-GB"/>
        </w:rPr>
        <w:t>st</w:t>
      </w:r>
      <w:r>
        <w:rPr>
          <w:spacing w:val="-2"/>
          <w:sz w:val="16"/>
          <w:szCs w:val="16"/>
          <w:lang w:val="en-GB"/>
        </w:rPr>
        <w:t xml:space="preserve"> July </w:t>
      </w:r>
      <w:r w:rsidRPr="0058075B">
        <w:rPr>
          <w:spacing w:val="-2"/>
          <w:sz w:val="16"/>
          <w:szCs w:val="16"/>
          <w:lang w:val="en-GB"/>
        </w:rPr>
        <w:t>2021</w:t>
      </w:r>
      <w:r>
        <w:rPr>
          <w:spacing w:val="-2"/>
          <w:sz w:val="16"/>
          <w:szCs w:val="16"/>
          <w:lang w:val="en-GB"/>
        </w:rPr>
        <w:t xml:space="preserve">, the limit of the determinate income for drawing </w:t>
      </w:r>
      <w:proofErr w:type="gramStart"/>
      <w:r>
        <w:rPr>
          <w:spacing w:val="-2"/>
          <w:sz w:val="16"/>
          <w:szCs w:val="16"/>
          <w:lang w:val="en-GB"/>
        </w:rPr>
        <w:t>was raised</w:t>
      </w:r>
      <w:proofErr w:type="gramEnd"/>
      <w:r>
        <w:rPr>
          <w:spacing w:val="-2"/>
          <w:sz w:val="16"/>
          <w:szCs w:val="16"/>
          <w:lang w:val="en-GB"/>
        </w:rPr>
        <w:t xml:space="preserve"> </w:t>
      </w:r>
      <w:r w:rsidRPr="0058075B">
        <w:rPr>
          <w:spacing w:val="-2"/>
          <w:sz w:val="16"/>
          <w:szCs w:val="16"/>
          <w:lang w:val="en-GB"/>
        </w:rPr>
        <w:t>(</w:t>
      </w:r>
      <w:r>
        <w:rPr>
          <w:spacing w:val="-2"/>
          <w:sz w:val="16"/>
          <w:szCs w:val="16"/>
          <w:lang w:val="en-GB"/>
        </w:rPr>
        <w:t xml:space="preserve">from </w:t>
      </w:r>
      <w:r w:rsidRPr="0058075B">
        <w:rPr>
          <w:spacing w:val="-2"/>
          <w:sz w:val="16"/>
          <w:szCs w:val="16"/>
          <w:lang w:val="en-GB"/>
        </w:rPr>
        <w:t>2</w:t>
      </w:r>
      <w:r>
        <w:rPr>
          <w:spacing w:val="-2"/>
          <w:sz w:val="16"/>
          <w:szCs w:val="16"/>
          <w:lang w:val="en-GB"/>
        </w:rPr>
        <w:t>.</w:t>
      </w:r>
      <w:r w:rsidRPr="0058075B">
        <w:rPr>
          <w:spacing w:val="-2"/>
          <w:sz w:val="16"/>
          <w:szCs w:val="16"/>
          <w:lang w:val="en-GB"/>
        </w:rPr>
        <w:t xml:space="preserve">7- </w:t>
      </w:r>
      <w:r>
        <w:rPr>
          <w:spacing w:val="-2"/>
          <w:sz w:val="16"/>
          <w:szCs w:val="16"/>
          <w:lang w:val="en-GB"/>
        </w:rPr>
        <w:t xml:space="preserve">to </w:t>
      </w:r>
      <w:r w:rsidRPr="0058075B">
        <w:rPr>
          <w:spacing w:val="-2"/>
          <w:sz w:val="16"/>
          <w:szCs w:val="16"/>
          <w:lang w:val="en-GB"/>
        </w:rPr>
        <w:t>3</w:t>
      </w:r>
      <w:r>
        <w:rPr>
          <w:spacing w:val="-2"/>
          <w:sz w:val="16"/>
          <w:szCs w:val="16"/>
          <w:lang w:val="en-GB"/>
        </w:rPr>
        <w:t>.</w:t>
      </w:r>
      <w:r w:rsidRPr="0058075B">
        <w:rPr>
          <w:spacing w:val="-2"/>
          <w:sz w:val="16"/>
          <w:szCs w:val="16"/>
          <w:lang w:val="en-GB"/>
        </w:rPr>
        <w:t>4</w:t>
      </w:r>
      <w:r>
        <w:rPr>
          <w:spacing w:val="-2"/>
          <w:sz w:val="16"/>
          <w:szCs w:val="16"/>
          <w:lang w:val="en-GB"/>
        </w:rPr>
        <w:t>times of the family minimum subsistence level</w:t>
      </w:r>
      <w:r w:rsidRPr="0058075B">
        <w:rPr>
          <w:spacing w:val="-2"/>
          <w:sz w:val="16"/>
          <w:szCs w:val="16"/>
          <w:lang w:val="en-GB"/>
        </w:rPr>
        <w:t xml:space="preserve">) </w:t>
      </w:r>
      <w:r>
        <w:rPr>
          <w:spacing w:val="-2"/>
          <w:sz w:val="16"/>
          <w:szCs w:val="16"/>
          <w:lang w:val="en-GB"/>
        </w:rPr>
        <w:t xml:space="preserve">as well as the adjustment of the size of the allowance </w:t>
      </w:r>
      <w:r w:rsidRPr="0058075B">
        <w:rPr>
          <w:spacing w:val="-2"/>
          <w:sz w:val="16"/>
          <w:szCs w:val="16"/>
          <w:lang w:val="en-GB"/>
        </w:rPr>
        <w:t>(</w:t>
      </w:r>
      <w:r>
        <w:rPr>
          <w:spacing w:val="-2"/>
          <w:sz w:val="16"/>
          <w:szCs w:val="16"/>
          <w:lang w:val="en-GB"/>
        </w:rPr>
        <w:t xml:space="preserve">by </w:t>
      </w:r>
      <w:r w:rsidRPr="0058075B">
        <w:rPr>
          <w:spacing w:val="-2"/>
          <w:sz w:val="16"/>
          <w:szCs w:val="16"/>
          <w:lang w:val="en-GB"/>
        </w:rPr>
        <w:t>26%)</w:t>
      </w:r>
      <w:r w:rsidRPr="0058075B">
        <w:rPr>
          <w:spacing w:val="-3"/>
          <w:sz w:val="16"/>
          <w:szCs w:val="16"/>
          <w:lang w:val="en-GB"/>
        </w:rPr>
        <w:t>.</w:t>
      </w:r>
    </w:p>
  </w:footnote>
  <w:footnote w:id="99">
    <w:p w14:paraId="3A54AFD2" w14:textId="780F296A" w:rsidR="007C581C" w:rsidRPr="00186D4B" w:rsidRDefault="007C581C" w:rsidP="00144108">
      <w:pPr>
        <w:spacing w:after="0"/>
        <w:rPr>
          <w:sz w:val="16"/>
          <w:szCs w:val="16"/>
          <w:lang w:val="en-GB"/>
        </w:rPr>
      </w:pPr>
      <w:r w:rsidRPr="00720F42">
        <w:rPr>
          <w:rStyle w:val="Znakapoznpodarou"/>
          <w:sz w:val="16"/>
          <w:szCs w:val="16"/>
        </w:rPr>
        <w:footnoteRef/>
      </w:r>
      <w:r w:rsidRPr="00720F42">
        <w:rPr>
          <w:sz w:val="16"/>
          <w:szCs w:val="16"/>
        </w:rPr>
        <w:t xml:space="preserve"> </w:t>
      </w:r>
      <w:r w:rsidRPr="00186D4B">
        <w:rPr>
          <w:sz w:val="16"/>
          <w:szCs w:val="16"/>
          <w:lang w:val="en-GB"/>
        </w:rPr>
        <w:t xml:space="preserve">It corresponds to the balance of the </w:t>
      </w:r>
      <w:proofErr w:type="gramStart"/>
      <w:r w:rsidRPr="00186D4B">
        <w:rPr>
          <w:sz w:val="16"/>
          <w:szCs w:val="16"/>
          <w:lang w:val="en-GB"/>
        </w:rPr>
        <w:t>budget chapter State debt</w:t>
      </w:r>
      <w:proofErr w:type="gramEnd"/>
      <w:r w:rsidRPr="00186D4B">
        <w:rPr>
          <w:sz w:val="16"/>
          <w:szCs w:val="16"/>
          <w:lang w:val="en-GB"/>
        </w:rPr>
        <w:t xml:space="preserve">. </w:t>
      </w:r>
    </w:p>
  </w:footnote>
  <w:footnote w:id="100">
    <w:p w14:paraId="5DE9D671" w14:textId="398B2361" w:rsidR="007C581C" w:rsidRPr="00186D4B" w:rsidRDefault="007C581C" w:rsidP="00840714">
      <w:pPr>
        <w:pStyle w:val="Textpoznpodarou"/>
        <w:jc w:val="both"/>
        <w:rPr>
          <w:lang w:val="en-GB"/>
        </w:rPr>
      </w:pPr>
      <w:r w:rsidRPr="008C2F4A">
        <w:rPr>
          <w:rStyle w:val="Znakapoznpodarou"/>
          <w:sz w:val="16"/>
          <w:szCs w:val="16"/>
        </w:rPr>
        <w:footnoteRef/>
      </w:r>
      <w:r w:rsidRPr="008C2F4A">
        <w:rPr>
          <w:sz w:val="16"/>
          <w:szCs w:val="16"/>
        </w:rPr>
        <w:t xml:space="preserve"> </w:t>
      </w:r>
      <w:proofErr w:type="gramStart"/>
      <w:r w:rsidRPr="0005658B">
        <w:rPr>
          <w:sz w:val="16"/>
          <w:szCs w:val="16"/>
          <w:lang w:val="en-GB"/>
        </w:rPr>
        <w:t>Data regarding the budget of the government institutions in the CR for Q4 2021 as well as the whole last year will be published by the CZSO on 1</w:t>
      </w:r>
      <w:r w:rsidRPr="0005658B">
        <w:rPr>
          <w:sz w:val="16"/>
          <w:szCs w:val="16"/>
          <w:vertAlign w:val="superscript"/>
          <w:lang w:val="en-GB"/>
        </w:rPr>
        <w:t>st</w:t>
      </w:r>
      <w:r w:rsidRPr="0005658B">
        <w:rPr>
          <w:sz w:val="16"/>
          <w:szCs w:val="16"/>
          <w:lang w:val="en-GB"/>
        </w:rPr>
        <w:t xml:space="preserve"> April 2022, Eurostat</w:t>
      </w:r>
      <w:proofErr w:type="gramEnd"/>
      <w:r w:rsidRPr="0005658B">
        <w:rPr>
          <w:sz w:val="16"/>
          <w:szCs w:val="16"/>
          <w:lang w:val="en-GB"/>
        </w:rPr>
        <w:t xml:space="preserve"> for its member states subsequently on 22</w:t>
      </w:r>
      <w:r w:rsidRPr="0005658B">
        <w:rPr>
          <w:sz w:val="16"/>
          <w:szCs w:val="16"/>
          <w:vertAlign w:val="superscript"/>
          <w:lang w:val="en-GB"/>
        </w:rPr>
        <w:t>nd</w:t>
      </w:r>
      <w:r w:rsidRPr="0005658B">
        <w:rPr>
          <w:sz w:val="16"/>
          <w:szCs w:val="16"/>
          <w:lang w:val="en-GB"/>
        </w:rPr>
        <w:t xml:space="preserve"> April. More detailed assessment of the domestic development for Q3 is contained in the publication</w:t>
      </w:r>
      <w:r>
        <w:rPr>
          <w:sz w:val="16"/>
          <w:szCs w:val="16"/>
          <w:lang w:val="en-GB"/>
        </w:rPr>
        <w:t xml:space="preserve"> Sector Account Analysis</w:t>
      </w:r>
      <w:r w:rsidRPr="00186D4B">
        <w:rPr>
          <w:sz w:val="16"/>
          <w:szCs w:val="16"/>
          <w:lang w:val="en-GB"/>
        </w:rPr>
        <w:t>:</w:t>
      </w:r>
    </w:p>
    <w:p w14:paraId="6ED48E01" w14:textId="77777777" w:rsidR="007C581C" w:rsidRPr="00186D4B" w:rsidRDefault="00484C3D" w:rsidP="00144108">
      <w:pPr>
        <w:pStyle w:val="Textpoznpodarou"/>
        <w:rPr>
          <w:sz w:val="16"/>
          <w:szCs w:val="16"/>
          <w:lang w:val="en-GB"/>
        </w:rPr>
      </w:pPr>
      <w:hyperlink r:id="rId2" w:history="1">
        <w:r w:rsidR="007C581C" w:rsidRPr="00186D4B">
          <w:rPr>
            <w:rStyle w:val="Hypertextovodkaz"/>
            <w:sz w:val="16"/>
            <w:szCs w:val="16"/>
            <w:lang w:val="en-GB"/>
          </w:rPr>
          <w:t>https://www.czso.cz/csu/czso/cri/analyza-ctvrtletnich-sektorovych-uctu-3-ctvrtleti-2021</w:t>
        </w:r>
      </w:hyperlink>
    </w:p>
  </w:footnote>
  <w:footnote w:id="101">
    <w:p w14:paraId="6B58BE36" w14:textId="700F8A22" w:rsidR="007C581C" w:rsidRPr="00186D4B" w:rsidRDefault="007C581C" w:rsidP="00144108">
      <w:pPr>
        <w:pStyle w:val="Textpoznpodarou"/>
        <w:rPr>
          <w:spacing w:val="-2"/>
          <w:sz w:val="16"/>
          <w:szCs w:val="16"/>
          <w:lang w:val="en-GB"/>
        </w:rPr>
      </w:pPr>
      <w:r w:rsidRPr="00186D4B">
        <w:rPr>
          <w:rStyle w:val="Znakapoznpodarou"/>
          <w:spacing w:val="-2"/>
          <w:sz w:val="16"/>
          <w:szCs w:val="16"/>
          <w:lang w:val="en-GB"/>
        </w:rPr>
        <w:footnoteRef/>
      </w:r>
      <w:r w:rsidRPr="00186D4B">
        <w:rPr>
          <w:spacing w:val="-2"/>
          <w:sz w:val="16"/>
          <w:szCs w:val="16"/>
          <w:lang w:val="en-GB"/>
        </w:rPr>
        <w:t xml:space="preserve"> </w:t>
      </w:r>
      <w:r>
        <w:rPr>
          <w:spacing w:val="-2"/>
          <w:sz w:val="16"/>
          <w:szCs w:val="16"/>
          <w:lang w:val="en-GB"/>
        </w:rPr>
        <w:t xml:space="preserve">Without Italy, Croatia and Cyprus, where the seasonally data were not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2A94712D" w:rsidR="007C581C" w:rsidRPr="00504720" w:rsidRDefault="007C581C" w:rsidP="00937AE2">
    <w:pPr>
      <w:pStyle w:val="Zhlav"/>
      <w:rPr>
        <w:lang w:val="en-GB"/>
      </w:rPr>
    </w:pPr>
    <w:r w:rsidRPr="00504720">
      <w:rPr>
        <w:lang w:val="en-GB"/>
      </w:rPr>
      <w:t>The Czech Economy Development</w:t>
    </w:r>
  </w:p>
  <w:p w14:paraId="3E881AB3" w14:textId="77777777" w:rsidR="007C581C" w:rsidRPr="006F5416" w:rsidRDefault="007C58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28CD1F5" w:rsidR="007C581C" w:rsidRPr="00504720" w:rsidRDefault="007C581C" w:rsidP="00937AE2">
    <w:pPr>
      <w:pStyle w:val="Zhlav"/>
      <w:rPr>
        <w:lang w:val="en-GB"/>
      </w:rPr>
    </w:pPr>
    <w:r w:rsidRPr="00504720">
      <w:rPr>
        <w:lang w:val="en-GB"/>
      </w:rPr>
      <w:t>The Czech Economy Development</w:t>
    </w:r>
  </w:p>
  <w:p w14:paraId="57266714" w14:textId="77777777" w:rsidR="007C581C" w:rsidRPr="006F5416" w:rsidRDefault="007C58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31A"/>
    <w:rsid w:val="000005AF"/>
    <w:rsid w:val="00000B55"/>
    <w:rsid w:val="0000209D"/>
    <w:rsid w:val="0000232E"/>
    <w:rsid w:val="00002566"/>
    <w:rsid w:val="0000370A"/>
    <w:rsid w:val="00003849"/>
    <w:rsid w:val="00003F5C"/>
    <w:rsid w:val="00004D5A"/>
    <w:rsid w:val="00005613"/>
    <w:rsid w:val="0000567F"/>
    <w:rsid w:val="000056D5"/>
    <w:rsid w:val="00005D9E"/>
    <w:rsid w:val="000063D5"/>
    <w:rsid w:val="00006625"/>
    <w:rsid w:val="00006ABD"/>
    <w:rsid w:val="00006B67"/>
    <w:rsid w:val="00006C0B"/>
    <w:rsid w:val="000073A0"/>
    <w:rsid w:val="0000767A"/>
    <w:rsid w:val="00007ABE"/>
    <w:rsid w:val="00010256"/>
    <w:rsid w:val="00010702"/>
    <w:rsid w:val="00010816"/>
    <w:rsid w:val="00010A2C"/>
    <w:rsid w:val="00010A36"/>
    <w:rsid w:val="000110E8"/>
    <w:rsid w:val="0001128E"/>
    <w:rsid w:val="00011912"/>
    <w:rsid w:val="00011BFC"/>
    <w:rsid w:val="000129B7"/>
    <w:rsid w:val="00012A35"/>
    <w:rsid w:val="00012F79"/>
    <w:rsid w:val="0001387D"/>
    <w:rsid w:val="00014ED0"/>
    <w:rsid w:val="00015657"/>
    <w:rsid w:val="00016420"/>
    <w:rsid w:val="00016BDB"/>
    <w:rsid w:val="00017945"/>
    <w:rsid w:val="00017B01"/>
    <w:rsid w:val="000200BE"/>
    <w:rsid w:val="000205D1"/>
    <w:rsid w:val="00020F22"/>
    <w:rsid w:val="0002195D"/>
    <w:rsid w:val="00021F9B"/>
    <w:rsid w:val="000221DD"/>
    <w:rsid w:val="000228AE"/>
    <w:rsid w:val="000233D1"/>
    <w:rsid w:val="000234D6"/>
    <w:rsid w:val="00023D29"/>
    <w:rsid w:val="00024219"/>
    <w:rsid w:val="00024348"/>
    <w:rsid w:val="00026109"/>
    <w:rsid w:val="00026389"/>
    <w:rsid w:val="0002669F"/>
    <w:rsid w:val="000279A9"/>
    <w:rsid w:val="000279E5"/>
    <w:rsid w:val="00027EF4"/>
    <w:rsid w:val="000305E0"/>
    <w:rsid w:val="00031AE0"/>
    <w:rsid w:val="00031BB2"/>
    <w:rsid w:val="000322EF"/>
    <w:rsid w:val="00033FCD"/>
    <w:rsid w:val="000348AF"/>
    <w:rsid w:val="00034B70"/>
    <w:rsid w:val="00034DF7"/>
    <w:rsid w:val="00034E68"/>
    <w:rsid w:val="000350C8"/>
    <w:rsid w:val="00036195"/>
    <w:rsid w:val="00037362"/>
    <w:rsid w:val="000374B2"/>
    <w:rsid w:val="000376C0"/>
    <w:rsid w:val="000403A7"/>
    <w:rsid w:val="00040632"/>
    <w:rsid w:val="00041AFC"/>
    <w:rsid w:val="00041CEC"/>
    <w:rsid w:val="00041D02"/>
    <w:rsid w:val="00042596"/>
    <w:rsid w:val="00042A4A"/>
    <w:rsid w:val="00044183"/>
    <w:rsid w:val="0004431D"/>
    <w:rsid w:val="0004443E"/>
    <w:rsid w:val="00044AAC"/>
    <w:rsid w:val="0004694F"/>
    <w:rsid w:val="00046F2F"/>
    <w:rsid w:val="00047AD4"/>
    <w:rsid w:val="00047D54"/>
    <w:rsid w:val="0005054A"/>
    <w:rsid w:val="00050CD8"/>
    <w:rsid w:val="00051506"/>
    <w:rsid w:val="000522E4"/>
    <w:rsid w:val="00053713"/>
    <w:rsid w:val="0005434E"/>
    <w:rsid w:val="0005480E"/>
    <w:rsid w:val="00055CB6"/>
    <w:rsid w:val="0005658B"/>
    <w:rsid w:val="000572DD"/>
    <w:rsid w:val="00057B1E"/>
    <w:rsid w:val="0006033F"/>
    <w:rsid w:val="000610E1"/>
    <w:rsid w:val="000616AD"/>
    <w:rsid w:val="00061E88"/>
    <w:rsid w:val="000622A6"/>
    <w:rsid w:val="000627BD"/>
    <w:rsid w:val="0006286E"/>
    <w:rsid w:val="00062D70"/>
    <w:rsid w:val="00062EC5"/>
    <w:rsid w:val="00062F22"/>
    <w:rsid w:val="00063975"/>
    <w:rsid w:val="00063CEA"/>
    <w:rsid w:val="0006444D"/>
    <w:rsid w:val="000645FC"/>
    <w:rsid w:val="0006533F"/>
    <w:rsid w:val="00065348"/>
    <w:rsid w:val="0006551C"/>
    <w:rsid w:val="00065A75"/>
    <w:rsid w:val="000663F0"/>
    <w:rsid w:val="00066558"/>
    <w:rsid w:val="000668F1"/>
    <w:rsid w:val="000671DB"/>
    <w:rsid w:val="000672E3"/>
    <w:rsid w:val="000676FF"/>
    <w:rsid w:val="00067982"/>
    <w:rsid w:val="00070A87"/>
    <w:rsid w:val="000712B3"/>
    <w:rsid w:val="00071A7C"/>
    <w:rsid w:val="00071E38"/>
    <w:rsid w:val="00072FF5"/>
    <w:rsid w:val="00073A5A"/>
    <w:rsid w:val="000743F9"/>
    <w:rsid w:val="0007474E"/>
    <w:rsid w:val="00074988"/>
    <w:rsid w:val="0007512B"/>
    <w:rsid w:val="00075551"/>
    <w:rsid w:val="000767F5"/>
    <w:rsid w:val="00076D90"/>
    <w:rsid w:val="00077FF0"/>
    <w:rsid w:val="0008115C"/>
    <w:rsid w:val="00081A55"/>
    <w:rsid w:val="0008263E"/>
    <w:rsid w:val="00082BA0"/>
    <w:rsid w:val="00082C19"/>
    <w:rsid w:val="00082F89"/>
    <w:rsid w:val="000837CD"/>
    <w:rsid w:val="000838A0"/>
    <w:rsid w:val="000842E9"/>
    <w:rsid w:val="00084BFF"/>
    <w:rsid w:val="00085185"/>
    <w:rsid w:val="00085395"/>
    <w:rsid w:val="00086896"/>
    <w:rsid w:val="0008695E"/>
    <w:rsid w:val="00086AC1"/>
    <w:rsid w:val="00086D19"/>
    <w:rsid w:val="00087634"/>
    <w:rsid w:val="00087F2B"/>
    <w:rsid w:val="00090694"/>
    <w:rsid w:val="00090EE2"/>
    <w:rsid w:val="00090FC6"/>
    <w:rsid w:val="000913B1"/>
    <w:rsid w:val="0009290F"/>
    <w:rsid w:val="00093241"/>
    <w:rsid w:val="00093532"/>
    <w:rsid w:val="00093868"/>
    <w:rsid w:val="00094A84"/>
    <w:rsid w:val="00095025"/>
    <w:rsid w:val="00095135"/>
    <w:rsid w:val="00095B8B"/>
    <w:rsid w:val="0009626E"/>
    <w:rsid w:val="0009644D"/>
    <w:rsid w:val="00097191"/>
    <w:rsid w:val="000974D1"/>
    <w:rsid w:val="00097784"/>
    <w:rsid w:val="0009799E"/>
    <w:rsid w:val="000A07CB"/>
    <w:rsid w:val="000A0BC0"/>
    <w:rsid w:val="000A1077"/>
    <w:rsid w:val="000A1183"/>
    <w:rsid w:val="000A12ED"/>
    <w:rsid w:val="000A1973"/>
    <w:rsid w:val="000A1D49"/>
    <w:rsid w:val="000A1F6A"/>
    <w:rsid w:val="000A2065"/>
    <w:rsid w:val="000A212B"/>
    <w:rsid w:val="000A242D"/>
    <w:rsid w:val="000A256D"/>
    <w:rsid w:val="000A2643"/>
    <w:rsid w:val="000A2E5F"/>
    <w:rsid w:val="000A337A"/>
    <w:rsid w:val="000A3A2C"/>
    <w:rsid w:val="000A3D9E"/>
    <w:rsid w:val="000A4A54"/>
    <w:rsid w:val="000A4ED9"/>
    <w:rsid w:val="000A5DB7"/>
    <w:rsid w:val="000A6753"/>
    <w:rsid w:val="000A6D94"/>
    <w:rsid w:val="000A7377"/>
    <w:rsid w:val="000A74A4"/>
    <w:rsid w:val="000A775A"/>
    <w:rsid w:val="000A7FF4"/>
    <w:rsid w:val="000B03CC"/>
    <w:rsid w:val="000B2BA8"/>
    <w:rsid w:val="000B4212"/>
    <w:rsid w:val="000B5C9C"/>
    <w:rsid w:val="000B67B7"/>
    <w:rsid w:val="000B7141"/>
    <w:rsid w:val="000C0CA6"/>
    <w:rsid w:val="000C0EA8"/>
    <w:rsid w:val="000C13A2"/>
    <w:rsid w:val="000C1C5A"/>
    <w:rsid w:val="000C21E7"/>
    <w:rsid w:val="000C23EC"/>
    <w:rsid w:val="000C26A2"/>
    <w:rsid w:val="000C290E"/>
    <w:rsid w:val="000C30C3"/>
    <w:rsid w:val="000C3408"/>
    <w:rsid w:val="000C35AB"/>
    <w:rsid w:val="000C3F7B"/>
    <w:rsid w:val="000C3FD8"/>
    <w:rsid w:val="000C4093"/>
    <w:rsid w:val="000C4769"/>
    <w:rsid w:val="000C4D56"/>
    <w:rsid w:val="000C5DFA"/>
    <w:rsid w:val="000C6AFD"/>
    <w:rsid w:val="000C6C90"/>
    <w:rsid w:val="000C72B7"/>
    <w:rsid w:val="000D009F"/>
    <w:rsid w:val="000D0236"/>
    <w:rsid w:val="000D0237"/>
    <w:rsid w:val="000D0A26"/>
    <w:rsid w:val="000D0B8E"/>
    <w:rsid w:val="000D13CB"/>
    <w:rsid w:val="000D2196"/>
    <w:rsid w:val="000D2312"/>
    <w:rsid w:val="000D296A"/>
    <w:rsid w:val="000D3058"/>
    <w:rsid w:val="000D310A"/>
    <w:rsid w:val="000D3EF4"/>
    <w:rsid w:val="000D4761"/>
    <w:rsid w:val="000D4DC0"/>
    <w:rsid w:val="000D55BA"/>
    <w:rsid w:val="000D5637"/>
    <w:rsid w:val="000D5A03"/>
    <w:rsid w:val="000D5ED3"/>
    <w:rsid w:val="000D6AAF"/>
    <w:rsid w:val="000D6D7C"/>
    <w:rsid w:val="000D6F4E"/>
    <w:rsid w:val="000D6FDA"/>
    <w:rsid w:val="000D7082"/>
    <w:rsid w:val="000D73BB"/>
    <w:rsid w:val="000D79D1"/>
    <w:rsid w:val="000E0E96"/>
    <w:rsid w:val="000E298B"/>
    <w:rsid w:val="000E2C7D"/>
    <w:rsid w:val="000E3E56"/>
    <w:rsid w:val="000E440D"/>
    <w:rsid w:val="000E4AC5"/>
    <w:rsid w:val="000E6253"/>
    <w:rsid w:val="000E6AC4"/>
    <w:rsid w:val="000E6E4D"/>
    <w:rsid w:val="000E6FBD"/>
    <w:rsid w:val="000E6FCB"/>
    <w:rsid w:val="000F090B"/>
    <w:rsid w:val="000F0C1C"/>
    <w:rsid w:val="000F3669"/>
    <w:rsid w:val="000F3F3B"/>
    <w:rsid w:val="000F4721"/>
    <w:rsid w:val="000F47E8"/>
    <w:rsid w:val="000F70E4"/>
    <w:rsid w:val="000F76EA"/>
    <w:rsid w:val="00100A8B"/>
    <w:rsid w:val="00100F5C"/>
    <w:rsid w:val="00100FB5"/>
    <w:rsid w:val="00101CDA"/>
    <w:rsid w:val="00102037"/>
    <w:rsid w:val="00102D7B"/>
    <w:rsid w:val="00103378"/>
    <w:rsid w:val="00103DCB"/>
    <w:rsid w:val="00104C4C"/>
    <w:rsid w:val="00105015"/>
    <w:rsid w:val="001055D2"/>
    <w:rsid w:val="001057C2"/>
    <w:rsid w:val="0010591C"/>
    <w:rsid w:val="00105B6B"/>
    <w:rsid w:val="00105C5C"/>
    <w:rsid w:val="00107124"/>
    <w:rsid w:val="00107243"/>
    <w:rsid w:val="0011038E"/>
    <w:rsid w:val="00110978"/>
    <w:rsid w:val="0011127D"/>
    <w:rsid w:val="00111573"/>
    <w:rsid w:val="00111B33"/>
    <w:rsid w:val="001125EF"/>
    <w:rsid w:val="00112CAB"/>
    <w:rsid w:val="0011440C"/>
    <w:rsid w:val="001145F6"/>
    <w:rsid w:val="00114C33"/>
    <w:rsid w:val="00116D3F"/>
    <w:rsid w:val="00117474"/>
    <w:rsid w:val="00117623"/>
    <w:rsid w:val="00117FEA"/>
    <w:rsid w:val="001200CF"/>
    <w:rsid w:val="001208E3"/>
    <w:rsid w:val="00120D71"/>
    <w:rsid w:val="00121609"/>
    <w:rsid w:val="0012192F"/>
    <w:rsid w:val="00122994"/>
    <w:rsid w:val="00123204"/>
    <w:rsid w:val="001239D6"/>
    <w:rsid w:val="00124B46"/>
    <w:rsid w:val="001257BE"/>
    <w:rsid w:val="001257E0"/>
    <w:rsid w:val="00125D20"/>
    <w:rsid w:val="00125D69"/>
    <w:rsid w:val="00125FB3"/>
    <w:rsid w:val="0012799C"/>
    <w:rsid w:val="00127BC2"/>
    <w:rsid w:val="00127E15"/>
    <w:rsid w:val="00130ADC"/>
    <w:rsid w:val="00130D9F"/>
    <w:rsid w:val="00132C4D"/>
    <w:rsid w:val="00133FC1"/>
    <w:rsid w:val="00134659"/>
    <w:rsid w:val="00135111"/>
    <w:rsid w:val="00135F31"/>
    <w:rsid w:val="001368DC"/>
    <w:rsid w:val="00136A6F"/>
    <w:rsid w:val="00136C1A"/>
    <w:rsid w:val="001405FA"/>
    <w:rsid w:val="00140D1A"/>
    <w:rsid w:val="00141184"/>
    <w:rsid w:val="001411A4"/>
    <w:rsid w:val="00141315"/>
    <w:rsid w:val="00141AA0"/>
    <w:rsid w:val="001425C3"/>
    <w:rsid w:val="0014262D"/>
    <w:rsid w:val="00142B29"/>
    <w:rsid w:val="00144108"/>
    <w:rsid w:val="00144588"/>
    <w:rsid w:val="001447DD"/>
    <w:rsid w:val="00145358"/>
    <w:rsid w:val="001459BC"/>
    <w:rsid w:val="00150333"/>
    <w:rsid w:val="00150ECA"/>
    <w:rsid w:val="00151707"/>
    <w:rsid w:val="00152C86"/>
    <w:rsid w:val="00152F4F"/>
    <w:rsid w:val="0015329F"/>
    <w:rsid w:val="001544A1"/>
    <w:rsid w:val="0015462F"/>
    <w:rsid w:val="00154DAC"/>
    <w:rsid w:val="001553B8"/>
    <w:rsid w:val="001554C2"/>
    <w:rsid w:val="00156CA1"/>
    <w:rsid w:val="00156D21"/>
    <w:rsid w:val="001571C0"/>
    <w:rsid w:val="0015753D"/>
    <w:rsid w:val="00157984"/>
    <w:rsid w:val="00157CC9"/>
    <w:rsid w:val="001603C1"/>
    <w:rsid w:val="001604A9"/>
    <w:rsid w:val="00160C21"/>
    <w:rsid w:val="001612F4"/>
    <w:rsid w:val="00161553"/>
    <w:rsid w:val="0016216F"/>
    <w:rsid w:val="0016256B"/>
    <w:rsid w:val="00162F81"/>
    <w:rsid w:val="00163793"/>
    <w:rsid w:val="00164CA1"/>
    <w:rsid w:val="00165313"/>
    <w:rsid w:val="00165DF4"/>
    <w:rsid w:val="0016623D"/>
    <w:rsid w:val="00167485"/>
    <w:rsid w:val="001679F5"/>
    <w:rsid w:val="00167AD0"/>
    <w:rsid w:val="00167B92"/>
    <w:rsid w:val="00167CB9"/>
    <w:rsid w:val="00167DD8"/>
    <w:rsid w:val="001705AD"/>
    <w:rsid w:val="001706D6"/>
    <w:rsid w:val="001714F2"/>
    <w:rsid w:val="001719C1"/>
    <w:rsid w:val="00171FEA"/>
    <w:rsid w:val="00173622"/>
    <w:rsid w:val="001751DC"/>
    <w:rsid w:val="0017580C"/>
    <w:rsid w:val="00175B9F"/>
    <w:rsid w:val="001762F4"/>
    <w:rsid w:val="00176664"/>
    <w:rsid w:val="00176D0A"/>
    <w:rsid w:val="001777BA"/>
    <w:rsid w:val="00181029"/>
    <w:rsid w:val="00181BBC"/>
    <w:rsid w:val="0018385F"/>
    <w:rsid w:val="00183BCF"/>
    <w:rsid w:val="00184017"/>
    <w:rsid w:val="001843D0"/>
    <w:rsid w:val="001847BB"/>
    <w:rsid w:val="00184B08"/>
    <w:rsid w:val="00184C25"/>
    <w:rsid w:val="00185010"/>
    <w:rsid w:val="00185C22"/>
    <w:rsid w:val="00185CB1"/>
    <w:rsid w:val="0018690D"/>
    <w:rsid w:val="00186BA9"/>
    <w:rsid w:val="00186D4B"/>
    <w:rsid w:val="00187D50"/>
    <w:rsid w:val="0019196C"/>
    <w:rsid w:val="001926A9"/>
    <w:rsid w:val="00192D81"/>
    <w:rsid w:val="00192E0C"/>
    <w:rsid w:val="00192F05"/>
    <w:rsid w:val="00193706"/>
    <w:rsid w:val="0019448A"/>
    <w:rsid w:val="00194729"/>
    <w:rsid w:val="00194850"/>
    <w:rsid w:val="00195234"/>
    <w:rsid w:val="00196016"/>
    <w:rsid w:val="001960FD"/>
    <w:rsid w:val="00196117"/>
    <w:rsid w:val="001977EB"/>
    <w:rsid w:val="00197A70"/>
    <w:rsid w:val="00197C0F"/>
    <w:rsid w:val="00197D0E"/>
    <w:rsid w:val="001A0487"/>
    <w:rsid w:val="001A0675"/>
    <w:rsid w:val="001A0A37"/>
    <w:rsid w:val="001A1529"/>
    <w:rsid w:val="001A1EED"/>
    <w:rsid w:val="001A1F68"/>
    <w:rsid w:val="001A21FA"/>
    <w:rsid w:val="001A4D7C"/>
    <w:rsid w:val="001A4EF0"/>
    <w:rsid w:val="001A552F"/>
    <w:rsid w:val="001A70B1"/>
    <w:rsid w:val="001A7388"/>
    <w:rsid w:val="001B0738"/>
    <w:rsid w:val="001B07F9"/>
    <w:rsid w:val="001B1235"/>
    <w:rsid w:val="001B158D"/>
    <w:rsid w:val="001B2CA9"/>
    <w:rsid w:val="001B3110"/>
    <w:rsid w:val="001B3E38"/>
    <w:rsid w:val="001B40F5"/>
    <w:rsid w:val="001B4729"/>
    <w:rsid w:val="001B494B"/>
    <w:rsid w:val="001B4F0E"/>
    <w:rsid w:val="001B5922"/>
    <w:rsid w:val="001B5F40"/>
    <w:rsid w:val="001B61EC"/>
    <w:rsid w:val="001B6310"/>
    <w:rsid w:val="001B63A8"/>
    <w:rsid w:val="001B6C09"/>
    <w:rsid w:val="001B6E12"/>
    <w:rsid w:val="001B7320"/>
    <w:rsid w:val="001B752A"/>
    <w:rsid w:val="001C05CD"/>
    <w:rsid w:val="001C064B"/>
    <w:rsid w:val="001C082B"/>
    <w:rsid w:val="001C0F17"/>
    <w:rsid w:val="001C1B24"/>
    <w:rsid w:val="001C1B66"/>
    <w:rsid w:val="001C1BB5"/>
    <w:rsid w:val="001C2732"/>
    <w:rsid w:val="001C2EB2"/>
    <w:rsid w:val="001C31A2"/>
    <w:rsid w:val="001C351D"/>
    <w:rsid w:val="001C3794"/>
    <w:rsid w:val="001C4A56"/>
    <w:rsid w:val="001C4B8F"/>
    <w:rsid w:val="001C4BB8"/>
    <w:rsid w:val="001C4FD0"/>
    <w:rsid w:val="001C544D"/>
    <w:rsid w:val="001C547D"/>
    <w:rsid w:val="001C5E46"/>
    <w:rsid w:val="001C6594"/>
    <w:rsid w:val="001C673E"/>
    <w:rsid w:val="001C6B3B"/>
    <w:rsid w:val="001C7A26"/>
    <w:rsid w:val="001C7E3F"/>
    <w:rsid w:val="001D02D7"/>
    <w:rsid w:val="001D0EF1"/>
    <w:rsid w:val="001D129C"/>
    <w:rsid w:val="001D22C2"/>
    <w:rsid w:val="001D2C99"/>
    <w:rsid w:val="001D386E"/>
    <w:rsid w:val="001D3B75"/>
    <w:rsid w:val="001D3D68"/>
    <w:rsid w:val="001D452E"/>
    <w:rsid w:val="001D54C1"/>
    <w:rsid w:val="001D556E"/>
    <w:rsid w:val="001D5DF2"/>
    <w:rsid w:val="001D6175"/>
    <w:rsid w:val="001D68B2"/>
    <w:rsid w:val="001D7A6E"/>
    <w:rsid w:val="001D7EFD"/>
    <w:rsid w:val="001D7F60"/>
    <w:rsid w:val="001E085B"/>
    <w:rsid w:val="001E149B"/>
    <w:rsid w:val="001E15CB"/>
    <w:rsid w:val="001E3306"/>
    <w:rsid w:val="001E3A13"/>
    <w:rsid w:val="001E504C"/>
    <w:rsid w:val="001E509E"/>
    <w:rsid w:val="001E56AC"/>
    <w:rsid w:val="001E5A17"/>
    <w:rsid w:val="001E6525"/>
    <w:rsid w:val="001E74C5"/>
    <w:rsid w:val="001F1236"/>
    <w:rsid w:val="001F1536"/>
    <w:rsid w:val="001F2F90"/>
    <w:rsid w:val="001F3BF9"/>
    <w:rsid w:val="001F3E54"/>
    <w:rsid w:val="001F4597"/>
    <w:rsid w:val="001F4826"/>
    <w:rsid w:val="001F4933"/>
    <w:rsid w:val="001F4C16"/>
    <w:rsid w:val="001F59C8"/>
    <w:rsid w:val="001F5A16"/>
    <w:rsid w:val="001F6CD3"/>
    <w:rsid w:val="001F75DA"/>
    <w:rsid w:val="001F7CE0"/>
    <w:rsid w:val="00200085"/>
    <w:rsid w:val="00203332"/>
    <w:rsid w:val="00203418"/>
    <w:rsid w:val="00203CD5"/>
    <w:rsid w:val="00203D8F"/>
    <w:rsid w:val="00203DA4"/>
    <w:rsid w:val="00203F9B"/>
    <w:rsid w:val="0020446B"/>
    <w:rsid w:val="00204563"/>
    <w:rsid w:val="00204D3D"/>
    <w:rsid w:val="00204EA6"/>
    <w:rsid w:val="00205186"/>
    <w:rsid w:val="00206516"/>
    <w:rsid w:val="00206E75"/>
    <w:rsid w:val="002070CF"/>
    <w:rsid w:val="002071D5"/>
    <w:rsid w:val="00207F4E"/>
    <w:rsid w:val="002111E5"/>
    <w:rsid w:val="0021149E"/>
    <w:rsid w:val="002118B9"/>
    <w:rsid w:val="002125EB"/>
    <w:rsid w:val="00213691"/>
    <w:rsid w:val="002142C0"/>
    <w:rsid w:val="00214CFF"/>
    <w:rsid w:val="00215602"/>
    <w:rsid w:val="00216E10"/>
    <w:rsid w:val="00217C5B"/>
    <w:rsid w:val="00220A43"/>
    <w:rsid w:val="0022139E"/>
    <w:rsid w:val="00222729"/>
    <w:rsid w:val="0022287B"/>
    <w:rsid w:val="002228DB"/>
    <w:rsid w:val="00223185"/>
    <w:rsid w:val="00223264"/>
    <w:rsid w:val="002233D6"/>
    <w:rsid w:val="0022441D"/>
    <w:rsid w:val="00224574"/>
    <w:rsid w:val="00224E3F"/>
    <w:rsid w:val="00225000"/>
    <w:rsid w:val="00225255"/>
    <w:rsid w:val="002252E0"/>
    <w:rsid w:val="0022556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0D"/>
    <w:rsid w:val="00236443"/>
    <w:rsid w:val="00236700"/>
    <w:rsid w:val="00236B3A"/>
    <w:rsid w:val="00237C8B"/>
    <w:rsid w:val="002401A3"/>
    <w:rsid w:val="00240391"/>
    <w:rsid w:val="00240AF3"/>
    <w:rsid w:val="002418D5"/>
    <w:rsid w:val="00241A9F"/>
    <w:rsid w:val="00241B06"/>
    <w:rsid w:val="0024224D"/>
    <w:rsid w:val="002426C9"/>
    <w:rsid w:val="0024343A"/>
    <w:rsid w:val="002434D1"/>
    <w:rsid w:val="002436BA"/>
    <w:rsid w:val="002438DC"/>
    <w:rsid w:val="00244652"/>
    <w:rsid w:val="00244A15"/>
    <w:rsid w:val="002452D9"/>
    <w:rsid w:val="00245800"/>
    <w:rsid w:val="002468FB"/>
    <w:rsid w:val="00247319"/>
    <w:rsid w:val="0024799E"/>
    <w:rsid w:val="00247E60"/>
    <w:rsid w:val="002511CC"/>
    <w:rsid w:val="00251496"/>
    <w:rsid w:val="002515B3"/>
    <w:rsid w:val="00251B08"/>
    <w:rsid w:val="00251C53"/>
    <w:rsid w:val="00252465"/>
    <w:rsid w:val="00252AB9"/>
    <w:rsid w:val="002532B1"/>
    <w:rsid w:val="00253C0F"/>
    <w:rsid w:val="00254C1C"/>
    <w:rsid w:val="002558C1"/>
    <w:rsid w:val="00256207"/>
    <w:rsid w:val="002575F3"/>
    <w:rsid w:val="002577BB"/>
    <w:rsid w:val="002603E1"/>
    <w:rsid w:val="002605FE"/>
    <w:rsid w:val="0026120E"/>
    <w:rsid w:val="002613D4"/>
    <w:rsid w:val="002617EE"/>
    <w:rsid w:val="00262582"/>
    <w:rsid w:val="0026291D"/>
    <w:rsid w:val="00262CF3"/>
    <w:rsid w:val="00263F44"/>
    <w:rsid w:val="00264309"/>
    <w:rsid w:val="00264992"/>
    <w:rsid w:val="00264B4F"/>
    <w:rsid w:val="0026564B"/>
    <w:rsid w:val="00265C83"/>
    <w:rsid w:val="00265E85"/>
    <w:rsid w:val="0026718D"/>
    <w:rsid w:val="00267B49"/>
    <w:rsid w:val="00267C51"/>
    <w:rsid w:val="002700D9"/>
    <w:rsid w:val="0027025F"/>
    <w:rsid w:val="002709CC"/>
    <w:rsid w:val="00270D25"/>
    <w:rsid w:val="00271022"/>
    <w:rsid w:val="00271465"/>
    <w:rsid w:val="00271A07"/>
    <w:rsid w:val="00271E47"/>
    <w:rsid w:val="0027217A"/>
    <w:rsid w:val="002721F5"/>
    <w:rsid w:val="00272DF4"/>
    <w:rsid w:val="00273A9F"/>
    <w:rsid w:val="002744B9"/>
    <w:rsid w:val="00275062"/>
    <w:rsid w:val="0027563A"/>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7A"/>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BD3"/>
    <w:rsid w:val="002C1F09"/>
    <w:rsid w:val="002C22A4"/>
    <w:rsid w:val="002C2583"/>
    <w:rsid w:val="002C260B"/>
    <w:rsid w:val="002C27A6"/>
    <w:rsid w:val="002C31E4"/>
    <w:rsid w:val="002C398D"/>
    <w:rsid w:val="002C3D02"/>
    <w:rsid w:val="002C40D2"/>
    <w:rsid w:val="002C43BD"/>
    <w:rsid w:val="002C5245"/>
    <w:rsid w:val="002C564A"/>
    <w:rsid w:val="002C59D8"/>
    <w:rsid w:val="002C5B25"/>
    <w:rsid w:val="002C5FEB"/>
    <w:rsid w:val="002C6494"/>
    <w:rsid w:val="002D05CB"/>
    <w:rsid w:val="002D0E59"/>
    <w:rsid w:val="002D1F41"/>
    <w:rsid w:val="002D2C4F"/>
    <w:rsid w:val="002D39E0"/>
    <w:rsid w:val="002D3EBB"/>
    <w:rsid w:val="002D455C"/>
    <w:rsid w:val="002D6066"/>
    <w:rsid w:val="002D6A4C"/>
    <w:rsid w:val="002E02A1"/>
    <w:rsid w:val="002E06F7"/>
    <w:rsid w:val="002E196A"/>
    <w:rsid w:val="002E1B00"/>
    <w:rsid w:val="002E1F8A"/>
    <w:rsid w:val="002E20C7"/>
    <w:rsid w:val="002E20CD"/>
    <w:rsid w:val="002E222E"/>
    <w:rsid w:val="002E25FF"/>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1F85"/>
    <w:rsid w:val="002F311F"/>
    <w:rsid w:val="002F333D"/>
    <w:rsid w:val="002F351A"/>
    <w:rsid w:val="002F46D6"/>
    <w:rsid w:val="002F498A"/>
    <w:rsid w:val="002F4AD8"/>
    <w:rsid w:val="002F5285"/>
    <w:rsid w:val="002F5820"/>
    <w:rsid w:val="002F64BB"/>
    <w:rsid w:val="002F7611"/>
    <w:rsid w:val="002F7756"/>
    <w:rsid w:val="002F7D9B"/>
    <w:rsid w:val="00300900"/>
    <w:rsid w:val="00300C31"/>
    <w:rsid w:val="00300E74"/>
    <w:rsid w:val="003017EC"/>
    <w:rsid w:val="00301FB5"/>
    <w:rsid w:val="00301FD5"/>
    <w:rsid w:val="00302165"/>
    <w:rsid w:val="00302D5A"/>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45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2F7"/>
    <w:rsid w:val="003247E1"/>
    <w:rsid w:val="00324B59"/>
    <w:rsid w:val="00325E46"/>
    <w:rsid w:val="0032656E"/>
    <w:rsid w:val="0032788F"/>
    <w:rsid w:val="0033117D"/>
    <w:rsid w:val="003313AD"/>
    <w:rsid w:val="00332190"/>
    <w:rsid w:val="00332A98"/>
    <w:rsid w:val="003334BD"/>
    <w:rsid w:val="00333973"/>
    <w:rsid w:val="00333CD0"/>
    <w:rsid w:val="0033448D"/>
    <w:rsid w:val="00334AD2"/>
    <w:rsid w:val="00334CB6"/>
    <w:rsid w:val="00335FA6"/>
    <w:rsid w:val="0033709C"/>
    <w:rsid w:val="003370C5"/>
    <w:rsid w:val="003373C6"/>
    <w:rsid w:val="0033753A"/>
    <w:rsid w:val="003378EB"/>
    <w:rsid w:val="00340BF3"/>
    <w:rsid w:val="00341D26"/>
    <w:rsid w:val="00341D2E"/>
    <w:rsid w:val="00341F05"/>
    <w:rsid w:val="00341FFE"/>
    <w:rsid w:val="00342521"/>
    <w:rsid w:val="0034335E"/>
    <w:rsid w:val="00344668"/>
    <w:rsid w:val="00344940"/>
    <w:rsid w:val="00346234"/>
    <w:rsid w:val="003462D9"/>
    <w:rsid w:val="0034723F"/>
    <w:rsid w:val="00347247"/>
    <w:rsid w:val="003474B6"/>
    <w:rsid w:val="00347A07"/>
    <w:rsid w:val="00347DD4"/>
    <w:rsid w:val="00350728"/>
    <w:rsid w:val="00352B43"/>
    <w:rsid w:val="00352C28"/>
    <w:rsid w:val="00353A0B"/>
    <w:rsid w:val="00354D85"/>
    <w:rsid w:val="00354F89"/>
    <w:rsid w:val="0035506D"/>
    <w:rsid w:val="00360663"/>
    <w:rsid w:val="0036077F"/>
    <w:rsid w:val="00360C86"/>
    <w:rsid w:val="00360F7A"/>
    <w:rsid w:val="00360FBC"/>
    <w:rsid w:val="00361537"/>
    <w:rsid w:val="00361FB7"/>
    <w:rsid w:val="0036242A"/>
    <w:rsid w:val="00362581"/>
    <w:rsid w:val="00362C23"/>
    <w:rsid w:val="00362DCA"/>
    <w:rsid w:val="00362E90"/>
    <w:rsid w:val="00363AD0"/>
    <w:rsid w:val="00364B62"/>
    <w:rsid w:val="00364FA0"/>
    <w:rsid w:val="003657F3"/>
    <w:rsid w:val="00365844"/>
    <w:rsid w:val="0036624C"/>
    <w:rsid w:val="00367F84"/>
    <w:rsid w:val="0037076B"/>
    <w:rsid w:val="003712BC"/>
    <w:rsid w:val="00372164"/>
    <w:rsid w:val="003734C8"/>
    <w:rsid w:val="003738BD"/>
    <w:rsid w:val="00374263"/>
    <w:rsid w:val="003744AA"/>
    <w:rsid w:val="003746F0"/>
    <w:rsid w:val="00374A20"/>
    <w:rsid w:val="00374E21"/>
    <w:rsid w:val="0037537A"/>
    <w:rsid w:val="00377B2E"/>
    <w:rsid w:val="0038079A"/>
    <w:rsid w:val="003808C1"/>
    <w:rsid w:val="003810F0"/>
    <w:rsid w:val="00381548"/>
    <w:rsid w:val="003815D4"/>
    <w:rsid w:val="003818DC"/>
    <w:rsid w:val="003823C4"/>
    <w:rsid w:val="00382513"/>
    <w:rsid w:val="00383388"/>
    <w:rsid w:val="003834F8"/>
    <w:rsid w:val="003838D0"/>
    <w:rsid w:val="003840C2"/>
    <w:rsid w:val="00384327"/>
    <w:rsid w:val="00384A89"/>
    <w:rsid w:val="00384E6A"/>
    <w:rsid w:val="00385086"/>
    <w:rsid w:val="00385D98"/>
    <w:rsid w:val="003863EB"/>
    <w:rsid w:val="00390306"/>
    <w:rsid w:val="003908A6"/>
    <w:rsid w:val="0039109D"/>
    <w:rsid w:val="00391527"/>
    <w:rsid w:val="00391989"/>
    <w:rsid w:val="00391A6C"/>
    <w:rsid w:val="003927F6"/>
    <w:rsid w:val="0039398D"/>
    <w:rsid w:val="003939DA"/>
    <w:rsid w:val="00393B3F"/>
    <w:rsid w:val="003962AB"/>
    <w:rsid w:val="00396739"/>
    <w:rsid w:val="003978B1"/>
    <w:rsid w:val="003A04F6"/>
    <w:rsid w:val="003A0837"/>
    <w:rsid w:val="003A2B4D"/>
    <w:rsid w:val="003A2D12"/>
    <w:rsid w:val="003A2EBA"/>
    <w:rsid w:val="003A45E3"/>
    <w:rsid w:val="003A46A0"/>
    <w:rsid w:val="003A46B8"/>
    <w:rsid w:val="003A478C"/>
    <w:rsid w:val="003A4A32"/>
    <w:rsid w:val="003A4A38"/>
    <w:rsid w:val="003A4EF2"/>
    <w:rsid w:val="003A5525"/>
    <w:rsid w:val="003A5889"/>
    <w:rsid w:val="003A5C8C"/>
    <w:rsid w:val="003A6B38"/>
    <w:rsid w:val="003A6B83"/>
    <w:rsid w:val="003A6C97"/>
    <w:rsid w:val="003A722F"/>
    <w:rsid w:val="003A7373"/>
    <w:rsid w:val="003A76A7"/>
    <w:rsid w:val="003A7D09"/>
    <w:rsid w:val="003B039F"/>
    <w:rsid w:val="003B0DF4"/>
    <w:rsid w:val="003B1AC5"/>
    <w:rsid w:val="003B1F9D"/>
    <w:rsid w:val="003B2249"/>
    <w:rsid w:val="003B2A8D"/>
    <w:rsid w:val="003B2AD1"/>
    <w:rsid w:val="003B2D2E"/>
    <w:rsid w:val="003B376A"/>
    <w:rsid w:val="003B461F"/>
    <w:rsid w:val="003B483F"/>
    <w:rsid w:val="003B4998"/>
    <w:rsid w:val="003B5A32"/>
    <w:rsid w:val="003B5B59"/>
    <w:rsid w:val="003B6D10"/>
    <w:rsid w:val="003B709D"/>
    <w:rsid w:val="003B7313"/>
    <w:rsid w:val="003B7B50"/>
    <w:rsid w:val="003C0B07"/>
    <w:rsid w:val="003C2CE7"/>
    <w:rsid w:val="003C2DB8"/>
    <w:rsid w:val="003C3490"/>
    <w:rsid w:val="003C3608"/>
    <w:rsid w:val="003C3AE8"/>
    <w:rsid w:val="003C3D2C"/>
    <w:rsid w:val="003C4014"/>
    <w:rsid w:val="003C4E13"/>
    <w:rsid w:val="003C58A5"/>
    <w:rsid w:val="003C6221"/>
    <w:rsid w:val="003C63D7"/>
    <w:rsid w:val="003C68CC"/>
    <w:rsid w:val="003C7E62"/>
    <w:rsid w:val="003D12B9"/>
    <w:rsid w:val="003D1E7A"/>
    <w:rsid w:val="003D242B"/>
    <w:rsid w:val="003D2492"/>
    <w:rsid w:val="003D29AA"/>
    <w:rsid w:val="003D2A99"/>
    <w:rsid w:val="003D34DA"/>
    <w:rsid w:val="003D472E"/>
    <w:rsid w:val="003D6920"/>
    <w:rsid w:val="003D7E94"/>
    <w:rsid w:val="003E0249"/>
    <w:rsid w:val="003E0487"/>
    <w:rsid w:val="003E08A4"/>
    <w:rsid w:val="003E1EF8"/>
    <w:rsid w:val="003E2DFB"/>
    <w:rsid w:val="003E4466"/>
    <w:rsid w:val="003E4C91"/>
    <w:rsid w:val="003E52D8"/>
    <w:rsid w:val="003E55D6"/>
    <w:rsid w:val="003E62F1"/>
    <w:rsid w:val="003E6DEE"/>
    <w:rsid w:val="003E6F84"/>
    <w:rsid w:val="003F313C"/>
    <w:rsid w:val="003F33B1"/>
    <w:rsid w:val="003F33B9"/>
    <w:rsid w:val="003F37FC"/>
    <w:rsid w:val="003F3E76"/>
    <w:rsid w:val="003F4318"/>
    <w:rsid w:val="003F4B2C"/>
    <w:rsid w:val="003F551C"/>
    <w:rsid w:val="003F626D"/>
    <w:rsid w:val="003F69BC"/>
    <w:rsid w:val="003F6B37"/>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9BA"/>
    <w:rsid w:val="00407C13"/>
    <w:rsid w:val="004103F6"/>
    <w:rsid w:val="00410638"/>
    <w:rsid w:val="00410D65"/>
    <w:rsid w:val="00412511"/>
    <w:rsid w:val="004125C2"/>
    <w:rsid w:val="00412DFA"/>
    <w:rsid w:val="00413465"/>
    <w:rsid w:val="004135F4"/>
    <w:rsid w:val="00413DBE"/>
    <w:rsid w:val="004149AC"/>
    <w:rsid w:val="0041501E"/>
    <w:rsid w:val="00415452"/>
    <w:rsid w:val="004159C3"/>
    <w:rsid w:val="00415A57"/>
    <w:rsid w:val="0041664E"/>
    <w:rsid w:val="00416DAC"/>
    <w:rsid w:val="00417849"/>
    <w:rsid w:val="00420880"/>
    <w:rsid w:val="00421179"/>
    <w:rsid w:val="00423623"/>
    <w:rsid w:val="0042470E"/>
    <w:rsid w:val="00424877"/>
    <w:rsid w:val="00425352"/>
    <w:rsid w:val="00425EC2"/>
    <w:rsid w:val="00426C99"/>
    <w:rsid w:val="00430C96"/>
    <w:rsid w:val="0043174F"/>
    <w:rsid w:val="00431BFF"/>
    <w:rsid w:val="00432199"/>
    <w:rsid w:val="0043271A"/>
    <w:rsid w:val="00432A58"/>
    <w:rsid w:val="004331C3"/>
    <w:rsid w:val="00433BC4"/>
    <w:rsid w:val="00433C17"/>
    <w:rsid w:val="00434617"/>
    <w:rsid w:val="00434DE9"/>
    <w:rsid w:val="00435051"/>
    <w:rsid w:val="00435C69"/>
    <w:rsid w:val="004360F5"/>
    <w:rsid w:val="004360FB"/>
    <w:rsid w:val="00436A40"/>
    <w:rsid w:val="00437CED"/>
    <w:rsid w:val="004407BF"/>
    <w:rsid w:val="00440900"/>
    <w:rsid w:val="0044121D"/>
    <w:rsid w:val="00441BF6"/>
    <w:rsid w:val="00441D2B"/>
    <w:rsid w:val="00441F8B"/>
    <w:rsid w:val="00442085"/>
    <w:rsid w:val="0044279E"/>
    <w:rsid w:val="00442990"/>
    <w:rsid w:val="004429BC"/>
    <w:rsid w:val="004441A0"/>
    <w:rsid w:val="0044546A"/>
    <w:rsid w:val="00445861"/>
    <w:rsid w:val="00445A8E"/>
    <w:rsid w:val="00446D44"/>
    <w:rsid w:val="00447735"/>
    <w:rsid w:val="0045078A"/>
    <w:rsid w:val="0045086D"/>
    <w:rsid w:val="00450DAB"/>
    <w:rsid w:val="00450F53"/>
    <w:rsid w:val="0045125B"/>
    <w:rsid w:val="00451E25"/>
    <w:rsid w:val="00451EF1"/>
    <w:rsid w:val="00452E60"/>
    <w:rsid w:val="0045321B"/>
    <w:rsid w:val="0045412A"/>
    <w:rsid w:val="00455F84"/>
    <w:rsid w:val="00456FE5"/>
    <w:rsid w:val="00457490"/>
    <w:rsid w:val="0045786C"/>
    <w:rsid w:val="00457953"/>
    <w:rsid w:val="004604D8"/>
    <w:rsid w:val="00460656"/>
    <w:rsid w:val="00460FB3"/>
    <w:rsid w:val="00463D3C"/>
    <w:rsid w:val="00464851"/>
    <w:rsid w:val="004649C1"/>
    <w:rsid w:val="00464AF9"/>
    <w:rsid w:val="00466359"/>
    <w:rsid w:val="00466595"/>
    <w:rsid w:val="00466B3E"/>
    <w:rsid w:val="0046746A"/>
    <w:rsid w:val="00467B14"/>
    <w:rsid w:val="004701E1"/>
    <w:rsid w:val="004707FE"/>
    <w:rsid w:val="0047080E"/>
    <w:rsid w:val="00470EDC"/>
    <w:rsid w:val="00472418"/>
    <w:rsid w:val="0047276D"/>
    <w:rsid w:val="00472AF6"/>
    <w:rsid w:val="00473482"/>
    <w:rsid w:val="00474310"/>
    <w:rsid w:val="00474646"/>
    <w:rsid w:val="00474A04"/>
    <w:rsid w:val="00474B3D"/>
    <w:rsid w:val="00476240"/>
    <w:rsid w:val="00476439"/>
    <w:rsid w:val="00476450"/>
    <w:rsid w:val="004769BF"/>
    <w:rsid w:val="004769E1"/>
    <w:rsid w:val="0047735C"/>
    <w:rsid w:val="004776BC"/>
    <w:rsid w:val="00477820"/>
    <w:rsid w:val="00477B96"/>
    <w:rsid w:val="00477DB5"/>
    <w:rsid w:val="00480802"/>
    <w:rsid w:val="00480BAE"/>
    <w:rsid w:val="00480D7F"/>
    <w:rsid w:val="0048139F"/>
    <w:rsid w:val="00481C74"/>
    <w:rsid w:val="00481E40"/>
    <w:rsid w:val="00482405"/>
    <w:rsid w:val="004826A7"/>
    <w:rsid w:val="0048368C"/>
    <w:rsid w:val="0048372F"/>
    <w:rsid w:val="00483A0C"/>
    <w:rsid w:val="004841CC"/>
    <w:rsid w:val="00484C3D"/>
    <w:rsid w:val="00484ECE"/>
    <w:rsid w:val="00485E82"/>
    <w:rsid w:val="00486132"/>
    <w:rsid w:val="004867CC"/>
    <w:rsid w:val="0048686D"/>
    <w:rsid w:val="00486A4D"/>
    <w:rsid w:val="004915CB"/>
    <w:rsid w:val="004924DC"/>
    <w:rsid w:val="00492879"/>
    <w:rsid w:val="004933FF"/>
    <w:rsid w:val="00493E85"/>
    <w:rsid w:val="00495145"/>
    <w:rsid w:val="0049531F"/>
    <w:rsid w:val="00496EC3"/>
    <w:rsid w:val="004979A5"/>
    <w:rsid w:val="00497FD4"/>
    <w:rsid w:val="004A0144"/>
    <w:rsid w:val="004A036E"/>
    <w:rsid w:val="004A0498"/>
    <w:rsid w:val="004A0597"/>
    <w:rsid w:val="004A06B0"/>
    <w:rsid w:val="004A0D0E"/>
    <w:rsid w:val="004A127D"/>
    <w:rsid w:val="004A14E4"/>
    <w:rsid w:val="004A204E"/>
    <w:rsid w:val="004A26A5"/>
    <w:rsid w:val="004A27F0"/>
    <w:rsid w:val="004A3212"/>
    <w:rsid w:val="004A37CD"/>
    <w:rsid w:val="004A40D9"/>
    <w:rsid w:val="004A49A5"/>
    <w:rsid w:val="004A4BE6"/>
    <w:rsid w:val="004A4F8A"/>
    <w:rsid w:val="004A52AB"/>
    <w:rsid w:val="004A5494"/>
    <w:rsid w:val="004A5A24"/>
    <w:rsid w:val="004A5AC1"/>
    <w:rsid w:val="004A5D4E"/>
    <w:rsid w:val="004A61C5"/>
    <w:rsid w:val="004A62A0"/>
    <w:rsid w:val="004A77DF"/>
    <w:rsid w:val="004B1417"/>
    <w:rsid w:val="004B305C"/>
    <w:rsid w:val="004B31B8"/>
    <w:rsid w:val="004B339A"/>
    <w:rsid w:val="004B4C83"/>
    <w:rsid w:val="004B55B7"/>
    <w:rsid w:val="004B5BFA"/>
    <w:rsid w:val="004B619E"/>
    <w:rsid w:val="004B6468"/>
    <w:rsid w:val="004B67FC"/>
    <w:rsid w:val="004B6EF8"/>
    <w:rsid w:val="004B7125"/>
    <w:rsid w:val="004B756A"/>
    <w:rsid w:val="004B7FB1"/>
    <w:rsid w:val="004C0B3F"/>
    <w:rsid w:val="004C0F87"/>
    <w:rsid w:val="004C258C"/>
    <w:rsid w:val="004C25F9"/>
    <w:rsid w:val="004C2794"/>
    <w:rsid w:val="004C2BB6"/>
    <w:rsid w:val="004C2C2D"/>
    <w:rsid w:val="004C3027"/>
    <w:rsid w:val="004C32A9"/>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0DE"/>
    <w:rsid w:val="004D2D31"/>
    <w:rsid w:val="004D2DBD"/>
    <w:rsid w:val="004D2E03"/>
    <w:rsid w:val="004D3296"/>
    <w:rsid w:val="004D4056"/>
    <w:rsid w:val="004D42F8"/>
    <w:rsid w:val="004D45B7"/>
    <w:rsid w:val="004D4CB0"/>
    <w:rsid w:val="004D57FF"/>
    <w:rsid w:val="004D5ACB"/>
    <w:rsid w:val="004D5B0F"/>
    <w:rsid w:val="004D7626"/>
    <w:rsid w:val="004E10D9"/>
    <w:rsid w:val="004E186A"/>
    <w:rsid w:val="004E1A40"/>
    <w:rsid w:val="004E200A"/>
    <w:rsid w:val="004E23FC"/>
    <w:rsid w:val="004E2409"/>
    <w:rsid w:val="004E261D"/>
    <w:rsid w:val="004E36CA"/>
    <w:rsid w:val="004E3927"/>
    <w:rsid w:val="004E3B7F"/>
    <w:rsid w:val="004E3C34"/>
    <w:rsid w:val="004E57BF"/>
    <w:rsid w:val="004E5F41"/>
    <w:rsid w:val="004E6011"/>
    <w:rsid w:val="004E6DE6"/>
    <w:rsid w:val="004E765E"/>
    <w:rsid w:val="004E7815"/>
    <w:rsid w:val="004F06F5"/>
    <w:rsid w:val="004F12A4"/>
    <w:rsid w:val="004F253F"/>
    <w:rsid w:val="004F33A0"/>
    <w:rsid w:val="004F3873"/>
    <w:rsid w:val="004F3BD2"/>
    <w:rsid w:val="004F3D93"/>
    <w:rsid w:val="004F3ECA"/>
    <w:rsid w:val="004F46ED"/>
    <w:rsid w:val="004F49A3"/>
    <w:rsid w:val="004F4C99"/>
    <w:rsid w:val="004F5226"/>
    <w:rsid w:val="004F5358"/>
    <w:rsid w:val="004F6484"/>
    <w:rsid w:val="004F6539"/>
    <w:rsid w:val="004F665D"/>
    <w:rsid w:val="004F7395"/>
    <w:rsid w:val="00503D54"/>
    <w:rsid w:val="00504720"/>
    <w:rsid w:val="005048E2"/>
    <w:rsid w:val="00504A69"/>
    <w:rsid w:val="00505FAA"/>
    <w:rsid w:val="00505FC8"/>
    <w:rsid w:val="00506603"/>
    <w:rsid w:val="0050689D"/>
    <w:rsid w:val="00506F4A"/>
    <w:rsid w:val="00507032"/>
    <w:rsid w:val="00507216"/>
    <w:rsid w:val="005077F5"/>
    <w:rsid w:val="005108C0"/>
    <w:rsid w:val="0051094F"/>
    <w:rsid w:val="00511217"/>
    <w:rsid w:val="00511873"/>
    <w:rsid w:val="00511BAF"/>
    <w:rsid w:val="00512461"/>
    <w:rsid w:val="00512585"/>
    <w:rsid w:val="00512A2F"/>
    <w:rsid w:val="005136FA"/>
    <w:rsid w:val="00513B7E"/>
    <w:rsid w:val="00513E9D"/>
    <w:rsid w:val="0051475D"/>
    <w:rsid w:val="00514B11"/>
    <w:rsid w:val="00515485"/>
    <w:rsid w:val="00515BE9"/>
    <w:rsid w:val="00515C74"/>
    <w:rsid w:val="0051630F"/>
    <w:rsid w:val="005169D3"/>
    <w:rsid w:val="005170C3"/>
    <w:rsid w:val="00517113"/>
    <w:rsid w:val="0052007E"/>
    <w:rsid w:val="00521CAD"/>
    <w:rsid w:val="0052200D"/>
    <w:rsid w:val="00522425"/>
    <w:rsid w:val="005224F8"/>
    <w:rsid w:val="00522A1B"/>
    <w:rsid w:val="00522E01"/>
    <w:rsid w:val="0052337A"/>
    <w:rsid w:val="00523908"/>
    <w:rsid w:val="00524385"/>
    <w:rsid w:val="005246BE"/>
    <w:rsid w:val="00525137"/>
    <w:rsid w:val="005251DD"/>
    <w:rsid w:val="0052762C"/>
    <w:rsid w:val="0053012B"/>
    <w:rsid w:val="005301A6"/>
    <w:rsid w:val="00530A68"/>
    <w:rsid w:val="00530AD4"/>
    <w:rsid w:val="0053129F"/>
    <w:rsid w:val="005318C3"/>
    <w:rsid w:val="00531C5A"/>
    <w:rsid w:val="00532CE7"/>
    <w:rsid w:val="00532D8B"/>
    <w:rsid w:val="0053324C"/>
    <w:rsid w:val="005337A1"/>
    <w:rsid w:val="00533A8D"/>
    <w:rsid w:val="00533D9E"/>
    <w:rsid w:val="00534A28"/>
    <w:rsid w:val="00535018"/>
    <w:rsid w:val="0053595E"/>
    <w:rsid w:val="00537571"/>
    <w:rsid w:val="00540056"/>
    <w:rsid w:val="005410E2"/>
    <w:rsid w:val="00541508"/>
    <w:rsid w:val="00541AE3"/>
    <w:rsid w:val="005431E6"/>
    <w:rsid w:val="00543498"/>
    <w:rsid w:val="00544011"/>
    <w:rsid w:val="00544BE5"/>
    <w:rsid w:val="005453A3"/>
    <w:rsid w:val="005455F6"/>
    <w:rsid w:val="00545631"/>
    <w:rsid w:val="0054582F"/>
    <w:rsid w:val="00546FC7"/>
    <w:rsid w:val="005500F9"/>
    <w:rsid w:val="00550160"/>
    <w:rsid w:val="005508EB"/>
    <w:rsid w:val="005519E2"/>
    <w:rsid w:val="00552152"/>
    <w:rsid w:val="0055230D"/>
    <w:rsid w:val="005523A8"/>
    <w:rsid w:val="00552796"/>
    <w:rsid w:val="00552F2C"/>
    <w:rsid w:val="00553A25"/>
    <w:rsid w:val="005547EB"/>
    <w:rsid w:val="00554863"/>
    <w:rsid w:val="005555E0"/>
    <w:rsid w:val="00555713"/>
    <w:rsid w:val="0055599F"/>
    <w:rsid w:val="00556621"/>
    <w:rsid w:val="00556D68"/>
    <w:rsid w:val="0055707B"/>
    <w:rsid w:val="005570D6"/>
    <w:rsid w:val="00557B02"/>
    <w:rsid w:val="00557E0E"/>
    <w:rsid w:val="00557E45"/>
    <w:rsid w:val="00560C41"/>
    <w:rsid w:val="00560CAC"/>
    <w:rsid w:val="00561F44"/>
    <w:rsid w:val="00562B4D"/>
    <w:rsid w:val="00562DB1"/>
    <w:rsid w:val="00563EB8"/>
    <w:rsid w:val="005647BF"/>
    <w:rsid w:val="00564AF1"/>
    <w:rsid w:val="00564EEE"/>
    <w:rsid w:val="005655DB"/>
    <w:rsid w:val="00565E88"/>
    <w:rsid w:val="00567339"/>
    <w:rsid w:val="005678EE"/>
    <w:rsid w:val="00567910"/>
    <w:rsid w:val="00570270"/>
    <w:rsid w:val="00570464"/>
    <w:rsid w:val="00570BC3"/>
    <w:rsid w:val="0057182A"/>
    <w:rsid w:val="00571E59"/>
    <w:rsid w:val="00572079"/>
    <w:rsid w:val="00572900"/>
    <w:rsid w:val="005731CA"/>
    <w:rsid w:val="00573343"/>
    <w:rsid w:val="00573602"/>
    <w:rsid w:val="0057364B"/>
    <w:rsid w:val="00574773"/>
    <w:rsid w:val="005761EC"/>
    <w:rsid w:val="00577C07"/>
    <w:rsid w:val="00577DB1"/>
    <w:rsid w:val="0058075B"/>
    <w:rsid w:val="00580AD3"/>
    <w:rsid w:val="00580DE7"/>
    <w:rsid w:val="00580E89"/>
    <w:rsid w:val="005810E1"/>
    <w:rsid w:val="005820CD"/>
    <w:rsid w:val="005823F4"/>
    <w:rsid w:val="00582530"/>
    <w:rsid w:val="00583BDD"/>
    <w:rsid w:val="00583E52"/>
    <w:rsid w:val="00583FFD"/>
    <w:rsid w:val="00584252"/>
    <w:rsid w:val="005848DD"/>
    <w:rsid w:val="0058519A"/>
    <w:rsid w:val="005856BD"/>
    <w:rsid w:val="00585983"/>
    <w:rsid w:val="00586BCA"/>
    <w:rsid w:val="00587038"/>
    <w:rsid w:val="005877E0"/>
    <w:rsid w:val="00590608"/>
    <w:rsid w:val="00590B28"/>
    <w:rsid w:val="005911BE"/>
    <w:rsid w:val="00591273"/>
    <w:rsid w:val="00591E9E"/>
    <w:rsid w:val="005927A4"/>
    <w:rsid w:val="00593152"/>
    <w:rsid w:val="00593319"/>
    <w:rsid w:val="00593389"/>
    <w:rsid w:val="00593407"/>
    <w:rsid w:val="00593FE6"/>
    <w:rsid w:val="005956A3"/>
    <w:rsid w:val="00595958"/>
    <w:rsid w:val="00595CAB"/>
    <w:rsid w:val="0059622E"/>
    <w:rsid w:val="00597671"/>
    <w:rsid w:val="00597BBF"/>
    <w:rsid w:val="00597E79"/>
    <w:rsid w:val="005A0463"/>
    <w:rsid w:val="005A0948"/>
    <w:rsid w:val="005A0A03"/>
    <w:rsid w:val="005A0F21"/>
    <w:rsid w:val="005A10F2"/>
    <w:rsid w:val="005A16C0"/>
    <w:rsid w:val="005A2156"/>
    <w:rsid w:val="005A21E0"/>
    <w:rsid w:val="005A28FF"/>
    <w:rsid w:val="005A2C09"/>
    <w:rsid w:val="005A3778"/>
    <w:rsid w:val="005A37B0"/>
    <w:rsid w:val="005A3DF8"/>
    <w:rsid w:val="005A5549"/>
    <w:rsid w:val="005A566A"/>
    <w:rsid w:val="005A7756"/>
    <w:rsid w:val="005A7ABD"/>
    <w:rsid w:val="005A7CF8"/>
    <w:rsid w:val="005B0EDA"/>
    <w:rsid w:val="005B121D"/>
    <w:rsid w:val="005B26B0"/>
    <w:rsid w:val="005B418A"/>
    <w:rsid w:val="005B41C9"/>
    <w:rsid w:val="005B44E6"/>
    <w:rsid w:val="005B4853"/>
    <w:rsid w:val="005B4FC7"/>
    <w:rsid w:val="005B6CA1"/>
    <w:rsid w:val="005B770C"/>
    <w:rsid w:val="005C016A"/>
    <w:rsid w:val="005C06ED"/>
    <w:rsid w:val="005C0CE1"/>
    <w:rsid w:val="005C11B8"/>
    <w:rsid w:val="005C216C"/>
    <w:rsid w:val="005C2609"/>
    <w:rsid w:val="005C2B30"/>
    <w:rsid w:val="005C32E1"/>
    <w:rsid w:val="005C412B"/>
    <w:rsid w:val="005C431E"/>
    <w:rsid w:val="005C43EC"/>
    <w:rsid w:val="005C45DD"/>
    <w:rsid w:val="005C4704"/>
    <w:rsid w:val="005C4CB1"/>
    <w:rsid w:val="005C5FB1"/>
    <w:rsid w:val="005C6558"/>
    <w:rsid w:val="005D2FD8"/>
    <w:rsid w:val="005D3F06"/>
    <w:rsid w:val="005D4B73"/>
    <w:rsid w:val="005D5645"/>
    <w:rsid w:val="005D5802"/>
    <w:rsid w:val="005D5AA9"/>
    <w:rsid w:val="005D66E6"/>
    <w:rsid w:val="005D703F"/>
    <w:rsid w:val="005D7119"/>
    <w:rsid w:val="005D76C8"/>
    <w:rsid w:val="005D7890"/>
    <w:rsid w:val="005E021D"/>
    <w:rsid w:val="005E19C1"/>
    <w:rsid w:val="005E2194"/>
    <w:rsid w:val="005E24F0"/>
    <w:rsid w:val="005E30A8"/>
    <w:rsid w:val="005E3113"/>
    <w:rsid w:val="005E3515"/>
    <w:rsid w:val="005E36FE"/>
    <w:rsid w:val="005E3F66"/>
    <w:rsid w:val="005E490F"/>
    <w:rsid w:val="005E4BC9"/>
    <w:rsid w:val="005E5314"/>
    <w:rsid w:val="005E6D0F"/>
    <w:rsid w:val="005E7C78"/>
    <w:rsid w:val="005F04A7"/>
    <w:rsid w:val="005F114F"/>
    <w:rsid w:val="005F1255"/>
    <w:rsid w:val="005F18C5"/>
    <w:rsid w:val="005F2463"/>
    <w:rsid w:val="005F2A08"/>
    <w:rsid w:val="005F353D"/>
    <w:rsid w:val="005F36CC"/>
    <w:rsid w:val="005F3EB1"/>
    <w:rsid w:val="005F40CA"/>
    <w:rsid w:val="005F413E"/>
    <w:rsid w:val="005F466B"/>
    <w:rsid w:val="005F46D8"/>
    <w:rsid w:val="005F480F"/>
    <w:rsid w:val="005F5469"/>
    <w:rsid w:val="005F5B50"/>
    <w:rsid w:val="005F63F3"/>
    <w:rsid w:val="005F66F0"/>
    <w:rsid w:val="005F6D7F"/>
    <w:rsid w:val="005F7174"/>
    <w:rsid w:val="00600FFC"/>
    <w:rsid w:val="0060120D"/>
    <w:rsid w:val="006017C1"/>
    <w:rsid w:val="00601ADE"/>
    <w:rsid w:val="00601EEF"/>
    <w:rsid w:val="0060255A"/>
    <w:rsid w:val="0060279D"/>
    <w:rsid w:val="00602998"/>
    <w:rsid w:val="00602EB3"/>
    <w:rsid w:val="0060384A"/>
    <w:rsid w:val="00603DC9"/>
    <w:rsid w:val="00604307"/>
    <w:rsid w:val="006044A3"/>
    <w:rsid w:val="0060487F"/>
    <w:rsid w:val="00604EAD"/>
    <w:rsid w:val="0060513F"/>
    <w:rsid w:val="00605A97"/>
    <w:rsid w:val="006065E2"/>
    <w:rsid w:val="0060694B"/>
    <w:rsid w:val="006104FB"/>
    <w:rsid w:val="0061176D"/>
    <w:rsid w:val="0061200F"/>
    <w:rsid w:val="00612756"/>
    <w:rsid w:val="00612A2F"/>
    <w:rsid w:val="00612AAE"/>
    <w:rsid w:val="00612B07"/>
    <w:rsid w:val="00612FD9"/>
    <w:rsid w:val="0061333D"/>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4B45"/>
    <w:rsid w:val="00625A84"/>
    <w:rsid w:val="0062604A"/>
    <w:rsid w:val="00626079"/>
    <w:rsid w:val="00627A5F"/>
    <w:rsid w:val="006301D2"/>
    <w:rsid w:val="00631698"/>
    <w:rsid w:val="006319BC"/>
    <w:rsid w:val="00631E44"/>
    <w:rsid w:val="006344C3"/>
    <w:rsid w:val="006347C6"/>
    <w:rsid w:val="00634C57"/>
    <w:rsid w:val="00634CE7"/>
    <w:rsid w:val="00634DCA"/>
    <w:rsid w:val="006350D5"/>
    <w:rsid w:val="0063642C"/>
    <w:rsid w:val="006365C6"/>
    <w:rsid w:val="006369CC"/>
    <w:rsid w:val="006376B3"/>
    <w:rsid w:val="00637858"/>
    <w:rsid w:val="006404A7"/>
    <w:rsid w:val="00640A38"/>
    <w:rsid w:val="00640E6B"/>
    <w:rsid w:val="00641787"/>
    <w:rsid w:val="0064179B"/>
    <w:rsid w:val="0064200D"/>
    <w:rsid w:val="00642489"/>
    <w:rsid w:val="006425DA"/>
    <w:rsid w:val="00644055"/>
    <w:rsid w:val="00644137"/>
    <w:rsid w:val="0064478C"/>
    <w:rsid w:val="00645160"/>
    <w:rsid w:val="006451E4"/>
    <w:rsid w:val="0064527F"/>
    <w:rsid w:val="0064574B"/>
    <w:rsid w:val="0064587C"/>
    <w:rsid w:val="00645B33"/>
    <w:rsid w:val="006516CB"/>
    <w:rsid w:val="00652165"/>
    <w:rsid w:val="00652E30"/>
    <w:rsid w:val="00653BD0"/>
    <w:rsid w:val="00654110"/>
    <w:rsid w:val="00655BD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455"/>
    <w:rsid w:val="006657AF"/>
    <w:rsid w:val="00665982"/>
    <w:rsid w:val="00665BA4"/>
    <w:rsid w:val="00666479"/>
    <w:rsid w:val="00666B00"/>
    <w:rsid w:val="00666BF3"/>
    <w:rsid w:val="00667203"/>
    <w:rsid w:val="00667856"/>
    <w:rsid w:val="00667AF2"/>
    <w:rsid w:val="00667F1B"/>
    <w:rsid w:val="00670489"/>
    <w:rsid w:val="006710C9"/>
    <w:rsid w:val="00671D85"/>
    <w:rsid w:val="006723AD"/>
    <w:rsid w:val="00672586"/>
    <w:rsid w:val="006741CD"/>
    <w:rsid w:val="00674B62"/>
    <w:rsid w:val="00674D89"/>
    <w:rsid w:val="0067514E"/>
    <w:rsid w:val="00675E37"/>
    <w:rsid w:val="006762B5"/>
    <w:rsid w:val="0067635D"/>
    <w:rsid w:val="0067657E"/>
    <w:rsid w:val="00676736"/>
    <w:rsid w:val="006769A4"/>
    <w:rsid w:val="006769C6"/>
    <w:rsid w:val="00676D76"/>
    <w:rsid w:val="00676F9F"/>
    <w:rsid w:val="00677519"/>
    <w:rsid w:val="00677591"/>
    <w:rsid w:val="00677594"/>
    <w:rsid w:val="00677FA3"/>
    <w:rsid w:val="0068032F"/>
    <w:rsid w:val="00680443"/>
    <w:rsid w:val="00680D37"/>
    <w:rsid w:val="0068174E"/>
    <w:rsid w:val="00681DCE"/>
    <w:rsid w:val="00682110"/>
    <w:rsid w:val="0068260E"/>
    <w:rsid w:val="00683EB8"/>
    <w:rsid w:val="006846B3"/>
    <w:rsid w:val="00684851"/>
    <w:rsid w:val="00684B9B"/>
    <w:rsid w:val="00684D59"/>
    <w:rsid w:val="00684E25"/>
    <w:rsid w:val="006858A4"/>
    <w:rsid w:val="00685C08"/>
    <w:rsid w:val="00686718"/>
    <w:rsid w:val="00686BFA"/>
    <w:rsid w:val="00686DED"/>
    <w:rsid w:val="00686F03"/>
    <w:rsid w:val="006875A0"/>
    <w:rsid w:val="006878C6"/>
    <w:rsid w:val="00687D27"/>
    <w:rsid w:val="00687D2B"/>
    <w:rsid w:val="006904BB"/>
    <w:rsid w:val="00691943"/>
    <w:rsid w:val="0069225B"/>
    <w:rsid w:val="00693550"/>
    <w:rsid w:val="00694622"/>
    <w:rsid w:val="00695065"/>
    <w:rsid w:val="00695BEF"/>
    <w:rsid w:val="00696225"/>
    <w:rsid w:val="00696251"/>
    <w:rsid w:val="006963A7"/>
    <w:rsid w:val="006966C7"/>
    <w:rsid w:val="006968C1"/>
    <w:rsid w:val="006977F6"/>
    <w:rsid w:val="00697A13"/>
    <w:rsid w:val="00697FFC"/>
    <w:rsid w:val="006A01C3"/>
    <w:rsid w:val="006A08CE"/>
    <w:rsid w:val="006A0DD4"/>
    <w:rsid w:val="006A109C"/>
    <w:rsid w:val="006A209C"/>
    <w:rsid w:val="006A4E91"/>
    <w:rsid w:val="006A5F4B"/>
    <w:rsid w:val="006A6114"/>
    <w:rsid w:val="006A6565"/>
    <w:rsid w:val="006A6A4C"/>
    <w:rsid w:val="006A7665"/>
    <w:rsid w:val="006A7691"/>
    <w:rsid w:val="006A7EE2"/>
    <w:rsid w:val="006B0514"/>
    <w:rsid w:val="006B0F92"/>
    <w:rsid w:val="006B2785"/>
    <w:rsid w:val="006B27C7"/>
    <w:rsid w:val="006B344A"/>
    <w:rsid w:val="006B4CBF"/>
    <w:rsid w:val="006B502E"/>
    <w:rsid w:val="006B58C9"/>
    <w:rsid w:val="006B60ED"/>
    <w:rsid w:val="006B6CC5"/>
    <w:rsid w:val="006B6D3E"/>
    <w:rsid w:val="006B74AC"/>
    <w:rsid w:val="006B78D8"/>
    <w:rsid w:val="006B79EA"/>
    <w:rsid w:val="006B79EE"/>
    <w:rsid w:val="006C0C5D"/>
    <w:rsid w:val="006C113F"/>
    <w:rsid w:val="006C123E"/>
    <w:rsid w:val="006C15A1"/>
    <w:rsid w:val="006C1752"/>
    <w:rsid w:val="006C1BF0"/>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D6CE9"/>
    <w:rsid w:val="006E0095"/>
    <w:rsid w:val="006E1081"/>
    <w:rsid w:val="006E1332"/>
    <w:rsid w:val="006E19CB"/>
    <w:rsid w:val="006E1DF6"/>
    <w:rsid w:val="006E279A"/>
    <w:rsid w:val="006E313B"/>
    <w:rsid w:val="006E34B2"/>
    <w:rsid w:val="006E3A45"/>
    <w:rsid w:val="006E3AB8"/>
    <w:rsid w:val="006E4078"/>
    <w:rsid w:val="006E51C4"/>
    <w:rsid w:val="006E53AD"/>
    <w:rsid w:val="006E58CB"/>
    <w:rsid w:val="006E6A93"/>
    <w:rsid w:val="006E7227"/>
    <w:rsid w:val="006E761A"/>
    <w:rsid w:val="006F0646"/>
    <w:rsid w:val="006F0741"/>
    <w:rsid w:val="006F1C27"/>
    <w:rsid w:val="006F1F09"/>
    <w:rsid w:val="006F2992"/>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373"/>
    <w:rsid w:val="00701C0D"/>
    <w:rsid w:val="00701C1E"/>
    <w:rsid w:val="0070398A"/>
    <w:rsid w:val="00705242"/>
    <w:rsid w:val="007055E0"/>
    <w:rsid w:val="007056ED"/>
    <w:rsid w:val="00705F4E"/>
    <w:rsid w:val="0070658E"/>
    <w:rsid w:val="007065C5"/>
    <w:rsid w:val="007068E1"/>
    <w:rsid w:val="00706AA0"/>
    <w:rsid w:val="00706AD4"/>
    <w:rsid w:val="00707150"/>
    <w:rsid w:val="007118D5"/>
    <w:rsid w:val="007124D7"/>
    <w:rsid w:val="007129DE"/>
    <w:rsid w:val="00712C20"/>
    <w:rsid w:val="00713549"/>
    <w:rsid w:val="007140BE"/>
    <w:rsid w:val="007147AB"/>
    <w:rsid w:val="00714D3E"/>
    <w:rsid w:val="00715502"/>
    <w:rsid w:val="00715D01"/>
    <w:rsid w:val="00715E4D"/>
    <w:rsid w:val="00715F12"/>
    <w:rsid w:val="0071677A"/>
    <w:rsid w:val="007168F1"/>
    <w:rsid w:val="00716F48"/>
    <w:rsid w:val="007170FB"/>
    <w:rsid w:val="00717114"/>
    <w:rsid w:val="0071779F"/>
    <w:rsid w:val="007202BD"/>
    <w:rsid w:val="00720310"/>
    <w:rsid w:val="00720D7A"/>
    <w:rsid w:val="007210D0"/>
    <w:rsid w:val="007211F5"/>
    <w:rsid w:val="007213C3"/>
    <w:rsid w:val="00721601"/>
    <w:rsid w:val="00722777"/>
    <w:rsid w:val="00723435"/>
    <w:rsid w:val="00723436"/>
    <w:rsid w:val="00723EFB"/>
    <w:rsid w:val="007240E2"/>
    <w:rsid w:val="007243A2"/>
    <w:rsid w:val="0072454C"/>
    <w:rsid w:val="00725647"/>
    <w:rsid w:val="0072583E"/>
    <w:rsid w:val="00725BB5"/>
    <w:rsid w:val="00727240"/>
    <w:rsid w:val="00727C02"/>
    <w:rsid w:val="0073008E"/>
    <w:rsid w:val="00730A8B"/>
    <w:rsid w:val="00730AE8"/>
    <w:rsid w:val="00730DA9"/>
    <w:rsid w:val="00730F1B"/>
    <w:rsid w:val="0073186D"/>
    <w:rsid w:val="00731D3A"/>
    <w:rsid w:val="00732258"/>
    <w:rsid w:val="0073261D"/>
    <w:rsid w:val="0073333D"/>
    <w:rsid w:val="007343D9"/>
    <w:rsid w:val="00734F71"/>
    <w:rsid w:val="00735301"/>
    <w:rsid w:val="00735448"/>
    <w:rsid w:val="00736BB4"/>
    <w:rsid w:val="00736F07"/>
    <w:rsid w:val="007377BD"/>
    <w:rsid w:val="00737DEC"/>
    <w:rsid w:val="0074004D"/>
    <w:rsid w:val="00740DDF"/>
    <w:rsid w:val="00741493"/>
    <w:rsid w:val="007434E5"/>
    <w:rsid w:val="0074499B"/>
    <w:rsid w:val="007450BF"/>
    <w:rsid w:val="00746F45"/>
    <w:rsid w:val="007471A1"/>
    <w:rsid w:val="007477BD"/>
    <w:rsid w:val="007477DA"/>
    <w:rsid w:val="00747EE9"/>
    <w:rsid w:val="00750275"/>
    <w:rsid w:val="007520B6"/>
    <w:rsid w:val="00752180"/>
    <w:rsid w:val="00752323"/>
    <w:rsid w:val="00752330"/>
    <w:rsid w:val="007532B7"/>
    <w:rsid w:val="00753630"/>
    <w:rsid w:val="0075399B"/>
    <w:rsid w:val="00753CAB"/>
    <w:rsid w:val="00754A70"/>
    <w:rsid w:val="00754BC9"/>
    <w:rsid w:val="00755202"/>
    <w:rsid w:val="00755D3A"/>
    <w:rsid w:val="007562AA"/>
    <w:rsid w:val="007563D7"/>
    <w:rsid w:val="00757241"/>
    <w:rsid w:val="0075751D"/>
    <w:rsid w:val="0075763E"/>
    <w:rsid w:val="007578D3"/>
    <w:rsid w:val="00757A01"/>
    <w:rsid w:val="007602CF"/>
    <w:rsid w:val="00760391"/>
    <w:rsid w:val="007607E0"/>
    <w:rsid w:val="007609C6"/>
    <w:rsid w:val="00760B2F"/>
    <w:rsid w:val="007615F3"/>
    <w:rsid w:val="0076175D"/>
    <w:rsid w:val="00761CB5"/>
    <w:rsid w:val="007629D5"/>
    <w:rsid w:val="007635F8"/>
    <w:rsid w:val="00763B85"/>
    <w:rsid w:val="00764231"/>
    <w:rsid w:val="00764974"/>
    <w:rsid w:val="00764D17"/>
    <w:rsid w:val="00764D18"/>
    <w:rsid w:val="0076521E"/>
    <w:rsid w:val="00765BCC"/>
    <w:rsid w:val="0076600D"/>
    <w:rsid w:val="007661E9"/>
    <w:rsid w:val="0076636A"/>
    <w:rsid w:val="00766460"/>
    <w:rsid w:val="00767062"/>
    <w:rsid w:val="00767601"/>
    <w:rsid w:val="00767777"/>
    <w:rsid w:val="00770CFC"/>
    <w:rsid w:val="0077130E"/>
    <w:rsid w:val="007715EE"/>
    <w:rsid w:val="00771972"/>
    <w:rsid w:val="00772279"/>
    <w:rsid w:val="00772DAB"/>
    <w:rsid w:val="00772FF9"/>
    <w:rsid w:val="0077348B"/>
    <w:rsid w:val="007743DB"/>
    <w:rsid w:val="0077463E"/>
    <w:rsid w:val="00774D2C"/>
    <w:rsid w:val="0077605B"/>
    <w:rsid w:val="00776169"/>
    <w:rsid w:val="00776527"/>
    <w:rsid w:val="00777040"/>
    <w:rsid w:val="00777CE6"/>
    <w:rsid w:val="00777D57"/>
    <w:rsid w:val="007800BC"/>
    <w:rsid w:val="00780EF1"/>
    <w:rsid w:val="00781A91"/>
    <w:rsid w:val="00781AD3"/>
    <w:rsid w:val="00781F36"/>
    <w:rsid w:val="00783576"/>
    <w:rsid w:val="00785778"/>
    <w:rsid w:val="00785EC7"/>
    <w:rsid w:val="00786C87"/>
    <w:rsid w:val="0078755E"/>
    <w:rsid w:val="007877C9"/>
    <w:rsid w:val="00790764"/>
    <w:rsid w:val="0079085F"/>
    <w:rsid w:val="00790943"/>
    <w:rsid w:val="00790E96"/>
    <w:rsid w:val="00791005"/>
    <w:rsid w:val="007910A8"/>
    <w:rsid w:val="007918DF"/>
    <w:rsid w:val="00793D78"/>
    <w:rsid w:val="0079420B"/>
    <w:rsid w:val="0079453C"/>
    <w:rsid w:val="00794677"/>
    <w:rsid w:val="00794827"/>
    <w:rsid w:val="00795759"/>
    <w:rsid w:val="00795C29"/>
    <w:rsid w:val="007A011D"/>
    <w:rsid w:val="007A170B"/>
    <w:rsid w:val="007A1D4F"/>
    <w:rsid w:val="007A20EB"/>
    <w:rsid w:val="007A26FD"/>
    <w:rsid w:val="007A282C"/>
    <w:rsid w:val="007A293C"/>
    <w:rsid w:val="007A2A3A"/>
    <w:rsid w:val="007A33E2"/>
    <w:rsid w:val="007A3CAF"/>
    <w:rsid w:val="007A4664"/>
    <w:rsid w:val="007A4782"/>
    <w:rsid w:val="007A4E9B"/>
    <w:rsid w:val="007A50A1"/>
    <w:rsid w:val="007A516D"/>
    <w:rsid w:val="007A5E65"/>
    <w:rsid w:val="007A65E1"/>
    <w:rsid w:val="007A6AAA"/>
    <w:rsid w:val="007A7033"/>
    <w:rsid w:val="007A714A"/>
    <w:rsid w:val="007A775D"/>
    <w:rsid w:val="007B04B0"/>
    <w:rsid w:val="007B04C6"/>
    <w:rsid w:val="007B0834"/>
    <w:rsid w:val="007B0E83"/>
    <w:rsid w:val="007B11FA"/>
    <w:rsid w:val="007B1396"/>
    <w:rsid w:val="007B16D6"/>
    <w:rsid w:val="007B2011"/>
    <w:rsid w:val="007B2BC5"/>
    <w:rsid w:val="007B2CFE"/>
    <w:rsid w:val="007B309B"/>
    <w:rsid w:val="007B309E"/>
    <w:rsid w:val="007B3D5E"/>
    <w:rsid w:val="007B3DCB"/>
    <w:rsid w:val="007B5725"/>
    <w:rsid w:val="007B5C1F"/>
    <w:rsid w:val="007B6689"/>
    <w:rsid w:val="007B6747"/>
    <w:rsid w:val="007B6F72"/>
    <w:rsid w:val="007B74AA"/>
    <w:rsid w:val="007C10BD"/>
    <w:rsid w:val="007C162D"/>
    <w:rsid w:val="007C1F0C"/>
    <w:rsid w:val="007C1FFB"/>
    <w:rsid w:val="007C2B93"/>
    <w:rsid w:val="007C2D94"/>
    <w:rsid w:val="007C3418"/>
    <w:rsid w:val="007C4A6B"/>
    <w:rsid w:val="007C4CDC"/>
    <w:rsid w:val="007C57FA"/>
    <w:rsid w:val="007C581C"/>
    <w:rsid w:val="007C5A80"/>
    <w:rsid w:val="007C5F92"/>
    <w:rsid w:val="007C6227"/>
    <w:rsid w:val="007C6BBD"/>
    <w:rsid w:val="007C6D89"/>
    <w:rsid w:val="007C6F5E"/>
    <w:rsid w:val="007C7C2B"/>
    <w:rsid w:val="007C7C8E"/>
    <w:rsid w:val="007D0382"/>
    <w:rsid w:val="007D0F6B"/>
    <w:rsid w:val="007D14FE"/>
    <w:rsid w:val="007D1A1F"/>
    <w:rsid w:val="007D1AA7"/>
    <w:rsid w:val="007D1D38"/>
    <w:rsid w:val="007D213B"/>
    <w:rsid w:val="007D2E18"/>
    <w:rsid w:val="007D40DF"/>
    <w:rsid w:val="007D42E5"/>
    <w:rsid w:val="007D4458"/>
    <w:rsid w:val="007D5F38"/>
    <w:rsid w:val="007D6AF9"/>
    <w:rsid w:val="007E051D"/>
    <w:rsid w:val="007E0535"/>
    <w:rsid w:val="007E07F2"/>
    <w:rsid w:val="007E0D4A"/>
    <w:rsid w:val="007E1041"/>
    <w:rsid w:val="007E1788"/>
    <w:rsid w:val="007E1EE3"/>
    <w:rsid w:val="007E239D"/>
    <w:rsid w:val="007E29B4"/>
    <w:rsid w:val="007E2F12"/>
    <w:rsid w:val="007E3F0E"/>
    <w:rsid w:val="007E435A"/>
    <w:rsid w:val="007E445C"/>
    <w:rsid w:val="007E49F7"/>
    <w:rsid w:val="007E4AC8"/>
    <w:rsid w:val="007E4C70"/>
    <w:rsid w:val="007E5B5F"/>
    <w:rsid w:val="007E5CF0"/>
    <w:rsid w:val="007E5ECB"/>
    <w:rsid w:val="007E69C6"/>
    <w:rsid w:val="007E78B6"/>
    <w:rsid w:val="007E7E61"/>
    <w:rsid w:val="007F0845"/>
    <w:rsid w:val="007F0873"/>
    <w:rsid w:val="007F20F3"/>
    <w:rsid w:val="007F22F1"/>
    <w:rsid w:val="007F2353"/>
    <w:rsid w:val="007F2390"/>
    <w:rsid w:val="007F2CAC"/>
    <w:rsid w:val="007F2F8E"/>
    <w:rsid w:val="007F4740"/>
    <w:rsid w:val="007F595A"/>
    <w:rsid w:val="007F5C38"/>
    <w:rsid w:val="007F708D"/>
    <w:rsid w:val="007F7E3F"/>
    <w:rsid w:val="0080001B"/>
    <w:rsid w:val="008006B3"/>
    <w:rsid w:val="00800B63"/>
    <w:rsid w:val="0080127B"/>
    <w:rsid w:val="0080158A"/>
    <w:rsid w:val="00801CCF"/>
    <w:rsid w:val="00801E13"/>
    <w:rsid w:val="00803008"/>
    <w:rsid w:val="00803069"/>
    <w:rsid w:val="00803230"/>
    <w:rsid w:val="008032D9"/>
    <w:rsid w:val="0080346B"/>
    <w:rsid w:val="00804155"/>
    <w:rsid w:val="00804C9F"/>
    <w:rsid w:val="0080559E"/>
    <w:rsid w:val="00805AF3"/>
    <w:rsid w:val="00806C9C"/>
    <w:rsid w:val="0080734C"/>
    <w:rsid w:val="00807C82"/>
    <w:rsid w:val="00807D2B"/>
    <w:rsid w:val="008117CC"/>
    <w:rsid w:val="00811FF8"/>
    <w:rsid w:val="008130D2"/>
    <w:rsid w:val="0081335A"/>
    <w:rsid w:val="00813D58"/>
    <w:rsid w:val="00813DCA"/>
    <w:rsid w:val="008161A6"/>
    <w:rsid w:val="008165B8"/>
    <w:rsid w:val="00816905"/>
    <w:rsid w:val="00816D98"/>
    <w:rsid w:val="00816E42"/>
    <w:rsid w:val="00817040"/>
    <w:rsid w:val="00817A17"/>
    <w:rsid w:val="00817EC1"/>
    <w:rsid w:val="0082112D"/>
    <w:rsid w:val="00821624"/>
    <w:rsid w:val="00821FF6"/>
    <w:rsid w:val="008223DB"/>
    <w:rsid w:val="00822574"/>
    <w:rsid w:val="00822910"/>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37D4"/>
    <w:rsid w:val="00834304"/>
    <w:rsid w:val="00834FAA"/>
    <w:rsid w:val="00835026"/>
    <w:rsid w:val="008354FB"/>
    <w:rsid w:val="00835FF1"/>
    <w:rsid w:val="00836086"/>
    <w:rsid w:val="00836096"/>
    <w:rsid w:val="0083630F"/>
    <w:rsid w:val="00836A06"/>
    <w:rsid w:val="00836C91"/>
    <w:rsid w:val="008374BC"/>
    <w:rsid w:val="008379D6"/>
    <w:rsid w:val="00837E48"/>
    <w:rsid w:val="00840293"/>
    <w:rsid w:val="008402AD"/>
    <w:rsid w:val="00840714"/>
    <w:rsid w:val="008407EA"/>
    <w:rsid w:val="008408D4"/>
    <w:rsid w:val="00840A91"/>
    <w:rsid w:val="008417B5"/>
    <w:rsid w:val="00841901"/>
    <w:rsid w:val="008458BD"/>
    <w:rsid w:val="00845CE4"/>
    <w:rsid w:val="00846121"/>
    <w:rsid w:val="008461C2"/>
    <w:rsid w:val="008462F1"/>
    <w:rsid w:val="008466C6"/>
    <w:rsid w:val="0084708F"/>
    <w:rsid w:val="008477C8"/>
    <w:rsid w:val="008478A6"/>
    <w:rsid w:val="008502F6"/>
    <w:rsid w:val="0085036C"/>
    <w:rsid w:val="00850E83"/>
    <w:rsid w:val="0085114D"/>
    <w:rsid w:val="008514DE"/>
    <w:rsid w:val="00851F47"/>
    <w:rsid w:val="008520A8"/>
    <w:rsid w:val="0085220A"/>
    <w:rsid w:val="00852217"/>
    <w:rsid w:val="00852421"/>
    <w:rsid w:val="008525EE"/>
    <w:rsid w:val="00853282"/>
    <w:rsid w:val="0085334C"/>
    <w:rsid w:val="00854291"/>
    <w:rsid w:val="00855408"/>
    <w:rsid w:val="00855D03"/>
    <w:rsid w:val="00856D65"/>
    <w:rsid w:val="00856FA4"/>
    <w:rsid w:val="00860D79"/>
    <w:rsid w:val="008616E4"/>
    <w:rsid w:val="00861816"/>
    <w:rsid w:val="00861B41"/>
    <w:rsid w:val="00861B9F"/>
    <w:rsid w:val="00861BE3"/>
    <w:rsid w:val="008625D3"/>
    <w:rsid w:val="00862C0A"/>
    <w:rsid w:val="00863434"/>
    <w:rsid w:val="0086344F"/>
    <w:rsid w:val="008641AC"/>
    <w:rsid w:val="00864FA4"/>
    <w:rsid w:val="00865E4C"/>
    <w:rsid w:val="00866074"/>
    <w:rsid w:val="00867546"/>
    <w:rsid w:val="0086796D"/>
    <w:rsid w:val="00867DAB"/>
    <w:rsid w:val="0087000B"/>
    <w:rsid w:val="008701E4"/>
    <w:rsid w:val="008704E9"/>
    <w:rsid w:val="008708AD"/>
    <w:rsid w:val="00870ECD"/>
    <w:rsid w:val="0087187B"/>
    <w:rsid w:val="00872F5D"/>
    <w:rsid w:val="0087347C"/>
    <w:rsid w:val="008734E7"/>
    <w:rsid w:val="0087368D"/>
    <w:rsid w:val="008740CC"/>
    <w:rsid w:val="0087442A"/>
    <w:rsid w:val="00874FE8"/>
    <w:rsid w:val="00875A32"/>
    <w:rsid w:val="00876086"/>
    <w:rsid w:val="00876651"/>
    <w:rsid w:val="00876E83"/>
    <w:rsid w:val="008772BC"/>
    <w:rsid w:val="00880299"/>
    <w:rsid w:val="00880A0E"/>
    <w:rsid w:val="008817FE"/>
    <w:rsid w:val="00881CD7"/>
    <w:rsid w:val="0088220D"/>
    <w:rsid w:val="00882911"/>
    <w:rsid w:val="00882F6E"/>
    <w:rsid w:val="00883202"/>
    <w:rsid w:val="00884E02"/>
    <w:rsid w:val="0088502B"/>
    <w:rsid w:val="00885BC2"/>
    <w:rsid w:val="00885D40"/>
    <w:rsid w:val="008873D4"/>
    <w:rsid w:val="00890CB1"/>
    <w:rsid w:val="00891EDF"/>
    <w:rsid w:val="00892872"/>
    <w:rsid w:val="0089296D"/>
    <w:rsid w:val="00893E85"/>
    <w:rsid w:val="00893EBE"/>
    <w:rsid w:val="00894031"/>
    <w:rsid w:val="00894C5D"/>
    <w:rsid w:val="008952FE"/>
    <w:rsid w:val="00895508"/>
    <w:rsid w:val="008967E9"/>
    <w:rsid w:val="00896A5C"/>
    <w:rsid w:val="008972D2"/>
    <w:rsid w:val="0089754C"/>
    <w:rsid w:val="008A0659"/>
    <w:rsid w:val="008A0ADD"/>
    <w:rsid w:val="008A0D27"/>
    <w:rsid w:val="008A0E38"/>
    <w:rsid w:val="008A1A3B"/>
    <w:rsid w:val="008A1C59"/>
    <w:rsid w:val="008A1F51"/>
    <w:rsid w:val="008A37E2"/>
    <w:rsid w:val="008A388E"/>
    <w:rsid w:val="008A394E"/>
    <w:rsid w:val="008A3CBA"/>
    <w:rsid w:val="008A4B59"/>
    <w:rsid w:val="008A569C"/>
    <w:rsid w:val="008A5BFA"/>
    <w:rsid w:val="008A63E1"/>
    <w:rsid w:val="008A66B7"/>
    <w:rsid w:val="008A68BB"/>
    <w:rsid w:val="008A6AA5"/>
    <w:rsid w:val="008A7127"/>
    <w:rsid w:val="008B0CBA"/>
    <w:rsid w:val="008B0FD5"/>
    <w:rsid w:val="008B2639"/>
    <w:rsid w:val="008B3537"/>
    <w:rsid w:val="008B3690"/>
    <w:rsid w:val="008B391B"/>
    <w:rsid w:val="008B3A80"/>
    <w:rsid w:val="008B3AEC"/>
    <w:rsid w:val="008B3C07"/>
    <w:rsid w:val="008B3F7B"/>
    <w:rsid w:val="008B43CA"/>
    <w:rsid w:val="008B5324"/>
    <w:rsid w:val="008B5C99"/>
    <w:rsid w:val="008B6106"/>
    <w:rsid w:val="008B7C02"/>
    <w:rsid w:val="008B7D2B"/>
    <w:rsid w:val="008B7EF9"/>
    <w:rsid w:val="008C0049"/>
    <w:rsid w:val="008C0314"/>
    <w:rsid w:val="008C0A2C"/>
    <w:rsid w:val="008C0E88"/>
    <w:rsid w:val="008C1537"/>
    <w:rsid w:val="008C1717"/>
    <w:rsid w:val="008C17B6"/>
    <w:rsid w:val="008C17F0"/>
    <w:rsid w:val="008C1D39"/>
    <w:rsid w:val="008C209F"/>
    <w:rsid w:val="008C3B05"/>
    <w:rsid w:val="008C4B50"/>
    <w:rsid w:val="008C5A37"/>
    <w:rsid w:val="008C7569"/>
    <w:rsid w:val="008C786A"/>
    <w:rsid w:val="008C79C3"/>
    <w:rsid w:val="008D006F"/>
    <w:rsid w:val="008D033D"/>
    <w:rsid w:val="008D04A7"/>
    <w:rsid w:val="008D0DBD"/>
    <w:rsid w:val="008D117E"/>
    <w:rsid w:val="008D127E"/>
    <w:rsid w:val="008D1CA8"/>
    <w:rsid w:val="008D1E0A"/>
    <w:rsid w:val="008D1E6A"/>
    <w:rsid w:val="008D2407"/>
    <w:rsid w:val="008D29A4"/>
    <w:rsid w:val="008D2A16"/>
    <w:rsid w:val="008D2AEC"/>
    <w:rsid w:val="008D3295"/>
    <w:rsid w:val="008D33F5"/>
    <w:rsid w:val="008D35E4"/>
    <w:rsid w:val="008D3ACD"/>
    <w:rsid w:val="008D5CFF"/>
    <w:rsid w:val="008D62D6"/>
    <w:rsid w:val="008D6B82"/>
    <w:rsid w:val="008D6C3A"/>
    <w:rsid w:val="008D70E2"/>
    <w:rsid w:val="008D7710"/>
    <w:rsid w:val="008D77D6"/>
    <w:rsid w:val="008E0001"/>
    <w:rsid w:val="008E039E"/>
    <w:rsid w:val="008E0AE5"/>
    <w:rsid w:val="008E0D78"/>
    <w:rsid w:val="008E1491"/>
    <w:rsid w:val="008E19AF"/>
    <w:rsid w:val="008E1FD8"/>
    <w:rsid w:val="008E292B"/>
    <w:rsid w:val="008E2C57"/>
    <w:rsid w:val="008E3174"/>
    <w:rsid w:val="008E31FF"/>
    <w:rsid w:val="008E3287"/>
    <w:rsid w:val="008E38E4"/>
    <w:rsid w:val="008E3DFA"/>
    <w:rsid w:val="008E51EB"/>
    <w:rsid w:val="008E5746"/>
    <w:rsid w:val="008E5F94"/>
    <w:rsid w:val="008E6DCB"/>
    <w:rsid w:val="008E6F06"/>
    <w:rsid w:val="008E7000"/>
    <w:rsid w:val="008E723E"/>
    <w:rsid w:val="008E7B8E"/>
    <w:rsid w:val="008E7FC9"/>
    <w:rsid w:val="008F0107"/>
    <w:rsid w:val="008F029B"/>
    <w:rsid w:val="008F0589"/>
    <w:rsid w:val="008F1DA0"/>
    <w:rsid w:val="008F2A5D"/>
    <w:rsid w:val="008F2BC7"/>
    <w:rsid w:val="008F3636"/>
    <w:rsid w:val="008F3FC9"/>
    <w:rsid w:val="008F509F"/>
    <w:rsid w:val="008F5383"/>
    <w:rsid w:val="008F585B"/>
    <w:rsid w:val="008F69C3"/>
    <w:rsid w:val="008F7FB0"/>
    <w:rsid w:val="009003A8"/>
    <w:rsid w:val="009005E4"/>
    <w:rsid w:val="00900977"/>
    <w:rsid w:val="009021DA"/>
    <w:rsid w:val="00902442"/>
    <w:rsid w:val="00902500"/>
    <w:rsid w:val="0090250E"/>
    <w:rsid w:val="00902EFF"/>
    <w:rsid w:val="00903A0D"/>
    <w:rsid w:val="00903A8E"/>
    <w:rsid w:val="0090432C"/>
    <w:rsid w:val="00904AFB"/>
    <w:rsid w:val="00904F96"/>
    <w:rsid w:val="00904FA3"/>
    <w:rsid w:val="009052A3"/>
    <w:rsid w:val="00905314"/>
    <w:rsid w:val="009056D7"/>
    <w:rsid w:val="00905B8D"/>
    <w:rsid w:val="00906401"/>
    <w:rsid w:val="009065CB"/>
    <w:rsid w:val="009067EA"/>
    <w:rsid w:val="00906B79"/>
    <w:rsid w:val="00906E5F"/>
    <w:rsid w:val="0090786F"/>
    <w:rsid w:val="00907F11"/>
    <w:rsid w:val="0091001E"/>
    <w:rsid w:val="00910C18"/>
    <w:rsid w:val="009110F7"/>
    <w:rsid w:val="009112E3"/>
    <w:rsid w:val="0091155E"/>
    <w:rsid w:val="00911619"/>
    <w:rsid w:val="00911A66"/>
    <w:rsid w:val="00912437"/>
    <w:rsid w:val="00912A92"/>
    <w:rsid w:val="00912FCB"/>
    <w:rsid w:val="00913237"/>
    <w:rsid w:val="0091476D"/>
    <w:rsid w:val="00915D07"/>
    <w:rsid w:val="009162AE"/>
    <w:rsid w:val="00917251"/>
    <w:rsid w:val="0091728D"/>
    <w:rsid w:val="0092036B"/>
    <w:rsid w:val="009203CC"/>
    <w:rsid w:val="00920B7E"/>
    <w:rsid w:val="00920D6A"/>
    <w:rsid w:val="00920EC4"/>
    <w:rsid w:val="0092180B"/>
    <w:rsid w:val="00921F14"/>
    <w:rsid w:val="0092292F"/>
    <w:rsid w:val="00922D28"/>
    <w:rsid w:val="0092303E"/>
    <w:rsid w:val="009234E1"/>
    <w:rsid w:val="00923CB0"/>
    <w:rsid w:val="00923D8C"/>
    <w:rsid w:val="00924871"/>
    <w:rsid w:val="00924AC8"/>
    <w:rsid w:val="00925429"/>
    <w:rsid w:val="00925615"/>
    <w:rsid w:val="0092597A"/>
    <w:rsid w:val="00926520"/>
    <w:rsid w:val="00926CF0"/>
    <w:rsid w:val="00926FBD"/>
    <w:rsid w:val="009273A9"/>
    <w:rsid w:val="00927FD6"/>
    <w:rsid w:val="00930251"/>
    <w:rsid w:val="0093033E"/>
    <w:rsid w:val="009305FC"/>
    <w:rsid w:val="00930FB1"/>
    <w:rsid w:val="0093139F"/>
    <w:rsid w:val="00931903"/>
    <w:rsid w:val="00931D3C"/>
    <w:rsid w:val="00932097"/>
    <w:rsid w:val="00932443"/>
    <w:rsid w:val="00932782"/>
    <w:rsid w:val="009328EE"/>
    <w:rsid w:val="00932B32"/>
    <w:rsid w:val="00932DB3"/>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590F"/>
    <w:rsid w:val="00947B6E"/>
    <w:rsid w:val="00950921"/>
    <w:rsid w:val="00951A1F"/>
    <w:rsid w:val="00951D68"/>
    <w:rsid w:val="00951E5B"/>
    <w:rsid w:val="00952050"/>
    <w:rsid w:val="00952315"/>
    <w:rsid w:val="009523D9"/>
    <w:rsid w:val="00952B7B"/>
    <w:rsid w:val="0095357B"/>
    <w:rsid w:val="009538B3"/>
    <w:rsid w:val="00954F39"/>
    <w:rsid w:val="009555FD"/>
    <w:rsid w:val="0095639D"/>
    <w:rsid w:val="0095664B"/>
    <w:rsid w:val="009568DC"/>
    <w:rsid w:val="00956912"/>
    <w:rsid w:val="00957140"/>
    <w:rsid w:val="00957445"/>
    <w:rsid w:val="0095759C"/>
    <w:rsid w:val="009579E0"/>
    <w:rsid w:val="009611FD"/>
    <w:rsid w:val="009618EE"/>
    <w:rsid w:val="00961DDD"/>
    <w:rsid w:val="009624D2"/>
    <w:rsid w:val="009628D9"/>
    <w:rsid w:val="00962D60"/>
    <w:rsid w:val="009636BE"/>
    <w:rsid w:val="009637AE"/>
    <w:rsid w:val="00963A06"/>
    <w:rsid w:val="00963D65"/>
    <w:rsid w:val="00964068"/>
    <w:rsid w:val="009640F6"/>
    <w:rsid w:val="0096469D"/>
    <w:rsid w:val="00964776"/>
    <w:rsid w:val="00964A4E"/>
    <w:rsid w:val="00964B35"/>
    <w:rsid w:val="009651C7"/>
    <w:rsid w:val="0096547B"/>
    <w:rsid w:val="00965797"/>
    <w:rsid w:val="00965A10"/>
    <w:rsid w:val="00965AD0"/>
    <w:rsid w:val="00966781"/>
    <w:rsid w:val="009670A3"/>
    <w:rsid w:val="009674BE"/>
    <w:rsid w:val="00967DBA"/>
    <w:rsid w:val="00970FB5"/>
    <w:rsid w:val="00971710"/>
    <w:rsid w:val="00971B87"/>
    <w:rsid w:val="00971C77"/>
    <w:rsid w:val="0097203A"/>
    <w:rsid w:val="00972835"/>
    <w:rsid w:val="00972FCD"/>
    <w:rsid w:val="00973324"/>
    <w:rsid w:val="009736DF"/>
    <w:rsid w:val="0097386E"/>
    <w:rsid w:val="009741AE"/>
    <w:rsid w:val="009741FC"/>
    <w:rsid w:val="00974782"/>
    <w:rsid w:val="00974923"/>
    <w:rsid w:val="0097527D"/>
    <w:rsid w:val="00975909"/>
    <w:rsid w:val="00975BAF"/>
    <w:rsid w:val="00977C3D"/>
    <w:rsid w:val="009805C9"/>
    <w:rsid w:val="00980D3D"/>
    <w:rsid w:val="0098103E"/>
    <w:rsid w:val="0098157D"/>
    <w:rsid w:val="00983101"/>
    <w:rsid w:val="00983E41"/>
    <w:rsid w:val="009845E1"/>
    <w:rsid w:val="009848AF"/>
    <w:rsid w:val="00984D1B"/>
    <w:rsid w:val="009854B3"/>
    <w:rsid w:val="00986246"/>
    <w:rsid w:val="00986841"/>
    <w:rsid w:val="00987A30"/>
    <w:rsid w:val="00990257"/>
    <w:rsid w:val="00990312"/>
    <w:rsid w:val="0099045F"/>
    <w:rsid w:val="0099182E"/>
    <w:rsid w:val="00991A2D"/>
    <w:rsid w:val="00991D45"/>
    <w:rsid w:val="00992AC0"/>
    <w:rsid w:val="00992BB3"/>
    <w:rsid w:val="00992CF3"/>
    <w:rsid w:val="00993194"/>
    <w:rsid w:val="0099321E"/>
    <w:rsid w:val="009937B7"/>
    <w:rsid w:val="00994171"/>
    <w:rsid w:val="00994868"/>
    <w:rsid w:val="00994976"/>
    <w:rsid w:val="00994D28"/>
    <w:rsid w:val="00994F2C"/>
    <w:rsid w:val="00995720"/>
    <w:rsid w:val="009957CC"/>
    <w:rsid w:val="0099596C"/>
    <w:rsid w:val="00995D25"/>
    <w:rsid w:val="009968D6"/>
    <w:rsid w:val="00997953"/>
    <w:rsid w:val="00997D55"/>
    <w:rsid w:val="009A096C"/>
    <w:rsid w:val="009A0BFF"/>
    <w:rsid w:val="009A10A0"/>
    <w:rsid w:val="009A1CAB"/>
    <w:rsid w:val="009A2359"/>
    <w:rsid w:val="009A24F1"/>
    <w:rsid w:val="009A27E0"/>
    <w:rsid w:val="009A2A2E"/>
    <w:rsid w:val="009A4D57"/>
    <w:rsid w:val="009A51A5"/>
    <w:rsid w:val="009A5309"/>
    <w:rsid w:val="009A60C7"/>
    <w:rsid w:val="009A60D1"/>
    <w:rsid w:val="009A6225"/>
    <w:rsid w:val="009A64F5"/>
    <w:rsid w:val="009B00D2"/>
    <w:rsid w:val="009B039B"/>
    <w:rsid w:val="009B05B3"/>
    <w:rsid w:val="009B0A5E"/>
    <w:rsid w:val="009B0CAF"/>
    <w:rsid w:val="009B0ED1"/>
    <w:rsid w:val="009B1324"/>
    <w:rsid w:val="009B1601"/>
    <w:rsid w:val="009B2558"/>
    <w:rsid w:val="009B284F"/>
    <w:rsid w:val="009B3764"/>
    <w:rsid w:val="009B3840"/>
    <w:rsid w:val="009B52AC"/>
    <w:rsid w:val="009B553D"/>
    <w:rsid w:val="009B59EA"/>
    <w:rsid w:val="009B66CE"/>
    <w:rsid w:val="009B6FD3"/>
    <w:rsid w:val="009B72BE"/>
    <w:rsid w:val="009B78A4"/>
    <w:rsid w:val="009B7A4F"/>
    <w:rsid w:val="009B7CFC"/>
    <w:rsid w:val="009B7DB2"/>
    <w:rsid w:val="009C03DB"/>
    <w:rsid w:val="009C15AF"/>
    <w:rsid w:val="009C1750"/>
    <w:rsid w:val="009C2E29"/>
    <w:rsid w:val="009C3E8F"/>
    <w:rsid w:val="009C554B"/>
    <w:rsid w:val="009C5E83"/>
    <w:rsid w:val="009C667A"/>
    <w:rsid w:val="009C7126"/>
    <w:rsid w:val="009C719E"/>
    <w:rsid w:val="009C7799"/>
    <w:rsid w:val="009D07A9"/>
    <w:rsid w:val="009D0AE2"/>
    <w:rsid w:val="009D0D9F"/>
    <w:rsid w:val="009D0EBB"/>
    <w:rsid w:val="009D2C46"/>
    <w:rsid w:val="009D3081"/>
    <w:rsid w:val="009D3ACD"/>
    <w:rsid w:val="009D3FA4"/>
    <w:rsid w:val="009D4254"/>
    <w:rsid w:val="009D4F21"/>
    <w:rsid w:val="009D587D"/>
    <w:rsid w:val="009D6D47"/>
    <w:rsid w:val="009D7731"/>
    <w:rsid w:val="009D7BFB"/>
    <w:rsid w:val="009E1120"/>
    <w:rsid w:val="009E1393"/>
    <w:rsid w:val="009E1922"/>
    <w:rsid w:val="009E1A3D"/>
    <w:rsid w:val="009E35E6"/>
    <w:rsid w:val="009E3A31"/>
    <w:rsid w:val="009E4080"/>
    <w:rsid w:val="009E4715"/>
    <w:rsid w:val="009E484D"/>
    <w:rsid w:val="009E4A58"/>
    <w:rsid w:val="009E4F3B"/>
    <w:rsid w:val="009E5273"/>
    <w:rsid w:val="009E57A8"/>
    <w:rsid w:val="009E5B85"/>
    <w:rsid w:val="009E5DDB"/>
    <w:rsid w:val="009E7BC6"/>
    <w:rsid w:val="009F150E"/>
    <w:rsid w:val="009F1CA6"/>
    <w:rsid w:val="009F1F7E"/>
    <w:rsid w:val="009F2921"/>
    <w:rsid w:val="009F2A54"/>
    <w:rsid w:val="009F42CF"/>
    <w:rsid w:val="009F4982"/>
    <w:rsid w:val="009F4CA7"/>
    <w:rsid w:val="009F4F6A"/>
    <w:rsid w:val="009F4F95"/>
    <w:rsid w:val="009F55BA"/>
    <w:rsid w:val="009F7D36"/>
    <w:rsid w:val="009F7D61"/>
    <w:rsid w:val="00A00E71"/>
    <w:rsid w:val="00A0187B"/>
    <w:rsid w:val="00A01A7C"/>
    <w:rsid w:val="00A02E8B"/>
    <w:rsid w:val="00A0306F"/>
    <w:rsid w:val="00A03511"/>
    <w:rsid w:val="00A03B10"/>
    <w:rsid w:val="00A03E2E"/>
    <w:rsid w:val="00A04616"/>
    <w:rsid w:val="00A04717"/>
    <w:rsid w:val="00A05D8F"/>
    <w:rsid w:val="00A05EE4"/>
    <w:rsid w:val="00A06545"/>
    <w:rsid w:val="00A06F99"/>
    <w:rsid w:val="00A07CD3"/>
    <w:rsid w:val="00A1040E"/>
    <w:rsid w:val="00A1053B"/>
    <w:rsid w:val="00A10D66"/>
    <w:rsid w:val="00A113A4"/>
    <w:rsid w:val="00A14114"/>
    <w:rsid w:val="00A1580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647"/>
    <w:rsid w:val="00A21B4D"/>
    <w:rsid w:val="00A22073"/>
    <w:rsid w:val="00A2214A"/>
    <w:rsid w:val="00A221E5"/>
    <w:rsid w:val="00A223E0"/>
    <w:rsid w:val="00A22959"/>
    <w:rsid w:val="00A23158"/>
    <w:rsid w:val="00A232D7"/>
    <w:rsid w:val="00A23847"/>
    <w:rsid w:val="00A23E43"/>
    <w:rsid w:val="00A24726"/>
    <w:rsid w:val="00A24DEB"/>
    <w:rsid w:val="00A24ED9"/>
    <w:rsid w:val="00A251DB"/>
    <w:rsid w:val="00A25216"/>
    <w:rsid w:val="00A2597D"/>
    <w:rsid w:val="00A25FAC"/>
    <w:rsid w:val="00A2628E"/>
    <w:rsid w:val="00A266BF"/>
    <w:rsid w:val="00A26777"/>
    <w:rsid w:val="00A2731E"/>
    <w:rsid w:val="00A309AC"/>
    <w:rsid w:val="00A30F65"/>
    <w:rsid w:val="00A3279E"/>
    <w:rsid w:val="00A33DB1"/>
    <w:rsid w:val="00A33EEB"/>
    <w:rsid w:val="00A340F5"/>
    <w:rsid w:val="00A35900"/>
    <w:rsid w:val="00A36581"/>
    <w:rsid w:val="00A36F76"/>
    <w:rsid w:val="00A4027D"/>
    <w:rsid w:val="00A40EAC"/>
    <w:rsid w:val="00A418BC"/>
    <w:rsid w:val="00A419FF"/>
    <w:rsid w:val="00A41C73"/>
    <w:rsid w:val="00A41FCF"/>
    <w:rsid w:val="00A42936"/>
    <w:rsid w:val="00A43B21"/>
    <w:rsid w:val="00A43CF8"/>
    <w:rsid w:val="00A43DF2"/>
    <w:rsid w:val="00A445A8"/>
    <w:rsid w:val="00A44B0D"/>
    <w:rsid w:val="00A44D21"/>
    <w:rsid w:val="00A45087"/>
    <w:rsid w:val="00A452F3"/>
    <w:rsid w:val="00A45489"/>
    <w:rsid w:val="00A45858"/>
    <w:rsid w:val="00A45CED"/>
    <w:rsid w:val="00A465E9"/>
    <w:rsid w:val="00A46650"/>
    <w:rsid w:val="00A46670"/>
    <w:rsid w:val="00A46702"/>
    <w:rsid w:val="00A468E7"/>
    <w:rsid w:val="00A46DE0"/>
    <w:rsid w:val="00A478BA"/>
    <w:rsid w:val="00A50D73"/>
    <w:rsid w:val="00A50F40"/>
    <w:rsid w:val="00A518BB"/>
    <w:rsid w:val="00A51C60"/>
    <w:rsid w:val="00A52A88"/>
    <w:rsid w:val="00A52CAD"/>
    <w:rsid w:val="00A52F34"/>
    <w:rsid w:val="00A53FC7"/>
    <w:rsid w:val="00A55569"/>
    <w:rsid w:val="00A566A0"/>
    <w:rsid w:val="00A601E7"/>
    <w:rsid w:val="00A60AC1"/>
    <w:rsid w:val="00A61210"/>
    <w:rsid w:val="00A61990"/>
    <w:rsid w:val="00A626FF"/>
    <w:rsid w:val="00A62CE1"/>
    <w:rsid w:val="00A6335D"/>
    <w:rsid w:val="00A65469"/>
    <w:rsid w:val="00A65528"/>
    <w:rsid w:val="00A655D3"/>
    <w:rsid w:val="00A662D9"/>
    <w:rsid w:val="00A6630C"/>
    <w:rsid w:val="00A6741E"/>
    <w:rsid w:val="00A67E29"/>
    <w:rsid w:val="00A7016A"/>
    <w:rsid w:val="00A7018D"/>
    <w:rsid w:val="00A7074A"/>
    <w:rsid w:val="00A70794"/>
    <w:rsid w:val="00A7191D"/>
    <w:rsid w:val="00A722F9"/>
    <w:rsid w:val="00A72D42"/>
    <w:rsid w:val="00A73998"/>
    <w:rsid w:val="00A746C9"/>
    <w:rsid w:val="00A74C2A"/>
    <w:rsid w:val="00A74C60"/>
    <w:rsid w:val="00A75E40"/>
    <w:rsid w:val="00A76818"/>
    <w:rsid w:val="00A77A5D"/>
    <w:rsid w:val="00A77D1D"/>
    <w:rsid w:val="00A77E6B"/>
    <w:rsid w:val="00A81652"/>
    <w:rsid w:val="00A82BF0"/>
    <w:rsid w:val="00A82C91"/>
    <w:rsid w:val="00A83150"/>
    <w:rsid w:val="00A8331C"/>
    <w:rsid w:val="00A83398"/>
    <w:rsid w:val="00A83D6E"/>
    <w:rsid w:val="00A83FD5"/>
    <w:rsid w:val="00A84763"/>
    <w:rsid w:val="00A8521A"/>
    <w:rsid w:val="00A857C0"/>
    <w:rsid w:val="00A85ACB"/>
    <w:rsid w:val="00A90335"/>
    <w:rsid w:val="00A9092B"/>
    <w:rsid w:val="00A90F2C"/>
    <w:rsid w:val="00A90FED"/>
    <w:rsid w:val="00A91482"/>
    <w:rsid w:val="00A9189D"/>
    <w:rsid w:val="00A91E71"/>
    <w:rsid w:val="00A91F03"/>
    <w:rsid w:val="00A925B1"/>
    <w:rsid w:val="00A92A3E"/>
    <w:rsid w:val="00A934F9"/>
    <w:rsid w:val="00A934FB"/>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3F1D"/>
    <w:rsid w:val="00AA4282"/>
    <w:rsid w:val="00AA43F2"/>
    <w:rsid w:val="00AA4790"/>
    <w:rsid w:val="00AA52BF"/>
    <w:rsid w:val="00AA559A"/>
    <w:rsid w:val="00AA570E"/>
    <w:rsid w:val="00AA6C31"/>
    <w:rsid w:val="00AA7752"/>
    <w:rsid w:val="00AA7CAD"/>
    <w:rsid w:val="00AA7CE8"/>
    <w:rsid w:val="00AA7FEB"/>
    <w:rsid w:val="00AB1457"/>
    <w:rsid w:val="00AB2AF1"/>
    <w:rsid w:val="00AB32CB"/>
    <w:rsid w:val="00AB3AD7"/>
    <w:rsid w:val="00AB3BA7"/>
    <w:rsid w:val="00AB3EC7"/>
    <w:rsid w:val="00AB5A64"/>
    <w:rsid w:val="00AB5CA1"/>
    <w:rsid w:val="00AB6456"/>
    <w:rsid w:val="00AB75C5"/>
    <w:rsid w:val="00AC044E"/>
    <w:rsid w:val="00AC0580"/>
    <w:rsid w:val="00AC2118"/>
    <w:rsid w:val="00AC2395"/>
    <w:rsid w:val="00AC2960"/>
    <w:rsid w:val="00AC2AC4"/>
    <w:rsid w:val="00AC3B41"/>
    <w:rsid w:val="00AC4284"/>
    <w:rsid w:val="00AC45BD"/>
    <w:rsid w:val="00AC50BB"/>
    <w:rsid w:val="00AC5256"/>
    <w:rsid w:val="00AC5726"/>
    <w:rsid w:val="00AC673A"/>
    <w:rsid w:val="00AC7578"/>
    <w:rsid w:val="00AC78F1"/>
    <w:rsid w:val="00AC7ACA"/>
    <w:rsid w:val="00AD0996"/>
    <w:rsid w:val="00AD0B22"/>
    <w:rsid w:val="00AD0EE7"/>
    <w:rsid w:val="00AD168E"/>
    <w:rsid w:val="00AD306C"/>
    <w:rsid w:val="00AD44CD"/>
    <w:rsid w:val="00AD5AD2"/>
    <w:rsid w:val="00AD6462"/>
    <w:rsid w:val="00AD66C5"/>
    <w:rsid w:val="00AD68C4"/>
    <w:rsid w:val="00AD71F9"/>
    <w:rsid w:val="00AE009C"/>
    <w:rsid w:val="00AE06C5"/>
    <w:rsid w:val="00AE09B3"/>
    <w:rsid w:val="00AE1A83"/>
    <w:rsid w:val="00AE30BE"/>
    <w:rsid w:val="00AE3E6A"/>
    <w:rsid w:val="00AE417E"/>
    <w:rsid w:val="00AE552C"/>
    <w:rsid w:val="00AE56EE"/>
    <w:rsid w:val="00AE6414"/>
    <w:rsid w:val="00AE68C1"/>
    <w:rsid w:val="00AE7269"/>
    <w:rsid w:val="00AE74E0"/>
    <w:rsid w:val="00AE797C"/>
    <w:rsid w:val="00AE7CE7"/>
    <w:rsid w:val="00AE7FAB"/>
    <w:rsid w:val="00AF0DE4"/>
    <w:rsid w:val="00AF12A0"/>
    <w:rsid w:val="00AF1866"/>
    <w:rsid w:val="00AF1E87"/>
    <w:rsid w:val="00AF2BB0"/>
    <w:rsid w:val="00AF436B"/>
    <w:rsid w:val="00AF5131"/>
    <w:rsid w:val="00AF5179"/>
    <w:rsid w:val="00AF5CC2"/>
    <w:rsid w:val="00AF6776"/>
    <w:rsid w:val="00AF6F98"/>
    <w:rsid w:val="00AF7277"/>
    <w:rsid w:val="00B00550"/>
    <w:rsid w:val="00B00875"/>
    <w:rsid w:val="00B00913"/>
    <w:rsid w:val="00B01310"/>
    <w:rsid w:val="00B01593"/>
    <w:rsid w:val="00B01D0F"/>
    <w:rsid w:val="00B01FF9"/>
    <w:rsid w:val="00B023F2"/>
    <w:rsid w:val="00B026FE"/>
    <w:rsid w:val="00B0271F"/>
    <w:rsid w:val="00B03591"/>
    <w:rsid w:val="00B038CA"/>
    <w:rsid w:val="00B041B3"/>
    <w:rsid w:val="00B0467A"/>
    <w:rsid w:val="00B05F00"/>
    <w:rsid w:val="00B06602"/>
    <w:rsid w:val="00B06DB4"/>
    <w:rsid w:val="00B0750D"/>
    <w:rsid w:val="00B07850"/>
    <w:rsid w:val="00B0799C"/>
    <w:rsid w:val="00B102CE"/>
    <w:rsid w:val="00B10A4D"/>
    <w:rsid w:val="00B10C90"/>
    <w:rsid w:val="00B10DFD"/>
    <w:rsid w:val="00B11002"/>
    <w:rsid w:val="00B1114F"/>
    <w:rsid w:val="00B11712"/>
    <w:rsid w:val="00B121B2"/>
    <w:rsid w:val="00B131B1"/>
    <w:rsid w:val="00B133AE"/>
    <w:rsid w:val="00B141B6"/>
    <w:rsid w:val="00B14BC1"/>
    <w:rsid w:val="00B154DE"/>
    <w:rsid w:val="00B162C3"/>
    <w:rsid w:val="00B16DD1"/>
    <w:rsid w:val="00B16EB8"/>
    <w:rsid w:val="00B1700A"/>
    <w:rsid w:val="00B177DF"/>
    <w:rsid w:val="00B17E6E"/>
    <w:rsid w:val="00B17E71"/>
    <w:rsid w:val="00B17FDE"/>
    <w:rsid w:val="00B20632"/>
    <w:rsid w:val="00B2379C"/>
    <w:rsid w:val="00B23D5D"/>
    <w:rsid w:val="00B23E6E"/>
    <w:rsid w:val="00B2450C"/>
    <w:rsid w:val="00B2598C"/>
    <w:rsid w:val="00B26608"/>
    <w:rsid w:val="00B2687D"/>
    <w:rsid w:val="00B271AB"/>
    <w:rsid w:val="00B27BDF"/>
    <w:rsid w:val="00B30ACB"/>
    <w:rsid w:val="00B3108D"/>
    <w:rsid w:val="00B32DDB"/>
    <w:rsid w:val="00B32F57"/>
    <w:rsid w:val="00B3345C"/>
    <w:rsid w:val="00B3385E"/>
    <w:rsid w:val="00B34255"/>
    <w:rsid w:val="00B342DE"/>
    <w:rsid w:val="00B343C4"/>
    <w:rsid w:val="00B34528"/>
    <w:rsid w:val="00B34750"/>
    <w:rsid w:val="00B34CC9"/>
    <w:rsid w:val="00B34CDA"/>
    <w:rsid w:val="00B3563B"/>
    <w:rsid w:val="00B36327"/>
    <w:rsid w:val="00B36BDC"/>
    <w:rsid w:val="00B37387"/>
    <w:rsid w:val="00B37D3A"/>
    <w:rsid w:val="00B37D96"/>
    <w:rsid w:val="00B402FC"/>
    <w:rsid w:val="00B410B8"/>
    <w:rsid w:val="00B422E2"/>
    <w:rsid w:val="00B42517"/>
    <w:rsid w:val="00B42D5F"/>
    <w:rsid w:val="00B43216"/>
    <w:rsid w:val="00B439DA"/>
    <w:rsid w:val="00B4411A"/>
    <w:rsid w:val="00B44A29"/>
    <w:rsid w:val="00B44BD5"/>
    <w:rsid w:val="00B45304"/>
    <w:rsid w:val="00B45DA6"/>
    <w:rsid w:val="00B45FE8"/>
    <w:rsid w:val="00B46604"/>
    <w:rsid w:val="00B47089"/>
    <w:rsid w:val="00B47587"/>
    <w:rsid w:val="00B4776F"/>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57F25"/>
    <w:rsid w:val="00B57FF9"/>
    <w:rsid w:val="00B60AC1"/>
    <w:rsid w:val="00B61FF6"/>
    <w:rsid w:val="00B62316"/>
    <w:rsid w:val="00B62E55"/>
    <w:rsid w:val="00B63A11"/>
    <w:rsid w:val="00B64425"/>
    <w:rsid w:val="00B64C24"/>
    <w:rsid w:val="00B65CEF"/>
    <w:rsid w:val="00B6608F"/>
    <w:rsid w:val="00B67749"/>
    <w:rsid w:val="00B679FB"/>
    <w:rsid w:val="00B70E48"/>
    <w:rsid w:val="00B7188C"/>
    <w:rsid w:val="00B71FBF"/>
    <w:rsid w:val="00B734A0"/>
    <w:rsid w:val="00B73A14"/>
    <w:rsid w:val="00B748BD"/>
    <w:rsid w:val="00B76100"/>
    <w:rsid w:val="00B761FC"/>
    <w:rsid w:val="00B7620F"/>
    <w:rsid w:val="00B7680F"/>
    <w:rsid w:val="00B76B48"/>
    <w:rsid w:val="00B76D1E"/>
    <w:rsid w:val="00B77117"/>
    <w:rsid w:val="00B77543"/>
    <w:rsid w:val="00B77584"/>
    <w:rsid w:val="00B77E34"/>
    <w:rsid w:val="00B80BC9"/>
    <w:rsid w:val="00B80D89"/>
    <w:rsid w:val="00B80EC6"/>
    <w:rsid w:val="00B81288"/>
    <w:rsid w:val="00B816E5"/>
    <w:rsid w:val="00B81D70"/>
    <w:rsid w:val="00B833B9"/>
    <w:rsid w:val="00B838BC"/>
    <w:rsid w:val="00B83AAF"/>
    <w:rsid w:val="00B83E07"/>
    <w:rsid w:val="00B84CF6"/>
    <w:rsid w:val="00B85016"/>
    <w:rsid w:val="00B8561A"/>
    <w:rsid w:val="00B865FC"/>
    <w:rsid w:val="00B86628"/>
    <w:rsid w:val="00B86643"/>
    <w:rsid w:val="00B868F7"/>
    <w:rsid w:val="00B869B1"/>
    <w:rsid w:val="00B86EB1"/>
    <w:rsid w:val="00B871A7"/>
    <w:rsid w:val="00B90131"/>
    <w:rsid w:val="00B92951"/>
    <w:rsid w:val="00B92D1D"/>
    <w:rsid w:val="00B92D7E"/>
    <w:rsid w:val="00B930CE"/>
    <w:rsid w:val="00B935CC"/>
    <w:rsid w:val="00B938C5"/>
    <w:rsid w:val="00B940A8"/>
    <w:rsid w:val="00B9554A"/>
    <w:rsid w:val="00B95940"/>
    <w:rsid w:val="00B95ACA"/>
    <w:rsid w:val="00B95CD4"/>
    <w:rsid w:val="00B9619C"/>
    <w:rsid w:val="00B96AC3"/>
    <w:rsid w:val="00B96D74"/>
    <w:rsid w:val="00B9720E"/>
    <w:rsid w:val="00B97ACC"/>
    <w:rsid w:val="00B97FE2"/>
    <w:rsid w:val="00BA0E0B"/>
    <w:rsid w:val="00BA201A"/>
    <w:rsid w:val="00BA21DF"/>
    <w:rsid w:val="00BA246A"/>
    <w:rsid w:val="00BA361D"/>
    <w:rsid w:val="00BA3787"/>
    <w:rsid w:val="00BA3ECA"/>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57B"/>
    <w:rsid w:val="00BB6EA2"/>
    <w:rsid w:val="00BB76F3"/>
    <w:rsid w:val="00BB7B5B"/>
    <w:rsid w:val="00BB7EB1"/>
    <w:rsid w:val="00BC003F"/>
    <w:rsid w:val="00BC0930"/>
    <w:rsid w:val="00BC327F"/>
    <w:rsid w:val="00BC3512"/>
    <w:rsid w:val="00BC4B35"/>
    <w:rsid w:val="00BC50BE"/>
    <w:rsid w:val="00BC5332"/>
    <w:rsid w:val="00BC5715"/>
    <w:rsid w:val="00BC59FE"/>
    <w:rsid w:val="00BC5C12"/>
    <w:rsid w:val="00BC641B"/>
    <w:rsid w:val="00BC7154"/>
    <w:rsid w:val="00BC731E"/>
    <w:rsid w:val="00BC7614"/>
    <w:rsid w:val="00BD041B"/>
    <w:rsid w:val="00BD111B"/>
    <w:rsid w:val="00BD25BB"/>
    <w:rsid w:val="00BD2AF8"/>
    <w:rsid w:val="00BD366B"/>
    <w:rsid w:val="00BD3C09"/>
    <w:rsid w:val="00BD410B"/>
    <w:rsid w:val="00BD4A73"/>
    <w:rsid w:val="00BD4EDD"/>
    <w:rsid w:val="00BD4EF4"/>
    <w:rsid w:val="00BD6659"/>
    <w:rsid w:val="00BD6C75"/>
    <w:rsid w:val="00BD6D50"/>
    <w:rsid w:val="00BD7105"/>
    <w:rsid w:val="00BD73D2"/>
    <w:rsid w:val="00BD74E3"/>
    <w:rsid w:val="00BD7821"/>
    <w:rsid w:val="00BE0AD1"/>
    <w:rsid w:val="00BE0EF9"/>
    <w:rsid w:val="00BE10A1"/>
    <w:rsid w:val="00BE115B"/>
    <w:rsid w:val="00BE18B9"/>
    <w:rsid w:val="00BE190A"/>
    <w:rsid w:val="00BE2495"/>
    <w:rsid w:val="00BE24DD"/>
    <w:rsid w:val="00BE386D"/>
    <w:rsid w:val="00BE4DA9"/>
    <w:rsid w:val="00BE511E"/>
    <w:rsid w:val="00BE54BF"/>
    <w:rsid w:val="00BE557B"/>
    <w:rsid w:val="00BE5F23"/>
    <w:rsid w:val="00BE67AA"/>
    <w:rsid w:val="00BE6BAC"/>
    <w:rsid w:val="00BE7F5F"/>
    <w:rsid w:val="00BF02C8"/>
    <w:rsid w:val="00BF1578"/>
    <w:rsid w:val="00BF15CA"/>
    <w:rsid w:val="00BF1D12"/>
    <w:rsid w:val="00BF1D3A"/>
    <w:rsid w:val="00BF2B5B"/>
    <w:rsid w:val="00BF2D41"/>
    <w:rsid w:val="00BF3274"/>
    <w:rsid w:val="00BF32DC"/>
    <w:rsid w:val="00BF35C9"/>
    <w:rsid w:val="00BF4308"/>
    <w:rsid w:val="00BF4329"/>
    <w:rsid w:val="00BF4E43"/>
    <w:rsid w:val="00BF5C4C"/>
    <w:rsid w:val="00BF77FC"/>
    <w:rsid w:val="00C006D6"/>
    <w:rsid w:val="00C00BD7"/>
    <w:rsid w:val="00C00D3A"/>
    <w:rsid w:val="00C01410"/>
    <w:rsid w:val="00C024F0"/>
    <w:rsid w:val="00C02704"/>
    <w:rsid w:val="00C02B16"/>
    <w:rsid w:val="00C02D23"/>
    <w:rsid w:val="00C03D4D"/>
    <w:rsid w:val="00C044F4"/>
    <w:rsid w:val="00C04B78"/>
    <w:rsid w:val="00C052AA"/>
    <w:rsid w:val="00C06EE3"/>
    <w:rsid w:val="00C06F2F"/>
    <w:rsid w:val="00C07279"/>
    <w:rsid w:val="00C07749"/>
    <w:rsid w:val="00C07AD5"/>
    <w:rsid w:val="00C07C67"/>
    <w:rsid w:val="00C108C5"/>
    <w:rsid w:val="00C10950"/>
    <w:rsid w:val="00C110EA"/>
    <w:rsid w:val="00C11244"/>
    <w:rsid w:val="00C11D48"/>
    <w:rsid w:val="00C121E8"/>
    <w:rsid w:val="00C12304"/>
    <w:rsid w:val="00C12316"/>
    <w:rsid w:val="00C1246C"/>
    <w:rsid w:val="00C12FCC"/>
    <w:rsid w:val="00C139A8"/>
    <w:rsid w:val="00C1493E"/>
    <w:rsid w:val="00C15DBD"/>
    <w:rsid w:val="00C161C5"/>
    <w:rsid w:val="00C16556"/>
    <w:rsid w:val="00C167E9"/>
    <w:rsid w:val="00C172F7"/>
    <w:rsid w:val="00C2010D"/>
    <w:rsid w:val="00C20A61"/>
    <w:rsid w:val="00C20CB5"/>
    <w:rsid w:val="00C21382"/>
    <w:rsid w:val="00C21430"/>
    <w:rsid w:val="00C216DF"/>
    <w:rsid w:val="00C21E61"/>
    <w:rsid w:val="00C21F94"/>
    <w:rsid w:val="00C221B9"/>
    <w:rsid w:val="00C224BD"/>
    <w:rsid w:val="00C234DB"/>
    <w:rsid w:val="00C23909"/>
    <w:rsid w:val="00C23C5C"/>
    <w:rsid w:val="00C23F90"/>
    <w:rsid w:val="00C2479A"/>
    <w:rsid w:val="00C24903"/>
    <w:rsid w:val="00C2590D"/>
    <w:rsid w:val="00C25D9C"/>
    <w:rsid w:val="00C27913"/>
    <w:rsid w:val="00C27FA7"/>
    <w:rsid w:val="00C300E2"/>
    <w:rsid w:val="00C31F21"/>
    <w:rsid w:val="00C323C4"/>
    <w:rsid w:val="00C32631"/>
    <w:rsid w:val="00C33301"/>
    <w:rsid w:val="00C33311"/>
    <w:rsid w:val="00C33B68"/>
    <w:rsid w:val="00C33F7D"/>
    <w:rsid w:val="00C34AD4"/>
    <w:rsid w:val="00C35570"/>
    <w:rsid w:val="00C35A2A"/>
    <w:rsid w:val="00C36A79"/>
    <w:rsid w:val="00C37491"/>
    <w:rsid w:val="00C401A9"/>
    <w:rsid w:val="00C401D2"/>
    <w:rsid w:val="00C4031A"/>
    <w:rsid w:val="00C405D4"/>
    <w:rsid w:val="00C419D5"/>
    <w:rsid w:val="00C41D54"/>
    <w:rsid w:val="00C42EBB"/>
    <w:rsid w:val="00C43766"/>
    <w:rsid w:val="00C4513B"/>
    <w:rsid w:val="00C459E9"/>
    <w:rsid w:val="00C475E8"/>
    <w:rsid w:val="00C50E79"/>
    <w:rsid w:val="00C5197D"/>
    <w:rsid w:val="00C525FB"/>
    <w:rsid w:val="00C5390B"/>
    <w:rsid w:val="00C54257"/>
    <w:rsid w:val="00C54697"/>
    <w:rsid w:val="00C550CE"/>
    <w:rsid w:val="00C553A5"/>
    <w:rsid w:val="00C55402"/>
    <w:rsid w:val="00C55AC4"/>
    <w:rsid w:val="00C5603B"/>
    <w:rsid w:val="00C601AA"/>
    <w:rsid w:val="00C60AE3"/>
    <w:rsid w:val="00C61F47"/>
    <w:rsid w:val="00C62828"/>
    <w:rsid w:val="00C63B51"/>
    <w:rsid w:val="00C659B4"/>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976DD"/>
    <w:rsid w:val="00CA0346"/>
    <w:rsid w:val="00CA0DA1"/>
    <w:rsid w:val="00CA1454"/>
    <w:rsid w:val="00CA1BD6"/>
    <w:rsid w:val="00CA2201"/>
    <w:rsid w:val="00CA37FF"/>
    <w:rsid w:val="00CA423A"/>
    <w:rsid w:val="00CA47BC"/>
    <w:rsid w:val="00CA4D42"/>
    <w:rsid w:val="00CA5EAD"/>
    <w:rsid w:val="00CA669C"/>
    <w:rsid w:val="00CA6AB4"/>
    <w:rsid w:val="00CA6BE6"/>
    <w:rsid w:val="00CA7255"/>
    <w:rsid w:val="00CA749B"/>
    <w:rsid w:val="00CB111E"/>
    <w:rsid w:val="00CB1857"/>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1B66"/>
    <w:rsid w:val="00CC20FE"/>
    <w:rsid w:val="00CC225C"/>
    <w:rsid w:val="00CC2E7D"/>
    <w:rsid w:val="00CC4408"/>
    <w:rsid w:val="00CC5875"/>
    <w:rsid w:val="00CC5BE8"/>
    <w:rsid w:val="00CC612B"/>
    <w:rsid w:val="00CC655F"/>
    <w:rsid w:val="00CC66F9"/>
    <w:rsid w:val="00CC6BB7"/>
    <w:rsid w:val="00CC6C2A"/>
    <w:rsid w:val="00CC6C3D"/>
    <w:rsid w:val="00CC6FE5"/>
    <w:rsid w:val="00CC7458"/>
    <w:rsid w:val="00CC76BD"/>
    <w:rsid w:val="00CC7A87"/>
    <w:rsid w:val="00CD08BF"/>
    <w:rsid w:val="00CD0D6B"/>
    <w:rsid w:val="00CD1024"/>
    <w:rsid w:val="00CD1060"/>
    <w:rsid w:val="00CD10A5"/>
    <w:rsid w:val="00CD1129"/>
    <w:rsid w:val="00CD1A80"/>
    <w:rsid w:val="00CD1CB5"/>
    <w:rsid w:val="00CD2076"/>
    <w:rsid w:val="00CD24CE"/>
    <w:rsid w:val="00CD29B5"/>
    <w:rsid w:val="00CD2B78"/>
    <w:rsid w:val="00CD3866"/>
    <w:rsid w:val="00CD3FAB"/>
    <w:rsid w:val="00CD52EB"/>
    <w:rsid w:val="00CD5456"/>
    <w:rsid w:val="00CD5C3E"/>
    <w:rsid w:val="00CD5C57"/>
    <w:rsid w:val="00CD6331"/>
    <w:rsid w:val="00CD6C09"/>
    <w:rsid w:val="00CD7E9E"/>
    <w:rsid w:val="00CE14BE"/>
    <w:rsid w:val="00CE17A4"/>
    <w:rsid w:val="00CE1BA9"/>
    <w:rsid w:val="00CE2D8F"/>
    <w:rsid w:val="00CE3532"/>
    <w:rsid w:val="00CE3695"/>
    <w:rsid w:val="00CE3E48"/>
    <w:rsid w:val="00CE46C0"/>
    <w:rsid w:val="00CE47B8"/>
    <w:rsid w:val="00CE54FD"/>
    <w:rsid w:val="00CE5C92"/>
    <w:rsid w:val="00CE62FA"/>
    <w:rsid w:val="00CE670B"/>
    <w:rsid w:val="00CE6833"/>
    <w:rsid w:val="00CE7FE1"/>
    <w:rsid w:val="00CF020B"/>
    <w:rsid w:val="00CF060D"/>
    <w:rsid w:val="00CF112D"/>
    <w:rsid w:val="00CF1183"/>
    <w:rsid w:val="00CF15BF"/>
    <w:rsid w:val="00CF284E"/>
    <w:rsid w:val="00CF2E4D"/>
    <w:rsid w:val="00CF4205"/>
    <w:rsid w:val="00CF4908"/>
    <w:rsid w:val="00CF51EC"/>
    <w:rsid w:val="00CF545D"/>
    <w:rsid w:val="00CF5873"/>
    <w:rsid w:val="00CF60B8"/>
    <w:rsid w:val="00CF6AB7"/>
    <w:rsid w:val="00CF73AE"/>
    <w:rsid w:val="00CF7514"/>
    <w:rsid w:val="00CF7777"/>
    <w:rsid w:val="00CF7897"/>
    <w:rsid w:val="00D00007"/>
    <w:rsid w:val="00D0085A"/>
    <w:rsid w:val="00D0197F"/>
    <w:rsid w:val="00D01B31"/>
    <w:rsid w:val="00D0242D"/>
    <w:rsid w:val="00D02716"/>
    <w:rsid w:val="00D02AA9"/>
    <w:rsid w:val="00D03A72"/>
    <w:rsid w:val="00D040DD"/>
    <w:rsid w:val="00D04134"/>
    <w:rsid w:val="00D04E27"/>
    <w:rsid w:val="00D05C65"/>
    <w:rsid w:val="00D06B56"/>
    <w:rsid w:val="00D06D68"/>
    <w:rsid w:val="00D075BE"/>
    <w:rsid w:val="00D07AFF"/>
    <w:rsid w:val="00D10C15"/>
    <w:rsid w:val="00D11011"/>
    <w:rsid w:val="00D11476"/>
    <w:rsid w:val="00D11E98"/>
    <w:rsid w:val="00D12C25"/>
    <w:rsid w:val="00D133B4"/>
    <w:rsid w:val="00D13986"/>
    <w:rsid w:val="00D13F3E"/>
    <w:rsid w:val="00D14262"/>
    <w:rsid w:val="00D14930"/>
    <w:rsid w:val="00D14C5B"/>
    <w:rsid w:val="00D15FED"/>
    <w:rsid w:val="00D16712"/>
    <w:rsid w:val="00D17137"/>
    <w:rsid w:val="00D17884"/>
    <w:rsid w:val="00D214EF"/>
    <w:rsid w:val="00D215B0"/>
    <w:rsid w:val="00D21D6D"/>
    <w:rsid w:val="00D21D83"/>
    <w:rsid w:val="00D2240D"/>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857"/>
    <w:rsid w:val="00D43ED2"/>
    <w:rsid w:val="00D447AE"/>
    <w:rsid w:val="00D50F46"/>
    <w:rsid w:val="00D51ABF"/>
    <w:rsid w:val="00D533C4"/>
    <w:rsid w:val="00D5384E"/>
    <w:rsid w:val="00D544E7"/>
    <w:rsid w:val="00D5499F"/>
    <w:rsid w:val="00D5560A"/>
    <w:rsid w:val="00D56916"/>
    <w:rsid w:val="00D56FBF"/>
    <w:rsid w:val="00D57677"/>
    <w:rsid w:val="00D576E0"/>
    <w:rsid w:val="00D5781F"/>
    <w:rsid w:val="00D6014A"/>
    <w:rsid w:val="00D60415"/>
    <w:rsid w:val="00D60674"/>
    <w:rsid w:val="00D60BE8"/>
    <w:rsid w:val="00D60E3C"/>
    <w:rsid w:val="00D60FA7"/>
    <w:rsid w:val="00D61FAB"/>
    <w:rsid w:val="00D63BE5"/>
    <w:rsid w:val="00D6475F"/>
    <w:rsid w:val="00D65528"/>
    <w:rsid w:val="00D655D4"/>
    <w:rsid w:val="00D66223"/>
    <w:rsid w:val="00D667B8"/>
    <w:rsid w:val="00D67D55"/>
    <w:rsid w:val="00D70289"/>
    <w:rsid w:val="00D7041F"/>
    <w:rsid w:val="00D70822"/>
    <w:rsid w:val="00D72076"/>
    <w:rsid w:val="00D721B4"/>
    <w:rsid w:val="00D726A9"/>
    <w:rsid w:val="00D72DBA"/>
    <w:rsid w:val="00D73223"/>
    <w:rsid w:val="00D743E0"/>
    <w:rsid w:val="00D7469D"/>
    <w:rsid w:val="00D7490C"/>
    <w:rsid w:val="00D75AC1"/>
    <w:rsid w:val="00D77252"/>
    <w:rsid w:val="00D8084C"/>
    <w:rsid w:val="00D81809"/>
    <w:rsid w:val="00D81E79"/>
    <w:rsid w:val="00D82EF1"/>
    <w:rsid w:val="00D83937"/>
    <w:rsid w:val="00D84CC9"/>
    <w:rsid w:val="00D84F43"/>
    <w:rsid w:val="00D85114"/>
    <w:rsid w:val="00D85821"/>
    <w:rsid w:val="00D8598C"/>
    <w:rsid w:val="00D87C06"/>
    <w:rsid w:val="00D915EA"/>
    <w:rsid w:val="00D919ED"/>
    <w:rsid w:val="00D922A1"/>
    <w:rsid w:val="00D922F4"/>
    <w:rsid w:val="00D928BE"/>
    <w:rsid w:val="00D931D5"/>
    <w:rsid w:val="00D932B8"/>
    <w:rsid w:val="00D95302"/>
    <w:rsid w:val="00D95889"/>
    <w:rsid w:val="00D95B60"/>
    <w:rsid w:val="00D95C5D"/>
    <w:rsid w:val="00D96515"/>
    <w:rsid w:val="00D97D00"/>
    <w:rsid w:val="00DA096C"/>
    <w:rsid w:val="00DA1AB6"/>
    <w:rsid w:val="00DA21B0"/>
    <w:rsid w:val="00DA2E65"/>
    <w:rsid w:val="00DA37DE"/>
    <w:rsid w:val="00DA3ADF"/>
    <w:rsid w:val="00DA4174"/>
    <w:rsid w:val="00DA47DC"/>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67EA"/>
    <w:rsid w:val="00DB7342"/>
    <w:rsid w:val="00DB7489"/>
    <w:rsid w:val="00DB7E0D"/>
    <w:rsid w:val="00DC0CBB"/>
    <w:rsid w:val="00DC17D0"/>
    <w:rsid w:val="00DC1E5D"/>
    <w:rsid w:val="00DC21F3"/>
    <w:rsid w:val="00DC25AB"/>
    <w:rsid w:val="00DC2B41"/>
    <w:rsid w:val="00DC2EA7"/>
    <w:rsid w:val="00DC3128"/>
    <w:rsid w:val="00DC435B"/>
    <w:rsid w:val="00DC4AC4"/>
    <w:rsid w:val="00DC4FD0"/>
    <w:rsid w:val="00DC53D8"/>
    <w:rsid w:val="00DC56FE"/>
    <w:rsid w:val="00DC5B3B"/>
    <w:rsid w:val="00DC6C2D"/>
    <w:rsid w:val="00DC7B1A"/>
    <w:rsid w:val="00DC7F51"/>
    <w:rsid w:val="00DD04B0"/>
    <w:rsid w:val="00DD0C95"/>
    <w:rsid w:val="00DD129F"/>
    <w:rsid w:val="00DD13FC"/>
    <w:rsid w:val="00DD1A3F"/>
    <w:rsid w:val="00DD29B5"/>
    <w:rsid w:val="00DD32DD"/>
    <w:rsid w:val="00DD33E8"/>
    <w:rsid w:val="00DD5287"/>
    <w:rsid w:val="00DD5B36"/>
    <w:rsid w:val="00DD6DAD"/>
    <w:rsid w:val="00DD7849"/>
    <w:rsid w:val="00DE03DE"/>
    <w:rsid w:val="00DE0D8B"/>
    <w:rsid w:val="00DE1237"/>
    <w:rsid w:val="00DE140F"/>
    <w:rsid w:val="00DE17E9"/>
    <w:rsid w:val="00DE1CEC"/>
    <w:rsid w:val="00DE2491"/>
    <w:rsid w:val="00DE277A"/>
    <w:rsid w:val="00DE3E5D"/>
    <w:rsid w:val="00DE450F"/>
    <w:rsid w:val="00DE4865"/>
    <w:rsid w:val="00DE5CA6"/>
    <w:rsid w:val="00DE5E55"/>
    <w:rsid w:val="00DE7156"/>
    <w:rsid w:val="00DE7AC8"/>
    <w:rsid w:val="00DF0714"/>
    <w:rsid w:val="00DF0830"/>
    <w:rsid w:val="00DF199C"/>
    <w:rsid w:val="00DF2AD9"/>
    <w:rsid w:val="00DF2C5D"/>
    <w:rsid w:val="00DF3643"/>
    <w:rsid w:val="00DF42FF"/>
    <w:rsid w:val="00DF4369"/>
    <w:rsid w:val="00DF4423"/>
    <w:rsid w:val="00DF4ADF"/>
    <w:rsid w:val="00DF57D6"/>
    <w:rsid w:val="00DF5D1E"/>
    <w:rsid w:val="00DF63E3"/>
    <w:rsid w:val="00DF77E4"/>
    <w:rsid w:val="00DF7F88"/>
    <w:rsid w:val="00E00B88"/>
    <w:rsid w:val="00E01C0E"/>
    <w:rsid w:val="00E0368F"/>
    <w:rsid w:val="00E03D73"/>
    <w:rsid w:val="00E03E1E"/>
    <w:rsid w:val="00E03F9A"/>
    <w:rsid w:val="00E040DA"/>
    <w:rsid w:val="00E04694"/>
    <w:rsid w:val="00E1168B"/>
    <w:rsid w:val="00E11F8B"/>
    <w:rsid w:val="00E12191"/>
    <w:rsid w:val="00E129E7"/>
    <w:rsid w:val="00E12ABE"/>
    <w:rsid w:val="00E12B1E"/>
    <w:rsid w:val="00E135EB"/>
    <w:rsid w:val="00E13995"/>
    <w:rsid w:val="00E1444C"/>
    <w:rsid w:val="00E14544"/>
    <w:rsid w:val="00E17262"/>
    <w:rsid w:val="00E1742F"/>
    <w:rsid w:val="00E17F36"/>
    <w:rsid w:val="00E20016"/>
    <w:rsid w:val="00E2009B"/>
    <w:rsid w:val="00E20BB9"/>
    <w:rsid w:val="00E20BCC"/>
    <w:rsid w:val="00E20D05"/>
    <w:rsid w:val="00E21E9A"/>
    <w:rsid w:val="00E2251C"/>
    <w:rsid w:val="00E2363D"/>
    <w:rsid w:val="00E23C6A"/>
    <w:rsid w:val="00E2484B"/>
    <w:rsid w:val="00E25391"/>
    <w:rsid w:val="00E253A2"/>
    <w:rsid w:val="00E260F6"/>
    <w:rsid w:val="00E267F2"/>
    <w:rsid w:val="00E27127"/>
    <w:rsid w:val="00E27233"/>
    <w:rsid w:val="00E274BB"/>
    <w:rsid w:val="00E30F15"/>
    <w:rsid w:val="00E31771"/>
    <w:rsid w:val="00E3186D"/>
    <w:rsid w:val="00E31A3E"/>
    <w:rsid w:val="00E3205D"/>
    <w:rsid w:val="00E32080"/>
    <w:rsid w:val="00E32778"/>
    <w:rsid w:val="00E3309D"/>
    <w:rsid w:val="00E34E3F"/>
    <w:rsid w:val="00E350B1"/>
    <w:rsid w:val="00E35A53"/>
    <w:rsid w:val="00E35AA3"/>
    <w:rsid w:val="00E3634A"/>
    <w:rsid w:val="00E3656B"/>
    <w:rsid w:val="00E37069"/>
    <w:rsid w:val="00E3712B"/>
    <w:rsid w:val="00E371BE"/>
    <w:rsid w:val="00E3724A"/>
    <w:rsid w:val="00E378B1"/>
    <w:rsid w:val="00E417BE"/>
    <w:rsid w:val="00E41B25"/>
    <w:rsid w:val="00E41CD5"/>
    <w:rsid w:val="00E42054"/>
    <w:rsid w:val="00E4335A"/>
    <w:rsid w:val="00E4372D"/>
    <w:rsid w:val="00E43A9E"/>
    <w:rsid w:val="00E44243"/>
    <w:rsid w:val="00E453F9"/>
    <w:rsid w:val="00E45D7D"/>
    <w:rsid w:val="00E4623F"/>
    <w:rsid w:val="00E4665D"/>
    <w:rsid w:val="00E469FC"/>
    <w:rsid w:val="00E47854"/>
    <w:rsid w:val="00E478E2"/>
    <w:rsid w:val="00E47EBA"/>
    <w:rsid w:val="00E50156"/>
    <w:rsid w:val="00E504EB"/>
    <w:rsid w:val="00E5076C"/>
    <w:rsid w:val="00E50D2E"/>
    <w:rsid w:val="00E50D7D"/>
    <w:rsid w:val="00E51229"/>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7A3"/>
    <w:rsid w:val="00E61EB5"/>
    <w:rsid w:val="00E6324D"/>
    <w:rsid w:val="00E65084"/>
    <w:rsid w:val="00E6519D"/>
    <w:rsid w:val="00E65683"/>
    <w:rsid w:val="00E66062"/>
    <w:rsid w:val="00E6660E"/>
    <w:rsid w:val="00E66768"/>
    <w:rsid w:val="00E67305"/>
    <w:rsid w:val="00E67696"/>
    <w:rsid w:val="00E709AF"/>
    <w:rsid w:val="00E70C5F"/>
    <w:rsid w:val="00E71009"/>
    <w:rsid w:val="00E713E6"/>
    <w:rsid w:val="00E71A58"/>
    <w:rsid w:val="00E728D7"/>
    <w:rsid w:val="00E72A26"/>
    <w:rsid w:val="00E72A7A"/>
    <w:rsid w:val="00E7335A"/>
    <w:rsid w:val="00E736CE"/>
    <w:rsid w:val="00E73986"/>
    <w:rsid w:val="00E73B5E"/>
    <w:rsid w:val="00E7467D"/>
    <w:rsid w:val="00E747DC"/>
    <w:rsid w:val="00E74A2D"/>
    <w:rsid w:val="00E75597"/>
    <w:rsid w:val="00E75C94"/>
    <w:rsid w:val="00E76A08"/>
    <w:rsid w:val="00E76B9B"/>
    <w:rsid w:val="00E76E61"/>
    <w:rsid w:val="00E76EE4"/>
    <w:rsid w:val="00E77B7A"/>
    <w:rsid w:val="00E77CC0"/>
    <w:rsid w:val="00E80B3D"/>
    <w:rsid w:val="00E80CA3"/>
    <w:rsid w:val="00E81D18"/>
    <w:rsid w:val="00E81D99"/>
    <w:rsid w:val="00E82618"/>
    <w:rsid w:val="00E82A42"/>
    <w:rsid w:val="00E84E09"/>
    <w:rsid w:val="00E852EE"/>
    <w:rsid w:val="00E86E5D"/>
    <w:rsid w:val="00E87CE2"/>
    <w:rsid w:val="00E90CA8"/>
    <w:rsid w:val="00E911C6"/>
    <w:rsid w:val="00E91794"/>
    <w:rsid w:val="00E918E3"/>
    <w:rsid w:val="00E930A1"/>
    <w:rsid w:val="00E93820"/>
    <w:rsid w:val="00E94A86"/>
    <w:rsid w:val="00E94DD2"/>
    <w:rsid w:val="00E951AB"/>
    <w:rsid w:val="00E953F6"/>
    <w:rsid w:val="00E96143"/>
    <w:rsid w:val="00E96833"/>
    <w:rsid w:val="00E96F8D"/>
    <w:rsid w:val="00E97506"/>
    <w:rsid w:val="00E97BB5"/>
    <w:rsid w:val="00E97D5B"/>
    <w:rsid w:val="00E97F14"/>
    <w:rsid w:val="00EA0467"/>
    <w:rsid w:val="00EA0C68"/>
    <w:rsid w:val="00EA0E39"/>
    <w:rsid w:val="00EA1D0E"/>
    <w:rsid w:val="00EA1EC5"/>
    <w:rsid w:val="00EA2072"/>
    <w:rsid w:val="00EA2691"/>
    <w:rsid w:val="00EA2841"/>
    <w:rsid w:val="00EA32BC"/>
    <w:rsid w:val="00EA35A7"/>
    <w:rsid w:val="00EA3B32"/>
    <w:rsid w:val="00EA3CEB"/>
    <w:rsid w:val="00EA3D05"/>
    <w:rsid w:val="00EA4222"/>
    <w:rsid w:val="00EA4402"/>
    <w:rsid w:val="00EA46EA"/>
    <w:rsid w:val="00EA4B8D"/>
    <w:rsid w:val="00EA513E"/>
    <w:rsid w:val="00EA601A"/>
    <w:rsid w:val="00EA70BC"/>
    <w:rsid w:val="00EA7419"/>
    <w:rsid w:val="00EB0AD5"/>
    <w:rsid w:val="00EB0E32"/>
    <w:rsid w:val="00EB1520"/>
    <w:rsid w:val="00EB3882"/>
    <w:rsid w:val="00EB3E60"/>
    <w:rsid w:val="00EB4511"/>
    <w:rsid w:val="00EB48D7"/>
    <w:rsid w:val="00EB49F1"/>
    <w:rsid w:val="00EB4A8E"/>
    <w:rsid w:val="00EB4BC5"/>
    <w:rsid w:val="00EB5BF7"/>
    <w:rsid w:val="00EB5E79"/>
    <w:rsid w:val="00EB61F4"/>
    <w:rsid w:val="00EB6FAC"/>
    <w:rsid w:val="00EB7BAC"/>
    <w:rsid w:val="00EB7CC9"/>
    <w:rsid w:val="00EC03D7"/>
    <w:rsid w:val="00EC12F5"/>
    <w:rsid w:val="00EC13A7"/>
    <w:rsid w:val="00EC2EB6"/>
    <w:rsid w:val="00EC4CA3"/>
    <w:rsid w:val="00EC4FFF"/>
    <w:rsid w:val="00EC5517"/>
    <w:rsid w:val="00EC6E8C"/>
    <w:rsid w:val="00ED0EF0"/>
    <w:rsid w:val="00ED0F1A"/>
    <w:rsid w:val="00ED12B9"/>
    <w:rsid w:val="00ED16B8"/>
    <w:rsid w:val="00ED1959"/>
    <w:rsid w:val="00ED1A00"/>
    <w:rsid w:val="00ED1DF0"/>
    <w:rsid w:val="00ED1ED0"/>
    <w:rsid w:val="00ED2386"/>
    <w:rsid w:val="00ED2EA1"/>
    <w:rsid w:val="00ED3851"/>
    <w:rsid w:val="00ED3E51"/>
    <w:rsid w:val="00ED3F10"/>
    <w:rsid w:val="00ED3F9B"/>
    <w:rsid w:val="00ED4D04"/>
    <w:rsid w:val="00ED566D"/>
    <w:rsid w:val="00ED5907"/>
    <w:rsid w:val="00ED5F5B"/>
    <w:rsid w:val="00ED62C6"/>
    <w:rsid w:val="00ED6491"/>
    <w:rsid w:val="00ED64C1"/>
    <w:rsid w:val="00ED781F"/>
    <w:rsid w:val="00EE0A20"/>
    <w:rsid w:val="00EE0E7E"/>
    <w:rsid w:val="00EE249F"/>
    <w:rsid w:val="00EE2EB4"/>
    <w:rsid w:val="00EE3446"/>
    <w:rsid w:val="00EE3E78"/>
    <w:rsid w:val="00EE41FD"/>
    <w:rsid w:val="00EE460E"/>
    <w:rsid w:val="00EE4B1B"/>
    <w:rsid w:val="00EE5FBA"/>
    <w:rsid w:val="00EE64BA"/>
    <w:rsid w:val="00EE6680"/>
    <w:rsid w:val="00EE6E06"/>
    <w:rsid w:val="00EE7179"/>
    <w:rsid w:val="00EF072A"/>
    <w:rsid w:val="00EF0D90"/>
    <w:rsid w:val="00EF150D"/>
    <w:rsid w:val="00EF1F5A"/>
    <w:rsid w:val="00EF23B5"/>
    <w:rsid w:val="00EF326A"/>
    <w:rsid w:val="00EF3898"/>
    <w:rsid w:val="00EF39FD"/>
    <w:rsid w:val="00EF47BF"/>
    <w:rsid w:val="00EF48DC"/>
    <w:rsid w:val="00EF52F7"/>
    <w:rsid w:val="00EF55AD"/>
    <w:rsid w:val="00EF59B1"/>
    <w:rsid w:val="00EF5A13"/>
    <w:rsid w:val="00EF5FF9"/>
    <w:rsid w:val="00EF77D4"/>
    <w:rsid w:val="00EF7CC7"/>
    <w:rsid w:val="00F00535"/>
    <w:rsid w:val="00F00853"/>
    <w:rsid w:val="00F00866"/>
    <w:rsid w:val="00F00EC8"/>
    <w:rsid w:val="00F0160B"/>
    <w:rsid w:val="00F0193E"/>
    <w:rsid w:val="00F01C0D"/>
    <w:rsid w:val="00F03E2F"/>
    <w:rsid w:val="00F03F8D"/>
    <w:rsid w:val="00F04811"/>
    <w:rsid w:val="00F0488C"/>
    <w:rsid w:val="00F04BDB"/>
    <w:rsid w:val="00F07174"/>
    <w:rsid w:val="00F073ED"/>
    <w:rsid w:val="00F07C4C"/>
    <w:rsid w:val="00F10BA4"/>
    <w:rsid w:val="00F10F11"/>
    <w:rsid w:val="00F11159"/>
    <w:rsid w:val="00F11379"/>
    <w:rsid w:val="00F115E4"/>
    <w:rsid w:val="00F11AC4"/>
    <w:rsid w:val="00F120A5"/>
    <w:rsid w:val="00F12CFB"/>
    <w:rsid w:val="00F13897"/>
    <w:rsid w:val="00F13E60"/>
    <w:rsid w:val="00F13FDB"/>
    <w:rsid w:val="00F14C88"/>
    <w:rsid w:val="00F1533F"/>
    <w:rsid w:val="00F15AAA"/>
    <w:rsid w:val="00F15BEF"/>
    <w:rsid w:val="00F15C73"/>
    <w:rsid w:val="00F17898"/>
    <w:rsid w:val="00F20134"/>
    <w:rsid w:val="00F204BF"/>
    <w:rsid w:val="00F207C2"/>
    <w:rsid w:val="00F21337"/>
    <w:rsid w:val="00F219A1"/>
    <w:rsid w:val="00F21E3B"/>
    <w:rsid w:val="00F23C06"/>
    <w:rsid w:val="00F23E20"/>
    <w:rsid w:val="00F24407"/>
    <w:rsid w:val="00F24756"/>
    <w:rsid w:val="00F24FAA"/>
    <w:rsid w:val="00F25040"/>
    <w:rsid w:val="00F27071"/>
    <w:rsid w:val="00F27331"/>
    <w:rsid w:val="00F276D3"/>
    <w:rsid w:val="00F27EE5"/>
    <w:rsid w:val="00F27FB1"/>
    <w:rsid w:val="00F27FD6"/>
    <w:rsid w:val="00F307CB"/>
    <w:rsid w:val="00F30C0C"/>
    <w:rsid w:val="00F30C65"/>
    <w:rsid w:val="00F31A67"/>
    <w:rsid w:val="00F31B27"/>
    <w:rsid w:val="00F321D2"/>
    <w:rsid w:val="00F32649"/>
    <w:rsid w:val="00F33523"/>
    <w:rsid w:val="00F3364D"/>
    <w:rsid w:val="00F33914"/>
    <w:rsid w:val="00F349BF"/>
    <w:rsid w:val="00F34AF4"/>
    <w:rsid w:val="00F34DDC"/>
    <w:rsid w:val="00F352C5"/>
    <w:rsid w:val="00F36191"/>
    <w:rsid w:val="00F3629F"/>
    <w:rsid w:val="00F36DF3"/>
    <w:rsid w:val="00F37362"/>
    <w:rsid w:val="00F37EDC"/>
    <w:rsid w:val="00F437CC"/>
    <w:rsid w:val="00F44537"/>
    <w:rsid w:val="00F45EEF"/>
    <w:rsid w:val="00F46185"/>
    <w:rsid w:val="00F46423"/>
    <w:rsid w:val="00F4696A"/>
    <w:rsid w:val="00F47067"/>
    <w:rsid w:val="00F47234"/>
    <w:rsid w:val="00F47C48"/>
    <w:rsid w:val="00F51ADD"/>
    <w:rsid w:val="00F525AB"/>
    <w:rsid w:val="00F525EB"/>
    <w:rsid w:val="00F529FB"/>
    <w:rsid w:val="00F52CB5"/>
    <w:rsid w:val="00F53378"/>
    <w:rsid w:val="00F53A68"/>
    <w:rsid w:val="00F53E9C"/>
    <w:rsid w:val="00F54934"/>
    <w:rsid w:val="00F54F86"/>
    <w:rsid w:val="00F55A92"/>
    <w:rsid w:val="00F5615B"/>
    <w:rsid w:val="00F56700"/>
    <w:rsid w:val="00F575D3"/>
    <w:rsid w:val="00F57A76"/>
    <w:rsid w:val="00F57D57"/>
    <w:rsid w:val="00F6178B"/>
    <w:rsid w:val="00F62701"/>
    <w:rsid w:val="00F62BFF"/>
    <w:rsid w:val="00F62CCE"/>
    <w:rsid w:val="00F63092"/>
    <w:rsid w:val="00F63AAE"/>
    <w:rsid w:val="00F63DDE"/>
    <w:rsid w:val="00F63FB7"/>
    <w:rsid w:val="00F6421B"/>
    <w:rsid w:val="00F647F1"/>
    <w:rsid w:val="00F649D2"/>
    <w:rsid w:val="00F64C00"/>
    <w:rsid w:val="00F64D5A"/>
    <w:rsid w:val="00F6602B"/>
    <w:rsid w:val="00F6741E"/>
    <w:rsid w:val="00F6799D"/>
    <w:rsid w:val="00F7150B"/>
    <w:rsid w:val="00F717E4"/>
    <w:rsid w:val="00F71DE6"/>
    <w:rsid w:val="00F72C90"/>
    <w:rsid w:val="00F72D71"/>
    <w:rsid w:val="00F7381C"/>
    <w:rsid w:val="00F73A0C"/>
    <w:rsid w:val="00F752DC"/>
    <w:rsid w:val="00F7549F"/>
    <w:rsid w:val="00F756DB"/>
    <w:rsid w:val="00F766BE"/>
    <w:rsid w:val="00F767A8"/>
    <w:rsid w:val="00F77590"/>
    <w:rsid w:val="00F77A50"/>
    <w:rsid w:val="00F8046A"/>
    <w:rsid w:val="00F82670"/>
    <w:rsid w:val="00F82D14"/>
    <w:rsid w:val="00F84123"/>
    <w:rsid w:val="00F84593"/>
    <w:rsid w:val="00F84E7D"/>
    <w:rsid w:val="00F85066"/>
    <w:rsid w:val="00F8663C"/>
    <w:rsid w:val="00F87A4D"/>
    <w:rsid w:val="00F91B66"/>
    <w:rsid w:val="00F93688"/>
    <w:rsid w:val="00F939F3"/>
    <w:rsid w:val="00F93C6E"/>
    <w:rsid w:val="00F93F2C"/>
    <w:rsid w:val="00F94882"/>
    <w:rsid w:val="00F962AD"/>
    <w:rsid w:val="00F9644E"/>
    <w:rsid w:val="00F96E43"/>
    <w:rsid w:val="00FA0105"/>
    <w:rsid w:val="00FA05A0"/>
    <w:rsid w:val="00FA0AEF"/>
    <w:rsid w:val="00FA0EB0"/>
    <w:rsid w:val="00FA17CC"/>
    <w:rsid w:val="00FA1A7F"/>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0F9"/>
    <w:rsid w:val="00FA7AD7"/>
    <w:rsid w:val="00FA7AEC"/>
    <w:rsid w:val="00FB00D6"/>
    <w:rsid w:val="00FB0AEA"/>
    <w:rsid w:val="00FB0EE2"/>
    <w:rsid w:val="00FB1A79"/>
    <w:rsid w:val="00FB208B"/>
    <w:rsid w:val="00FB2B2D"/>
    <w:rsid w:val="00FB346E"/>
    <w:rsid w:val="00FB35D1"/>
    <w:rsid w:val="00FB4932"/>
    <w:rsid w:val="00FB542E"/>
    <w:rsid w:val="00FB5580"/>
    <w:rsid w:val="00FB564F"/>
    <w:rsid w:val="00FB79BB"/>
    <w:rsid w:val="00FB7DBB"/>
    <w:rsid w:val="00FC04A1"/>
    <w:rsid w:val="00FC05F8"/>
    <w:rsid w:val="00FC077B"/>
    <w:rsid w:val="00FC0950"/>
    <w:rsid w:val="00FC0E5F"/>
    <w:rsid w:val="00FC1070"/>
    <w:rsid w:val="00FC1266"/>
    <w:rsid w:val="00FC1A95"/>
    <w:rsid w:val="00FC1ED4"/>
    <w:rsid w:val="00FC3BEC"/>
    <w:rsid w:val="00FC440B"/>
    <w:rsid w:val="00FC56DE"/>
    <w:rsid w:val="00FC61B5"/>
    <w:rsid w:val="00FC63D9"/>
    <w:rsid w:val="00FC64DE"/>
    <w:rsid w:val="00FC6785"/>
    <w:rsid w:val="00FC684B"/>
    <w:rsid w:val="00FC79D0"/>
    <w:rsid w:val="00FC7D98"/>
    <w:rsid w:val="00FD1135"/>
    <w:rsid w:val="00FD3265"/>
    <w:rsid w:val="00FD3CF7"/>
    <w:rsid w:val="00FD4124"/>
    <w:rsid w:val="00FD41A0"/>
    <w:rsid w:val="00FD4916"/>
    <w:rsid w:val="00FD4D12"/>
    <w:rsid w:val="00FD4DC7"/>
    <w:rsid w:val="00FD4F73"/>
    <w:rsid w:val="00FD595E"/>
    <w:rsid w:val="00FD66A4"/>
    <w:rsid w:val="00FD75AC"/>
    <w:rsid w:val="00FD75D3"/>
    <w:rsid w:val="00FD7802"/>
    <w:rsid w:val="00FD7D3B"/>
    <w:rsid w:val="00FE263A"/>
    <w:rsid w:val="00FE27C7"/>
    <w:rsid w:val="00FE2C7E"/>
    <w:rsid w:val="00FE2F78"/>
    <w:rsid w:val="00FE3137"/>
    <w:rsid w:val="00FE346B"/>
    <w:rsid w:val="00FE346F"/>
    <w:rsid w:val="00FE3E07"/>
    <w:rsid w:val="00FE431E"/>
    <w:rsid w:val="00FE460E"/>
    <w:rsid w:val="00FE48E4"/>
    <w:rsid w:val="00FE5466"/>
    <w:rsid w:val="00FE634C"/>
    <w:rsid w:val="00FE6E69"/>
    <w:rsid w:val="00FE6F59"/>
    <w:rsid w:val="00FF01B6"/>
    <w:rsid w:val="00FF0989"/>
    <w:rsid w:val="00FF1136"/>
    <w:rsid w:val="00FF38A4"/>
    <w:rsid w:val="00FF3D76"/>
    <w:rsid w:val="00FF4E35"/>
    <w:rsid w:val="00FF5838"/>
    <w:rsid w:val="00FF596B"/>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43325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5450447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841476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898828998">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580995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651008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0638267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4652621">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82041887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517120">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cri/analyza-ctvrtletnich-sektorovych-uctu-3-ctvrtleti-2021" TargetMode="External"/><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trh%20pr&#225;ce-2021-celoro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st&#225;tn&#237;%20rozpo&#269;et-rok.20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Grafy-st&#225;tn&#237;%20rozpo&#269;et-rok.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Odv&#283;tv&#237;%20grafy-celorok-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Odv&#283;tv&#237;%20grafy-celorok-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Odv&#283;tv&#237;%20grafy-celorok-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Odv&#283;tv&#237;%20grafy-celorok-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celorok-2020\ENGL-Odv&#283;tv&#237;%20grafy-celorok-202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zabojnikova31519\Documents\Anal&#253;za\Q\2021\2021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1'!$C$21:$C$44</c:f>
              <c:numCache>
                <c:formatCode>#\ ##0.0</c:formatCode>
                <c:ptCount val="24"/>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-1.4789298016082597</c:v>
                </c:pt>
                <c:pt idx="17" formatCode="General">
                  <c:v>-10.941056198550214</c:v>
                </c:pt>
                <c:pt idx="18" formatCode="General">
                  <c:v>-5.4805373705362399</c:v>
                </c:pt>
                <c:pt idx="19" formatCode="General">
                  <c:v>-5.3144733686297201</c:v>
                </c:pt>
                <c:pt idx="20" formatCode="General">
                  <c:v>-2.3042313552889766</c:v>
                </c:pt>
                <c:pt idx="21" formatCode="General">
                  <c:v>8.7242439080352341</c:v>
                </c:pt>
                <c:pt idx="22" formatCode="General">
                  <c:v>3.488203641997913</c:v>
                </c:pt>
                <c:pt idx="23" formatCode="General">
                  <c:v>3.6144541768052392</c:v>
                </c:pt>
              </c:numCache>
            </c:numRef>
          </c:val>
          <c:extLst>
            <c:ext xmlns:c16="http://schemas.microsoft.com/office/drawing/2014/chart" uri="{C3380CC4-5D6E-409C-BE32-E72D297353CC}">
              <c16:uniqueId val="{00000000-D90C-49F5-9E25-70357880A7C5}"/>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1'!$D$21:$D$44</c:f>
              <c:numCache>
                <c:formatCode>#\ ##0.0</c:formatCode>
                <c:ptCount val="24"/>
                <c:pt idx="0">
                  <c:v>2.1</c:v>
                </c:pt>
                <c:pt idx="1">
                  <c:v>1.9</c:v>
                </c:pt>
                <c:pt idx="2">
                  <c:v>1.8</c:v>
                </c:pt>
                <c:pt idx="3">
                  <c:v>2.2000000000000002</c:v>
                </c:pt>
                <c:pt idx="4">
                  <c:v>2.4</c:v>
                </c:pt>
                <c:pt idx="5">
                  <c:v>2.9</c:v>
                </c:pt>
                <c:pt idx="6">
                  <c:v>3.2</c:v>
                </c:pt>
                <c:pt idx="7">
                  <c:v>3.2</c:v>
                </c:pt>
                <c:pt idx="8">
                  <c:v>2.6</c:v>
                </c:pt>
                <c:pt idx="9">
                  <c:v>2.2999999999999998</c:v>
                </c:pt>
                <c:pt idx="10">
                  <c:v>1.7</c:v>
                </c:pt>
                <c:pt idx="11">
                  <c:v>1.5</c:v>
                </c:pt>
                <c:pt idx="12">
                  <c:v>2.2000000000000002</c:v>
                </c:pt>
                <c:pt idx="13">
                  <c:v>1.8</c:v>
                </c:pt>
                <c:pt idx="14">
                  <c:v>2</c:v>
                </c:pt>
                <c:pt idx="15">
                  <c:v>1.4</c:v>
                </c:pt>
                <c:pt idx="16">
                  <c:v>-2.5</c:v>
                </c:pt>
                <c:pt idx="17">
                  <c:v>-13.7</c:v>
                </c:pt>
                <c:pt idx="18">
                  <c:v>-3.9</c:v>
                </c:pt>
                <c:pt idx="19">
                  <c:v>-4.0999999999999996</c:v>
                </c:pt>
                <c:pt idx="20">
                  <c:v>-1.1000000000000001</c:v>
                </c:pt>
                <c:pt idx="21">
                  <c:v>13.8</c:v>
                </c:pt>
                <c:pt idx="22">
                  <c:v>4.0999999999999996</c:v>
                </c:pt>
                <c:pt idx="23">
                  <c:v>4.8</c:v>
                </c:pt>
              </c:numCache>
            </c:numRef>
          </c:val>
          <c:extLst>
            <c:ext xmlns:c16="http://schemas.microsoft.com/office/drawing/2014/chart" uri="{C3380CC4-5D6E-409C-BE32-E72D297353CC}">
              <c16:uniqueId val="{00000001-D90C-49F5-9E25-70357880A7C5}"/>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1'!$E$21:$E$44</c:f>
              <c:numCache>
                <c:formatCode>#\ ##0.0</c:formatCode>
                <c:ptCount val="24"/>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-3.388171457551536</c:v>
                </c:pt>
                <c:pt idx="17" formatCode="General">
                  <c:v>-8.8937317507653688</c:v>
                </c:pt>
                <c:pt idx="18" formatCode="General">
                  <c:v>6.7135332233943217</c:v>
                </c:pt>
                <c:pt idx="19" formatCode="General">
                  <c:v>0.80580441346323539</c:v>
                </c:pt>
                <c:pt idx="20" formatCode="General">
                  <c:v>-0.31668845892609454</c:v>
                </c:pt>
                <c:pt idx="21" formatCode="General">
                  <c:v>1.3908817965672284</c:v>
                </c:pt>
                <c:pt idx="22" formatCode="General">
                  <c:v>1.5743265772535437</c:v>
                </c:pt>
                <c:pt idx="23" formatCode="General">
                  <c:v>0.92878255271963894</c:v>
                </c:pt>
              </c:numCache>
            </c:numRef>
          </c:val>
          <c:smooth val="0"/>
          <c:extLst>
            <c:ext xmlns:c16="http://schemas.microsoft.com/office/drawing/2014/chart" uri="{C3380CC4-5D6E-409C-BE32-E72D297353CC}">
              <c16:uniqueId val="{00000002-D90C-49F5-9E25-70357880A7C5}"/>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1'!$A$21:$B$44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1'!$F$21:$F$44</c:f>
              <c:numCache>
                <c:formatCode>#\ ##0.0</c:formatCode>
                <c:ptCount val="24"/>
                <c:pt idx="0">
                  <c:v>0.5</c:v>
                </c:pt>
                <c:pt idx="1">
                  <c:v>0.3</c:v>
                </c:pt>
                <c:pt idx="2">
                  <c:v>0.5</c:v>
                </c:pt>
                <c:pt idx="3">
                  <c:v>0.8</c:v>
                </c:pt>
                <c:pt idx="4">
                  <c:v>0.7</c:v>
                </c:pt>
                <c:pt idx="5">
                  <c:v>0.9</c:v>
                </c:pt>
                <c:pt idx="6">
                  <c:v>0.7</c:v>
                </c:pt>
                <c:pt idx="7">
                  <c:v>0.9</c:v>
                </c:pt>
                <c:pt idx="8">
                  <c:v>0.2</c:v>
                </c:pt>
                <c:pt idx="9">
                  <c:v>0.6</c:v>
                </c:pt>
                <c:pt idx="10">
                  <c:v>0.1</c:v>
                </c:pt>
                <c:pt idx="11">
                  <c:v>0.6</c:v>
                </c:pt>
                <c:pt idx="12">
                  <c:v>0.8</c:v>
                </c:pt>
                <c:pt idx="13">
                  <c:v>0.2</c:v>
                </c:pt>
                <c:pt idx="14">
                  <c:v>0.3</c:v>
                </c:pt>
                <c:pt idx="15">
                  <c:v>0</c:v>
                </c:pt>
                <c:pt idx="16">
                  <c:v>-3.1</c:v>
                </c:pt>
                <c:pt idx="17">
                  <c:v>-11.3</c:v>
                </c:pt>
                <c:pt idx="18">
                  <c:v>11.7</c:v>
                </c:pt>
                <c:pt idx="19">
                  <c:v>-0.2</c:v>
                </c:pt>
                <c:pt idx="20">
                  <c:v>0</c:v>
                </c:pt>
                <c:pt idx="21">
                  <c:v>2.1</c:v>
                </c:pt>
                <c:pt idx="22">
                  <c:v>2.2000000000000002</c:v>
                </c:pt>
                <c:pt idx="23">
                  <c:v>0.4</c:v>
                </c:pt>
              </c:numCache>
            </c:numRef>
          </c:val>
          <c:smooth val="0"/>
          <c:extLst>
            <c:ext xmlns:c16="http://schemas.microsoft.com/office/drawing/2014/chart" uri="{C3380CC4-5D6E-409C-BE32-E72D297353CC}">
              <c16:uniqueId val="{00000003-D90C-49F5-9E25-70357880A7C5}"/>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5344337498592808"/>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-126.11199999999999</c:v>
                </c:pt>
                <c:pt idx="1">
                  <c:v>-45.085000000000001</c:v>
                </c:pt>
                <c:pt idx="2">
                  <c:v>-33.119999999999997</c:v>
                </c:pt>
                <c:pt idx="3">
                  <c:v>-21.491</c:v>
                </c:pt>
                <c:pt idx="4">
                  <c:v>-111.01600000000001</c:v>
                </c:pt>
                <c:pt idx="5">
                  <c:v>-53.835999999999999</c:v>
                </c:pt>
                <c:pt idx="6">
                  <c:v>23.349</c:v>
                </c:pt>
                <c:pt idx="7">
                  <c:v>-123.27200000000001</c:v>
                </c:pt>
                <c:pt idx="8">
                  <c:v>56.374000000000002</c:v>
                </c:pt>
                <c:pt idx="9">
                  <c:v>-27.954000000000001</c:v>
                </c:pt>
                <c:pt idx="10">
                  <c:v>40.701000000000001</c:v>
                </c:pt>
                <c:pt idx="11">
                  <c:v>62.975999999999999</c:v>
                </c:pt>
                <c:pt idx="12">
                  <c:v>460.68099999999998</c:v>
                </c:pt>
              </c:numCache>
            </c:numRef>
          </c:val>
          <c:extLst>
            <c:ext xmlns:c16="http://schemas.microsoft.com/office/drawing/2014/chart" uri="{C3380CC4-5D6E-409C-BE32-E72D297353CC}">
              <c16:uniqueId val="{00000000-701E-47C5-AA22-9AE146F0D421}"/>
            </c:ext>
          </c:extLst>
        </c:ser>
        <c:ser>
          <c:idx val="1"/>
          <c:order val="1"/>
          <c:tx>
            <c:strRef>
              <c:f>'Vnější vztahy 2'!$A$7</c:f>
              <c:strCache>
                <c:ptCount val="1"/>
                <c:pt idx="0">
                  <c:v>2020</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-70.386606572000005</c:v>
                </c:pt>
                <c:pt idx="1">
                  <c:v>-41.686416247000004</c:v>
                </c:pt>
                <c:pt idx="2">
                  <c:v>-30.733766071999998</c:v>
                </c:pt>
                <c:pt idx="3">
                  <c:v>-20.266417795999999</c:v>
                </c:pt>
                <c:pt idx="4">
                  <c:v>-106.387413786</c:v>
                </c:pt>
                <c:pt idx="5">
                  <c:v>-60.132257740000007</c:v>
                </c:pt>
                <c:pt idx="6">
                  <c:v>24.783674908999998</c:v>
                </c:pt>
                <c:pt idx="7">
                  <c:v>-101.06324926800002</c:v>
                </c:pt>
                <c:pt idx="8">
                  <c:v>56.627028986000006</c:v>
                </c:pt>
                <c:pt idx="9">
                  <c:v>-37.592877434999998</c:v>
                </c:pt>
                <c:pt idx="10">
                  <c:v>19.191334680000001</c:v>
                </c:pt>
                <c:pt idx="11">
                  <c:v>61.933452646000006</c:v>
                </c:pt>
                <c:pt idx="12">
                  <c:v>426.22775747700007</c:v>
                </c:pt>
              </c:numCache>
            </c:numRef>
          </c:val>
          <c:extLst>
            <c:ext xmlns:c16="http://schemas.microsoft.com/office/drawing/2014/chart" uri="{C3380CC4-5D6E-409C-BE32-E72D297353CC}">
              <c16:uniqueId val="{00000001-701E-47C5-AA22-9AE146F0D421}"/>
            </c:ext>
          </c:extLst>
        </c:ser>
        <c:ser>
          <c:idx val="2"/>
          <c:order val="2"/>
          <c:tx>
            <c:strRef>
              <c:f>'Vnější vztahy 2'!$A$8</c:f>
              <c:strCache>
                <c:ptCount val="1"/>
                <c:pt idx="0">
                  <c:v>2021</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-153.80449207699999</c:v>
                </c:pt>
                <c:pt idx="1">
                  <c:v>-42.672799470999998</c:v>
                </c:pt>
                <c:pt idx="2">
                  <c:v>-33.627816335000006</c:v>
                </c:pt>
                <c:pt idx="3">
                  <c:v>-26.458938961000001</c:v>
                </c:pt>
                <c:pt idx="4">
                  <c:v>-131.88186591199997</c:v>
                </c:pt>
                <c:pt idx="5">
                  <c:v>-73.902618015000002</c:v>
                </c:pt>
                <c:pt idx="6">
                  <c:v>26.168679770999997</c:v>
                </c:pt>
                <c:pt idx="7">
                  <c:v>-157.50628654999997</c:v>
                </c:pt>
                <c:pt idx="8">
                  <c:v>68.142095011999984</c:v>
                </c:pt>
                <c:pt idx="9">
                  <c:v>-51.280550011000003</c:v>
                </c:pt>
                <c:pt idx="10">
                  <c:v>-0.46595886500000006</c:v>
                </c:pt>
                <c:pt idx="11">
                  <c:v>57.198855986999995</c:v>
                </c:pt>
                <c:pt idx="12">
                  <c:v>431.87557210600005</c:v>
                </c:pt>
              </c:numCache>
            </c:numRef>
          </c:val>
          <c:extLst>
            <c:ext xmlns:c16="http://schemas.microsoft.com/office/drawing/2014/chart" uri="{C3380CC4-5D6E-409C-BE32-E72D297353CC}">
              <c16:uniqueId val="{00000002-701E-47C5-AA22-9AE146F0D421}"/>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48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40"/>
      </c:valAx>
      <c:spPr>
        <a:ln>
          <a:solidFill>
            <a:schemeClr val="tx1"/>
          </a:solidFill>
        </a:ln>
      </c:spPr>
    </c:plotArea>
    <c:legend>
      <c:legendPos val="b"/>
      <c:layout>
        <c:manualLayout>
          <c:xMode val="edge"/>
          <c:yMode val="edge"/>
          <c:x val="6.3915062478892268E-2"/>
          <c:y val="0.92914358887763138"/>
          <c:w val="0.92759477372509291"/>
          <c:h val="5.6635990093436901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2'!$C$22:$C$45</c:f>
              <c:numCache>
                <c:formatCode>0.0</c:formatCode>
                <c:ptCount val="24"/>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pt idx="22">
                  <c:v>4.0999999999999996</c:v>
                </c:pt>
                <c:pt idx="23">
                  <c:v>6.1</c:v>
                </c:pt>
              </c:numCache>
            </c:numRef>
          </c:val>
          <c:extLst>
            <c:ext xmlns:c16="http://schemas.microsoft.com/office/drawing/2014/chart" uri="{C3380CC4-5D6E-409C-BE32-E72D297353CC}">
              <c16:uniqueId val="{00000000-E65F-48BA-9CEB-BE5F5CBBB794}"/>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2'!$D$22:$D$45</c:f>
              <c:numCache>
                <c:formatCode>0.0</c:formatCode>
                <c:ptCount val="24"/>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pt idx="22">
                  <c:v>1.4</c:v>
                </c:pt>
                <c:pt idx="23">
                  <c:v>2.2999999999999998</c:v>
                </c:pt>
              </c:numCache>
            </c:numRef>
          </c:val>
          <c:smooth val="0"/>
          <c:extLst>
            <c:ext xmlns:c16="http://schemas.microsoft.com/office/drawing/2014/chart" uri="{C3380CC4-5D6E-409C-BE32-E72D297353CC}">
              <c16:uniqueId val="{00000001-E65F-48BA-9CEB-BE5F5CBBB794}"/>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2'!$F$22:$F$45</c:f>
              <c:numCache>
                <c:formatCode>0.0</c:formatCode>
                <c:ptCount val="24"/>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pt idx="22">
                  <c:v>3.6</c:v>
                </c:pt>
                <c:pt idx="23">
                  <c:v>5.6</c:v>
                </c:pt>
              </c:numCache>
            </c:numRef>
          </c:val>
          <c:smooth val="0"/>
          <c:extLst>
            <c:ext xmlns:c16="http://schemas.microsoft.com/office/drawing/2014/chart" uri="{C3380CC4-5D6E-409C-BE32-E72D297353CC}">
              <c16:uniqueId val="{00000002-E65F-48BA-9CEB-BE5F5CBBB794}"/>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2'!$G$22:$G$45</c:f>
              <c:numCache>
                <c:formatCode>General</c:formatCode>
                <c:ptCount val="24"/>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pt idx="22" formatCode="0.0">
                  <c:v>8.8000000000000007</c:v>
                </c:pt>
                <c:pt idx="23" formatCode="0.0">
                  <c:v>13.1</c:v>
                </c:pt>
              </c:numCache>
            </c:numRef>
          </c:val>
          <c:smooth val="0"/>
          <c:extLst>
            <c:ext xmlns:c16="http://schemas.microsoft.com/office/drawing/2014/chart" uri="{C3380CC4-5D6E-409C-BE32-E72D297353CC}">
              <c16:uniqueId val="{00000003-E65F-48BA-9CEB-BE5F5CBBB794}"/>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2'!$E$22:$E$45</c:f>
              <c:numCache>
                <c:formatCode>0.0</c:formatCode>
                <c:ptCount val="24"/>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pt idx="22">
                  <c:v>6.5</c:v>
                </c:pt>
                <c:pt idx="23">
                  <c:v>7.7</c:v>
                </c:pt>
              </c:numCache>
            </c:numRef>
          </c:val>
          <c:smooth val="0"/>
          <c:extLst>
            <c:ext xmlns:c16="http://schemas.microsoft.com/office/drawing/2014/chart" uri="{C3380CC4-5D6E-409C-BE32-E72D297353CC}">
              <c16:uniqueId val="{00000004-E65F-48BA-9CEB-BE5F5CBBB794}"/>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2'!$H$22:$H$45</c:f>
              <c:numCache>
                <c:formatCode>###\ ###\ ##0.0</c:formatCode>
                <c:ptCount val="24"/>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pt idx="22" formatCode="0.0">
                  <c:v>4.5999999999999996</c:v>
                </c:pt>
                <c:pt idx="23" formatCode="0.0">
                  <c:v>6.8</c:v>
                </c:pt>
              </c:numCache>
            </c:numRef>
          </c:val>
          <c:smooth val="0"/>
          <c:extLst xmlns:c15="http://schemas.microsoft.com/office/drawing/2012/chart">
            <c:ext xmlns:c16="http://schemas.microsoft.com/office/drawing/2014/chart" uri="{C3380CC4-5D6E-409C-BE32-E72D297353CC}">
              <c16:uniqueId val="{00000005-E65F-48BA-9CEB-BE5F5CBBB794}"/>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1'!$C$22:$C$45</c:f>
              <c:numCache>
                <c:formatCode>General</c:formatCode>
                <c:ptCount val="24"/>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pt idx="22">
                  <c:v>21.299999999999997</c:v>
                </c:pt>
                <c:pt idx="23">
                  <c:v>25.200000000000003</c:v>
                </c:pt>
              </c:numCache>
            </c:numRef>
          </c:val>
          <c:extLst>
            <c:ext xmlns:c16="http://schemas.microsoft.com/office/drawing/2014/chart" uri="{C3380CC4-5D6E-409C-BE32-E72D297353CC}">
              <c16:uniqueId val="{00000000-23E8-4983-B16F-39AC504A1C6A}"/>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1'!$D$22:$D$45</c:f>
              <c:numCache>
                <c:formatCode>General</c:formatCode>
                <c:ptCount val="24"/>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pt idx="22">
                  <c:v>16.599999999999994</c:v>
                </c:pt>
                <c:pt idx="23">
                  <c:v>20</c:v>
                </c:pt>
              </c:numCache>
            </c:numRef>
          </c:val>
          <c:extLst>
            <c:ext xmlns:c16="http://schemas.microsoft.com/office/drawing/2014/chart" uri="{C3380CC4-5D6E-409C-BE32-E72D297353CC}">
              <c16:uniqueId val="{00000001-23E8-4983-B16F-39AC504A1C6A}"/>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1'!$E$22:$E$45</c:f>
              <c:numCache>
                <c:formatCode>0.0</c:formatCode>
                <c:ptCount val="24"/>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pt idx="22" formatCode="General">
                  <c:v>9.3205051112447421</c:v>
                </c:pt>
                <c:pt idx="23" formatCode="General">
                  <c:v>12.433392539964473</c:v>
                </c:pt>
              </c:numCache>
            </c:numRef>
          </c:val>
          <c:smooth val="0"/>
          <c:extLst>
            <c:ext xmlns:c16="http://schemas.microsoft.com/office/drawing/2014/chart" uri="{C3380CC4-5D6E-409C-BE32-E72D297353CC}">
              <c16:uniqueId val="{00000002-23E8-4983-B16F-39AC504A1C6A}"/>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1'!$F$22:$F$45</c:f>
              <c:numCache>
                <c:formatCode>0.0</c:formatCode>
                <c:ptCount val="24"/>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pt idx="22" formatCode="General">
                  <c:v>6.2466343564889826</c:v>
                </c:pt>
                <c:pt idx="23" formatCode="General">
                  <c:v>9.1443850267379503</c:v>
                </c:pt>
              </c:numCache>
            </c:numRef>
          </c:val>
          <c:smooth val="0"/>
          <c:extLst>
            <c:ext xmlns:c16="http://schemas.microsoft.com/office/drawing/2014/chart" uri="{C3380CC4-5D6E-409C-BE32-E72D297353CC}">
              <c16:uniqueId val="{00000003-23E8-4983-B16F-39AC504A1C6A}"/>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91875683435012978"/>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4'!$C$42:$C$113</c:f>
              <c:numCache>
                <c:formatCode>0.0</c:formatCode>
                <c:ptCount val="72"/>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pt idx="66" formatCode="General">
                  <c:v>7.8</c:v>
                </c:pt>
                <c:pt idx="67" formatCode="General">
                  <c:v>9.3000000000000007</c:v>
                </c:pt>
                <c:pt idx="68" formatCode="General">
                  <c:v>9.9</c:v>
                </c:pt>
                <c:pt idx="69" formatCode="General">
                  <c:v>11.6</c:v>
                </c:pt>
                <c:pt idx="70" formatCode="General">
                  <c:v>13.5</c:v>
                </c:pt>
                <c:pt idx="71" formatCode="General">
                  <c:v>13.2</c:v>
                </c:pt>
              </c:numCache>
            </c:numRef>
          </c:val>
          <c:extLst>
            <c:ext xmlns:c16="http://schemas.microsoft.com/office/drawing/2014/chart" uri="{C3380CC4-5D6E-409C-BE32-E72D297353CC}">
              <c16:uniqueId val="{00000000-1970-48C2-9B3D-D890D8F90E50}"/>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4'!$D$42:$D$113</c:f>
              <c:numCache>
                <c:formatCode>0.0</c:formatCode>
                <c:ptCount val="72"/>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pt idx="66" formatCode="General">
                  <c:v>2</c:v>
                </c:pt>
                <c:pt idx="67" formatCode="General">
                  <c:v>3.6</c:v>
                </c:pt>
                <c:pt idx="68" formatCode="General">
                  <c:v>4.3</c:v>
                </c:pt>
                <c:pt idx="69" formatCode="General">
                  <c:v>12.7</c:v>
                </c:pt>
                <c:pt idx="70" formatCode="General">
                  <c:v>14</c:v>
                </c:pt>
                <c:pt idx="71" formatCode="General">
                  <c:v>14.6</c:v>
                </c:pt>
              </c:numCache>
            </c:numRef>
          </c:val>
          <c:smooth val="0"/>
          <c:extLst>
            <c:ext xmlns:c16="http://schemas.microsoft.com/office/drawing/2014/chart" uri="{C3380CC4-5D6E-409C-BE32-E72D297353CC}">
              <c16:uniqueId val="{00000001-1970-48C2-9B3D-D890D8F90E50}"/>
            </c:ext>
          </c:extLst>
        </c:ser>
        <c:ser>
          <c:idx val="2"/>
          <c:order val="2"/>
          <c:tx>
            <c:strRef>
              <c:f>'Ceny 4'!$E$5</c:f>
              <c:strCache>
                <c:ptCount val="1"/>
                <c:pt idx="0">
                  <c:v>Manufacturing</c:v>
                </c:pt>
              </c:strCache>
            </c:strRef>
          </c:tx>
          <c:spPr>
            <a:ln w="19050">
              <a:solidFill>
                <a:srgbClr val="BD1B2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4'!$E$42:$E$113</c:f>
              <c:numCache>
                <c:formatCode>0.0</c:formatCode>
                <c:ptCount val="72"/>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pt idx="66" formatCode="General">
                  <c:v>9.5</c:v>
                </c:pt>
                <c:pt idx="67" formatCode="General">
                  <c:v>11.4</c:v>
                </c:pt>
                <c:pt idx="68" formatCode="General">
                  <c:v>12</c:v>
                </c:pt>
                <c:pt idx="69" formatCode="General">
                  <c:v>13.4</c:v>
                </c:pt>
                <c:pt idx="70" formatCode="General">
                  <c:v>15.4</c:v>
                </c:pt>
                <c:pt idx="71" formatCode="General">
                  <c:v>14.7</c:v>
                </c:pt>
              </c:numCache>
            </c:numRef>
          </c:val>
          <c:smooth val="0"/>
          <c:extLst>
            <c:ext xmlns:c16="http://schemas.microsoft.com/office/drawing/2014/chart" uri="{C3380CC4-5D6E-409C-BE32-E72D297353CC}">
              <c16:uniqueId val="{00000002-1970-48C2-9B3D-D890D8F90E50}"/>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4'!$F$42:$F$113</c:f>
              <c:numCache>
                <c:formatCode>0.0</c:formatCode>
                <c:ptCount val="72"/>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pt idx="66" formatCode="General">
                  <c:v>0.5</c:v>
                </c:pt>
                <c:pt idx="67" formatCode="General">
                  <c:v>0.7</c:v>
                </c:pt>
                <c:pt idx="68" formatCode="General">
                  <c:v>1.2</c:v>
                </c:pt>
                <c:pt idx="69" formatCode="General">
                  <c:v>3.7</c:v>
                </c:pt>
                <c:pt idx="70" formatCode="General">
                  <c:v>5.6</c:v>
                </c:pt>
                <c:pt idx="71" formatCode="General">
                  <c:v>7.1</c:v>
                </c:pt>
              </c:numCache>
            </c:numRef>
          </c:val>
          <c:smooth val="0"/>
          <c:extLst>
            <c:ext xmlns:c16="http://schemas.microsoft.com/office/drawing/2014/chart" uri="{C3380CC4-5D6E-409C-BE32-E72D297353CC}">
              <c16:uniqueId val="{00000003-1970-48C2-9B3D-D890D8F90E50}"/>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4'!$G$42:$G$113</c:f>
              <c:numCache>
                <c:formatCode>General</c:formatCode>
                <c:ptCount val="72"/>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pt idx="66">
                  <c:v>5.9</c:v>
                </c:pt>
                <c:pt idx="67">
                  <c:v>5.9</c:v>
                </c:pt>
                <c:pt idx="68">
                  <c:v>5.9</c:v>
                </c:pt>
                <c:pt idx="69">
                  <c:v>5.9</c:v>
                </c:pt>
                <c:pt idx="70">
                  <c:v>5.9</c:v>
                </c:pt>
                <c:pt idx="71">
                  <c:v>5.9</c:v>
                </c:pt>
              </c:numCache>
            </c:numRef>
          </c:val>
          <c:smooth val="0"/>
          <c:extLst>
            <c:ext xmlns:c16="http://schemas.microsoft.com/office/drawing/2014/chart" uri="{C3380CC4-5D6E-409C-BE32-E72D297353CC}">
              <c16:uniqueId val="{00000004-1970-48C2-9B3D-D890D8F90E50}"/>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6"/>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4079148283408278"/>
          <c:w val="0.91973570327837706"/>
          <c:h val="0.1425417801327112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1-SNÚ'!$AC$28:$AC$56</c:f>
              <c:numCache>
                <c:formatCode>#\ ##0.0</c:formatCode>
                <c:ptCount val="29"/>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-0.11129581706934633</c:v>
                </c:pt>
                <c:pt idx="21">
                  <c:v>-3.5239401139523695E-2</c:v>
                </c:pt>
                <c:pt idx="22">
                  <c:v>5.2608204632653276E-2</c:v>
                </c:pt>
                <c:pt idx="23">
                  <c:v>4.4272879849206082E-2</c:v>
                </c:pt>
                <c:pt idx="24">
                  <c:v>1.206569744457428E-2</c:v>
                </c:pt>
                <c:pt idx="25">
                  <c:v>-5.8581505694808828E-2</c:v>
                </c:pt>
                <c:pt idx="26">
                  <c:v>-8.8950126067353225E-2</c:v>
                </c:pt>
                <c:pt idx="27">
                  <c:v>-3.8876259187133444E-2</c:v>
                </c:pt>
              </c:numCache>
            </c:numRef>
          </c:val>
          <c:extLst>
            <c:ext xmlns:c16="http://schemas.microsoft.com/office/drawing/2014/chart" uri="{C3380CC4-5D6E-409C-BE32-E72D297353CC}">
              <c16:uniqueId val="{00000000-932E-48DF-9AA9-1CEA53F9AD11}"/>
            </c:ext>
          </c:extLst>
        </c:ser>
        <c:ser>
          <c:idx val="1"/>
          <c:order val="1"/>
          <c:tx>
            <c:strRef>
              <c:f>'Trh práce 1-SNÚ'!$AD$7</c:f>
              <c:strCache>
                <c:ptCount val="1"/>
                <c:pt idx="0">
                  <c:v>Manufacturing</c:v>
                </c:pt>
              </c:strCache>
            </c:strRef>
          </c:tx>
          <c:spPr>
            <a:solidFill>
              <a:srgbClr val="A6CDE8"/>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1-SNÚ'!$AD$28:$AD$56</c:f>
              <c:numCache>
                <c:formatCode>#\ ##0.0</c:formatCode>
                <c:ptCount val="29"/>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-0.94324538896959975</c:v>
                </c:pt>
                <c:pt idx="21">
                  <c:v>-1.2295778121418588</c:v>
                </c:pt>
                <c:pt idx="22">
                  <c:v>-1.234377103936751</c:v>
                </c:pt>
                <c:pt idx="23">
                  <c:v>-1.0657457809109596</c:v>
                </c:pt>
                <c:pt idx="24">
                  <c:v>-0.57049805382709806</c:v>
                </c:pt>
                <c:pt idx="25">
                  <c:v>-0.15973874374756808</c:v>
                </c:pt>
                <c:pt idx="26">
                  <c:v>5.7756657199897851E-2</c:v>
                </c:pt>
                <c:pt idx="27">
                  <c:v>0.18206387854158756</c:v>
                </c:pt>
              </c:numCache>
            </c:numRef>
          </c:val>
          <c:extLst>
            <c:ext xmlns:c16="http://schemas.microsoft.com/office/drawing/2014/chart" uri="{C3380CC4-5D6E-409C-BE32-E72D297353CC}">
              <c16:uniqueId val="{00000001-932E-48DF-9AA9-1CEA53F9AD11}"/>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1-SNÚ'!$AE$28:$AE$56</c:f>
              <c:numCache>
                <c:formatCode>#\ ##0.0</c:formatCode>
                <c:ptCount val="29"/>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0.2163727572715346</c:v>
                </c:pt>
                <c:pt idx="21">
                  <c:v>-8.4471727588227696E-3</c:v>
                </c:pt>
                <c:pt idx="22">
                  <c:v>7.7604469929050512E-2</c:v>
                </c:pt>
                <c:pt idx="23">
                  <c:v>0.12629596568001819</c:v>
                </c:pt>
                <c:pt idx="24">
                  <c:v>-5.7659577189048523E-2</c:v>
                </c:pt>
                <c:pt idx="25">
                  <c:v>0.15744952411439489</c:v>
                </c:pt>
                <c:pt idx="26">
                  <c:v>-3.7042244280103262E-2</c:v>
                </c:pt>
                <c:pt idx="27">
                  <c:v>6.0342141261348799E-2</c:v>
                </c:pt>
              </c:numCache>
            </c:numRef>
          </c:val>
          <c:extLst>
            <c:ext xmlns:c16="http://schemas.microsoft.com/office/drawing/2014/chart" uri="{C3380CC4-5D6E-409C-BE32-E72D297353CC}">
              <c16:uniqueId val="{00000002-932E-48DF-9AA9-1CEA53F9AD11}"/>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1-SNÚ'!$AF$28:$AF$56</c:f>
              <c:numCache>
                <c:formatCode>#\ ##0.0</c:formatCode>
                <c:ptCount val="29"/>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-0.40407980401338806</c:v>
                </c:pt>
                <c:pt idx="21">
                  <c:v>-0.94494481700761324</c:v>
                </c:pt>
                <c:pt idx="22">
                  <c:v>-0.75454827954039783</c:v>
                </c:pt>
                <c:pt idx="23">
                  <c:v>-1.2550326678789345</c:v>
                </c:pt>
                <c:pt idx="24">
                  <c:v>-1.1433499380312484</c:v>
                </c:pt>
                <c:pt idx="25">
                  <c:v>-0.49829931621759876</c:v>
                </c:pt>
                <c:pt idx="26">
                  <c:v>-0.15152452455266935</c:v>
                </c:pt>
                <c:pt idx="27">
                  <c:v>0.26626747922638316</c:v>
                </c:pt>
              </c:numCache>
            </c:numRef>
          </c:val>
          <c:extLst>
            <c:ext xmlns:c16="http://schemas.microsoft.com/office/drawing/2014/chart" uri="{C3380CC4-5D6E-409C-BE32-E72D297353CC}">
              <c16:uniqueId val="{00000003-932E-48DF-9AA9-1CEA53F9AD11}"/>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1-SNÚ'!$AG$28:$AG$56</c:f>
              <c:numCache>
                <c:formatCode>#\ ##0.0</c:formatCode>
                <c:ptCount val="29"/>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0.2038062102293188</c:v>
                </c:pt>
                <c:pt idx="21">
                  <c:v>0.15911902598956371</c:v>
                </c:pt>
                <c:pt idx="22">
                  <c:v>0.16845309221485091</c:v>
                </c:pt>
                <c:pt idx="23">
                  <c:v>0.13904566814076619</c:v>
                </c:pt>
                <c:pt idx="24">
                  <c:v>0.11098217557313486</c:v>
                </c:pt>
                <c:pt idx="25">
                  <c:v>0.16790112522650527</c:v>
                </c:pt>
                <c:pt idx="26">
                  <c:v>0.11245770416818798</c:v>
                </c:pt>
                <c:pt idx="27">
                  <c:v>4.3610825444275837E-2</c:v>
                </c:pt>
              </c:numCache>
            </c:numRef>
          </c:val>
          <c:extLst>
            <c:ext xmlns:c16="http://schemas.microsoft.com/office/drawing/2014/chart" uri="{C3380CC4-5D6E-409C-BE32-E72D297353CC}">
              <c16:uniqueId val="{00000004-932E-48DF-9AA9-1CEA53F9AD11}"/>
            </c:ext>
          </c:extLst>
        </c:ser>
        <c:ser>
          <c:idx val="5"/>
          <c:order val="5"/>
          <c:tx>
            <c:strRef>
              <c:f>'Trh práce 1-SNÚ'!$AH$7</c:f>
              <c:strCache>
                <c:ptCount val="1"/>
                <c:pt idx="0">
                  <c:v>Professional, scientific,technic.,admin. act.</c:v>
                </c:pt>
              </c:strCache>
            </c:strRef>
          </c:tx>
          <c:spPr>
            <a:solidFill>
              <a:srgbClr val="E8C0BE"/>
            </a:solidFill>
            <a:ln w="19050">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1-SNÚ'!$AH$28:$AH$56</c:f>
              <c:numCache>
                <c:formatCode>#\ ##0.0</c:formatCode>
                <c:ptCount val="29"/>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-0.16421146757214683</c:v>
                </c:pt>
                <c:pt idx="21">
                  <c:v>-0.27534110509954046</c:v>
                </c:pt>
                <c:pt idx="22">
                  <c:v>-0.39281161197175457</c:v>
                </c:pt>
                <c:pt idx="23">
                  <c:v>-0.22225133506938682</c:v>
                </c:pt>
                <c:pt idx="24">
                  <c:v>-0.23006375173502383</c:v>
                </c:pt>
                <c:pt idx="25">
                  <c:v>0.11667514491041682</c:v>
                </c:pt>
                <c:pt idx="26">
                  <c:v>0.19334701796810982</c:v>
                </c:pt>
                <c:pt idx="27">
                  <c:v>9.1484646801357192E-2</c:v>
                </c:pt>
              </c:numCache>
            </c:numRef>
          </c:val>
          <c:extLst>
            <c:ext xmlns:c16="http://schemas.microsoft.com/office/drawing/2014/chart" uri="{C3380CC4-5D6E-409C-BE32-E72D297353CC}">
              <c16:uniqueId val="{00000005-932E-48DF-9AA9-1CEA53F9AD11}"/>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1-SNÚ'!$AI$28:$AI$56</c:f>
              <c:numCache>
                <c:formatCode>#\ ##0.0</c:formatCode>
                <c:ptCount val="29"/>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0.39758494148644485</c:v>
                </c:pt>
                <c:pt idx="21">
                  <c:v>0.34783988347308897</c:v>
                </c:pt>
                <c:pt idx="22">
                  <c:v>0.48822845370744922</c:v>
                </c:pt>
                <c:pt idx="23">
                  <c:v>0.42506399334354628</c:v>
                </c:pt>
                <c:pt idx="24">
                  <c:v>0.43959172348757725</c:v>
                </c:pt>
                <c:pt idx="25">
                  <c:v>0.55815678039647132</c:v>
                </c:pt>
                <c:pt idx="26">
                  <c:v>0.54342996935015864</c:v>
                </c:pt>
                <c:pt idx="27">
                  <c:v>0.59746076346106969</c:v>
                </c:pt>
              </c:numCache>
            </c:numRef>
          </c:val>
          <c:extLst>
            <c:ext xmlns:c16="http://schemas.microsoft.com/office/drawing/2014/chart" uri="{C3380CC4-5D6E-409C-BE32-E72D297353CC}">
              <c16:uniqueId val="{00000006-932E-48DF-9AA9-1CEA53F9AD11}"/>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1-SNÚ'!$AJ$28:$AJ$56</c:f>
              <c:numCache>
                <c:formatCode>#\ ##0.0</c:formatCode>
                <c:ptCount val="29"/>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7.6392830628521424E-2</c:v>
                </c:pt>
                <c:pt idx="21">
                  <c:v>-0.14874369423144443</c:v>
                </c:pt>
                <c:pt idx="22">
                  <c:v>-0.14330946500071517</c:v>
                </c:pt>
                <c:pt idx="23">
                  <c:v>-0.23261739750486451</c:v>
                </c:pt>
                <c:pt idx="24">
                  <c:v>-0.19227272701999015</c:v>
                </c:pt>
                <c:pt idx="25">
                  <c:v>9.9262064422017543E-3</c:v>
                </c:pt>
                <c:pt idx="26">
                  <c:v>-5.6219479046573727E-2</c:v>
                </c:pt>
                <c:pt idx="27">
                  <c:v>6.4039252760950044E-2</c:v>
                </c:pt>
              </c:numCache>
            </c:numRef>
          </c:val>
          <c:extLst>
            <c:ext xmlns:c16="http://schemas.microsoft.com/office/drawing/2014/chart" uri="{C3380CC4-5D6E-409C-BE32-E72D297353CC}">
              <c16:uniqueId val="{00000007-932E-48DF-9AA9-1CEA53F9AD11}"/>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22225">
              <a:solidFill>
                <a:schemeClr val="tx1">
                  <a:lumMod val="95000"/>
                  <a:lumOff val="5000"/>
                </a:schemeClr>
              </a:solid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1-SNÚ'!$AK$28:$AK$56</c:f>
              <c:numCache>
                <c:formatCode>#\ ##0.0</c:formatCode>
                <c:ptCount val="29"/>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-0.72867573800866126</c:v>
                </c:pt>
                <c:pt idx="21">
                  <c:v>-2.1353350929161508</c:v>
                </c:pt>
                <c:pt idx="22">
                  <c:v>-1.7381522399656149</c:v>
                </c:pt>
                <c:pt idx="23">
                  <c:v>-2.0409686743506086</c:v>
                </c:pt>
                <c:pt idx="24">
                  <c:v>-1.6312044512971227</c:v>
                </c:pt>
                <c:pt idx="25">
                  <c:v>0.29348921543001438</c:v>
                </c:pt>
                <c:pt idx="26">
                  <c:v>0.5732549747396547</c:v>
                </c:pt>
                <c:pt idx="27">
                  <c:v>1.2663927283098388</c:v>
                </c:pt>
              </c:numCache>
            </c:numRef>
          </c:val>
          <c:smooth val="0"/>
          <c:extLst>
            <c:ext xmlns:c16="http://schemas.microsoft.com/office/drawing/2014/chart" uri="{C3380CC4-5D6E-409C-BE32-E72D297353CC}">
              <c16:uniqueId val="{00000008-932E-48DF-9AA9-1CEA53F9AD11}"/>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1-SNÚ'!$AL$28:$AL$56</c:f>
              <c:numCache>
                <c:formatCode>General</c:formatCode>
                <c:ptCount val="29"/>
              </c:numCache>
            </c:numRef>
          </c:val>
          <c:smooth val="0"/>
          <c:extLst>
            <c:ext xmlns:c16="http://schemas.microsoft.com/office/drawing/2014/chart" uri="{C3380CC4-5D6E-409C-BE32-E72D297353CC}">
              <c16:uniqueId val="{00000009-932E-48DF-9AA9-1CEA53F9AD11}"/>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1-SNÚ'!$AM$28:$AM$56</c:f>
              <c:numCache>
                <c:formatCode>General</c:formatCode>
                <c:ptCount val="29"/>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c:v>6.4</c:v>
                </c:pt>
                <c:pt idx="27">
                  <c:v>2.9</c:v>
                </c:pt>
                <c:pt idx="28">
                  <c:v>8.1999999999999993</c:v>
                </c:pt>
              </c:numCache>
            </c:numRef>
          </c:val>
          <c:smooth val="0"/>
          <c:extLst>
            <c:ext xmlns:c16="http://schemas.microsoft.com/office/drawing/2014/chart" uri="{C3380CC4-5D6E-409C-BE32-E72D297353CC}">
              <c16:uniqueId val="{0000000A-932E-48DF-9AA9-1CEA53F9AD11}"/>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1-SNÚ'!$AN$28:$AN$56</c:f>
              <c:numCache>
                <c:formatCode>General</c:formatCode>
                <c:ptCount val="29"/>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c:v>3</c:v>
                </c:pt>
                <c:pt idx="27">
                  <c:v>8.4</c:v>
                </c:pt>
                <c:pt idx="28">
                  <c:v>10.3</c:v>
                </c:pt>
              </c:numCache>
            </c:numRef>
          </c:val>
          <c:smooth val="0"/>
          <c:extLst>
            <c:ext xmlns:c16="http://schemas.microsoft.com/office/drawing/2014/chart" uri="{C3380CC4-5D6E-409C-BE32-E72D297353CC}">
              <c16:uniqueId val="{0000000B-932E-48DF-9AA9-1CEA53F9AD11}"/>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1-SNÚ'!$AO$28:$AO$56</c:f>
              <c:numCache>
                <c:formatCode>General</c:formatCode>
                <c:ptCount val="29"/>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c:v>10.199999999999999</c:v>
                </c:pt>
                <c:pt idx="27">
                  <c:v>11.7</c:v>
                </c:pt>
                <c:pt idx="28">
                  <c:v>11</c:v>
                </c:pt>
              </c:numCache>
            </c:numRef>
          </c:val>
          <c:smooth val="0"/>
          <c:extLst>
            <c:ext xmlns:c16="http://schemas.microsoft.com/office/drawing/2014/chart" uri="{C3380CC4-5D6E-409C-BE32-E72D297353CC}">
              <c16:uniqueId val="{0000000C-932E-48DF-9AA9-1CEA53F9AD11}"/>
            </c:ext>
          </c:extLst>
        </c:ser>
        <c:ser>
          <c:idx val="13"/>
          <c:order val="13"/>
          <c:tx>
            <c:strRef>
              <c:f>'Trh práce 1-SNÚ'!$AP$7</c:f>
              <c:strCache>
                <c:ptCount val="1"/>
                <c:pt idx="0">
                  <c:v>Employment expectations (services)</c:v>
                </c:pt>
              </c:strCache>
            </c:strRef>
          </c:tx>
          <c:spPr>
            <a:ln w="15875">
              <a:solidFill>
                <a:srgbClr val="C00000"/>
              </a:solidFill>
              <a:prstDash val="sysDot"/>
            </a:ln>
          </c:spPr>
          <c:marker>
            <c:symbol val="none"/>
          </c:marker>
          <c:cat>
            <c:multiLvlStrRef>
              <c:f>'Trh práce 1-SNÚ'!$AA$28:$AB$56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1-SNÚ'!$AP$28:$AP$56</c:f>
              <c:numCache>
                <c:formatCode>General</c:formatCode>
                <c:ptCount val="29"/>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c:v>-16.899999999999999</c:v>
                </c:pt>
                <c:pt idx="27">
                  <c:v>-12.3</c:v>
                </c:pt>
                <c:pt idx="28">
                  <c:v>-6.6</c:v>
                </c:pt>
              </c:numCache>
            </c:numRef>
          </c:val>
          <c:smooth val="0"/>
          <c:extLst>
            <c:ext xmlns:c16="http://schemas.microsoft.com/office/drawing/2014/chart" uri="{C3380CC4-5D6E-409C-BE32-E72D297353CC}">
              <c16:uniqueId val="{0000000D-932E-48DF-9AA9-1CEA53F9AD11}"/>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Contribution to the employment growth</a:t>
                </a:r>
                <a:endParaRPr lang="cs-CZ" sz="700">
                  <a:effectLst/>
                </a:endParaRP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Expectations of the employment</a:t>
                </a:r>
                <a:endParaRPr lang="cs-CZ" sz="700">
                  <a:effectLst/>
                </a:endParaRP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9715650693013726E-3"/>
          <c:y val="0.77992823117070742"/>
          <c:w val="0.9897590451102081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1977794207149635"/>
          <c:h val="0.75393509070294773"/>
        </c:manualLayout>
      </c:layout>
      <c:barChart>
        <c:barDir val="col"/>
        <c:grouping val="clustered"/>
        <c:varyColors val="0"/>
        <c:ser>
          <c:idx val="0"/>
          <c:order val="0"/>
          <c:tx>
            <c:strRef>
              <c:f>'Trh práce-2b'!$A$29</c:f>
              <c:strCache>
                <c:ptCount val="1"/>
                <c:pt idx="0">
                  <c:v>Male unemployment rate</c:v>
                </c:pt>
              </c:strCache>
            </c:strRef>
          </c:tx>
          <c:spPr>
            <a:solidFill>
              <a:srgbClr val="BCBCBC"/>
            </a:solidFill>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práce-2b'!$B$29:$AD$29</c:f>
              <c:numCache>
                <c:formatCode>0.0</c:formatCode>
                <c:ptCount val="29"/>
                <c:pt idx="0">
                  <c:v>5.0290014664854814</c:v>
                </c:pt>
                <c:pt idx="1">
                  <c:v>4.3009457153014301</c:v>
                </c:pt>
                <c:pt idx="2">
                  <c:v>4.0587125330367906</c:v>
                </c:pt>
                <c:pt idx="3">
                  <c:v>3.7969572912959282</c:v>
                </c:pt>
                <c:pt idx="4">
                  <c:v>3.6553332329093564</c:v>
                </c:pt>
                <c:pt idx="5">
                  <c:v>3.5539591184965933</c:v>
                </c:pt>
                <c:pt idx="6">
                  <c:v>3.3917790118720608</c:v>
                </c:pt>
                <c:pt idx="7">
                  <c:v>3.1612825593430807</c:v>
                </c:pt>
                <c:pt idx="8">
                  <c:v>2.697241045949077</c:v>
                </c:pt>
                <c:pt idx="9">
                  <c:v>2.48030986612476</c:v>
                </c:pt>
                <c:pt idx="10">
                  <c:v>2.2514120156942874</c:v>
                </c:pt>
                <c:pt idx="11">
                  <c:v>2.0863761423141498</c:v>
                </c:pt>
                <c:pt idx="12">
                  <c:v>1.895133304795128</c:v>
                </c:pt>
                <c:pt idx="13">
                  <c:v>1.8237411506101482</c:v>
                </c:pt>
                <c:pt idx="14">
                  <c:v>1.8904849959500023</c:v>
                </c:pt>
                <c:pt idx="15">
                  <c:v>1.6835180713381881</c:v>
                </c:pt>
                <c:pt idx="16">
                  <c:v>1.8022477920019948</c:v>
                </c:pt>
                <c:pt idx="17">
                  <c:v>1.668280325539877</c:v>
                </c:pt>
                <c:pt idx="18">
                  <c:v>1.7671536991907173</c:v>
                </c:pt>
                <c:pt idx="19">
                  <c:v>1.8600482599066901</c:v>
                </c:pt>
                <c:pt idx="20">
                  <c:v>1.8422311021306721</c:v>
                </c:pt>
                <c:pt idx="21">
                  <c:v>2.2752544160230044</c:v>
                </c:pt>
                <c:pt idx="22">
                  <c:v>2.5137825740824611</c:v>
                </c:pt>
                <c:pt idx="23">
                  <c:v>2.5711644664036886</c:v>
                </c:pt>
                <c:pt idx="24">
                  <c:v>2.6527196825033972</c:v>
                </c:pt>
                <c:pt idx="25">
                  <c:v>2.5406738205349781</c:v>
                </c:pt>
                <c:pt idx="26">
                  <c:v>2.2839644676610145</c:v>
                </c:pt>
                <c:pt idx="27">
                  <c:v>1.9665394735259405</c:v>
                </c:pt>
              </c:numCache>
            </c:numRef>
          </c:val>
          <c:extLst>
            <c:ext xmlns:c16="http://schemas.microsoft.com/office/drawing/2014/chart" uri="{C3380CC4-5D6E-409C-BE32-E72D297353CC}">
              <c16:uniqueId val="{00000000-BF83-441B-A484-8ED0AE1C948A}"/>
            </c:ext>
          </c:extLst>
        </c:ser>
        <c:ser>
          <c:idx val="1"/>
          <c:order val="1"/>
          <c:tx>
            <c:strRef>
              <c:f>'Trh práce-2b'!$A$30</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práce-2b'!$B$30:$AD$30</c:f>
              <c:numCache>
                <c:formatCode>0.0</c:formatCode>
                <c:ptCount val="29"/>
                <c:pt idx="0">
                  <c:v>6.9394779965253726</c:v>
                </c:pt>
                <c:pt idx="1">
                  <c:v>6.1781503503313715</c:v>
                </c:pt>
                <c:pt idx="2">
                  <c:v>5.9641936009467287</c:v>
                </c:pt>
                <c:pt idx="3">
                  <c:v>5.6630580280378586</c:v>
                </c:pt>
                <c:pt idx="4">
                  <c:v>5.0707579080892717</c:v>
                </c:pt>
                <c:pt idx="5">
                  <c:v>4.8222524149082213</c:v>
                </c:pt>
                <c:pt idx="6">
                  <c:v>4.7881707902001311</c:v>
                </c:pt>
                <c:pt idx="7">
                  <c:v>4.3460462284586621</c:v>
                </c:pt>
                <c:pt idx="8">
                  <c:v>4.2801834373251353</c:v>
                </c:pt>
                <c:pt idx="9">
                  <c:v>3.9072859467171228</c:v>
                </c:pt>
                <c:pt idx="10">
                  <c:v>3.3965176024170414</c:v>
                </c:pt>
                <c:pt idx="11">
                  <c:v>3.0081056202038514</c:v>
                </c:pt>
                <c:pt idx="12">
                  <c:v>2.9433805466677296</c:v>
                </c:pt>
                <c:pt idx="13">
                  <c:v>2.9105432738455903</c:v>
                </c:pt>
                <c:pt idx="14">
                  <c:v>2.8531062017543412</c:v>
                </c:pt>
                <c:pt idx="15">
                  <c:v>2.6506471270765348</c:v>
                </c:pt>
                <c:pt idx="16">
                  <c:v>2.2578393592374222</c:v>
                </c:pt>
                <c:pt idx="17">
                  <c:v>2.4932430957470935</c:v>
                </c:pt>
                <c:pt idx="18">
                  <c:v>2.551673663527803</c:v>
                </c:pt>
                <c:pt idx="19">
                  <c:v>2.4451341420556951</c:v>
                </c:pt>
                <c:pt idx="20">
                  <c:v>2.0472262390551008</c:v>
                </c:pt>
                <c:pt idx="21">
                  <c:v>2.8385232771182185</c:v>
                </c:pt>
                <c:pt idx="22">
                  <c:v>3.3525545053635519</c:v>
                </c:pt>
                <c:pt idx="23">
                  <c:v>3.8839073696202768</c:v>
                </c:pt>
                <c:pt idx="24">
                  <c:v>4.1450763292723929</c:v>
                </c:pt>
                <c:pt idx="25">
                  <c:v>3.9358600172887765</c:v>
                </c:pt>
                <c:pt idx="26">
                  <c:v>3.2650225641396453</c:v>
                </c:pt>
                <c:pt idx="27">
                  <c:v>2.6862730964186547</c:v>
                </c:pt>
              </c:numCache>
            </c:numRef>
          </c:val>
          <c:extLst>
            <c:ext xmlns:c16="http://schemas.microsoft.com/office/drawing/2014/chart" uri="{C3380CC4-5D6E-409C-BE32-E72D297353CC}">
              <c16:uniqueId val="{00000001-BF83-441B-A484-8ED0AE1C948A}"/>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Ratio of long-term unemployed (right axis)</c:v>
                </c:pt>
              </c:strCache>
            </c:strRef>
          </c:tx>
          <c:spPr>
            <a:ln w="19050">
              <a:solidFill>
                <a:srgbClr val="66330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práce-2b'!$B$31:$AD$31</c:f>
              <c:numCache>
                <c:formatCode>0.0</c:formatCode>
                <c:ptCount val="29"/>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pt idx="26">
                  <c:v>28.84615384615385</c:v>
                </c:pt>
                <c:pt idx="27">
                  <c:v>44.632290786136942</c:v>
                </c:pt>
              </c:numCache>
            </c:numRef>
          </c:val>
          <c:smooth val="0"/>
          <c:extLst>
            <c:ext xmlns:c16="http://schemas.microsoft.com/office/drawing/2014/chart" uri="{C3380CC4-5D6E-409C-BE32-E72D297353CC}">
              <c16:uniqueId val="{00000002-BF83-441B-A484-8ED0AE1C948A}"/>
            </c:ext>
          </c:extLst>
        </c:ser>
        <c:ser>
          <c:idx val="3"/>
          <c:order val="3"/>
          <c:tx>
            <c:strRef>
              <c:f>'Trh práce-2b'!$A$32</c:f>
              <c:strCache>
                <c:ptCount val="1"/>
                <c:pt idx="0">
                  <c:v>Ratio of unemployed aged &lt; 25 (right axis)</c:v>
                </c:pt>
              </c:strCache>
            </c:strRef>
          </c:tx>
          <c:spPr>
            <a:ln w="19050">
              <a:solidFill>
                <a:srgbClr val="00B05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práce-2b'!$B$32:$AD$32</c:f>
              <c:numCache>
                <c:formatCode>0.0</c:formatCode>
                <c:ptCount val="29"/>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14.312267657992564</c:v>
                </c:pt>
                <c:pt idx="25">
                  <c:v>11.368421052631577</c:v>
                </c:pt>
                <c:pt idx="26">
                  <c:v>15.789473684210527</c:v>
                </c:pt>
                <c:pt idx="27">
                  <c:v>16.619718309859159</c:v>
                </c:pt>
              </c:numCache>
            </c:numRef>
          </c:val>
          <c:smooth val="0"/>
          <c:extLst>
            <c:ext xmlns:c16="http://schemas.microsoft.com/office/drawing/2014/chart" uri="{C3380CC4-5D6E-409C-BE32-E72D297353CC}">
              <c16:uniqueId val="{00000003-BF83-441B-A484-8ED0AE1C948A}"/>
            </c:ext>
          </c:extLst>
        </c:ser>
        <c:ser>
          <c:idx val="6"/>
          <c:order val="4"/>
          <c:tx>
            <c:strRef>
              <c:f>'Trh práce-2b'!$A$33</c:f>
              <c:strCache>
                <c:ptCount val="1"/>
                <c:pt idx="0">
                  <c:v>Ratio of unemployed aged ≥ 50 (right axis)</c:v>
                </c:pt>
              </c:strCache>
            </c:strRef>
          </c:tx>
          <c:spPr>
            <a:ln w="19050">
              <a:solidFill>
                <a:srgbClr val="0070C0"/>
              </a:solidFill>
              <a:prstDash val="sysDash"/>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práce-2b'!$B$33:$AD$33</c:f>
              <c:numCache>
                <c:formatCode>0.0</c:formatCode>
                <c:ptCount val="29"/>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pt idx="25">
                  <c:v>26.166456494325345</c:v>
                </c:pt>
                <c:pt idx="26">
                  <c:v>24.235077455692107</c:v>
                </c:pt>
              </c:numCache>
            </c:numRef>
          </c:val>
          <c:smooth val="0"/>
          <c:extLst>
            <c:ext xmlns:c16="http://schemas.microsoft.com/office/drawing/2014/chart" uri="{C3380CC4-5D6E-409C-BE32-E72D297353CC}">
              <c16:uniqueId val="{00000004-BF83-441B-A484-8ED0AE1C948A}"/>
            </c:ext>
          </c:extLst>
        </c:ser>
        <c:ser>
          <c:idx val="7"/>
          <c:order val="5"/>
          <c:tx>
            <c:strRef>
              <c:f>'Trh práce-2b'!$A$34</c:f>
              <c:strCache>
                <c:ptCount val="1"/>
                <c:pt idx="0">
                  <c:v>Economically inactive seeking empl. (r. axis)</c:v>
                </c:pt>
              </c:strCache>
            </c:strRef>
          </c:tx>
          <c:spPr>
            <a:ln w="19050">
              <a:solidFill>
                <a:schemeClr val="accent2">
                  <a:lumMod val="60000"/>
                  <a:lumOff val="40000"/>
                </a:schemeClr>
              </a:solidFill>
              <a:prstDash val="solid"/>
            </a:ln>
          </c:spPr>
          <c:marker>
            <c:symbol val="none"/>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práce-2b'!$B$34:$AD$34</c:f>
              <c:numCache>
                <c:formatCode>General</c:formatCode>
                <c:ptCount val="29"/>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pt idx="26" formatCode="0.0">
                  <c:v>66</c:v>
                </c:pt>
                <c:pt idx="27" formatCode="0.0">
                  <c:v>64.5</c:v>
                </c:pt>
              </c:numCache>
            </c:numRef>
          </c:val>
          <c:smooth val="0"/>
          <c:extLst>
            <c:ext xmlns:c16="http://schemas.microsoft.com/office/drawing/2014/chart" uri="{C3380CC4-5D6E-409C-BE32-E72D297353CC}">
              <c16:uniqueId val="{00000005-BF83-441B-A484-8ED0AE1C948A}"/>
            </c:ext>
          </c:extLst>
        </c:ser>
        <c:ser>
          <c:idx val="4"/>
          <c:order val="6"/>
          <c:tx>
            <c:strRef>
              <c:f>'Trh práce-2b'!$A$35</c:f>
              <c:strCache>
                <c:ptCount val="1"/>
                <c:pt idx="0">
                  <c:v>Balance of unempl. expectations (right axis)</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práce-2b'!$B$27:$AD$28</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'Trh práce-2b'!$B$35:$AD$35</c:f>
              <c:numCache>
                <c:formatCode>#\ ##0.0</c:formatCode>
                <c:ptCount val="29"/>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pt idx="27">
                  <c:v>24.8</c:v>
                </c:pt>
                <c:pt idx="28">
                  <c:v>15.5</c:v>
                </c:pt>
              </c:numCache>
            </c:numRef>
          </c:val>
          <c:smooth val="0"/>
          <c:extLst>
            <c:ext xmlns:c16="http://schemas.microsoft.com/office/drawing/2014/chart" uri="{C3380CC4-5D6E-409C-BE32-E72D297353CC}">
              <c16:uniqueId val="{00000006-BF83-441B-A484-8ED0AE1C948A}"/>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Unemployment rate</a:t>
                </a:r>
                <a:endParaRPr lang="cs-CZ" sz="700">
                  <a:effectLst/>
                </a:endParaRP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en-GB" sz="700" b="0" i="1" u="none" strike="noStrike" baseline="0">
                    <a:effectLst/>
                  </a:rPr>
                  <a:t>Ec</a:t>
                </a:r>
                <a:r>
                  <a:rPr lang="cs-CZ" sz="700" b="0" i="1" u="none" strike="noStrike" baseline="0">
                    <a:effectLst/>
                  </a:rPr>
                  <a:t>onomically</a:t>
                </a:r>
                <a:r>
                  <a:rPr lang="en-GB" sz="700" b="0" i="1" u="none" strike="noStrike" baseline="0">
                    <a:effectLst/>
                  </a:rPr>
                  <a:t> inactive, Selected groups of unemployed, </a:t>
                </a:r>
                <a:endParaRPr lang="cs-CZ" sz="700" b="0" i="1" u="none" strike="noStrike" baseline="0">
                  <a:effectLst/>
                </a:endParaRPr>
              </a:p>
              <a:p>
                <a:pPr>
                  <a:defRPr sz="700" b="0" i="1"/>
                </a:pPr>
                <a:r>
                  <a:rPr lang="en-GB" sz="700" b="0" i="1" u="none" strike="noStrike" baseline="0">
                    <a:effectLst/>
                  </a:rPr>
                  <a:t>Unemployment expectations</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5.2911311483940021E-3"/>
          <c:y val="0.85929280045351475"/>
          <c:w val="0.98967939521434356"/>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3'!$D$29:$D$56</c:f>
              <c:numCache>
                <c:formatCode>#\ ##0.0</c:formatCode>
                <c:ptCount val="28"/>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1.2000000000000028</c:v>
                </c:pt>
                <c:pt idx="25">
                  <c:v>8.4000000000000057</c:v>
                </c:pt>
                <c:pt idx="26">
                  <c:v>1.5</c:v>
                </c:pt>
                <c:pt idx="27">
                  <c:v>-2</c:v>
                </c:pt>
              </c:numCache>
            </c:numRef>
          </c:val>
          <c:extLst>
            <c:ext xmlns:c16="http://schemas.microsoft.com/office/drawing/2014/chart" uri="{C3380CC4-5D6E-409C-BE32-E72D297353CC}">
              <c16:uniqueId val="{00000000-4354-4B8E-995E-ABF6822344EB}"/>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prstDash val="sysDash"/>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3'!$C$29:$C$56</c:f>
              <c:numCache>
                <c:formatCode>0.0</c:formatCode>
                <c:ptCount val="28"/>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3.7999999999999972</c:v>
                </c:pt>
                <c:pt idx="21">
                  <c:v>-0.59999999999999432</c:v>
                </c:pt>
                <c:pt idx="22">
                  <c:v>4</c:v>
                </c:pt>
                <c:pt idx="23">
                  <c:v>5.2999999999999972</c:v>
                </c:pt>
                <c:pt idx="24">
                  <c:v>3.4000000000000057</c:v>
                </c:pt>
                <c:pt idx="25">
                  <c:v>11.5</c:v>
                </c:pt>
                <c:pt idx="26">
                  <c:v>5.7000000000000028</c:v>
                </c:pt>
                <c:pt idx="27">
                  <c:v>4</c:v>
                </c:pt>
              </c:numCache>
            </c:numRef>
          </c:val>
          <c:smooth val="0"/>
          <c:extLst>
            <c:ext xmlns:c16="http://schemas.microsoft.com/office/drawing/2014/chart" uri="{C3380CC4-5D6E-409C-BE32-E72D297353CC}">
              <c16:uniqueId val="{00000001-4354-4B8E-995E-ABF6822344EB}"/>
            </c:ext>
          </c:extLst>
        </c:ser>
        <c:ser>
          <c:idx val="5"/>
          <c:order val="2"/>
          <c:tx>
            <c:strRef>
              <c:f>'Trh práce 3'!$E$8</c:f>
              <c:strCache>
                <c:ptCount val="1"/>
                <c:pt idx="0">
                  <c:v>Wage in industry (nominal)</c:v>
                </c:pt>
              </c:strCache>
            </c:strRef>
          </c:tx>
          <c:spPr>
            <a:ln w="9525">
              <a:solidFill>
                <a:srgbClr val="C0000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3'!$E$29:$E$56</c:f>
              <c:numCache>
                <c:formatCode>0.0</c:formatCode>
                <c:ptCount val="28"/>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2.3754516912505039</c:v>
                </c:pt>
                <c:pt idx="25">
                  <c:v>10.745265179938173</c:v>
                </c:pt>
                <c:pt idx="26">
                  <c:v>5.2999178307313173</c:v>
                </c:pt>
                <c:pt idx="27">
                  <c:v>4.1545110750945469</c:v>
                </c:pt>
              </c:numCache>
            </c:numRef>
          </c:val>
          <c:smooth val="0"/>
          <c:extLst>
            <c:ext xmlns:c16="http://schemas.microsoft.com/office/drawing/2014/chart" uri="{C3380CC4-5D6E-409C-BE32-E72D297353CC}">
              <c16:uniqueId val="{00000002-4354-4B8E-995E-ABF6822344EB}"/>
            </c:ext>
          </c:extLst>
        </c:ser>
        <c:ser>
          <c:idx val="1"/>
          <c:order val="3"/>
          <c:tx>
            <c:strRef>
              <c:f>'Trh práce 3'!$F$8</c:f>
              <c:strCache>
                <c:ptCount val="1"/>
                <c:pt idx="0">
                  <c:v>Wage in trade (nominal)</c:v>
                </c:pt>
              </c:strCache>
            </c:strRef>
          </c:tx>
          <c:spPr>
            <a:ln w="9525">
              <a:solidFill>
                <a:srgbClr val="0070C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3'!$F$29:$F$56</c:f>
              <c:numCache>
                <c:formatCode>0.0</c:formatCode>
                <c:ptCount val="28"/>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2.0622375895282801</c:v>
                </c:pt>
                <c:pt idx="25">
                  <c:v>9.4786121977810609</c:v>
                </c:pt>
                <c:pt idx="26">
                  <c:v>6.6003671970624254</c:v>
                </c:pt>
                <c:pt idx="27">
                  <c:v>8.9351576442593625</c:v>
                </c:pt>
              </c:numCache>
            </c:numRef>
          </c:val>
          <c:smooth val="0"/>
          <c:extLst>
            <c:ext xmlns:c16="http://schemas.microsoft.com/office/drawing/2014/chart" uri="{C3380CC4-5D6E-409C-BE32-E72D297353CC}">
              <c16:uniqueId val="{00000003-4354-4B8E-995E-ABF6822344EB}"/>
            </c:ext>
          </c:extLst>
        </c:ser>
        <c:ser>
          <c:idx val="2"/>
          <c:order val="4"/>
          <c:tx>
            <c:strRef>
              <c:f>'Trh práce 3'!$G$8</c:f>
              <c:strCache>
                <c:ptCount val="1"/>
                <c:pt idx="0">
                  <c:v>Wage in public services (nominal)*</c:v>
                </c:pt>
              </c:strCache>
            </c:strRef>
          </c:tx>
          <c:spPr>
            <a:ln w="9525">
              <a:solidFill>
                <a:srgbClr val="00B050"/>
              </a:solidFill>
              <a:prstDash val="solid"/>
            </a:ln>
          </c:spPr>
          <c:marker>
            <c:symbol val="none"/>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3'!$G$29:$G$56</c:f>
              <c:numCache>
                <c:formatCode>0.0</c:formatCode>
                <c:ptCount val="28"/>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4.9818798199971184</c:v>
                </c:pt>
                <c:pt idx="25">
                  <c:v>17.938700198321527</c:v>
                </c:pt>
                <c:pt idx="26">
                  <c:v>5.6419466663737268</c:v>
                </c:pt>
                <c:pt idx="27">
                  <c:v>-0.14867678635997095</c:v>
                </c:pt>
              </c:numCache>
            </c:numRef>
          </c:val>
          <c:smooth val="0"/>
          <c:extLst>
            <c:ext xmlns:c16="http://schemas.microsoft.com/office/drawing/2014/chart" uri="{C3380CC4-5D6E-409C-BE32-E72D297353CC}">
              <c16:uniqueId val="{00000004-4354-4B8E-995E-ABF6822344EB}"/>
            </c:ext>
          </c:extLst>
        </c:ser>
        <c:ser>
          <c:idx val="3"/>
          <c:order val="5"/>
          <c:tx>
            <c:strRef>
              <c:f>'Trh práce 3'!$H$8</c:f>
              <c:strCache>
                <c:ptCount val="1"/>
                <c:pt idx="0">
                  <c:v>Total median wage (nominal)</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3'!$A$29:$B$56</c:f>
              <c:multiLvlStrCache>
                <c:ptCount val="2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lvl>
                <c:lvl>
                  <c:pt idx="0">
                    <c:v>2015</c:v>
                  </c:pt>
                  <c:pt idx="4">
                    <c:v>2016</c:v>
                  </c:pt>
                  <c:pt idx="8">
                    <c:v>2017</c:v>
                  </c:pt>
                  <c:pt idx="12">
                    <c:v>2018</c:v>
                  </c:pt>
                  <c:pt idx="16">
                    <c:v>2019</c:v>
                  </c:pt>
                  <c:pt idx="20">
                    <c:v>2020</c:v>
                  </c:pt>
                  <c:pt idx="24">
                    <c:v>2021</c:v>
                  </c:pt>
                </c:lvl>
              </c:multiLvlStrCache>
            </c:multiLvlStrRef>
          </c:cat>
          <c:val>
            <c:numRef>
              <c:f>'Trh práce 3'!$H$29:$H$56</c:f>
              <c:numCache>
                <c:formatCode>0.0</c:formatCode>
                <c:ptCount val="28"/>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7.2000000000000028</c:v>
                </c:pt>
                <c:pt idx="17">
                  <c:v>6.4000000000000057</c:v>
                </c:pt>
                <c:pt idx="18">
                  <c:v>7.2999999999999972</c:v>
                </c:pt>
                <c:pt idx="19">
                  <c:v>6.4000000000000057</c:v>
                </c:pt>
                <c:pt idx="20">
                  <c:v>4.9000000000000057</c:v>
                </c:pt>
                <c:pt idx="21">
                  <c:v>-0.40000000000000568</c:v>
                </c:pt>
                <c:pt idx="22">
                  <c:v>5</c:v>
                </c:pt>
                <c:pt idx="23">
                  <c:v>5.2000000000000028</c:v>
                </c:pt>
                <c:pt idx="24">
                  <c:v>3</c:v>
                </c:pt>
                <c:pt idx="25">
                  <c:v>11.799999999999997</c:v>
                </c:pt>
                <c:pt idx="26">
                  <c:v>5.7000000000000028</c:v>
                </c:pt>
                <c:pt idx="27">
                  <c:v>4.9000000000000057</c:v>
                </c:pt>
              </c:numCache>
            </c:numRef>
          </c:val>
          <c:smooth val="0"/>
          <c:extLst>
            <c:ext xmlns:c16="http://schemas.microsoft.com/office/drawing/2014/chart" uri="{C3380CC4-5D6E-409C-BE32-E72D297353CC}">
              <c16:uniqueId val="{00000005-4354-4B8E-995E-ABF6822344EB}"/>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1'!$C$54:$C$125</c:f>
              <c:numCache>
                <c:formatCode>General</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0.25</c:v>
                </c:pt>
                <c:pt idx="20">
                  <c:v>0.25</c:v>
                </c:pt>
                <c:pt idx="21">
                  <c:v>0.25</c:v>
                </c:pt>
                <c:pt idx="22">
                  <c:v>0.5</c:v>
                </c:pt>
                <c:pt idx="23">
                  <c:v>0.5</c:v>
                </c:pt>
                <c:pt idx="24">
                  <c:v>0.5</c:v>
                </c:pt>
                <c:pt idx="25">
                  <c:v>0.75</c:v>
                </c:pt>
                <c:pt idx="26">
                  <c:v>0.75</c:v>
                </c:pt>
                <c:pt idx="27">
                  <c:v>0.75</c:v>
                </c:pt>
                <c:pt idx="28">
                  <c:v>0.75</c:v>
                </c:pt>
                <c:pt idx="29">
                  <c:v>1</c:v>
                </c:pt>
                <c:pt idx="30">
                  <c:v>1</c:v>
                </c:pt>
                <c:pt idx="31">
                  <c:v>1.25</c:v>
                </c:pt>
                <c:pt idx="32">
                  <c:v>1.5</c:v>
                </c:pt>
                <c:pt idx="33">
                  <c:v>1.5</c:v>
                </c:pt>
                <c:pt idx="34">
                  <c:v>1.75</c:v>
                </c:pt>
                <c:pt idx="35">
                  <c:v>1.75</c:v>
                </c:pt>
                <c:pt idx="36">
                  <c:v>1.75</c:v>
                </c:pt>
                <c:pt idx="37">
                  <c:v>1.75</c:v>
                </c:pt>
                <c:pt idx="38">
                  <c:v>1.75</c:v>
                </c:pt>
                <c:pt idx="39">
                  <c:v>1.75</c:v>
                </c:pt>
                <c:pt idx="40">
                  <c:v>2</c:v>
                </c:pt>
                <c:pt idx="41">
                  <c:v>2</c:v>
                </c:pt>
                <c:pt idx="42">
                  <c:v>2</c:v>
                </c:pt>
                <c:pt idx="43">
                  <c:v>2</c:v>
                </c:pt>
                <c:pt idx="44">
                  <c:v>2</c:v>
                </c:pt>
                <c:pt idx="45">
                  <c:v>2</c:v>
                </c:pt>
                <c:pt idx="46">
                  <c:v>2</c:v>
                </c:pt>
                <c:pt idx="47">
                  <c:v>2</c:v>
                </c:pt>
                <c:pt idx="48">
                  <c:v>2</c:v>
                </c:pt>
                <c:pt idx="49">
                  <c:v>2.25</c:v>
                </c:pt>
                <c:pt idx="50">
                  <c:v>1</c:v>
                </c:pt>
                <c:pt idx="51">
                  <c:v>1</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0.5</c:v>
                </c:pt>
                <c:pt idx="66">
                  <c:v>0.5</c:v>
                </c:pt>
                <c:pt idx="67">
                  <c:v>0.75</c:v>
                </c:pt>
                <c:pt idx="68">
                  <c:v>0.75</c:v>
                </c:pt>
                <c:pt idx="69">
                  <c:v>1.5</c:v>
                </c:pt>
                <c:pt idx="70">
                  <c:v>2.75</c:v>
                </c:pt>
                <c:pt idx="71">
                  <c:v>3.75</c:v>
                </c:pt>
              </c:numCache>
            </c:numRef>
          </c:val>
          <c:extLst>
            <c:ext xmlns:c16="http://schemas.microsoft.com/office/drawing/2014/chart" uri="{C3380CC4-5D6E-409C-BE32-E72D297353CC}">
              <c16:uniqueId val="{00000000-BFB5-46B2-BE2F-EB910A28276C}"/>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1'!$F$54:$F$125</c:f>
              <c:numCache>
                <c:formatCode>General</c:formatCode>
                <c:ptCount val="72"/>
                <c:pt idx="0">
                  <c:v>-0.21</c:v>
                </c:pt>
                <c:pt idx="1">
                  <c:v>-0.18</c:v>
                </c:pt>
                <c:pt idx="2">
                  <c:v>-0.17</c:v>
                </c:pt>
                <c:pt idx="3">
                  <c:v>-0.08</c:v>
                </c:pt>
                <c:pt idx="4">
                  <c:v>-0.04</c:v>
                </c:pt>
                <c:pt idx="5">
                  <c:v>-0.05</c:v>
                </c:pt>
                <c:pt idx="6">
                  <c:v>-0.13</c:v>
                </c:pt>
                <c:pt idx="7">
                  <c:v>-0.22</c:v>
                </c:pt>
                <c:pt idx="8">
                  <c:v>-0.5</c:v>
                </c:pt>
                <c:pt idx="9">
                  <c:v>-0.74</c:v>
                </c:pt>
                <c:pt idx="10">
                  <c:v>-0.73</c:v>
                </c:pt>
                <c:pt idx="11">
                  <c:v>-0.81</c:v>
                </c:pt>
                <c:pt idx="12">
                  <c:v>-0.88</c:v>
                </c:pt>
                <c:pt idx="13">
                  <c:v>-0.53</c:v>
                </c:pt>
                <c:pt idx="14">
                  <c:v>-0.44</c:v>
                </c:pt>
                <c:pt idx="15">
                  <c:v>-0.23</c:v>
                </c:pt>
                <c:pt idx="16">
                  <c:v>-0.24</c:v>
                </c:pt>
                <c:pt idx="17">
                  <c:v>-0.25</c:v>
                </c:pt>
                <c:pt idx="18">
                  <c:v>-0.28999999999999998</c:v>
                </c:pt>
                <c:pt idx="19">
                  <c:v>-0.33</c:v>
                </c:pt>
                <c:pt idx="20">
                  <c:v>-0.28999999999999998</c:v>
                </c:pt>
                <c:pt idx="21">
                  <c:v>0.12</c:v>
                </c:pt>
                <c:pt idx="22">
                  <c:v>0.31</c:v>
                </c:pt>
                <c:pt idx="23">
                  <c:v>0.19</c:v>
                </c:pt>
                <c:pt idx="24">
                  <c:v>0.46</c:v>
                </c:pt>
                <c:pt idx="25">
                  <c:v>0.55000000000000004</c:v>
                </c:pt>
                <c:pt idx="26">
                  <c:v>0.62</c:v>
                </c:pt>
                <c:pt idx="27">
                  <c:v>0.6</c:v>
                </c:pt>
                <c:pt idx="28">
                  <c:v>0.7</c:v>
                </c:pt>
                <c:pt idx="29">
                  <c:v>0.89</c:v>
                </c:pt>
                <c:pt idx="30">
                  <c:v>1.0900000000000001</c:v>
                </c:pt>
                <c:pt idx="31">
                  <c:v>1.26</c:v>
                </c:pt>
                <c:pt idx="32">
                  <c:v>1.34</c:v>
                </c:pt>
                <c:pt idx="33">
                  <c:v>1.44</c:v>
                </c:pt>
                <c:pt idx="34">
                  <c:v>1.49</c:v>
                </c:pt>
                <c:pt idx="35">
                  <c:v>1.52</c:v>
                </c:pt>
                <c:pt idx="36">
                  <c:v>1.66</c:v>
                </c:pt>
                <c:pt idx="37">
                  <c:v>1.74</c:v>
                </c:pt>
                <c:pt idx="38">
                  <c:v>1.71</c:v>
                </c:pt>
                <c:pt idx="39">
                  <c:v>1.63</c:v>
                </c:pt>
                <c:pt idx="40">
                  <c:v>1.62</c:v>
                </c:pt>
                <c:pt idx="41">
                  <c:v>1.52</c:v>
                </c:pt>
                <c:pt idx="42">
                  <c:v>1.35</c:v>
                </c:pt>
                <c:pt idx="43">
                  <c:v>0.85</c:v>
                </c:pt>
                <c:pt idx="44">
                  <c:v>1.07</c:v>
                </c:pt>
                <c:pt idx="45">
                  <c:v>1.17</c:v>
                </c:pt>
                <c:pt idx="46">
                  <c:v>1.33</c:v>
                </c:pt>
                <c:pt idx="47">
                  <c:v>1.36</c:v>
                </c:pt>
                <c:pt idx="48">
                  <c:v>1.55</c:v>
                </c:pt>
                <c:pt idx="49">
                  <c:v>1.57</c:v>
                </c:pt>
                <c:pt idx="50">
                  <c:v>1.27</c:v>
                </c:pt>
                <c:pt idx="51">
                  <c:v>0.71</c:v>
                </c:pt>
                <c:pt idx="52">
                  <c:v>0.13</c:v>
                </c:pt>
                <c:pt idx="53">
                  <c:v>0.08</c:v>
                </c:pt>
                <c:pt idx="54">
                  <c:v>0.02</c:v>
                </c:pt>
                <c:pt idx="55">
                  <c:v>0.04</c:v>
                </c:pt>
                <c:pt idx="56">
                  <c:v>0.05</c:v>
                </c:pt>
                <c:pt idx="57">
                  <c:v>0</c:v>
                </c:pt>
                <c:pt idx="58">
                  <c:v>0.06</c:v>
                </c:pt>
                <c:pt idx="59">
                  <c:v>0.16</c:v>
                </c:pt>
                <c:pt idx="60">
                  <c:v>0.26</c:v>
                </c:pt>
                <c:pt idx="61">
                  <c:v>0.45</c:v>
                </c:pt>
                <c:pt idx="62">
                  <c:v>0.75</c:v>
                </c:pt>
                <c:pt idx="63">
                  <c:v>0.76</c:v>
                </c:pt>
                <c:pt idx="64">
                  <c:v>0.76</c:v>
                </c:pt>
                <c:pt idx="65">
                  <c:v>0.69</c:v>
                </c:pt>
                <c:pt idx="66">
                  <c:v>0.84</c:v>
                </c:pt>
                <c:pt idx="67">
                  <c:v>1.24</c:v>
                </c:pt>
                <c:pt idx="68">
                  <c:v>1.6</c:v>
                </c:pt>
                <c:pt idx="69">
                  <c:v>2.29</c:v>
                </c:pt>
                <c:pt idx="70">
                  <c:v>3</c:v>
                </c:pt>
                <c:pt idx="71">
                  <c:v>3.07</c:v>
                </c:pt>
              </c:numCache>
            </c:numRef>
          </c:val>
          <c:smooth val="0"/>
          <c:extLst>
            <c:ext xmlns:c16="http://schemas.microsoft.com/office/drawing/2014/chart" uri="{C3380CC4-5D6E-409C-BE32-E72D297353CC}">
              <c16:uniqueId val="{00000001-BFB5-46B2-BE2F-EB910A28276C}"/>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1'!$D$54:$D$125</c:f>
              <c:numCache>
                <c:formatCode>General</c:formatCode>
                <c:ptCount val="72"/>
                <c:pt idx="0">
                  <c:v>0.28999999999999998</c:v>
                </c:pt>
                <c:pt idx="1">
                  <c:v>0.28000000000000003</c:v>
                </c:pt>
                <c:pt idx="2">
                  <c:v>0.28999999999999998</c:v>
                </c:pt>
                <c:pt idx="3">
                  <c:v>0.28999999999999998</c:v>
                </c:pt>
                <c:pt idx="4">
                  <c:v>0.28999999999999998</c:v>
                </c:pt>
                <c:pt idx="5">
                  <c:v>0.28999999999999998</c:v>
                </c:pt>
                <c:pt idx="6">
                  <c:v>0.28999999999999998</c:v>
                </c:pt>
                <c:pt idx="7">
                  <c:v>0.28999999999999998</c:v>
                </c:pt>
                <c:pt idx="8">
                  <c:v>0.28999999999999998</c:v>
                </c:pt>
                <c:pt idx="9">
                  <c:v>0.28999999999999998</c:v>
                </c:pt>
                <c:pt idx="10">
                  <c:v>0.28999999999999998</c:v>
                </c:pt>
                <c:pt idx="11">
                  <c:v>0.28999999999999998</c:v>
                </c:pt>
                <c:pt idx="12">
                  <c:v>0.28000000000000003</c:v>
                </c:pt>
                <c:pt idx="13">
                  <c:v>0.28000000000000003</c:v>
                </c:pt>
                <c:pt idx="14">
                  <c:v>0.28000000000000003</c:v>
                </c:pt>
                <c:pt idx="15">
                  <c:v>0.28999999999999998</c:v>
                </c:pt>
                <c:pt idx="16">
                  <c:v>0.3</c:v>
                </c:pt>
                <c:pt idx="17">
                  <c:v>0.3</c:v>
                </c:pt>
                <c:pt idx="18">
                  <c:v>0.3</c:v>
                </c:pt>
                <c:pt idx="19">
                  <c:v>0.43</c:v>
                </c:pt>
                <c:pt idx="20">
                  <c:v>0.46</c:v>
                </c:pt>
                <c:pt idx="21">
                  <c:v>0.51</c:v>
                </c:pt>
                <c:pt idx="22">
                  <c:v>0.71</c:v>
                </c:pt>
                <c:pt idx="23">
                  <c:v>0.75</c:v>
                </c:pt>
                <c:pt idx="24">
                  <c:v>0.77</c:v>
                </c:pt>
                <c:pt idx="25">
                  <c:v>0.9</c:v>
                </c:pt>
                <c:pt idx="26">
                  <c:v>0.9</c:v>
                </c:pt>
                <c:pt idx="27">
                  <c:v>0.9</c:v>
                </c:pt>
                <c:pt idx="28">
                  <c:v>0.9</c:v>
                </c:pt>
                <c:pt idx="29">
                  <c:v>0.93</c:v>
                </c:pt>
                <c:pt idx="30">
                  <c:v>1.18</c:v>
                </c:pt>
                <c:pt idx="31">
                  <c:v>1.45</c:v>
                </c:pt>
                <c:pt idx="32">
                  <c:v>1.54</c:v>
                </c:pt>
                <c:pt idx="33">
                  <c:v>1.76</c:v>
                </c:pt>
                <c:pt idx="34">
                  <c:v>1.99</c:v>
                </c:pt>
                <c:pt idx="35">
                  <c:v>2.0099999999999998</c:v>
                </c:pt>
                <c:pt idx="36">
                  <c:v>2.0099999999999998</c:v>
                </c:pt>
                <c:pt idx="37">
                  <c:v>2.0099999999999998</c:v>
                </c:pt>
                <c:pt idx="38">
                  <c:v>2.0299999999999998</c:v>
                </c:pt>
                <c:pt idx="39">
                  <c:v>2.02</c:v>
                </c:pt>
                <c:pt idx="40">
                  <c:v>2.19</c:v>
                </c:pt>
                <c:pt idx="41">
                  <c:v>2.17</c:v>
                </c:pt>
                <c:pt idx="42">
                  <c:v>2.16</c:v>
                </c:pt>
                <c:pt idx="43">
                  <c:v>2.14</c:v>
                </c:pt>
                <c:pt idx="44">
                  <c:v>2.14</c:v>
                </c:pt>
                <c:pt idx="45">
                  <c:v>2.17</c:v>
                </c:pt>
                <c:pt idx="46">
                  <c:v>2.1800000000000002</c:v>
                </c:pt>
                <c:pt idx="47">
                  <c:v>2.1800000000000002</c:v>
                </c:pt>
                <c:pt idx="48">
                  <c:v>2.17</c:v>
                </c:pt>
                <c:pt idx="49">
                  <c:v>2.34</c:v>
                </c:pt>
                <c:pt idx="50">
                  <c:v>2</c:v>
                </c:pt>
                <c:pt idx="51">
                  <c:v>0.97</c:v>
                </c:pt>
                <c:pt idx="52">
                  <c:v>0.46</c:v>
                </c:pt>
                <c:pt idx="53">
                  <c:v>0.34</c:v>
                </c:pt>
                <c:pt idx="54">
                  <c:v>0.34</c:v>
                </c:pt>
                <c:pt idx="55">
                  <c:v>0.34</c:v>
                </c:pt>
                <c:pt idx="56">
                  <c:v>0.34</c:v>
                </c:pt>
                <c:pt idx="57">
                  <c:v>0.35</c:v>
                </c:pt>
                <c:pt idx="58">
                  <c:v>0.35</c:v>
                </c:pt>
                <c:pt idx="59">
                  <c:v>0.35</c:v>
                </c:pt>
                <c:pt idx="60">
                  <c:v>0.36</c:v>
                </c:pt>
                <c:pt idx="61">
                  <c:v>0.36</c:v>
                </c:pt>
                <c:pt idx="62">
                  <c:v>0.36</c:v>
                </c:pt>
                <c:pt idx="63">
                  <c:v>0.36</c:v>
                </c:pt>
                <c:pt idx="64">
                  <c:v>0.37</c:v>
                </c:pt>
                <c:pt idx="65">
                  <c:v>0.48</c:v>
                </c:pt>
                <c:pt idx="66">
                  <c:v>0.69</c:v>
                </c:pt>
                <c:pt idx="67">
                  <c:v>0.94</c:v>
                </c:pt>
                <c:pt idx="68">
                  <c:v>1.1100000000000001</c:v>
                </c:pt>
                <c:pt idx="69">
                  <c:v>2.02</c:v>
                </c:pt>
                <c:pt idx="70">
                  <c:v>2.97</c:v>
                </c:pt>
                <c:pt idx="71">
                  <c:v>3.5</c:v>
                </c:pt>
              </c:numCache>
            </c:numRef>
          </c:val>
          <c:smooth val="0"/>
          <c:extLst>
            <c:ext xmlns:c16="http://schemas.microsoft.com/office/drawing/2014/chart" uri="{C3380CC4-5D6E-409C-BE32-E72D297353CC}">
              <c16:uniqueId val="{00000002-BFB5-46B2-BE2F-EB910A28276C}"/>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1'!$G$54:$G$125</c:f>
              <c:numCache>
                <c:formatCode>General</c:formatCode>
                <c:ptCount val="72"/>
                <c:pt idx="0">
                  <c:v>0.04</c:v>
                </c:pt>
                <c:pt idx="1">
                  <c:v>-0.08</c:v>
                </c:pt>
                <c:pt idx="2">
                  <c:v>-0.1</c:v>
                </c:pt>
                <c:pt idx="3">
                  <c:v>0.04</c:v>
                </c:pt>
                <c:pt idx="4">
                  <c:v>7.0000000000000007E-2</c:v>
                </c:pt>
                <c:pt idx="5">
                  <c:v>0.05</c:v>
                </c:pt>
                <c:pt idx="6">
                  <c:v>-0.02</c:v>
                </c:pt>
                <c:pt idx="7">
                  <c:v>-0.09</c:v>
                </c:pt>
                <c:pt idx="8">
                  <c:v>-0.19</c:v>
                </c:pt>
                <c:pt idx="9">
                  <c:v>-0.17</c:v>
                </c:pt>
                <c:pt idx="10">
                  <c:v>-0.17</c:v>
                </c:pt>
                <c:pt idx="11">
                  <c:v>-0.21</c:v>
                </c:pt>
                <c:pt idx="12">
                  <c:v>-0.22</c:v>
                </c:pt>
                <c:pt idx="13">
                  <c:v>0.09</c:v>
                </c:pt>
                <c:pt idx="14">
                  <c:v>0.1</c:v>
                </c:pt>
                <c:pt idx="15">
                  <c:v>0.16</c:v>
                </c:pt>
                <c:pt idx="16">
                  <c:v>0.04</c:v>
                </c:pt>
                <c:pt idx="17">
                  <c:v>-0.03</c:v>
                </c:pt>
                <c:pt idx="18">
                  <c:v>0.14000000000000001</c:v>
                </c:pt>
                <c:pt idx="19">
                  <c:v>0.09</c:v>
                </c:pt>
                <c:pt idx="20">
                  <c:v>0.1</c:v>
                </c:pt>
                <c:pt idx="21">
                  <c:v>0.63</c:v>
                </c:pt>
                <c:pt idx="22">
                  <c:v>0.87</c:v>
                </c:pt>
                <c:pt idx="23">
                  <c:v>0.68</c:v>
                </c:pt>
                <c:pt idx="24">
                  <c:v>0.99</c:v>
                </c:pt>
                <c:pt idx="25">
                  <c:v>1.07</c:v>
                </c:pt>
                <c:pt idx="26">
                  <c:v>1.0900000000000001</c:v>
                </c:pt>
                <c:pt idx="27">
                  <c:v>1.05</c:v>
                </c:pt>
                <c:pt idx="28">
                  <c:v>1.21</c:v>
                </c:pt>
                <c:pt idx="29">
                  <c:v>1.41</c:v>
                </c:pt>
                <c:pt idx="30">
                  <c:v>1.44</c:v>
                </c:pt>
                <c:pt idx="31">
                  <c:v>1.55</c:v>
                </c:pt>
                <c:pt idx="32">
                  <c:v>1.7</c:v>
                </c:pt>
                <c:pt idx="33">
                  <c:v>1.81</c:v>
                </c:pt>
                <c:pt idx="34">
                  <c:v>1.79</c:v>
                </c:pt>
                <c:pt idx="35">
                  <c:v>1.71</c:v>
                </c:pt>
                <c:pt idx="36">
                  <c:v>1.6</c:v>
                </c:pt>
                <c:pt idx="37">
                  <c:v>1.61</c:v>
                </c:pt>
                <c:pt idx="38">
                  <c:v>1.7</c:v>
                </c:pt>
                <c:pt idx="39">
                  <c:v>1.63</c:v>
                </c:pt>
                <c:pt idx="40">
                  <c:v>1.57</c:v>
                </c:pt>
                <c:pt idx="41">
                  <c:v>1.43</c:v>
                </c:pt>
                <c:pt idx="42">
                  <c:v>1.31</c:v>
                </c:pt>
                <c:pt idx="43">
                  <c:v>0.89</c:v>
                </c:pt>
                <c:pt idx="44">
                  <c:v>1.1299999999999999</c:v>
                </c:pt>
                <c:pt idx="45">
                  <c:v>1.23</c:v>
                </c:pt>
                <c:pt idx="46">
                  <c:v>1.32</c:v>
                </c:pt>
                <c:pt idx="47">
                  <c:v>1.31</c:v>
                </c:pt>
                <c:pt idx="48">
                  <c:v>1.51</c:v>
                </c:pt>
                <c:pt idx="49">
                  <c:v>1.52</c:v>
                </c:pt>
                <c:pt idx="50">
                  <c:v>1.23</c:v>
                </c:pt>
                <c:pt idx="51">
                  <c:v>1.06</c:v>
                </c:pt>
                <c:pt idx="52">
                  <c:v>0.56999999999999995</c:v>
                </c:pt>
                <c:pt idx="53">
                  <c:v>0.52</c:v>
                </c:pt>
                <c:pt idx="54">
                  <c:v>0.52</c:v>
                </c:pt>
                <c:pt idx="55">
                  <c:v>0.57999999999999996</c:v>
                </c:pt>
                <c:pt idx="56">
                  <c:v>0.57999999999999996</c:v>
                </c:pt>
                <c:pt idx="57">
                  <c:v>0.54</c:v>
                </c:pt>
                <c:pt idx="58">
                  <c:v>0.66</c:v>
                </c:pt>
                <c:pt idx="59">
                  <c:v>0.8</c:v>
                </c:pt>
                <c:pt idx="60">
                  <c:v>0.82</c:v>
                </c:pt>
                <c:pt idx="61">
                  <c:v>1.06</c:v>
                </c:pt>
                <c:pt idx="62">
                  <c:v>1.4</c:v>
                </c:pt>
                <c:pt idx="63">
                  <c:v>1.43</c:v>
                </c:pt>
                <c:pt idx="64">
                  <c:v>1.47</c:v>
                </c:pt>
                <c:pt idx="65">
                  <c:v>1.55</c:v>
                </c:pt>
                <c:pt idx="66">
                  <c:v>1.63</c:v>
                </c:pt>
                <c:pt idx="67">
                  <c:v>1.68</c:v>
                </c:pt>
                <c:pt idx="68">
                  <c:v>1.87</c:v>
                </c:pt>
                <c:pt idx="69">
                  <c:v>2.37</c:v>
                </c:pt>
                <c:pt idx="70">
                  <c:v>2.84</c:v>
                </c:pt>
                <c:pt idx="71">
                  <c:v>2.84</c:v>
                </c:pt>
              </c:numCache>
            </c:numRef>
          </c:val>
          <c:smooth val="0"/>
          <c:extLst>
            <c:ext xmlns:c16="http://schemas.microsoft.com/office/drawing/2014/chart" uri="{C3380CC4-5D6E-409C-BE32-E72D297353CC}">
              <c16:uniqueId val="{00000003-BFB5-46B2-BE2F-EB910A28276C}"/>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1'!$E$54:$E$125</c:f>
              <c:numCache>
                <c:formatCode>General</c:formatCode>
                <c:ptCount val="72"/>
                <c:pt idx="0">
                  <c:v>0.45</c:v>
                </c:pt>
                <c:pt idx="1">
                  <c:v>0.45</c:v>
                </c:pt>
                <c:pt idx="2">
                  <c:v>0.45</c:v>
                </c:pt>
                <c:pt idx="3">
                  <c:v>0.45</c:v>
                </c:pt>
                <c:pt idx="4">
                  <c:v>0.45</c:v>
                </c:pt>
                <c:pt idx="5">
                  <c:v>0.45</c:v>
                </c:pt>
                <c:pt idx="6">
                  <c:v>0.45</c:v>
                </c:pt>
                <c:pt idx="7">
                  <c:v>0.45</c:v>
                </c:pt>
                <c:pt idx="8">
                  <c:v>0.45</c:v>
                </c:pt>
                <c:pt idx="9">
                  <c:v>0.45</c:v>
                </c:pt>
                <c:pt idx="10">
                  <c:v>0.45</c:v>
                </c:pt>
                <c:pt idx="11">
                  <c:v>0.45</c:v>
                </c:pt>
                <c:pt idx="12">
                  <c:v>0.44</c:v>
                </c:pt>
                <c:pt idx="13">
                  <c:v>0.44</c:v>
                </c:pt>
                <c:pt idx="14">
                  <c:v>0.44</c:v>
                </c:pt>
                <c:pt idx="15">
                  <c:v>0.45</c:v>
                </c:pt>
                <c:pt idx="16">
                  <c:v>0.46</c:v>
                </c:pt>
                <c:pt idx="17">
                  <c:v>0.46</c:v>
                </c:pt>
                <c:pt idx="18">
                  <c:v>0.47</c:v>
                </c:pt>
                <c:pt idx="19">
                  <c:v>0.6</c:v>
                </c:pt>
                <c:pt idx="20">
                  <c:v>0.64</c:v>
                </c:pt>
                <c:pt idx="21">
                  <c:v>0.69</c:v>
                </c:pt>
                <c:pt idx="22">
                  <c:v>0.91</c:v>
                </c:pt>
                <c:pt idx="23">
                  <c:v>0.96</c:v>
                </c:pt>
                <c:pt idx="24">
                  <c:v>0.98</c:v>
                </c:pt>
                <c:pt idx="25">
                  <c:v>1.1100000000000001</c:v>
                </c:pt>
                <c:pt idx="26">
                  <c:v>1.1200000000000001</c:v>
                </c:pt>
                <c:pt idx="27">
                  <c:v>1.1200000000000001</c:v>
                </c:pt>
                <c:pt idx="28">
                  <c:v>1.1200000000000001</c:v>
                </c:pt>
                <c:pt idx="29">
                  <c:v>1.1499999999999999</c:v>
                </c:pt>
                <c:pt idx="30">
                  <c:v>1.39</c:v>
                </c:pt>
                <c:pt idx="31">
                  <c:v>1.67</c:v>
                </c:pt>
                <c:pt idx="32">
                  <c:v>1.79</c:v>
                </c:pt>
                <c:pt idx="33">
                  <c:v>1.95</c:v>
                </c:pt>
                <c:pt idx="34">
                  <c:v>2.1800000000000002</c:v>
                </c:pt>
                <c:pt idx="35">
                  <c:v>2.21</c:v>
                </c:pt>
                <c:pt idx="36">
                  <c:v>2.21</c:v>
                </c:pt>
                <c:pt idx="37">
                  <c:v>2.2000000000000002</c:v>
                </c:pt>
                <c:pt idx="38">
                  <c:v>2.2000000000000002</c:v>
                </c:pt>
                <c:pt idx="39">
                  <c:v>2.21</c:v>
                </c:pt>
                <c:pt idx="40">
                  <c:v>2.3199999999999998</c:v>
                </c:pt>
                <c:pt idx="41">
                  <c:v>2.29</c:v>
                </c:pt>
                <c:pt idx="42">
                  <c:v>2.2799999999999998</c:v>
                </c:pt>
                <c:pt idx="43">
                  <c:v>2.2200000000000002</c:v>
                </c:pt>
                <c:pt idx="44">
                  <c:v>2.2000000000000002</c:v>
                </c:pt>
                <c:pt idx="45">
                  <c:v>2.2799999999999998</c:v>
                </c:pt>
                <c:pt idx="46">
                  <c:v>2.2799999999999998</c:v>
                </c:pt>
                <c:pt idx="47">
                  <c:v>2.27</c:v>
                </c:pt>
                <c:pt idx="48">
                  <c:v>2.27</c:v>
                </c:pt>
                <c:pt idx="49">
                  <c:v>2.42</c:v>
                </c:pt>
                <c:pt idx="50">
                  <c:v>2.0099999999999998</c:v>
                </c:pt>
                <c:pt idx="51">
                  <c:v>0.92</c:v>
                </c:pt>
                <c:pt idx="52">
                  <c:v>0.51</c:v>
                </c:pt>
                <c:pt idx="53">
                  <c:v>0.43</c:v>
                </c:pt>
                <c:pt idx="54">
                  <c:v>0.43</c:v>
                </c:pt>
                <c:pt idx="55">
                  <c:v>0.43</c:v>
                </c:pt>
                <c:pt idx="56">
                  <c:v>0.44</c:v>
                </c:pt>
                <c:pt idx="57">
                  <c:v>0.43</c:v>
                </c:pt>
                <c:pt idx="58">
                  <c:v>0.44</c:v>
                </c:pt>
                <c:pt idx="59">
                  <c:v>0.49</c:v>
                </c:pt>
                <c:pt idx="60">
                  <c:v>0.49</c:v>
                </c:pt>
                <c:pt idx="61">
                  <c:v>0.54</c:v>
                </c:pt>
                <c:pt idx="62">
                  <c:v>0.56000000000000005</c:v>
                </c:pt>
                <c:pt idx="63">
                  <c:v>0.56000000000000005</c:v>
                </c:pt>
                <c:pt idx="64">
                  <c:v>0.67</c:v>
                </c:pt>
                <c:pt idx="65">
                  <c:v>0.78</c:v>
                </c:pt>
                <c:pt idx="66">
                  <c:v>1</c:v>
                </c:pt>
                <c:pt idx="67">
                  <c:v>1.3</c:v>
                </c:pt>
                <c:pt idx="68">
                  <c:v>1.52</c:v>
                </c:pt>
                <c:pt idx="69">
                  <c:v>2.44</c:v>
                </c:pt>
                <c:pt idx="70">
                  <c:v>3.5</c:v>
                </c:pt>
                <c:pt idx="71">
                  <c:v>3.96</c:v>
                </c:pt>
              </c:numCache>
            </c:numRef>
          </c:val>
          <c:smooth val="0"/>
          <c:extLst>
            <c:ext xmlns:c16="http://schemas.microsoft.com/office/drawing/2014/chart" uri="{C3380CC4-5D6E-409C-BE32-E72D297353CC}">
              <c16:uniqueId val="{00000004-BFB5-46B2-BE2F-EB910A28276C}"/>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'Měnové podmínky 1'!$H$54:$H$125</c:f>
              <c:numCache>
                <c:formatCode>General</c:formatCode>
                <c:ptCount val="72"/>
                <c:pt idx="0">
                  <c:v>0.62</c:v>
                </c:pt>
                <c:pt idx="1">
                  <c:v>0.46</c:v>
                </c:pt>
                <c:pt idx="2">
                  <c:v>0.35</c:v>
                </c:pt>
                <c:pt idx="3">
                  <c:v>0.43</c:v>
                </c:pt>
                <c:pt idx="4">
                  <c:v>0.46</c:v>
                </c:pt>
                <c:pt idx="5">
                  <c:v>0.45</c:v>
                </c:pt>
                <c:pt idx="6">
                  <c:v>0.37</c:v>
                </c:pt>
                <c:pt idx="7">
                  <c:v>0.28999999999999998</c:v>
                </c:pt>
                <c:pt idx="8">
                  <c:v>0.25</c:v>
                </c:pt>
                <c:pt idx="9">
                  <c:v>0.37</c:v>
                </c:pt>
                <c:pt idx="10">
                  <c:v>0.55000000000000004</c:v>
                </c:pt>
                <c:pt idx="11">
                  <c:v>0.53</c:v>
                </c:pt>
                <c:pt idx="12">
                  <c:v>0.47</c:v>
                </c:pt>
                <c:pt idx="13">
                  <c:v>0.63</c:v>
                </c:pt>
                <c:pt idx="14">
                  <c:v>0.87</c:v>
                </c:pt>
                <c:pt idx="15">
                  <c:v>0.96</c:v>
                </c:pt>
                <c:pt idx="16">
                  <c:v>0.74</c:v>
                </c:pt>
                <c:pt idx="17">
                  <c:v>0.77</c:v>
                </c:pt>
                <c:pt idx="18">
                  <c:v>0.9</c:v>
                </c:pt>
                <c:pt idx="19">
                  <c:v>0.83</c:v>
                </c:pt>
                <c:pt idx="20">
                  <c:v>0.97</c:v>
                </c:pt>
                <c:pt idx="21">
                  <c:v>1.45</c:v>
                </c:pt>
                <c:pt idx="22">
                  <c:v>1.68</c:v>
                </c:pt>
                <c:pt idx="23">
                  <c:v>1.5</c:v>
                </c:pt>
                <c:pt idx="24">
                  <c:v>1.77</c:v>
                </c:pt>
                <c:pt idx="25">
                  <c:v>1.82</c:v>
                </c:pt>
                <c:pt idx="26">
                  <c:v>1.81</c:v>
                </c:pt>
                <c:pt idx="27">
                  <c:v>1.74</c:v>
                </c:pt>
                <c:pt idx="28">
                  <c:v>1.89</c:v>
                </c:pt>
                <c:pt idx="29">
                  <c:v>2.14</c:v>
                </c:pt>
                <c:pt idx="30">
                  <c:v>2.11</c:v>
                </c:pt>
                <c:pt idx="31">
                  <c:v>2.14</c:v>
                </c:pt>
                <c:pt idx="32">
                  <c:v>2.14</c:v>
                </c:pt>
                <c:pt idx="33">
                  <c:v>2.14</c:v>
                </c:pt>
                <c:pt idx="34">
                  <c:v>2.0699999999999998</c:v>
                </c:pt>
                <c:pt idx="35">
                  <c:v>2.0099999999999998</c:v>
                </c:pt>
                <c:pt idx="36">
                  <c:v>1.85</c:v>
                </c:pt>
                <c:pt idx="37">
                  <c:v>1.76</c:v>
                </c:pt>
                <c:pt idx="38">
                  <c:v>1.82</c:v>
                </c:pt>
                <c:pt idx="39">
                  <c:v>1.82</c:v>
                </c:pt>
                <c:pt idx="40">
                  <c:v>1.86</c:v>
                </c:pt>
                <c:pt idx="41">
                  <c:v>1.58</c:v>
                </c:pt>
                <c:pt idx="42">
                  <c:v>1.36</c:v>
                </c:pt>
                <c:pt idx="43">
                  <c:v>0.99</c:v>
                </c:pt>
                <c:pt idx="44">
                  <c:v>1.24</c:v>
                </c:pt>
                <c:pt idx="45">
                  <c:v>1.32</c:v>
                </c:pt>
                <c:pt idx="46">
                  <c:v>1.47</c:v>
                </c:pt>
                <c:pt idx="47">
                  <c:v>1.51</c:v>
                </c:pt>
                <c:pt idx="48">
                  <c:v>1.62</c:v>
                </c:pt>
                <c:pt idx="49">
                  <c:v>1.47</c:v>
                </c:pt>
                <c:pt idx="50">
                  <c:v>1.28</c:v>
                </c:pt>
                <c:pt idx="51">
                  <c:v>1.28</c:v>
                </c:pt>
                <c:pt idx="52">
                  <c:v>0.92</c:v>
                </c:pt>
                <c:pt idx="53">
                  <c:v>0.86</c:v>
                </c:pt>
                <c:pt idx="54">
                  <c:v>0.86</c:v>
                </c:pt>
                <c:pt idx="55">
                  <c:v>0.95</c:v>
                </c:pt>
                <c:pt idx="56">
                  <c:v>0.98</c:v>
                </c:pt>
                <c:pt idx="57">
                  <c:v>0.94</c:v>
                </c:pt>
                <c:pt idx="58">
                  <c:v>1.1200000000000001</c:v>
                </c:pt>
                <c:pt idx="59">
                  <c:v>1.26</c:v>
                </c:pt>
                <c:pt idx="60">
                  <c:v>1.28</c:v>
                </c:pt>
                <c:pt idx="61">
                  <c:v>1.49</c:v>
                </c:pt>
                <c:pt idx="62">
                  <c:v>1.87</c:v>
                </c:pt>
                <c:pt idx="63">
                  <c:v>1.86</c:v>
                </c:pt>
                <c:pt idx="64">
                  <c:v>1.74</c:v>
                </c:pt>
                <c:pt idx="65">
                  <c:v>1.67</c:v>
                </c:pt>
                <c:pt idx="66">
                  <c:v>1.72</c:v>
                </c:pt>
                <c:pt idx="67">
                  <c:v>1.74</c:v>
                </c:pt>
                <c:pt idx="68">
                  <c:v>1.9</c:v>
                </c:pt>
                <c:pt idx="69">
                  <c:v>2.34</c:v>
                </c:pt>
                <c:pt idx="70">
                  <c:v>2.62</c:v>
                </c:pt>
                <c:pt idx="71">
                  <c:v>2.62</c:v>
                </c:pt>
              </c:numCache>
            </c:numRef>
          </c:val>
          <c:smooth val="0"/>
          <c:extLst>
            <c:ext xmlns:c16="http://schemas.microsoft.com/office/drawing/2014/chart" uri="{C3380CC4-5D6E-409C-BE32-E72D297353CC}">
              <c16:uniqueId val="{00000005-BFB5-46B2-BE2F-EB910A28276C}"/>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ax val="4"/>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3559968783080529"/>
          <c:h val="0.82188956339158548"/>
        </c:manualLayout>
      </c:layout>
      <c:barChart>
        <c:barDir val="col"/>
        <c:grouping val="clustered"/>
        <c:varyColors val="0"/>
        <c:ser>
          <c:idx val="2"/>
          <c:order val="4"/>
          <c:tx>
            <c:strRef>
              <c:f>'GRAF-1-Státní rozpočet-příjmy'!$A$40</c:f>
              <c:strCache>
                <c:ptCount val="1"/>
                <c:pt idx="0">
                  <c:v>State budget balance (right axis)</c:v>
                </c:pt>
              </c:strCache>
            </c:strRef>
          </c:tx>
          <c:spPr>
            <a:solidFill>
              <a:sysClr val="window" lastClr="FFFFFF">
                <a:lumMod val="75000"/>
              </a:sysClr>
            </a:solidFill>
          </c:spPr>
          <c:invertIfNegative val="0"/>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rozpočet-příjmy'!$E$40:$R$40</c:f>
              <c:numCache>
                <c:formatCode>#\ ##0.0</c:formatCode>
                <c:ptCount val="14"/>
                <c:pt idx="0">
                  <c:v>-20.003</c:v>
                </c:pt>
                <c:pt idx="1">
                  <c:v>-192.39400000000001</c:v>
                </c:pt>
                <c:pt idx="2">
                  <c:v>-156.416</c:v>
                </c:pt>
                <c:pt idx="3">
                  <c:v>-142.77099999999999</c:v>
                </c:pt>
                <c:pt idx="4">
                  <c:v>-101</c:v>
                </c:pt>
                <c:pt idx="5">
                  <c:v>-81.263999999999996</c:v>
                </c:pt>
                <c:pt idx="6">
                  <c:v>-77.78</c:v>
                </c:pt>
                <c:pt idx="7">
                  <c:v>-62.8</c:v>
                </c:pt>
                <c:pt idx="8">
                  <c:v>61.77</c:v>
                </c:pt>
                <c:pt idx="9">
                  <c:v>-6.15</c:v>
                </c:pt>
                <c:pt idx="10">
                  <c:v>2.94</c:v>
                </c:pt>
                <c:pt idx="11">
                  <c:v>-28.52</c:v>
                </c:pt>
                <c:pt idx="12">
                  <c:v>-367.44997523070992</c:v>
                </c:pt>
                <c:pt idx="13">
                  <c:v>-419.68746344218994</c:v>
                </c:pt>
              </c:numCache>
            </c:numRef>
          </c:val>
          <c:extLst>
            <c:ext xmlns:c16="http://schemas.microsoft.com/office/drawing/2014/chart" uri="{C3380CC4-5D6E-409C-BE32-E72D297353CC}">
              <c16:uniqueId val="{00000000-41A3-4A4E-B66D-1B4A51F1D0EE}"/>
            </c:ext>
          </c:extLst>
        </c:ser>
        <c:dLbls>
          <c:showLegendKey val="0"/>
          <c:showVal val="0"/>
          <c:showCatName val="0"/>
          <c:showSerName val="0"/>
          <c:showPercent val="0"/>
          <c:showBubbleSize val="0"/>
        </c:dLbls>
        <c:gapWidth val="43"/>
        <c:axId val="194477056"/>
        <c:axId val="194475520"/>
      </c:barChart>
      <c:lineChart>
        <c:grouping val="standard"/>
        <c:varyColors val="0"/>
        <c:ser>
          <c:idx val="0"/>
          <c:order val="0"/>
          <c:tx>
            <c:strRef>
              <c:f>'GRAF-1-Státní rozpočet-příjmy'!$A$36</c:f>
              <c:strCache>
                <c:ptCount val="1"/>
                <c:pt idx="0">
                  <c:v>VAT</c:v>
                </c:pt>
              </c:strCache>
            </c:strRef>
          </c:tx>
          <c:spPr>
            <a:ln w="19050">
              <a:solidFill>
                <a:srgbClr val="BD1B25"/>
              </a:solidFill>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rozpočet-příjmy'!$E$36:$R$36</c:f>
              <c:numCache>
                <c:formatCode>0.0</c:formatCode>
                <c:ptCount val="14"/>
                <c:pt idx="0">
                  <c:v>7.9575260174295579</c:v>
                </c:pt>
                <c:pt idx="1">
                  <c:v>-0.61914651828048761</c:v>
                </c:pt>
                <c:pt idx="2">
                  <c:v>6.2852411182524435</c:v>
                </c:pt>
                <c:pt idx="3">
                  <c:v>2.1665739194954341</c:v>
                </c:pt>
                <c:pt idx="4">
                  <c:v>1.0312647518065461</c:v>
                </c:pt>
                <c:pt idx="5">
                  <c:v>10.865111598317938</c:v>
                </c:pt>
                <c:pt idx="6">
                  <c:v>4.674836283472743</c:v>
                </c:pt>
                <c:pt idx="7">
                  <c:v>2.7750247770069336</c:v>
                </c:pt>
                <c:pt idx="8">
                  <c:v>5.3881388621022381</c:v>
                </c:pt>
                <c:pt idx="9">
                  <c:v>9.138739563079028</c:v>
                </c:pt>
                <c:pt idx="10">
                  <c:v>8.2844267449172122</c:v>
                </c:pt>
                <c:pt idx="11">
                  <c:v>4.4229373336559235</c:v>
                </c:pt>
                <c:pt idx="12">
                  <c:v>-1.1889677782264414</c:v>
                </c:pt>
                <c:pt idx="13">
                  <c:v>8.7290514464571913</c:v>
                </c:pt>
              </c:numCache>
            </c:numRef>
          </c:val>
          <c:smooth val="0"/>
          <c:extLst>
            <c:ext xmlns:c16="http://schemas.microsoft.com/office/drawing/2014/chart" uri="{C3380CC4-5D6E-409C-BE32-E72D297353CC}">
              <c16:uniqueId val="{00000001-41A3-4A4E-B66D-1B4A51F1D0EE}"/>
            </c:ext>
          </c:extLst>
        </c:ser>
        <c:ser>
          <c:idx val="1"/>
          <c:order val="1"/>
          <c:tx>
            <c:strRef>
              <c:f>'GRAF-1-Státní rozpočet-příjmy'!$A$37</c:f>
              <c:strCache>
                <c:ptCount val="1"/>
                <c:pt idx="0">
                  <c:v>Consumption taxes</c:v>
                </c:pt>
              </c:strCache>
            </c:strRef>
          </c:tx>
          <c:spPr>
            <a:ln w="19050">
              <a:solidFill>
                <a:srgbClr val="7DBB2D"/>
              </a:solidFill>
              <a:prstDash val="solid"/>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rozpočet-příjmy'!$E$37:$R$37</c:f>
              <c:numCache>
                <c:formatCode>0.0</c:formatCode>
                <c:ptCount val="14"/>
                <c:pt idx="0">
                  <c:v>-4.2605253688377047</c:v>
                </c:pt>
                <c:pt idx="1">
                  <c:v>-1.4733518755167978</c:v>
                </c:pt>
                <c:pt idx="2">
                  <c:v>5.4932478828107207</c:v>
                </c:pt>
                <c:pt idx="3">
                  <c:v>6.0099804729876354</c:v>
                </c:pt>
                <c:pt idx="4">
                  <c:v>0.13644426251875075</c:v>
                </c:pt>
                <c:pt idx="5">
                  <c:v>-2.2891402098378535</c:v>
                </c:pt>
                <c:pt idx="6">
                  <c:v>-1.4712034583739921</c:v>
                </c:pt>
                <c:pt idx="7">
                  <c:v>6.5034321704055031</c:v>
                </c:pt>
                <c:pt idx="8">
                  <c:v>5.1362126245847008</c:v>
                </c:pt>
                <c:pt idx="9">
                  <c:v>2.9071604626177248</c:v>
                </c:pt>
                <c:pt idx="10">
                  <c:v>2.8495977399742003</c:v>
                </c:pt>
                <c:pt idx="11">
                  <c:v>-0.19705021794949573</c:v>
                </c:pt>
                <c:pt idx="12">
                  <c:v>-2.7816349769886841</c:v>
                </c:pt>
                <c:pt idx="13">
                  <c:v>-2.9872460318545677</c:v>
                </c:pt>
              </c:numCache>
            </c:numRef>
          </c:val>
          <c:smooth val="0"/>
          <c:extLst>
            <c:ext xmlns:c16="http://schemas.microsoft.com/office/drawing/2014/chart" uri="{C3380CC4-5D6E-409C-BE32-E72D297353CC}">
              <c16:uniqueId val="{00000002-41A3-4A4E-B66D-1B4A51F1D0EE}"/>
            </c:ext>
          </c:extLst>
        </c:ser>
        <c:ser>
          <c:idx val="3"/>
          <c:order val="2"/>
          <c:tx>
            <c:strRef>
              <c:f>'GRAF-1-Státní rozpočet-příjmy'!$A$38</c:f>
              <c:strCache>
                <c:ptCount val="1"/>
                <c:pt idx="0">
                  <c:v>Income tax of natural persons (ITNP)</c:v>
                </c:pt>
              </c:strCache>
            </c:strRef>
          </c:tx>
          <c:spPr>
            <a:ln w="19050">
              <a:solidFill>
                <a:srgbClr val="0071BC"/>
              </a:solidFill>
              <a:prstDash val="solid"/>
            </a:ln>
          </c:spPr>
          <c:marker>
            <c:symbol val="none"/>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rozpočet-příjmy'!$E$38:$R$38</c:f>
              <c:numCache>
                <c:formatCode>0.0</c:formatCode>
                <c:ptCount val="14"/>
                <c:pt idx="0">
                  <c:v>-8.8693725769443859</c:v>
                </c:pt>
                <c:pt idx="1">
                  <c:v>-3.5943740232679318</c:v>
                </c:pt>
                <c:pt idx="2">
                  <c:v>0.72046109510085898</c:v>
                </c:pt>
                <c:pt idx="3">
                  <c:v>6.7328326180257534</c:v>
                </c:pt>
                <c:pt idx="4">
                  <c:v>0.35184719778837348</c:v>
                </c:pt>
                <c:pt idx="5">
                  <c:v>5.2925953752399835</c:v>
                </c:pt>
                <c:pt idx="6">
                  <c:v>3.7580274320145861</c:v>
                </c:pt>
                <c:pt idx="7">
                  <c:v>4.011614579353548</c:v>
                </c:pt>
                <c:pt idx="8">
                  <c:v>9.7487511019688498</c:v>
                </c:pt>
                <c:pt idx="9">
                  <c:v>13.2873686324386</c:v>
                </c:pt>
                <c:pt idx="10">
                  <c:v>14.441030489246032</c:v>
                </c:pt>
                <c:pt idx="11">
                  <c:v>11.673895084675763</c:v>
                </c:pt>
                <c:pt idx="12">
                  <c:v>-5.2524854091793571</c:v>
                </c:pt>
                <c:pt idx="13">
                  <c:v>-32.432390722060816</c:v>
                </c:pt>
              </c:numCache>
            </c:numRef>
          </c:val>
          <c:smooth val="0"/>
          <c:extLst>
            <c:ext xmlns:c16="http://schemas.microsoft.com/office/drawing/2014/chart" uri="{C3380CC4-5D6E-409C-BE32-E72D297353CC}">
              <c16:uniqueId val="{00000003-41A3-4A4E-B66D-1B4A51F1D0EE}"/>
            </c:ext>
          </c:extLst>
        </c:ser>
        <c:ser>
          <c:idx val="4"/>
          <c:order val="3"/>
          <c:tx>
            <c:strRef>
              <c:f>'GRAF-1-Státní rozpočet-příjmy'!$A$39</c:f>
              <c:strCache>
                <c:ptCount val="1"/>
                <c:pt idx="0">
                  <c:v>Income tax of legal persons (corporate tax)</c:v>
                </c:pt>
              </c:strCache>
            </c:strRef>
          </c:tx>
          <c:spPr>
            <a:ln w="19050">
              <a:noFill/>
            </a:ln>
          </c:spPr>
          <c:marker>
            <c:symbol val="diamond"/>
            <c:size val="6"/>
            <c:spPr>
              <a:solidFill>
                <a:srgbClr val="984807"/>
              </a:solidFill>
              <a:ln>
                <a:noFill/>
              </a:ln>
            </c:spPr>
          </c:marker>
          <c:cat>
            <c:strRef>
              <c:f>'GRAF-1-Státní rozpočet-příjmy'!$E$34:$R$35</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strCache>
            </c:strRef>
          </c:cat>
          <c:val>
            <c:numRef>
              <c:f>'GRAF-1-Státní rozpočet-příjmy'!$E$39:$R$39</c:f>
              <c:numCache>
                <c:formatCode>0.0</c:formatCode>
                <c:ptCount val="14"/>
                <c:pt idx="0">
                  <c:v>12.113766201855157</c:v>
                </c:pt>
                <c:pt idx="1">
                  <c:v>-34.469344145526264</c:v>
                </c:pt>
                <c:pt idx="2">
                  <c:v>3.5618729096990052</c:v>
                </c:pt>
                <c:pt idx="3">
                  <c:v>-4.6423381236880346</c:v>
                </c:pt>
                <c:pt idx="4">
                  <c:v>8.3735500804335032</c:v>
                </c:pt>
                <c:pt idx="5">
                  <c:v>-5.6875</c:v>
                </c:pt>
                <c:pt idx="6">
                  <c:v>9.6752816434725162</c:v>
                </c:pt>
                <c:pt idx="7">
                  <c:v>11.412386706948624</c:v>
                </c:pt>
                <c:pt idx="8">
                  <c:v>11.667005626737165</c:v>
                </c:pt>
                <c:pt idx="9">
                  <c:v>3.6000485672656595</c:v>
                </c:pt>
                <c:pt idx="10">
                  <c:v>1.9689422795194673</c:v>
                </c:pt>
                <c:pt idx="11">
                  <c:v>5.1089017872536004</c:v>
                </c:pt>
                <c:pt idx="12">
                  <c:v>-12.218154305953917</c:v>
                </c:pt>
                <c:pt idx="13">
                  <c:v>24.923332261143941</c:v>
                </c:pt>
              </c:numCache>
            </c:numRef>
          </c:val>
          <c:smooth val="0"/>
          <c:extLst>
            <c:ext xmlns:c16="http://schemas.microsoft.com/office/drawing/2014/chart" uri="{C3380CC4-5D6E-409C-BE32-E72D297353CC}">
              <c16:uniqueId val="{00000004-41A3-4A4E-B66D-1B4A51F1D0EE}"/>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Selected types of tax incomes (year-on-year change in %)</a:t>
                </a:r>
                <a:endParaRPr lang="cs-CZ" sz="700">
                  <a:effectLst/>
                </a:endParaRPr>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300"/>
          <c:min val="-45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State budget balance (in CZK bn)</a:t>
                </a:r>
                <a:endParaRPr lang="cs-CZ" sz="700">
                  <a:effectLst/>
                </a:endParaRPr>
              </a:p>
            </c:rich>
          </c:tx>
          <c:overlay val="0"/>
        </c:title>
        <c:numFmt formatCode="#,##0" sourceLinked="0"/>
        <c:majorTickMark val="out"/>
        <c:minorTickMark val="none"/>
        <c:tickLblPos val="nextTo"/>
        <c:crossAx val="194477056"/>
        <c:crosses val="max"/>
        <c:crossBetween val="between"/>
        <c:majorUnit val="5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1.6931764536906882E-2"/>
          <c:y val="0.88659723781139477"/>
          <c:w val="0.97258267388895991"/>
          <c:h val="0.1097981364459401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60484943049881E-2"/>
          <c:y val="1.7112323287741892E-2"/>
          <c:w val="0.82719862375806086"/>
          <c:h val="0.7675532098402662"/>
        </c:manualLayout>
      </c:layout>
      <c:barChart>
        <c:barDir val="col"/>
        <c:grouping val="clustered"/>
        <c:varyColors val="0"/>
        <c:ser>
          <c:idx val="0"/>
          <c:order val="0"/>
          <c:tx>
            <c:strRef>
              <c:f>'G2-Stání rozpočet-výdaje'!$B$31</c:f>
              <c:strCache>
                <c:ptCount val="1"/>
                <c:pt idx="0">
                  <c:v>Total current expenditures (right axis)</c:v>
                </c:pt>
              </c:strCache>
            </c:strRef>
          </c:tx>
          <c:spPr>
            <a:solidFill>
              <a:schemeClr val="bg1">
                <a:lumMod val="85000"/>
              </a:schemeClr>
            </a:solidFill>
            <a:ln>
              <a:noFill/>
            </a:ln>
          </c:spPr>
          <c:invertIfNegative val="0"/>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rozpočet-výdaje'!$B$35:$B$48</c:f>
              <c:numCache>
                <c:formatCode>0.0</c:formatCode>
                <c:ptCount val="14"/>
                <c:pt idx="0">
                  <c:v>975.86</c:v>
                </c:pt>
                <c:pt idx="1">
                  <c:v>1032.78</c:v>
                </c:pt>
                <c:pt idx="2">
                  <c:v>1021.89</c:v>
                </c:pt>
                <c:pt idx="3">
                  <c:v>1031.83</c:v>
                </c:pt>
                <c:pt idx="4">
                  <c:v>1038.76</c:v>
                </c:pt>
                <c:pt idx="5">
                  <c:v>1070.8130000000001</c:v>
                </c:pt>
                <c:pt idx="6">
                  <c:v>1100.1020000000001</c:v>
                </c:pt>
                <c:pt idx="7">
                  <c:v>1121.6600000000001</c:v>
                </c:pt>
                <c:pt idx="8">
                  <c:v>1135.57</c:v>
                </c:pt>
                <c:pt idx="9">
                  <c:v>1198.05</c:v>
                </c:pt>
                <c:pt idx="10">
                  <c:v>1284.5</c:v>
                </c:pt>
                <c:pt idx="11">
                  <c:v>1412.5989294339895</c:v>
                </c:pt>
                <c:pt idx="12">
                  <c:v>1670.3085864663701</c:v>
                </c:pt>
                <c:pt idx="13">
                  <c:v>1729.5240345791999</c:v>
                </c:pt>
              </c:numCache>
            </c:numRef>
          </c:val>
          <c:extLst>
            <c:ext xmlns:c16="http://schemas.microsoft.com/office/drawing/2014/chart" uri="{C3380CC4-5D6E-409C-BE32-E72D297353CC}">
              <c16:uniqueId val="{00000000-4A64-4624-A357-55A80524D394}"/>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Wages of employees in publ. admin.*</c:v>
                </c:pt>
              </c:strCache>
            </c:strRef>
          </c:tx>
          <c:spPr>
            <a:ln w="15875">
              <a:solidFill>
                <a:srgbClr val="984807"/>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rozpočet-výdaje'!$C$35:$C$48</c:f>
              <c:numCache>
                <c:formatCode>0.0</c:formatCode>
                <c:ptCount val="14"/>
                <c:pt idx="0">
                  <c:v>97.33</c:v>
                </c:pt>
                <c:pt idx="1">
                  <c:v>100.19</c:v>
                </c:pt>
                <c:pt idx="2">
                  <c:v>97.67</c:v>
                </c:pt>
                <c:pt idx="3">
                  <c:v>89.6</c:v>
                </c:pt>
                <c:pt idx="4">
                  <c:v>90.45</c:v>
                </c:pt>
                <c:pt idx="5">
                  <c:v>92.375</c:v>
                </c:pt>
                <c:pt idx="6">
                  <c:v>96.582999999999998</c:v>
                </c:pt>
                <c:pt idx="7">
                  <c:v>104.19</c:v>
                </c:pt>
                <c:pt idx="8">
                  <c:v>109.86</c:v>
                </c:pt>
                <c:pt idx="9">
                  <c:v>120.08</c:v>
                </c:pt>
                <c:pt idx="10">
                  <c:v>133.9</c:v>
                </c:pt>
                <c:pt idx="11">
                  <c:v>143.72754730148006</c:v>
                </c:pt>
                <c:pt idx="12">
                  <c:v>150.49796216553</c:v>
                </c:pt>
                <c:pt idx="13">
                  <c:v>152.51231683097001</c:v>
                </c:pt>
              </c:numCache>
            </c:numRef>
          </c:val>
          <c:smooth val="0"/>
          <c:extLst>
            <c:ext xmlns:c16="http://schemas.microsoft.com/office/drawing/2014/chart" uri="{C3380CC4-5D6E-409C-BE32-E72D297353CC}">
              <c16:uniqueId val="{00000001-4A64-4624-A357-55A80524D394}"/>
            </c:ext>
          </c:extLst>
        </c:ser>
        <c:ser>
          <c:idx val="6"/>
          <c:order val="2"/>
          <c:tx>
            <c:strRef>
              <c:f>'G2-Stání rozpočet-výdaje'!$D$31</c:f>
              <c:strCache>
                <c:ptCount val="1"/>
                <c:pt idx="0">
                  <c:v>Unemployment benefits</c:v>
                </c:pt>
              </c:strCache>
            </c:strRef>
          </c:tx>
          <c:spPr>
            <a:ln w="15875">
              <a:solidFill>
                <a:srgbClr val="0070C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rozpočet-výdaje'!$D$35:$D$48</c:f>
              <c:numCache>
                <c:formatCode>0.0</c:formatCode>
                <c:ptCount val="14"/>
                <c:pt idx="0">
                  <c:v>7.11</c:v>
                </c:pt>
                <c:pt idx="1">
                  <c:v>15.077999999999999</c:v>
                </c:pt>
                <c:pt idx="2">
                  <c:v>13.355</c:v>
                </c:pt>
                <c:pt idx="3">
                  <c:v>10.349</c:v>
                </c:pt>
                <c:pt idx="4">
                  <c:v>8.76</c:v>
                </c:pt>
                <c:pt idx="5">
                  <c:v>9.65</c:v>
                </c:pt>
                <c:pt idx="6">
                  <c:v>9.2620000000000005</c:v>
                </c:pt>
                <c:pt idx="7">
                  <c:v>8.2759999999999998</c:v>
                </c:pt>
                <c:pt idx="8">
                  <c:v>8.2200000000000006</c:v>
                </c:pt>
                <c:pt idx="9">
                  <c:v>7.82</c:v>
                </c:pt>
                <c:pt idx="10">
                  <c:v>7.51</c:v>
                </c:pt>
                <c:pt idx="11">
                  <c:v>8.1136251569399995</c:v>
                </c:pt>
                <c:pt idx="12">
                  <c:v>10.524849742540001</c:v>
                </c:pt>
                <c:pt idx="13">
                  <c:v>9.9748101241900002</c:v>
                </c:pt>
              </c:numCache>
            </c:numRef>
          </c:val>
          <c:smooth val="0"/>
          <c:extLst>
            <c:ext xmlns:c16="http://schemas.microsoft.com/office/drawing/2014/chart" uri="{C3380CC4-5D6E-409C-BE32-E72D297353CC}">
              <c16:uniqueId val="{00000002-4A64-4624-A357-55A80524D394}"/>
            </c:ext>
          </c:extLst>
        </c:ser>
        <c:ser>
          <c:idx val="7"/>
          <c:order val="3"/>
          <c:tx>
            <c:strRef>
              <c:f>'G2-Stání rozpočet-výdaje'!$E$31</c:f>
              <c:strCache>
                <c:ptCount val="1"/>
                <c:pt idx="0">
                  <c:v>State social support**</c:v>
                </c:pt>
              </c:strCache>
            </c:strRef>
          </c:tx>
          <c:spPr>
            <a:ln w="15875">
              <a:solidFill>
                <a:srgbClr val="00B05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rozpočet-výdaje'!$E$35:$E$48</c:f>
              <c:numCache>
                <c:formatCode>0.0</c:formatCode>
                <c:ptCount val="14"/>
                <c:pt idx="0">
                  <c:v>41.97</c:v>
                </c:pt>
                <c:pt idx="1">
                  <c:v>41.167999999999999</c:v>
                </c:pt>
                <c:pt idx="2">
                  <c:v>40.881</c:v>
                </c:pt>
                <c:pt idx="3">
                  <c:v>36.094000000000001</c:v>
                </c:pt>
                <c:pt idx="4">
                  <c:v>35.554000000000002</c:v>
                </c:pt>
                <c:pt idx="5">
                  <c:v>37.423000000000002</c:v>
                </c:pt>
                <c:pt idx="6">
                  <c:v>37.543999999999997</c:v>
                </c:pt>
                <c:pt idx="7">
                  <c:v>37.65</c:v>
                </c:pt>
                <c:pt idx="8">
                  <c:v>37.78</c:v>
                </c:pt>
                <c:pt idx="9">
                  <c:v>37.22</c:v>
                </c:pt>
                <c:pt idx="10">
                  <c:v>39.22</c:v>
                </c:pt>
                <c:pt idx="11">
                  <c:v>37.87859106618</c:v>
                </c:pt>
                <c:pt idx="12">
                  <c:v>51.685289497479999</c:v>
                </c:pt>
                <c:pt idx="13">
                  <c:v>48.818915255749999</c:v>
                </c:pt>
              </c:numCache>
            </c:numRef>
          </c:val>
          <c:smooth val="0"/>
          <c:extLst>
            <c:ext xmlns:c16="http://schemas.microsoft.com/office/drawing/2014/chart" uri="{C3380CC4-5D6E-409C-BE32-E72D297353CC}">
              <c16:uniqueId val="{00000003-4A64-4624-A357-55A80524D394}"/>
            </c:ext>
          </c:extLst>
        </c:ser>
        <c:ser>
          <c:idx val="2"/>
          <c:order val="4"/>
          <c:tx>
            <c:strRef>
              <c:f>'G2-Stání rozpočet-výdaje'!$F$31</c:f>
              <c:strCache>
                <c:ptCount val="1"/>
                <c:pt idx="0">
                  <c:v>Sickness benefits</c:v>
                </c:pt>
              </c:strCache>
            </c:strRef>
          </c:tx>
          <c:spPr>
            <a:ln w="15875">
              <a:solidFill>
                <a:srgbClr val="00B0F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rozpočet-výdaje'!$F$35:$F$48</c:f>
              <c:numCache>
                <c:formatCode>0.0</c:formatCode>
                <c:ptCount val="14"/>
                <c:pt idx="0">
                  <c:v>31.882000000000001</c:v>
                </c:pt>
                <c:pt idx="1">
                  <c:v>26.233000000000001</c:v>
                </c:pt>
                <c:pt idx="2">
                  <c:v>22.995999999999999</c:v>
                </c:pt>
                <c:pt idx="3">
                  <c:v>21.734000000000002</c:v>
                </c:pt>
                <c:pt idx="4">
                  <c:v>19.602</c:v>
                </c:pt>
                <c:pt idx="5">
                  <c:v>20.350000000000001</c:v>
                </c:pt>
                <c:pt idx="6">
                  <c:v>22.283000000000001</c:v>
                </c:pt>
                <c:pt idx="7">
                  <c:v>24.31</c:v>
                </c:pt>
                <c:pt idx="8">
                  <c:v>26.5</c:v>
                </c:pt>
                <c:pt idx="9">
                  <c:v>28.57</c:v>
                </c:pt>
                <c:pt idx="10">
                  <c:v>34.173699999999997</c:v>
                </c:pt>
                <c:pt idx="11">
                  <c:v>39.094712799999996</c:v>
                </c:pt>
                <c:pt idx="12">
                  <c:v>55.4</c:v>
                </c:pt>
                <c:pt idx="13">
                  <c:v>51.355800000000002</c:v>
                </c:pt>
              </c:numCache>
            </c:numRef>
          </c:val>
          <c:smooth val="0"/>
          <c:extLst>
            <c:ext xmlns:c16="http://schemas.microsoft.com/office/drawing/2014/chart" uri="{C3380CC4-5D6E-409C-BE32-E72D297353CC}">
              <c16:uniqueId val="{00000004-4A64-4624-A357-55A80524D394}"/>
            </c:ext>
          </c:extLst>
        </c:ser>
        <c:ser>
          <c:idx val="3"/>
          <c:order val="5"/>
          <c:tx>
            <c:strRef>
              <c:f>'G2-Stání rozpočet-výdaje'!$G$31</c:f>
              <c:strCache>
                <c:ptCount val="1"/>
                <c:pt idx="0">
                  <c:v>Social care benefits***</c:v>
                </c:pt>
              </c:strCache>
            </c:strRef>
          </c:tx>
          <c:spPr>
            <a:ln w="15875">
              <a:solidFill>
                <a:srgbClr val="7030A0"/>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rozpočet-výdaje'!$G$35:$G$48</c:f>
              <c:numCache>
                <c:formatCode>0.0</c:formatCode>
                <c:ptCount val="14"/>
                <c:pt idx="0">
                  <c:v>23.542000000000002</c:v>
                </c:pt>
                <c:pt idx="1">
                  <c:v>24.256</c:v>
                </c:pt>
                <c:pt idx="2">
                  <c:v>25.292000000000002</c:v>
                </c:pt>
                <c:pt idx="3">
                  <c:v>24.966999999999999</c:v>
                </c:pt>
                <c:pt idx="4">
                  <c:v>27.695499999999999</c:v>
                </c:pt>
                <c:pt idx="5">
                  <c:v>31.978999999999999</c:v>
                </c:pt>
                <c:pt idx="6">
                  <c:v>33.622</c:v>
                </c:pt>
                <c:pt idx="7">
                  <c:v>33.621000000000002</c:v>
                </c:pt>
                <c:pt idx="8">
                  <c:v>34.295000000000002</c:v>
                </c:pt>
                <c:pt idx="9">
                  <c:v>34.439</c:v>
                </c:pt>
                <c:pt idx="10">
                  <c:v>33.990400000000001</c:v>
                </c:pt>
                <c:pt idx="11">
                  <c:v>36.831099999999999</c:v>
                </c:pt>
                <c:pt idx="12">
                  <c:v>40.510199999999998</c:v>
                </c:pt>
                <c:pt idx="13">
                  <c:v>40.537129800000002</c:v>
                </c:pt>
              </c:numCache>
            </c:numRef>
          </c:val>
          <c:smooth val="0"/>
          <c:extLst>
            <c:ext xmlns:c16="http://schemas.microsoft.com/office/drawing/2014/chart" uri="{C3380CC4-5D6E-409C-BE32-E72D297353CC}">
              <c16:uniqueId val="{00000005-4A64-4624-A357-55A80524D394}"/>
            </c:ext>
          </c:extLst>
        </c:ser>
        <c:ser>
          <c:idx val="4"/>
          <c:order val="6"/>
          <c:tx>
            <c:strRef>
              <c:f>'G2-Stání rozpočet-výdaje'!$H$31</c:f>
              <c:strCache>
                <c:ptCount val="1"/>
                <c:pt idx="0">
                  <c:v>Non-investment purchases****</c:v>
                </c:pt>
              </c:strCache>
            </c:strRef>
          </c:tx>
          <c:spPr>
            <a:ln w="15875">
              <a:solidFill>
                <a:srgbClr val="F8A124"/>
              </a:solidFill>
              <a:prstDash val="solid"/>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rozpočet-výdaje'!$H$35:$H$48</c:f>
              <c:numCache>
                <c:formatCode>0.0</c:formatCode>
                <c:ptCount val="14"/>
                <c:pt idx="0">
                  <c:v>71.581999999999994</c:v>
                </c:pt>
                <c:pt idx="1">
                  <c:v>69.73</c:v>
                </c:pt>
                <c:pt idx="2">
                  <c:v>65.116</c:v>
                </c:pt>
                <c:pt idx="3">
                  <c:v>57.98</c:v>
                </c:pt>
                <c:pt idx="4">
                  <c:v>53.174999999999997</c:v>
                </c:pt>
                <c:pt idx="5">
                  <c:v>54.192999999999998</c:v>
                </c:pt>
                <c:pt idx="6">
                  <c:v>54.751000000000005</c:v>
                </c:pt>
                <c:pt idx="7">
                  <c:v>62.36</c:v>
                </c:pt>
                <c:pt idx="8">
                  <c:v>57.560000000000009</c:v>
                </c:pt>
                <c:pt idx="9">
                  <c:v>62.76</c:v>
                </c:pt>
                <c:pt idx="10">
                  <c:v>68.41</c:v>
                </c:pt>
                <c:pt idx="11">
                  <c:v>66.430000000000007</c:v>
                </c:pt>
                <c:pt idx="12">
                  <c:v>77.884951001920001</c:v>
                </c:pt>
                <c:pt idx="13">
                  <c:v>79.132175103670008</c:v>
                </c:pt>
              </c:numCache>
            </c:numRef>
          </c:val>
          <c:smooth val="0"/>
          <c:extLst>
            <c:ext xmlns:c16="http://schemas.microsoft.com/office/drawing/2014/chart" uri="{C3380CC4-5D6E-409C-BE32-E72D297353CC}">
              <c16:uniqueId val="{00000006-4A64-4624-A357-55A80524D394}"/>
            </c:ext>
          </c:extLst>
        </c:ser>
        <c:ser>
          <c:idx val="5"/>
          <c:order val="7"/>
          <c:tx>
            <c:strRef>
              <c:f>'G2-Stání rozpočet-výdaje'!$I$31</c:f>
              <c:strCache>
                <c:ptCount val="1"/>
                <c:pt idx="0">
                  <c:v>State debt (net expenditures) *****</c:v>
                </c:pt>
              </c:strCache>
            </c:strRef>
          </c:tx>
          <c:spPr>
            <a:ln w="15875">
              <a:solidFill>
                <a:srgbClr val="BD1B25"/>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rozpočet-výdaje'!$I$35:$I$48</c:f>
              <c:numCache>
                <c:formatCode>0.0</c:formatCode>
                <c:ptCount val="14"/>
                <c:pt idx="0">
                  <c:v>37.64</c:v>
                </c:pt>
                <c:pt idx="1">
                  <c:v>44.46</c:v>
                </c:pt>
                <c:pt idx="2">
                  <c:v>35.840000000000003</c:v>
                </c:pt>
                <c:pt idx="3">
                  <c:v>45.120000000000005</c:v>
                </c:pt>
                <c:pt idx="4">
                  <c:v>41.400000000000006</c:v>
                </c:pt>
                <c:pt idx="5">
                  <c:v>50.89</c:v>
                </c:pt>
                <c:pt idx="6">
                  <c:v>48.49</c:v>
                </c:pt>
                <c:pt idx="7">
                  <c:v>45.28</c:v>
                </c:pt>
                <c:pt idx="8">
                  <c:v>40.65</c:v>
                </c:pt>
                <c:pt idx="9">
                  <c:v>39.769999999999996</c:v>
                </c:pt>
                <c:pt idx="10">
                  <c:v>40.729999999999997</c:v>
                </c:pt>
                <c:pt idx="11">
                  <c:v>39.550577993799998</c:v>
                </c:pt>
                <c:pt idx="12">
                  <c:v>40.145474011320005</c:v>
                </c:pt>
                <c:pt idx="13">
                  <c:v>42.233847726199997</c:v>
                </c:pt>
              </c:numCache>
            </c:numRef>
          </c:val>
          <c:smooth val="0"/>
          <c:extLst>
            <c:ext xmlns:c16="http://schemas.microsoft.com/office/drawing/2014/chart" uri="{C3380CC4-5D6E-409C-BE32-E72D297353CC}">
              <c16:uniqueId val="{00000007-4A64-4624-A357-55A80524D394}"/>
            </c:ext>
          </c:extLst>
        </c:ser>
        <c:ser>
          <c:idx val="8"/>
          <c:order val="8"/>
          <c:tx>
            <c:strRef>
              <c:f>'G2-Stání rozpočet-výdaje'!$J$31</c:f>
              <c:strCache>
                <c:ptCount val="1"/>
                <c:pt idx="0">
                  <c:v>Non-investment transfers to business ent.</c:v>
                </c:pt>
              </c:strCache>
            </c:strRef>
          </c:tx>
          <c:spPr>
            <a:ln w="15875">
              <a:solidFill>
                <a:schemeClr val="bg2">
                  <a:lumMod val="25000"/>
                </a:schemeClr>
              </a:solidFill>
              <a:prstDash val="sysDash"/>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rozpočet-výdaje'!$J$35:$J$48</c:f>
              <c:numCache>
                <c:formatCode>0.00</c:formatCode>
                <c:ptCount val="14"/>
                <c:pt idx="0">
                  <c:v>26.108000000000001</c:v>
                </c:pt>
                <c:pt idx="1">
                  <c:v>28.491</c:v>
                </c:pt>
                <c:pt idx="2">
                  <c:v>28.100999999999999</c:v>
                </c:pt>
                <c:pt idx="3">
                  <c:v>33.262999999999998</c:v>
                </c:pt>
                <c:pt idx="4">
                  <c:v>35.61</c:v>
                </c:pt>
                <c:pt idx="5">
                  <c:v>35.03</c:v>
                </c:pt>
                <c:pt idx="6">
                  <c:v>41.23</c:v>
                </c:pt>
                <c:pt idx="7">
                  <c:v>39.14</c:v>
                </c:pt>
                <c:pt idx="8">
                  <c:v>44.23</c:v>
                </c:pt>
                <c:pt idx="9">
                  <c:v>48.3</c:v>
                </c:pt>
                <c:pt idx="10">
                  <c:v>57.32</c:v>
                </c:pt>
                <c:pt idx="11">
                  <c:v>57.932912725290002</c:v>
                </c:pt>
                <c:pt idx="12">
                  <c:v>106.75302514385</c:v>
                </c:pt>
                <c:pt idx="13">
                  <c:v>125.50813247993001</c:v>
                </c:pt>
              </c:numCache>
            </c:numRef>
          </c:val>
          <c:smooth val="0"/>
          <c:extLst>
            <c:ext xmlns:c16="http://schemas.microsoft.com/office/drawing/2014/chart" uri="{C3380CC4-5D6E-409C-BE32-E72D297353CC}">
              <c16:uniqueId val="{00000008-4A64-4624-A357-55A80524D394}"/>
            </c:ext>
          </c:extLst>
        </c:ser>
        <c:ser>
          <c:idx val="9"/>
          <c:order val="9"/>
          <c:tx>
            <c:strRef>
              <c:f>'G2-Stání rozpočet-výdaje'!$K$31</c:f>
              <c:strCache>
                <c:ptCount val="1"/>
                <c:pt idx="0">
                  <c:v>Capital expenditures</c:v>
                </c:pt>
              </c:strCache>
            </c:strRef>
          </c:tx>
          <c:spPr>
            <a:ln w="15875">
              <a:solidFill>
                <a:schemeClr val="tx1">
                  <a:lumMod val="95000"/>
                  <a:lumOff val="5000"/>
                </a:schemeClr>
              </a:solidFill>
            </a:ln>
          </c:spPr>
          <c:marker>
            <c:symbol val="none"/>
          </c:marker>
          <c:cat>
            <c:numRef>
              <c:f>'G2-Stání rozpočet-výdaje'!$A$35:$A$48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'G2-Stání rozpočet-výdaje'!$K$35:$K$48</c:f>
              <c:numCache>
                <c:formatCode>0.0</c:formatCode>
                <c:ptCount val="14"/>
                <c:pt idx="0">
                  <c:v>108.08</c:v>
                </c:pt>
                <c:pt idx="1">
                  <c:v>134.22999999999999</c:v>
                </c:pt>
                <c:pt idx="2">
                  <c:v>134.91</c:v>
                </c:pt>
                <c:pt idx="3">
                  <c:v>123.69</c:v>
                </c:pt>
                <c:pt idx="4">
                  <c:v>113.62</c:v>
                </c:pt>
                <c:pt idx="5">
                  <c:v>102.315</c:v>
                </c:pt>
                <c:pt idx="6">
                  <c:v>111.50700000000001</c:v>
                </c:pt>
                <c:pt idx="7">
                  <c:v>175.66</c:v>
                </c:pt>
                <c:pt idx="8">
                  <c:v>84.27</c:v>
                </c:pt>
                <c:pt idx="9">
                  <c:v>81.75</c:v>
                </c:pt>
                <c:pt idx="10">
                  <c:v>116.46</c:v>
                </c:pt>
                <c:pt idx="11">
                  <c:v>139.13928546782003</c:v>
                </c:pt>
                <c:pt idx="12">
                  <c:v>172.62079654905</c:v>
                </c:pt>
                <c:pt idx="13">
                  <c:v>177.40106130625</c:v>
                </c:pt>
              </c:numCache>
            </c:numRef>
          </c:val>
          <c:smooth val="0"/>
          <c:extLst>
            <c:ext xmlns:c16="http://schemas.microsoft.com/office/drawing/2014/chart" uri="{C3380CC4-5D6E-409C-BE32-E72D297353CC}">
              <c16:uniqueId val="{00000009-4A64-4624-A357-55A80524D394}"/>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Other expenditures (in CZK bn)</a:t>
                </a:r>
                <a:endParaRPr lang="cs-CZ" sz="700">
                  <a:effectLst/>
                </a:endParaRP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18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Total current expenditures (in CZK bn)</a:t>
                </a:r>
                <a:endParaRPr lang="cs-CZ" sz="700">
                  <a:effectLst/>
                </a:endParaRPr>
              </a:p>
            </c:rich>
          </c:tx>
          <c:overlay val="0"/>
        </c:title>
        <c:numFmt formatCode="0" sourceLinked="0"/>
        <c:majorTickMark val="out"/>
        <c:minorTickMark val="none"/>
        <c:tickLblPos val="nextTo"/>
        <c:spPr>
          <a:ln w="6350">
            <a:solidFill>
              <a:schemeClr val="tx1"/>
            </a:solidFill>
          </a:ln>
        </c:spPr>
        <c:crossAx val="72836608"/>
        <c:crosses val="max"/>
        <c:crossBetween val="between"/>
        <c:majorUnit val="2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6201979374301685E-3"/>
          <c:y val="0.83696214669034863"/>
          <c:w val="0.98339989185419729"/>
          <c:h val="0.1517613378684807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3'!$D$22:$D$45</c:f>
              <c:numCache>
                <c:formatCode>#\ ##0.0</c:formatCode>
                <c:ptCount val="24"/>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-0.91830335911448924</c:v>
                </c:pt>
                <c:pt idx="17">
                  <c:v>-3.3026648907213207</c:v>
                </c:pt>
                <c:pt idx="18">
                  <c:v>-2.0346444917072359</c:v>
                </c:pt>
                <c:pt idx="19">
                  <c:v>-4.4970793086911476</c:v>
                </c:pt>
                <c:pt idx="20">
                  <c:v>-3.1666171635486613</c:v>
                </c:pt>
                <c:pt idx="21">
                  <c:v>1.6129832241900284</c:v>
                </c:pt>
                <c:pt idx="22">
                  <c:v>2.3018634017145203</c:v>
                </c:pt>
                <c:pt idx="23">
                  <c:v>3.7760323736067498</c:v>
                </c:pt>
              </c:numCache>
            </c:numRef>
          </c:val>
          <c:extLst>
            <c:ext xmlns:c16="http://schemas.microsoft.com/office/drawing/2014/chart" uri="{C3380CC4-5D6E-409C-BE32-E72D297353CC}">
              <c16:uniqueId val="{00000000-EFE2-44DB-930C-C57607DACCE1}"/>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3'!$E$22:$E$45</c:f>
              <c:numCache>
                <c:formatCode>#\ ##0.0</c:formatCode>
                <c:ptCount val="24"/>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0.69883245212185363</c:v>
                </c:pt>
                <c:pt idx="17">
                  <c:v>0.61496658870765319</c:v>
                </c:pt>
                <c:pt idx="18">
                  <c:v>0.42402640924857915</c:v>
                </c:pt>
                <c:pt idx="19">
                  <c:v>1.1052744191656214</c:v>
                </c:pt>
                <c:pt idx="20">
                  <c:v>0.43060267369243149</c:v>
                </c:pt>
                <c:pt idx="21">
                  <c:v>0.11834552709108449</c:v>
                </c:pt>
                <c:pt idx="22">
                  <c:v>0.60318680439500438</c:v>
                </c:pt>
                <c:pt idx="23">
                  <c:v>-1.1695072118974701E-2</c:v>
                </c:pt>
              </c:numCache>
            </c:numRef>
          </c:val>
          <c:extLst>
            <c:ext xmlns:c16="http://schemas.microsoft.com/office/drawing/2014/chart" uri="{C3380CC4-5D6E-409C-BE32-E72D297353CC}">
              <c16:uniqueId val="{00000001-EFE2-44DB-930C-C57607DACCE1}"/>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3'!$G$22:$G$45</c:f>
              <c:numCache>
                <c:formatCode>#\ ##0.0</c:formatCode>
                <c:ptCount val="24"/>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-0.61859997120139953</c:v>
                </c:pt>
                <c:pt idx="17">
                  <c:v>-0.1104431651754639</c:v>
                </c:pt>
                <c:pt idx="18">
                  <c:v>-3.8589775640830584</c:v>
                </c:pt>
                <c:pt idx="19">
                  <c:v>-5.2855728465562315</c:v>
                </c:pt>
                <c:pt idx="20">
                  <c:v>0.57922354924076469</c:v>
                </c:pt>
                <c:pt idx="21">
                  <c:v>2.2207484570789635</c:v>
                </c:pt>
                <c:pt idx="22">
                  <c:v>6.3746425914291196</c:v>
                </c:pt>
                <c:pt idx="23">
                  <c:v>6.2592975939505235</c:v>
                </c:pt>
              </c:numCache>
            </c:numRef>
          </c:val>
          <c:extLst>
            <c:ext xmlns:c16="http://schemas.microsoft.com/office/drawing/2014/chart" uri="{C3380CC4-5D6E-409C-BE32-E72D297353CC}">
              <c16:uniqueId val="{00000002-EFE2-44DB-930C-C57607DACCE1}"/>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3'!$F$22:$F$45</c:f>
              <c:numCache>
                <c:formatCode>#\ ##0.0</c:formatCode>
                <c:ptCount val="24"/>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-0.70704049567154237</c:v>
                </c:pt>
                <c:pt idx="17">
                  <c:v>-8.1880750230478405</c:v>
                </c:pt>
                <c:pt idx="18">
                  <c:v>-4.2914045921098154E-2</c:v>
                </c:pt>
                <c:pt idx="19">
                  <c:v>3.3212284987957057</c:v>
                </c:pt>
                <c:pt idx="20">
                  <c:v>-0.16534204693329047</c:v>
                </c:pt>
                <c:pt idx="21">
                  <c:v>4.7252118989575322</c:v>
                </c:pt>
                <c:pt idx="22">
                  <c:v>-5.84839288431602</c:v>
                </c:pt>
                <c:pt idx="23">
                  <c:v>-6.4580960472915736</c:v>
                </c:pt>
              </c:numCache>
            </c:numRef>
          </c:val>
          <c:extLst>
            <c:ext xmlns:c16="http://schemas.microsoft.com/office/drawing/2014/chart" uri="{C3380CC4-5D6E-409C-BE32-E72D297353CC}">
              <c16:uniqueId val="{00000003-EFE2-44DB-930C-C57607DACCE1}"/>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3'!$C$22:$C$45</c:f>
              <c:numCache>
                <c:formatCode>#\ ##0.0</c:formatCode>
                <c:ptCount val="24"/>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-1.4789706833147562</c:v>
                </c:pt>
                <c:pt idx="17">
                  <c:v>-10.941068998528863</c:v>
                </c:pt>
                <c:pt idx="18">
                  <c:v>-5.4805545556813797</c:v>
                </c:pt>
                <c:pt idx="19">
                  <c:v>-5.3144927200724794</c:v>
                </c:pt>
                <c:pt idx="20">
                  <c:v>-2.3042044581447954</c:v>
                </c:pt>
                <c:pt idx="21">
                  <c:v>8.7242144058262738</c:v>
                </c:pt>
                <c:pt idx="22">
                  <c:v>3.4881761054292042</c:v>
                </c:pt>
                <c:pt idx="23">
                  <c:v>3.6144825372438589</c:v>
                </c:pt>
              </c:numCache>
            </c:numRef>
          </c:val>
          <c:smooth val="0"/>
          <c:extLst>
            <c:ext xmlns:c16="http://schemas.microsoft.com/office/drawing/2014/chart" uri="{C3380CC4-5D6E-409C-BE32-E72D297353CC}">
              <c16:uniqueId val="{00000004-EFE2-44DB-930C-C57607DACCE1}"/>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4'!$C$22:$C$45</c:f>
              <c:numCache>
                <c:formatCode>#\ ##0.0</c:formatCode>
                <c:ptCount val="24"/>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0.14176672431872625</c:v>
                </c:pt>
                <c:pt idx="17">
                  <c:v>0.11249081704706697</c:v>
                </c:pt>
                <c:pt idx="18">
                  <c:v>0.13981604653752278</c:v>
                </c:pt>
                <c:pt idx="19">
                  <c:v>0.14108758003622204</c:v>
                </c:pt>
                <c:pt idx="20">
                  <c:v>0.17907455901827043</c:v>
                </c:pt>
                <c:pt idx="21">
                  <c:v>7.2580994222563006E-2</c:v>
                </c:pt>
                <c:pt idx="22">
                  <c:v>-1.6518947586400917E-2</c:v>
                </c:pt>
                <c:pt idx="23">
                  <c:v>-4.8864342909504272E-3</c:v>
                </c:pt>
              </c:numCache>
            </c:numRef>
          </c:val>
          <c:extLst>
            <c:ext xmlns:c16="http://schemas.microsoft.com/office/drawing/2014/chart" uri="{C3380CC4-5D6E-409C-BE32-E72D297353CC}">
              <c16:uniqueId val="{00000000-8999-4E65-B3A9-7FEB018ACB23}"/>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4'!$D$22:$D$45</c:f>
              <c:numCache>
                <c:formatCode>#\ ##0.0</c:formatCode>
                <c:ptCount val="24"/>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-0.53997016525009367</c:v>
                </c:pt>
                <c:pt idx="17">
                  <c:v>-5.0059253286549321</c:v>
                </c:pt>
                <c:pt idx="18">
                  <c:v>-1.4512995132900004</c:v>
                </c:pt>
                <c:pt idx="19">
                  <c:v>-0.93383709307716245</c:v>
                </c:pt>
                <c:pt idx="20">
                  <c:v>0.24271724395204189</c:v>
                </c:pt>
                <c:pt idx="21">
                  <c:v>5.2181249784767765</c:v>
                </c:pt>
                <c:pt idx="22">
                  <c:v>-5.9668958535163859E-3</c:v>
                </c:pt>
                <c:pt idx="23">
                  <c:v>-0.83218811351061661</c:v>
                </c:pt>
              </c:numCache>
            </c:numRef>
          </c:val>
          <c:extLst>
            <c:ext xmlns:c16="http://schemas.microsoft.com/office/drawing/2014/chart" uri="{C3380CC4-5D6E-409C-BE32-E72D297353CC}">
              <c16:uniqueId val="{00000001-8999-4E65-B3A9-7FEB018ACB23}"/>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4'!$E$22:$E$45</c:f>
              <c:numCache>
                <c:formatCode>#\ ##0.0</c:formatCode>
                <c:ptCount val="24"/>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-0.81690718824149333</c:v>
                </c:pt>
                <c:pt idx="17" formatCode="General">
                  <c:v>-0.98259068427443541</c:v>
                </c:pt>
                <c:pt idx="18" formatCode="General">
                  <c:v>-0.69616872252867079</c:v>
                </c:pt>
                <c:pt idx="19" formatCode="General">
                  <c:v>-0.50667466553829965</c:v>
                </c:pt>
                <c:pt idx="20" formatCode="General">
                  <c:v>-5.7498028336359225E-2</c:v>
                </c:pt>
                <c:pt idx="21" formatCode="General">
                  <c:v>1.7794028640025772E-2</c:v>
                </c:pt>
                <c:pt idx="22" formatCode="General">
                  <c:v>-6.867840102346405E-2</c:v>
                </c:pt>
                <c:pt idx="23" formatCode="General">
                  <c:v>0.13921600992350913</c:v>
                </c:pt>
              </c:numCache>
            </c:numRef>
          </c:val>
          <c:extLst>
            <c:ext xmlns:c16="http://schemas.microsoft.com/office/drawing/2014/chart" uri="{C3380CC4-5D6E-409C-BE32-E72D297353CC}">
              <c16:uniqueId val="{00000002-8999-4E65-B3A9-7FEB018ACB23}"/>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4'!$F$22:$F$45</c:f>
              <c:numCache>
                <c:formatCode>#\ ##0.0</c:formatCode>
                <c:ptCount val="24"/>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-0.19166724504190716</c:v>
                </c:pt>
                <c:pt idx="17">
                  <c:v>-0.60285314635125042</c:v>
                </c:pt>
                <c:pt idx="18">
                  <c:v>-0.54705863394275789</c:v>
                </c:pt>
                <c:pt idx="19">
                  <c:v>-0.62000534365189297</c:v>
                </c:pt>
                <c:pt idx="20">
                  <c:v>-0.35123055389716473</c:v>
                </c:pt>
                <c:pt idx="21">
                  <c:v>0.1313633063695519</c:v>
                </c:pt>
                <c:pt idx="22">
                  <c:v>0.19301461453144203</c:v>
                </c:pt>
                <c:pt idx="23">
                  <c:v>0.24724649400132864</c:v>
                </c:pt>
              </c:numCache>
            </c:numRef>
          </c:val>
          <c:extLst>
            <c:ext xmlns:c16="http://schemas.microsoft.com/office/drawing/2014/chart" uri="{C3380CC4-5D6E-409C-BE32-E72D297353CC}">
              <c16:uniqueId val="{00000003-8999-4E65-B3A9-7FEB018ACB23}"/>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4'!$G$22:$G$45</c:f>
              <c:numCache>
                <c:formatCode>#\ ##0.0</c:formatCode>
                <c:ptCount val="24"/>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0.34230053373551261</c:v>
                </c:pt>
                <c:pt idx="17" formatCode="General">
                  <c:v>-4.6560146884593276</c:v>
                </c:pt>
                <c:pt idx="18" formatCode="General">
                  <c:v>-2.6811516290968198</c:v>
                </c:pt>
                <c:pt idx="19" formatCode="General">
                  <c:v>-3.0565525802031988</c:v>
                </c:pt>
                <c:pt idx="20" formatCode="General">
                  <c:v>-2.4438672761711628</c:v>
                </c:pt>
                <c:pt idx="21" formatCode="General">
                  <c:v>3.4300084237309272</c:v>
                </c:pt>
                <c:pt idx="22" formatCode="General">
                  <c:v>3.0384982581294651</c:v>
                </c:pt>
                <c:pt idx="23" formatCode="General">
                  <c:v>3.3466568230798779</c:v>
                </c:pt>
              </c:numCache>
            </c:numRef>
          </c:val>
          <c:extLst>
            <c:ext xmlns:c16="http://schemas.microsoft.com/office/drawing/2014/chart" uri="{C3380CC4-5D6E-409C-BE32-E72D297353CC}">
              <c16:uniqueId val="{00000004-8999-4E65-B3A9-7FEB018ACB23}"/>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'souhrnná výkonnost 4'!$H$22:$H$45</c:f>
              <c:numCache>
                <c:formatCode>#\ ##0.0</c:formatCode>
                <c:ptCount val="24"/>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-1.0644038654311032</c:v>
                </c:pt>
                <c:pt idx="17">
                  <c:v>-11.134782014990577</c:v>
                </c:pt>
                <c:pt idx="18">
                  <c:v>-5.2357382347572923</c:v>
                </c:pt>
                <c:pt idx="19">
                  <c:v>-4.9764580569393075</c:v>
                </c:pt>
                <c:pt idx="20">
                  <c:v>-2.4310027971896631</c:v>
                </c:pt>
                <c:pt idx="21">
                  <c:v>8.8697916322969519</c:v>
                </c:pt>
                <c:pt idx="22">
                  <c:v>3.1401516384107282</c:v>
                </c:pt>
                <c:pt idx="23">
                  <c:v>2.8965979758565936</c:v>
                </c:pt>
              </c:numCache>
            </c:numRef>
          </c:val>
          <c:smooth val="0"/>
          <c:extLst>
            <c:ext xmlns:c16="http://schemas.microsoft.com/office/drawing/2014/chart" uri="{C3380CC4-5D6E-409C-BE32-E72D297353CC}">
              <c16:uniqueId val="{00000005-8999-4E65-B3A9-7FEB018ACB23}"/>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3"/>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64570317024053E-2"/>
          <c:y val="1.6203564535994225E-2"/>
          <c:w val="0.93146421518997324"/>
          <c:h val="0.72261665159978317"/>
        </c:manualLayout>
      </c:layout>
      <c:barChart>
        <c:barDir val="col"/>
        <c:grouping val="stacked"/>
        <c:varyColors val="0"/>
        <c:ser>
          <c:idx val="0"/>
          <c:order val="0"/>
          <c:tx>
            <c:strRef>
              <c:f>'GRAF příspěvky IPP'!$AX$27</c:f>
              <c:strCache>
                <c:ptCount val="1"/>
                <c:pt idx="0">
                  <c:v>Manufact. of transport equipment (29, 30)</c:v>
                </c:pt>
              </c:strCache>
            </c:strRef>
          </c:tx>
          <c:spPr>
            <a:solidFill>
              <a:srgbClr val="E8AFB2"/>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IPP'!$AY$27:$BI$27</c:f>
              <c:numCache>
                <c:formatCode>0.0</c:formatCode>
                <c:ptCount val="11"/>
                <c:pt idx="0">
                  <c:v>4.0187040552281479</c:v>
                </c:pt>
                <c:pt idx="1">
                  <c:v>0.27559267265750659</c:v>
                </c:pt>
                <c:pt idx="2">
                  <c:v>-0.37158555124836035</c:v>
                </c:pt>
                <c:pt idx="3">
                  <c:v>2.2485645301168762</c:v>
                </c:pt>
                <c:pt idx="4">
                  <c:v>2.2460585189047308</c:v>
                </c:pt>
                <c:pt idx="5">
                  <c:v>2.1324764387372728</c:v>
                </c:pt>
                <c:pt idx="6">
                  <c:v>1.7874918438614782</c:v>
                </c:pt>
                <c:pt idx="7">
                  <c:v>0.63356806260005483</c:v>
                </c:pt>
                <c:pt idx="8">
                  <c:v>-1.6681964490201845E-2</c:v>
                </c:pt>
                <c:pt idx="9">
                  <c:v>-2.3389403330391949</c:v>
                </c:pt>
                <c:pt idx="10">
                  <c:v>1.1004281540367753</c:v>
                </c:pt>
              </c:numCache>
            </c:numRef>
          </c:val>
          <c:extLst>
            <c:ext xmlns:c16="http://schemas.microsoft.com/office/drawing/2014/chart" uri="{C3380CC4-5D6E-409C-BE32-E72D297353CC}">
              <c16:uniqueId val="{00000000-FBEC-4A78-B8BE-76AA9E11E993}"/>
            </c:ext>
          </c:extLst>
        </c:ser>
        <c:ser>
          <c:idx val="1"/>
          <c:order val="1"/>
          <c:tx>
            <c:strRef>
              <c:f>'GRAF příspěvky IPP'!$AX$28</c:f>
              <c:strCache>
                <c:ptCount val="1"/>
                <c:pt idx="0">
                  <c:v>Rubber, electro technical ind. (22, 27)</c:v>
                </c:pt>
              </c:strCache>
            </c:strRef>
          </c:tx>
          <c:spPr>
            <a:solidFill>
              <a:srgbClr val="BD1B21"/>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IPP'!$AY$28:$BI$28</c:f>
              <c:numCache>
                <c:formatCode>0.0</c:formatCode>
                <c:ptCount val="11"/>
                <c:pt idx="0">
                  <c:v>1.0561338774336075</c:v>
                </c:pt>
                <c:pt idx="1">
                  <c:v>0.51953008943111678</c:v>
                </c:pt>
                <c:pt idx="2">
                  <c:v>8.9765115816348898E-2</c:v>
                </c:pt>
                <c:pt idx="3">
                  <c:v>0.86871515925583642</c:v>
                </c:pt>
                <c:pt idx="4">
                  <c:v>1.0707625358782411</c:v>
                </c:pt>
                <c:pt idx="5">
                  <c:v>0.41910973360039355</c:v>
                </c:pt>
                <c:pt idx="6">
                  <c:v>1.2013053357731418</c:v>
                </c:pt>
                <c:pt idx="7">
                  <c:v>0.4166398902590383</c:v>
                </c:pt>
                <c:pt idx="8">
                  <c:v>0.39132458065509379</c:v>
                </c:pt>
                <c:pt idx="9">
                  <c:v>-1.1404766766641485</c:v>
                </c:pt>
                <c:pt idx="10">
                  <c:v>1.4189264847146648</c:v>
                </c:pt>
              </c:numCache>
            </c:numRef>
          </c:val>
          <c:extLst>
            <c:ext xmlns:c16="http://schemas.microsoft.com/office/drawing/2014/chart" uri="{C3380CC4-5D6E-409C-BE32-E72D297353CC}">
              <c16:uniqueId val="{00000001-FBEC-4A78-B8BE-76AA9E11E993}"/>
            </c:ext>
          </c:extLst>
        </c:ser>
        <c:ser>
          <c:idx val="2"/>
          <c:order val="2"/>
          <c:tx>
            <c:strRef>
              <c:f>'GRAF příspěvky IPP'!$AX$29</c:f>
              <c:strCache>
                <c:ptCount val="1"/>
                <c:pt idx="0">
                  <c:v>Machinery (28)</c:v>
                </c:pt>
              </c:strCache>
            </c:strRef>
          </c:tx>
          <c:spPr>
            <a:solidFill>
              <a:srgbClr val="BFE3F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IPP'!$AY$29:$BI$29</c:f>
              <c:numCache>
                <c:formatCode>0.0</c:formatCode>
                <c:ptCount val="11"/>
                <c:pt idx="0">
                  <c:v>0.8820149645239056</c:v>
                </c:pt>
                <c:pt idx="1">
                  <c:v>0.2125728670028548</c:v>
                </c:pt>
                <c:pt idx="2">
                  <c:v>0.23027863853480524</c:v>
                </c:pt>
                <c:pt idx="3">
                  <c:v>0.29059305239257294</c:v>
                </c:pt>
                <c:pt idx="4">
                  <c:v>0.23933737728389862</c:v>
                </c:pt>
                <c:pt idx="5">
                  <c:v>0.19993549519672627</c:v>
                </c:pt>
                <c:pt idx="6">
                  <c:v>0.77144546321235496</c:v>
                </c:pt>
                <c:pt idx="7">
                  <c:v>0.14757910886737832</c:v>
                </c:pt>
                <c:pt idx="8">
                  <c:v>-6.8544223250247643E-2</c:v>
                </c:pt>
                <c:pt idx="9">
                  <c:v>-1.0549511596336691</c:v>
                </c:pt>
                <c:pt idx="10">
                  <c:v>0.68346484072350966</c:v>
                </c:pt>
              </c:numCache>
            </c:numRef>
          </c:val>
          <c:extLst>
            <c:ext xmlns:c16="http://schemas.microsoft.com/office/drawing/2014/chart" uri="{C3380CC4-5D6E-409C-BE32-E72D297353CC}">
              <c16:uniqueId val="{00000002-FBEC-4A78-B8BE-76AA9E11E993}"/>
            </c:ext>
          </c:extLst>
        </c:ser>
        <c:ser>
          <c:idx val="3"/>
          <c:order val="3"/>
          <c:tx>
            <c:strRef>
              <c:f>'GRAF příspěvky IPP'!$AX$30</c:f>
              <c:strCache>
                <c:ptCount val="1"/>
                <c:pt idx="0">
                  <c:v>Fabricated metal product industry (25)</c:v>
                </c:pt>
              </c:strCache>
            </c:strRef>
          </c:tx>
          <c:spPr>
            <a:solidFill>
              <a:srgbClr val="48AEE7"/>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IPP'!$AY$30:$BI$30</c:f>
              <c:numCache>
                <c:formatCode>0.0</c:formatCode>
                <c:ptCount val="11"/>
                <c:pt idx="0">
                  <c:v>0.47004717942139845</c:v>
                </c:pt>
                <c:pt idx="1">
                  <c:v>-5.3181834799391946E-2</c:v>
                </c:pt>
                <c:pt idx="2">
                  <c:v>0.23405360592326518</c:v>
                </c:pt>
                <c:pt idx="3">
                  <c:v>0.46286075204908445</c:v>
                </c:pt>
                <c:pt idx="4">
                  <c:v>0.76209689214442877</c:v>
                </c:pt>
                <c:pt idx="5">
                  <c:v>0.41678082791308829</c:v>
                </c:pt>
                <c:pt idx="6">
                  <c:v>0.78822249468106176</c:v>
                </c:pt>
                <c:pt idx="7">
                  <c:v>0.41632616980289383</c:v>
                </c:pt>
                <c:pt idx="8">
                  <c:v>-8.2911895741773378E-2</c:v>
                </c:pt>
                <c:pt idx="9">
                  <c:v>-0.78431333347895049</c:v>
                </c:pt>
                <c:pt idx="10">
                  <c:v>0.94371847243509843</c:v>
                </c:pt>
              </c:numCache>
            </c:numRef>
          </c:val>
          <c:extLst>
            <c:ext xmlns:c16="http://schemas.microsoft.com/office/drawing/2014/chart" uri="{C3380CC4-5D6E-409C-BE32-E72D297353CC}">
              <c16:uniqueId val="{00000003-FBEC-4A78-B8BE-76AA9E11E993}"/>
            </c:ext>
          </c:extLst>
        </c:ser>
        <c:ser>
          <c:idx val="4"/>
          <c:order val="4"/>
          <c:tx>
            <c:strRef>
              <c:f>'GRAF příspěvky IPP'!$AX$31</c:f>
              <c:strCache>
                <c:ptCount val="1"/>
                <c:pt idx="0">
                  <c:v>Metallurgy (24)</c:v>
                </c:pt>
              </c:strCache>
            </c:strRef>
          </c:tx>
          <c:spPr>
            <a:solidFill>
              <a:schemeClr val="accent3">
                <a:lumMod val="60000"/>
                <a:lumOff val="40000"/>
              </a:schemeClr>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IPP'!$AY$31:$BI$31</c:f>
              <c:numCache>
                <c:formatCode>0.0</c:formatCode>
                <c:ptCount val="11"/>
                <c:pt idx="0">
                  <c:v>0.2491058058288774</c:v>
                </c:pt>
                <c:pt idx="1">
                  <c:v>-0.33307225245083977</c:v>
                </c:pt>
                <c:pt idx="2">
                  <c:v>-5.2176280362576835E-2</c:v>
                </c:pt>
                <c:pt idx="3">
                  <c:v>9.1339936160471216E-2</c:v>
                </c:pt>
                <c:pt idx="4">
                  <c:v>-2.7582546328035994E-2</c:v>
                </c:pt>
                <c:pt idx="5">
                  <c:v>-3.5044086544851936E-2</c:v>
                </c:pt>
                <c:pt idx="6">
                  <c:v>-1.565550398235557E-2</c:v>
                </c:pt>
                <c:pt idx="7">
                  <c:v>8.0798811896574452E-2</c:v>
                </c:pt>
                <c:pt idx="8">
                  <c:v>-0.1773347710162278</c:v>
                </c:pt>
                <c:pt idx="9">
                  <c:v>-0.19482322473097899</c:v>
                </c:pt>
                <c:pt idx="10">
                  <c:v>0.31711489095879841</c:v>
                </c:pt>
              </c:numCache>
            </c:numRef>
          </c:val>
          <c:extLst>
            <c:ext xmlns:c16="http://schemas.microsoft.com/office/drawing/2014/chart" uri="{C3380CC4-5D6E-409C-BE32-E72D297353CC}">
              <c16:uniqueId val="{00000004-FBEC-4A78-B8BE-76AA9E11E993}"/>
            </c:ext>
          </c:extLst>
        </c:ser>
        <c:ser>
          <c:idx val="5"/>
          <c:order val="5"/>
          <c:tx>
            <c:strRef>
              <c:f>'GRAF příspěvky IPP'!$AX$32</c:f>
              <c:strCache>
                <c:ptCount val="1"/>
                <c:pt idx="0">
                  <c:v>Food industry, beverages (10, 11)</c:v>
                </c:pt>
              </c:strCache>
            </c:strRef>
          </c:tx>
          <c:spPr>
            <a:solidFill>
              <a:srgbClr val="92D050"/>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IPP'!$AY$32:$BI$32</c:f>
              <c:numCache>
                <c:formatCode>0.0</c:formatCode>
                <c:ptCount val="11"/>
                <c:pt idx="0">
                  <c:v>-0.10542549630649267</c:v>
                </c:pt>
                <c:pt idx="1">
                  <c:v>-9.8011923889022134E-2</c:v>
                </c:pt>
                <c:pt idx="2">
                  <c:v>-2.4691684344032211E-2</c:v>
                </c:pt>
                <c:pt idx="3">
                  <c:v>0.22632803152498732</c:v>
                </c:pt>
                <c:pt idx="4">
                  <c:v>0.2993124834917591</c:v>
                </c:pt>
                <c:pt idx="5">
                  <c:v>-1.0074757355259353E-2</c:v>
                </c:pt>
                <c:pt idx="6">
                  <c:v>0.13122571493171567</c:v>
                </c:pt>
                <c:pt idx="7">
                  <c:v>0.24105770459303671</c:v>
                </c:pt>
                <c:pt idx="8">
                  <c:v>4.50431383558988E-2</c:v>
                </c:pt>
                <c:pt idx="9">
                  <c:v>-0.13605811055761927</c:v>
                </c:pt>
                <c:pt idx="10">
                  <c:v>0.28282315383098583</c:v>
                </c:pt>
              </c:numCache>
            </c:numRef>
          </c:val>
          <c:extLst>
            <c:ext xmlns:c16="http://schemas.microsoft.com/office/drawing/2014/chart" uri="{C3380CC4-5D6E-409C-BE32-E72D297353CC}">
              <c16:uniqueId val="{00000005-FBEC-4A78-B8BE-76AA9E11E993}"/>
            </c:ext>
          </c:extLst>
        </c:ser>
        <c:ser>
          <c:idx val="6"/>
          <c:order val="6"/>
          <c:tx>
            <c:strRef>
              <c:f>'GRAF příspěvky IPP'!$AX$33</c:f>
              <c:strCache>
                <c:ptCount val="1"/>
                <c:pt idx="0">
                  <c:v>Manufact. of PC, electron.,optic. prod. (26)</c:v>
                </c:pt>
              </c:strCache>
            </c:strRef>
          </c:tx>
          <c:spPr>
            <a:solidFill>
              <a:srgbClr val="FDDEB3"/>
            </a:solidFill>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IPP'!$AY$33:$BI$33</c:f>
              <c:numCache>
                <c:formatCode>0.0</c:formatCode>
                <c:ptCount val="11"/>
                <c:pt idx="0">
                  <c:v>-0.10359604880800667</c:v>
                </c:pt>
                <c:pt idx="1">
                  <c:v>-0.62775348873755987</c:v>
                </c:pt>
                <c:pt idx="2">
                  <c:v>0.25889985415802419</c:v>
                </c:pt>
                <c:pt idx="3">
                  <c:v>0.32500511993232978</c:v>
                </c:pt>
                <c:pt idx="4">
                  <c:v>1.9444712497032453E-2</c:v>
                </c:pt>
                <c:pt idx="5">
                  <c:v>6.9340308725786684E-2</c:v>
                </c:pt>
                <c:pt idx="6">
                  <c:v>0.24174726973565361</c:v>
                </c:pt>
                <c:pt idx="7">
                  <c:v>0.36797464154264958</c:v>
                </c:pt>
                <c:pt idx="8">
                  <c:v>-0.27300478009256213</c:v>
                </c:pt>
                <c:pt idx="9">
                  <c:v>-9.5520413536078555E-2</c:v>
                </c:pt>
                <c:pt idx="10">
                  <c:v>6.1349404829024776E-2</c:v>
                </c:pt>
              </c:numCache>
            </c:numRef>
          </c:val>
          <c:extLst>
            <c:ext xmlns:c16="http://schemas.microsoft.com/office/drawing/2014/chart" uri="{C3380CC4-5D6E-409C-BE32-E72D297353CC}">
              <c16:uniqueId val="{00000006-FBEC-4A78-B8BE-76AA9E11E993}"/>
            </c:ext>
          </c:extLst>
        </c:ser>
        <c:ser>
          <c:idx val="7"/>
          <c:order val="7"/>
          <c:tx>
            <c:strRef>
              <c:f>'GRAF příspěvky IPP'!$AX$34</c:f>
              <c:strCache>
                <c:ptCount val="1"/>
                <c:pt idx="0">
                  <c:v>Chemical and pharmaceutical ind. (20, 21)</c:v>
                </c:pt>
              </c:strCache>
            </c:strRef>
          </c:tx>
          <c:spPr>
            <a:solidFill>
              <a:srgbClr val="F8A124"/>
            </a:solidFill>
            <a:ln>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IPP'!$AY$34:$BI$34</c:f>
              <c:numCache>
                <c:formatCode>0.0</c:formatCode>
                <c:ptCount val="11"/>
                <c:pt idx="0">
                  <c:v>-0.16156575585733979</c:v>
                </c:pt>
                <c:pt idx="1">
                  <c:v>8.6682655638041811E-2</c:v>
                </c:pt>
                <c:pt idx="2">
                  <c:v>-2.7149440767918046E-2</c:v>
                </c:pt>
                <c:pt idx="3">
                  <c:v>0.29845988497299419</c:v>
                </c:pt>
                <c:pt idx="4">
                  <c:v>-4.8215366302412521E-2</c:v>
                </c:pt>
                <c:pt idx="5">
                  <c:v>-0.17668220570989085</c:v>
                </c:pt>
                <c:pt idx="6">
                  <c:v>0.62602466997723716</c:v>
                </c:pt>
                <c:pt idx="7">
                  <c:v>8.9846852688779275E-2</c:v>
                </c:pt>
                <c:pt idx="8">
                  <c:v>0.10046501968954087</c:v>
                </c:pt>
                <c:pt idx="9">
                  <c:v>-9.0999749509208028E-2</c:v>
                </c:pt>
                <c:pt idx="10">
                  <c:v>0.34310143113188724</c:v>
                </c:pt>
              </c:numCache>
            </c:numRef>
          </c:val>
          <c:extLst>
            <c:ext xmlns:c16="http://schemas.microsoft.com/office/drawing/2014/chart" uri="{C3380CC4-5D6E-409C-BE32-E72D297353CC}">
              <c16:uniqueId val="{00000007-FBEC-4A78-B8BE-76AA9E11E993}"/>
            </c:ext>
          </c:extLst>
        </c:ser>
        <c:ser>
          <c:idx val="8"/>
          <c:order val="8"/>
          <c:tx>
            <c:strRef>
              <c:f>'GRAF příspěvky IPP'!$AX$35</c:f>
              <c:strCache>
                <c:ptCount val="1"/>
                <c:pt idx="0">
                  <c:v>Remaining manufacturing industries</c:v>
                </c:pt>
              </c:strCache>
            </c:strRef>
          </c:tx>
          <c:spPr>
            <a:solidFill>
              <a:schemeClr val="bg1">
                <a:lumMod val="85000"/>
              </a:schemeClr>
            </a:solidFill>
            <a:ln w="19050">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IPP'!$AY$35:$BI$35</c:f>
              <c:numCache>
                <c:formatCode>0.0</c:formatCode>
                <c:ptCount val="11"/>
                <c:pt idx="0">
                  <c:v>-0.56916406339645897</c:v>
                </c:pt>
                <c:pt idx="1">
                  <c:v>-0.67742779643732831</c:v>
                </c:pt>
                <c:pt idx="2">
                  <c:v>0.49387110283879532</c:v>
                </c:pt>
                <c:pt idx="3">
                  <c:v>0.79463437886935173</c:v>
                </c:pt>
                <c:pt idx="4">
                  <c:v>0.38090270740310611</c:v>
                </c:pt>
                <c:pt idx="5">
                  <c:v>0.17970615335130233</c:v>
                </c:pt>
                <c:pt idx="6">
                  <c:v>0.72069777432432625</c:v>
                </c:pt>
                <c:pt idx="7">
                  <c:v>0.5297068811203568</c:v>
                </c:pt>
                <c:pt idx="8">
                  <c:v>-8.3812887789100177E-2</c:v>
                </c:pt>
                <c:pt idx="9">
                  <c:v>-0.35135335252020361</c:v>
                </c:pt>
                <c:pt idx="10">
                  <c:v>0.98876363368527698</c:v>
                </c:pt>
              </c:numCache>
            </c:numRef>
          </c:val>
          <c:extLst>
            <c:ext xmlns:c16="http://schemas.microsoft.com/office/drawing/2014/chart" uri="{C3380CC4-5D6E-409C-BE32-E72D297353CC}">
              <c16:uniqueId val="{00000008-FBEC-4A78-B8BE-76AA9E11E993}"/>
            </c:ext>
          </c:extLst>
        </c:ser>
        <c:ser>
          <c:idx val="9"/>
          <c:order val="9"/>
          <c:tx>
            <c:strRef>
              <c:f>'GRAF příspěvky IPP'!$AX$36</c:f>
              <c:strCache>
                <c:ptCount val="1"/>
                <c:pt idx="0">
                  <c:v>Mining and energetics (B, D)</c:v>
                </c:pt>
              </c:strCache>
            </c:strRef>
          </c:tx>
          <c:spPr>
            <a:solidFill>
              <a:srgbClr val="808080"/>
            </a:solidFill>
            <a:ln w="28575">
              <a:noFill/>
            </a:ln>
          </c:spPr>
          <c:invertIfNegative val="0"/>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IPP'!$AY$36:$BI$36</c:f>
              <c:numCache>
                <c:formatCode>0.0</c:formatCode>
                <c:ptCount val="11"/>
                <c:pt idx="0">
                  <c:v>-9.607120546763695E-2</c:v>
                </c:pt>
                <c:pt idx="1">
                  <c:v>-0.2109667662153778</c:v>
                </c:pt>
                <c:pt idx="2">
                  <c:v>-0.66791465814835604</c:v>
                </c:pt>
                <c:pt idx="3">
                  <c:v>-0.50641695797450248</c:v>
                </c:pt>
                <c:pt idx="4">
                  <c:v>-0.4354627250727533</c:v>
                </c:pt>
                <c:pt idx="5">
                  <c:v>-0.11818229951456684</c:v>
                </c:pt>
                <c:pt idx="6">
                  <c:v>0.48507387148538372</c:v>
                </c:pt>
                <c:pt idx="7">
                  <c:v>0.13857733752924239</c:v>
                </c:pt>
                <c:pt idx="8">
                  <c:v>-0.17877596012042432</c:v>
                </c:pt>
                <c:pt idx="9">
                  <c:v>-1.0008706198299531</c:v>
                </c:pt>
                <c:pt idx="10">
                  <c:v>0.50424113315397279</c:v>
                </c:pt>
              </c:numCache>
            </c:numRef>
          </c:val>
          <c:extLst>
            <c:ext xmlns:c16="http://schemas.microsoft.com/office/drawing/2014/chart" uri="{C3380CC4-5D6E-409C-BE32-E72D297353CC}">
              <c16:uniqueId val="{00000009-FBEC-4A78-B8BE-76AA9E11E993}"/>
            </c:ext>
          </c:extLst>
        </c:ser>
        <c:dLbls>
          <c:showLegendKey val="0"/>
          <c:showVal val="0"/>
          <c:showCatName val="0"/>
          <c:showSerName val="0"/>
          <c:showPercent val="0"/>
          <c:showBubbleSize val="0"/>
        </c:dLbls>
        <c:gapWidth val="70"/>
        <c:overlap val="100"/>
        <c:axId val="112768128"/>
        <c:axId val="112769664"/>
      </c:barChart>
      <c:lineChart>
        <c:grouping val="standard"/>
        <c:varyColors val="0"/>
        <c:ser>
          <c:idx val="10"/>
          <c:order val="10"/>
          <c:tx>
            <c:strRef>
              <c:f>'GRAF příspěvky IPP'!$AX$37</c:f>
              <c:strCache>
                <c:ptCount val="1"/>
                <c:pt idx="0">
                  <c:v>Total industry (NACE B, C, D)</c:v>
                </c:pt>
              </c:strCache>
            </c:strRef>
          </c:tx>
          <c:spPr>
            <a:ln w="19050">
              <a:noFill/>
              <a:prstDash val="sysDash"/>
            </a:ln>
          </c:spPr>
          <c:marker>
            <c:symbol val="circle"/>
            <c:size val="6"/>
            <c:spPr>
              <a:solidFill>
                <a:schemeClr val="bg1"/>
              </a:solidFill>
              <a:ln>
                <a:solidFill>
                  <a:schemeClr val="tx1">
                    <a:lumMod val="95000"/>
                    <a:lumOff val="5000"/>
                  </a:schemeClr>
                </a:solidFill>
              </a:ln>
            </c:spPr>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IPP'!$AY$37:$BI$37</c:f>
              <c:numCache>
                <c:formatCode>0.0</c:formatCode>
                <c:ptCount val="11"/>
                <c:pt idx="0">
                  <c:v>5.6401833126000014</c:v>
                </c:pt>
                <c:pt idx="1">
                  <c:v>-0.90603577779999966</c:v>
                </c:pt>
                <c:pt idx="2">
                  <c:v>0.16335070239999538</c:v>
                </c:pt>
                <c:pt idx="3">
                  <c:v>5.1000838873000021</c:v>
                </c:pt>
                <c:pt idx="4">
                  <c:v>4.5066545898999948</c:v>
                </c:pt>
                <c:pt idx="5">
                  <c:v>3.077365608400001</c:v>
                </c:pt>
                <c:pt idx="6">
                  <c:v>6.7375789339999983</c:v>
                </c:pt>
                <c:pt idx="7">
                  <c:v>3.0620754609000045</c:v>
                </c:pt>
                <c:pt idx="8">
                  <c:v>-0.34423374380000382</c:v>
                </c:pt>
                <c:pt idx="9">
                  <c:v>-7.1883069735000049</c:v>
                </c:pt>
                <c:pt idx="10">
                  <c:v>6.643931599499993</c:v>
                </c:pt>
              </c:numCache>
            </c:numRef>
          </c:val>
          <c:smooth val="0"/>
          <c:extLst>
            <c:ext xmlns:c16="http://schemas.microsoft.com/office/drawing/2014/chart" uri="{C3380CC4-5D6E-409C-BE32-E72D297353CC}">
              <c16:uniqueId val="{0000000A-FBEC-4A78-B8BE-76AA9E11E993}"/>
            </c:ext>
          </c:extLst>
        </c:ser>
        <c:ser>
          <c:idx val="11"/>
          <c:order val="11"/>
          <c:tx>
            <c:strRef>
              <c:f>'GRAF příspěvky IPP'!$AX$38</c:f>
              <c:strCache>
                <c:ptCount val="1"/>
              </c:strCache>
            </c:strRef>
          </c:tx>
          <c:spPr>
            <a:ln w="19050">
              <a:no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IPP'!$AY$38:$BI$38</c:f>
              <c:numCache>
                <c:formatCode>General</c:formatCode>
                <c:ptCount val="11"/>
              </c:numCache>
            </c:numRef>
          </c:val>
          <c:smooth val="0"/>
          <c:extLst>
            <c:ext xmlns:c16="http://schemas.microsoft.com/office/drawing/2014/chart" uri="{C3380CC4-5D6E-409C-BE32-E72D297353CC}">
              <c16:uniqueId val="{0000000B-FBEC-4A78-B8BE-76AA9E11E993}"/>
            </c:ext>
          </c:extLst>
        </c:ser>
        <c:ser>
          <c:idx val="12"/>
          <c:order val="12"/>
          <c:tx>
            <c:strRef>
              <c:f>'GRAF příspěvky IPP'!$AX$39</c:f>
              <c:strCache>
                <c:ptCount val="1"/>
                <c:pt idx="0">
                  <c:v>Sales: total industry</c:v>
                </c:pt>
              </c:strCache>
            </c:strRef>
          </c:tx>
          <c:spPr>
            <a:ln w="19050">
              <a:solidFill>
                <a:prstClr val="black">
                  <a:lumMod val="95000"/>
                  <a:lumOff val="5000"/>
                </a:prstClr>
              </a:solidFill>
              <a:prstDash val="sys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IPP'!$AY$39:$BI$39</c:f>
              <c:numCache>
                <c:formatCode>0.0</c:formatCode>
                <c:ptCount val="11"/>
                <c:pt idx="0">
                  <c:v>7.5249559659000056</c:v>
                </c:pt>
                <c:pt idx="1">
                  <c:v>2.0202466914000041</c:v>
                </c:pt>
                <c:pt idx="2">
                  <c:v>1.5219869785999975</c:v>
                </c:pt>
                <c:pt idx="3">
                  <c:v>9.1294819820000015</c:v>
                </c:pt>
                <c:pt idx="4">
                  <c:v>2.2410048244999956</c:v>
                </c:pt>
                <c:pt idx="5">
                  <c:v>0.82079141740000239</c:v>
                </c:pt>
                <c:pt idx="6">
                  <c:v>7.4675904977000016</c:v>
                </c:pt>
                <c:pt idx="7">
                  <c:v>3.519910568100002</c:v>
                </c:pt>
                <c:pt idx="8">
                  <c:v>0.89447335159999852</c:v>
                </c:pt>
                <c:pt idx="9">
                  <c:v>-6.1210800392999971</c:v>
                </c:pt>
                <c:pt idx="10">
                  <c:v>10.816976392399994</c:v>
                </c:pt>
              </c:numCache>
            </c:numRef>
          </c:val>
          <c:smooth val="0"/>
          <c:extLst>
            <c:ext xmlns:c16="http://schemas.microsoft.com/office/drawing/2014/chart" uri="{C3380CC4-5D6E-409C-BE32-E72D297353CC}">
              <c16:uniqueId val="{0000000C-FBEC-4A78-B8BE-76AA9E11E993}"/>
            </c:ext>
          </c:extLst>
        </c:ser>
        <c:ser>
          <c:idx val="13"/>
          <c:order val="13"/>
          <c:tx>
            <c:strRef>
              <c:f>'GRAF příspěvky IPP'!$AX$40</c:f>
              <c:strCache>
                <c:ptCount val="1"/>
                <c:pt idx="0">
                  <c:v>in that sales from direct export</c:v>
                </c:pt>
              </c:strCache>
            </c:strRef>
          </c:tx>
          <c:spPr>
            <a:ln w="19050">
              <a:solidFill>
                <a:schemeClr val="bg1">
                  <a:lumMod val="65000"/>
                </a:schemeClr>
              </a:solidFill>
              <a:prstDash val="dash"/>
            </a:ln>
          </c:spPr>
          <c:marker>
            <c:symbol val="none"/>
          </c:marker>
          <c:cat>
            <c:numRef>
              <c:f>'GRAF příspěvky IPP'!$AY$26:$BI$26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'GRAF příspěvky IPP'!$AY$40:$BI$40</c:f>
              <c:numCache>
                <c:formatCode>0.0</c:formatCode>
                <c:ptCount val="11"/>
                <c:pt idx="0">
                  <c:v>15.469535951200001</c:v>
                </c:pt>
                <c:pt idx="1">
                  <c:v>3.247135339899998</c:v>
                </c:pt>
                <c:pt idx="2">
                  <c:v>4.0495693422000016</c:v>
                </c:pt>
                <c:pt idx="3">
                  <c:v>16.800712510500006</c:v>
                </c:pt>
                <c:pt idx="4">
                  <c:v>4.9151457015999966</c:v>
                </c:pt>
                <c:pt idx="5">
                  <c:v>2.2374406922999981</c:v>
                </c:pt>
                <c:pt idx="6">
                  <c:v>5.6719233272000054</c:v>
                </c:pt>
                <c:pt idx="7">
                  <c:v>2.8234489278000012</c:v>
                </c:pt>
                <c:pt idx="8">
                  <c:v>4.9321756000040295E-3</c:v>
                </c:pt>
                <c:pt idx="9">
                  <c:v>-6.0676591449000057</c:v>
                </c:pt>
                <c:pt idx="10">
                  <c:v>10.953112416799996</c:v>
                </c:pt>
              </c:numCache>
            </c:numRef>
          </c:val>
          <c:smooth val="0"/>
          <c:extLst>
            <c:ext xmlns:c16="http://schemas.microsoft.com/office/drawing/2014/chart" uri="{C3380CC4-5D6E-409C-BE32-E72D297353CC}">
              <c16:uniqueId val="{0000000D-FBEC-4A78-B8BE-76AA9E11E993}"/>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8"/>
          <c:min val="-8"/>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2"/>
      </c:valAx>
      <c:spPr>
        <a:noFill/>
        <a:ln w="6350">
          <a:solidFill>
            <a:prstClr val="black">
              <a:lumMod val="95000"/>
              <a:lumOff val="5000"/>
            </a:prstClr>
          </a:solidFill>
        </a:ln>
      </c:spPr>
    </c:plotArea>
    <c:legend>
      <c:legendPos val="r"/>
      <c:layout>
        <c:manualLayout>
          <c:xMode val="edge"/>
          <c:yMode val="edge"/>
          <c:x val="7.9159500821296188E-3"/>
          <c:y val="0.78581593103687919"/>
          <c:w val="0.98417619449090221"/>
          <c:h val="0.20017434930643618"/>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764088390324136"/>
        </c:manualLayout>
      </c:layout>
      <c:barChart>
        <c:barDir val="col"/>
        <c:grouping val="clustered"/>
        <c:varyColors val="0"/>
        <c:ser>
          <c:idx val="0"/>
          <c:order val="0"/>
          <c:tx>
            <c:strRef>
              <c:f>'výkonnost odvětví 2'!$A$32</c:f>
              <c:strCache>
                <c:ptCount val="1"/>
                <c:pt idx="0">
                  <c:v>Total industry orders</c:v>
                </c:pt>
              </c:strCache>
            </c:strRef>
          </c:tx>
          <c:spPr>
            <a:solidFill>
              <a:schemeClr val="bg1">
                <a:lumMod val="65000"/>
              </a:schemeClr>
            </a:solidFill>
            <a:ln>
              <a:noFill/>
            </a:ln>
          </c:spPr>
          <c:invertIfNegative val="0"/>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2'!$R$32:$AT$32</c:f>
              <c:numCache>
                <c:formatCode>##0.0</c:formatCode>
                <c:ptCount val="29"/>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7.1511733200999998</c:v>
                </c:pt>
                <c:pt idx="24">
                  <c:v>8.3933103138000007</c:v>
                </c:pt>
                <c:pt idx="25">
                  <c:v>47.920282285599995</c:v>
                </c:pt>
                <c:pt idx="26">
                  <c:v>7.3037126863000026</c:v>
                </c:pt>
                <c:pt idx="27">
                  <c:v>3.5943563839000063</c:v>
                </c:pt>
              </c:numCache>
            </c:numRef>
          </c:val>
          <c:extLst>
            <c:ext xmlns:c16="http://schemas.microsoft.com/office/drawing/2014/chart" uri="{C3380CC4-5D6E-409C-BE32-E72D297353CC}">
              <c16:uniqueId val="{00000000-94B8-4BCC-83A0-4202A764A754}"/>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2'!$A$33</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2'!$R$33:$AT$33</c:f>
              <c:numCache>
                <c:formatCode>##0.0</c:formatCode>
                <c:ptCount val="29"/>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6.9102540989999994</c:v>
                </c:pt>
                <c:pt idx="24">
                  <c:v>-2.8240111939999935</c:v>
                </c:pt>
                <c:pt idx="25">
                  <c:v>43.485654564800001</c:v>
                </c:pt>
                <c:pt idx="26">
                  <c:v>9.2738562507000069</c:v>
                </c:pt>
                <c:pt idx="27">
                  <c:v>5.3992358315999951</c:v>
                </c:pt>
              </c:numCache>
            </c:numRef>
          </c:val>
          <c:smooth val="0"/>
          <c:extLst>
            <c:ext xmlns:c16="http://schemas.microsoft.com/office/drawing/2014/chart" uri="{C3380CC4-5D6E-409C-BE32-E72D297353CC}">
              <c16:uniqueId val="{00000001-94B8-4BCC-83A0-4202A764A75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2'!$A$34</c:f>
              <c:strCache>
                <c:ptCount val="1"/>
                <c:pt idx="0">
                  <c:v>Production capacities (industry, total) </c:v>
                </c:pt>
              </c:strCache>
            </c:strRef>
          </c:tx>
          <c:spPr>
            <a:ln w="15875">
              <a:solidFill>
                <a:schemeClr val="accent6">
                  <a:lumMod val="75000"/>
                </a:schemeClr>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2'!$R$34:$AT$34</c:f>
              <c:numCache>
                <c:formatCode>##0.0</c:formatCode>
                <c:ptCount val="29"/>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pt idx="27">
                  <c:v>77.3</c:v>
                </c:pt>
                <c:pt idx="28">
                  <c:v>81.7</c:v>
                </c:pt>
              </c:numCache>
            </c:numRef>
          </c:val>
          <c:smooth val="0"/>
          <c:extLst>
            <c:ext xmlns:c16="http://schemas.microsoft.com/office/drawing/2014/chart" uri="{C3380CC4-5D6E-409C-BE32-E72D297353CC}">
              <c16:uniqueId val="{00000002-94B8-4BCC-83A0-4202A764A754}"/>
            </c:ext>
          </c:extLst>
        </c:ser>
        <c:ser>
          <c:idx val="3"/>
          <c:order val="3"/>
          <c:tx>
            <c:strRef>
              <c:f>'výkonnost odvětví 2'!$A$35</c:f>
              <c:strCache>
                <c:ptCount val="1"/>
                <c:pt idx="0">
                  <c:v>Production capacities (motor vehicle ind.)</c:v>
                </c:pt>
              </c:strCache>
            </c:strRef>
          </c:tx>
          <c:spPr>
            <a:ln w="15875">
              <a:solidFill>
                <a:schemeClr val="accent6">
                  <a:lumMod val="75000"/>
                </a:schemeClr>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2'!$R$35:$AT$35</c:f>
              <c:numCache>
                <c:formatCode>0.0</c:formatCode>
                <c:ptCount val="29"/>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pt idx="27" formatCode="General">
                  <c:v>56.5</c:v>
                </c:pt>
                <c:pt idx="28" formatCode="General">
                  <c:v>79.3</c:v>
                </c:pt>
              </c:numCache>
            </c:numRef>
          </c:val>
          <c:smooth val="0"/>
          <c:extLst>
            <c:ext xmlns:c16="http://schemas.microsoft.com/office/drawing/2014/chart" uri="{C3380CC4-5D6E-409C-BE32-E72D297353CC}">
              <c16:uniqueId val="{00000003-94B8-4BCC-83A0-4202A764A754}"/>
            </c:ext>
          </c:extLst>
        </c:ser>
        <c:ser>
          <c:idx val="4"/>
          <c:order val="4"/>
          <c:tx>
            <c:strRef>
              <c:f>'výkonnost odvětví 2'!$A$36</c:f>
              <c:strCache>
                <c:ptCount val="1"/>
                <c:pt idx="0">
                  <c:v>Barrier: inadequate demand</c:v>
                </c:pt>
              </c:strCache>
            </c:strRef>
          </c:tx>
          <c:spPr>
            <a:ln w="15875">
              <a:solidFill>
                <a:srgbClr val="00B050"/>
              </a:solidFill>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2'!$R$36:$AT$36</c:f>
              <c:numCache>
                <c:formatCode>#\ ##0.0</c:formatCode>
                <c:ptCount val="29"/>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pt idx="27">
                  <c:v>28.2</c:v>
                </c:pt>
                <c:pt idx="28">
                  <c:v>28</c:v>
                </c:pt>
              </c:numCache>
            </c:numRef>
          </c:val>
          <c:smooth val="0"/>
          <c:extLst>
            <c:ext xmlns:c16="http://schemas.microsoft.com/office/drawing/2014/chart" uri="{C3380CC4-5D6E-409C-BE32-E72D297353CC}">
              <c16:uniqueId val="{00000004-94B8-4BCC-83A0-4202A764A754}"/>
            </c:ext>
          </c:extLst>
        </c:ser>
        <c:ser>
          <c:idx val="5"/>
          <c:order val="5"/>
          <c:tx>
            <c:strRef>
              <c:f>'výkonnost odvětví 2'!$A$37</c:f>
              <c:strCache>
                <c:ptCount val="1"/>
                <c:pt idx="0">
                  <c:v>Barrier: shortage of employees</c:v>
                </c:pt>
              </c:strCache>
            </c:strRef>
          </c:tx>
          <c:spPr>
            <a:ln w="15875">
              <a:solidFill>
                <a:srgbClr val="00B050"/>
              </a:solidFill>
              <a:prstDash val="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2'!$R$37:$AT$37</c:f>
              <c:numCache>
                <c:formatCode>#\ ##0.0</c:formatCode>
                <c:ptCount val="29"/>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pt idx="27">
                  <c:v>21</c:v>
                </c:pt>
                <c:pt idx="28">
                  <c:v>25</c:v>
                </c:pt>
              </c:numCache>
            </c:numRef>
          </c:val>
          <c:smooth val="0"/>
          <c:extLst>
            <c:ext xmlns:c16="http://schemas.microsoft.com/office/drawing/2014/chart" uri="{C3380CC4-5D6E-409C-BE32-E72D297353CC}">
              <c16:uniqueId val="{00000005-94B8-4BCC-83A0-4202A764A754}"/>
            </c:ext>
          </c:extLst>
        </c:ser>
        <c:ser>
          <c:idx val="6"/>
          <c:order val="6"/>
          <c:tx>
            <c:strRef>
              <c:f>'výkonnost odvětví 2'!$A$38</c:f>
              <c:strCache>
                <c:ptCount val="1"/>
                <c:pt idx="0">
                  <c:v>Barrier: shortage of material/equipment</c:v>
                </c:pt>
              </c:strCache>
            </c:strRef>
          </c:tx>
          <c:spPr>
            <a:ln w="15875">
              <a:solidFill>
                <a:srgbClr val="92D050"/>
              </a:solidFill>
              <a:prstDash val="sysDash"/>
            </a:ln>
          </c:spPr>
          <c:marker>
            <c:symbol val="none"/>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2'!$R$38:$AT$38</c:f>
              <c:numCache>
                <c:formatCode>#\ ##0.0</c:formatCode>
                <c:ptCount val="29"/>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pt idx="27">
                  <c:v>44.1</c:v>
                </c:pt>
                <c:pt idx="28">
                  <c:v>39.6</c:v>
                </c:pt>
              </c:numCache>
            </c:numRef>
          </c:val>
          <c:smooth val="0"/>
          <c:extLst>
            <c:ext xmlns:c16="http://schemas.microsoft.com/office/drawing/2014/chart" uri="{C3380CC4-5D6E-409C-BE32-E72D297353CC}">
              <c16:uniqueId val="{00000006-94B8-4BCC-83A0-4202A764A754}"/>
            </c:ext>
          </c:extLst>
        </c:ser>
        <c:ser>
          <c:idx val="7"/>
          <c:order val="7"/>
          <c:tx>
            <c:strRef>
              <c:f>'výkonnost odvětví 2'!$A$39</c:f>
              <c:strCache>
                <c:ptCount val="1"/>
                <c:pt idx="0">
                  <c:v>Balance of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2'!$R$30:$AT$31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2'!$R$39:$AT$39</c:f>
              <c:numCache>
                <c:formatCode>#\ ##0.0</c:formatCode>
                <c:ptCount val="29"/>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numCache>
            </c:numRef>
          </c:val>
          <c:smooth val="0"/>
          <c:extLst>
            <c:ext xmlns:c16="http://schemas.microsoft.com/office/drawing/2014/chart" uri="{C3380CC4-5D6E-409C-BE32-E72D297353CC}">
              <c16:uniqueId val="{00000007-94B8-4BCC-83A0-4202A764A754}"/>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Orders</a:t>
                </a:r>
                <a:endParaRPr lang="cs-CZ" sz="700">
                  <a:effectLst/>
                </a:endParaRP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Utilisation of capacities, Growth barriers, Balance of confidence</a:t>
                </a:r>
                <a:endParaRPr lang="cs-CZ" sz="700">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8.0033308468213139E-3"/>
          <c:y val="0.85586448957034"/>
          <c:w val="0.98749355022027863"/>
          <c:h val="0.13713064866950375"/>
        </c:manualLayout>
      </c:layout>
      <c:overlay val="0"/>
      <c:spPr>
        <a:ln w="6350">
          <a:solidFill>
            <a:prstClr val="black">
              <a:lumMod val="95000"/>
              <a:lumOff val="5000"/>
            </a:prstClr>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52184788939127E-2"/>
          <c:y val="2.1373653391166647E-2"/>
          <c:w val="0.85502161272928101"/>
          <c:h val="0.74711966440217237"/>
        </c:manualLayout>
      </c:layout>
      <c:barChart>
        <c:barDir val="col"/>
        <c:grouping val="stacked"/>
        <c:varyColors val="0"/>
        <c:ser>
          <c:idx val="1"/>
          <c:order val="1"/>
          <c:tx>
            <c:strRef>
              <c:f>'výkonnost odvětví 3'!$Y$10</c:f>
              <c:strCache>
                <c:ptCount val="1"/>
                <c:pt idx="0">
                  <c:v>Buildings (contribution in p.p.)</c:v>
                </c:pt>
              </c:strCache>
            </c:strRef>
          </c:tx>
          <c:spPr>
            <a:solidFill>
              <a:srgbClr val="A6CDE9"/>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3'!$Y$31:$Y$59</c:f>
              <c:numCache>
                <c:formatCode>0.0</c:formatCode>
                <c:ptCount val="29"/>
                <c:pt idx="0">
                  <c:v>6.1332628878020472</c:v>
                </c:pt>
                <c:pt idx="1">
                  <c:v>5.1611029387020881</c:v>
                </c:pt>
                <c:pt idx="2">
                  <c:v>0.82789337777956651</c:v>
                </c:pt>
                <c:pt idx="3">
                  <c:v>-1.792443206462254</c:v>
                </c:pt>
                <c:pt idx="4">
                  <c:v>-5.0624228474210264</c:v>
                </c:pt>
                <c:pt idx="5">
                  <c:v>-5.0837956877529207</c:v>
                </c:pt>
                <c:pt idx="6">
                  <c:v>0.80068413098652258</c:v>
                </c:pt>
                <c:pt idx="7">
                  <c:v>4.0229578720745067</c:v>
                </c:pt>
                <c:pt idx="8">
                  <c:v>2.3707415602985482</c:v>
                </c:pt>
                <c:pt idx="9">
                  <c:v>10.127474072202558</c:v>
                </c:pt>
                <c:pt idx="10">
                  <c:v>3.4985302779650396</c:v>
                </c:pt>
                <c:pt idx="11">
                  <c:v>2.7010793303841334</c:v>
                </c:pt>
                <c:pt idx="12">
                  <c:v>13.58981677167807</c:v>
                </c:pt>
                <c:pt idx="13">
                  <c:v>6.2954664988362632</c:v>
                </c:pt>
                <c:pt idx="14">
                  <c:v>7.7040894172433472</c:v>
                </c:pt>
                <c:pt idx="15">
                  <c:v>2.6018478445540052</c:v>
                </c:pt>
                <c:pt idx="16">
                  <c:v>2.902580138628347</c:v>
                </c:pt>
                <c:pt idx="17">
                  <c:v>2.4244946978317015</c:v>
                </c:pt>
                <c:pt idx="18">
                  <c:v>-0.69452357804114084</c:v>
                </c:pt>
                <c:pt idx="19">
                  <c:v>2.4262746292667692</c:v>
                </c:pt>
                <c:pt idx="20">
                  <c:v>-0.3509850836675944</c:v>
                </c:pt>
                <c:pt idx="21">
                  <c:v>-7.4196046801003988</c:v>
                </c:pt>
                <c:pt idx="22">
                  <c:v>-7.1685933920563025</c:v>
                </c:pt>
                <c:pt idx="23">
                  <c:v>-8.6185225202649214</c:v>
                </c:pt>
                <c:pt idx="24">
                  <c:v>-5.1411661804072324</c:v>
                </c:pt>
                <c:pt idx="25">
                  <c:v>3.2684432641148571</c:v>
                </c:pt>
                <c:pt idx="26">
                  <c:v>2.982124117225045</c:v>
                </c:pt>
                <c:pt idx="27">
                  <c:v>6.0632264260203561</c:v>
                </c:pt>
              </c:numCache>
            </c:numRef>
          </c:val>
          <c:extLst>
            <c:ext xmlns:c16="http://schemas.microsoft.com/office/drawing/2014/chart" uri="{C3380CC4-5D6E-409C-BE32-E72D297353CC}">
              <c16:uniqueId val="{00000000-1319-45AB-91F2-248633915C3A}"/>
            </c:ext>
          </c:extLst>
        </c:ser>
        <c:ser>
          <c:idx val="2"/>
          <c:order val="2"/>
          <c:tx>
            <c:strRef>
              <c:f>'výkonnost odvětví 3'!$Z$10</c:f>
              <c:strCache>
                <c:ptCount val="1"/>
                <c:pt idx="0">
                  <c:v>Civil engineering works (contrib. in p.p.)</c:v>
                </c:pt>
              </c:strCache>
            </c:strRef>
          </c:tx>
          <c:spPr>
            <a:solidFill>
              <a:srgbClr val="E8AFB2"/>
            </a:solidFill>
            <a:ln>
              <a:noFill/>
            </a:ln>
          </c:spPr>
          <c:invertIfNegative val="0"/>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3'!$Z$31:$Z$59</c:f>
              <c:numCache>
                <c:formatCode>0.0</c:formatCode>
                <c:ptCount val="29"/>
                <c:pt idx="0">
                  <c:v>3.0644338505720308</c:v>
                </c:pt>
                <c:pt idx="1">
                  <c:v>6.8180179259183973</c:v>
                </c:pt>
                <c:pt idx="2">
                  <c:v>7.0179431775016399</c:v>
                </c:pt>
                <c:pt idx="3">
                  <c:v>2.730611648088177</c:v>
                </c:pt>
                <c:pt idx="4">
                  <c:v>-1.2082218219742173</c:v>
                </c:pt>
                <c:pt idx="5">
                  <c:v>-5.1375373424938786</c:v>
                </c:pt>
                <c:pt idx="6">
                  <c:v>-6.7128245144582364</c:v>
                </c:pt>
                <c:pt idx="7">
                  <c:v>-5.672093550500878</c:v>
                </c:pt>
                <c:pt idx="8">
                  <c:v>-3.2052093816174203</c:v>
                </c:pt>
                <c:pt idx="9">
                  <c:v>-1.1403993727014583</c:v>
                </c:pt>
                <c:pt idx="10">
                  <c:v>-1.4444952024671565</c:v>
                </c:pt>
                <c:pt idx="11">
                  <c:v>0.23728682710972981</c:v>
                </c:pt>
                <c:pt idx="12">
                  <c:v>1.7538255902919127</c:v>
                </c:pt>
                <c:pt idx="13">
                  <c:v>1.2042218152710626</c:v>
                </c:pt>
                <c:pt idx="14">
                  <c:v>4.7031010298825633</c:v>
                </c:pt>
                <c:pt idx="15">
                  <c:v>1.7060394592294705</c:v>
                </c:pt>
                <c:pt idx="16">
                  <c:v>0.73329395346685111</c:v>
                </c:pt>
                <c:pt idx="17">
                  <c:v>1.8741086038878019</c:v>
                </c:pt>
                <c:pt idx="18">
                  <c:v>0.7564974358767329</c:v>
                </c:pt>
                <c:pt idx="19">
                  <c:v>0.84455333356029649</c:v>
                </c:pt>
                <c:pt idx="20">
                  <c:v>3.2039225261120103</c:v>
                </c:pt>
                <c:pt idx="21">
                  <c:v>1.2159283677885731</c:v>
                </c:pt>
                <c:pt idx="22">
                  <c:v>-1.8702967995115634</c:v>
                </c:pt>
                <c:pt idx="23">
                  <c:v>0.34456386356438634</c:v>
                </c:pt>
                <c:pt idx="24">
                  <c:v>-4.149342813092647E-2</c:v>
                </c:pt>
                <c:pt idx="25">
                  <c:v>1.0291755083189913</c:v>
                </c:pt>
                <c:pt idx="26">
                  <c:v>-0.24413521365457616</c:v>
                </c:pt>
                <c:pt idx="27">
                  <c:v>-0.88219102636033031</c:v>
                </c:pt>
              </c:numCache>
            </c:numRef>
          </c:val>
          <c:extLst>
            <c:ext xmlns:c16="http://schemas.microsoft.com/office/drawing/2014/chart" uri="{C3380CC4-5D6E-409C-BE32-E72D297353CC}">
              <c16:uniqueId val="{00000001-1319-45AB-91F2-248633915C3A}"/>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3'!$X$31:$X$59</c:f>
              <c:numCache>
                <c:formatCode>0.0</c:formatCode>
                <c:ptCount val="29"/>
                <c:pt idx="0">
                  <c:v>9.1976967383740771</c:v>
                </c:pt>
                <c:pt idx="1">
                  <c:v>11.979120864620469</c:v>
                </c:pt>
                <c:pt idx="2">
                  <c:v>7.8458365552812097</c:v>
                </c:pt>
                <c:pt idx="3">
                  <c:v>0.93816844162589064</c:v>
                </c:pt>
                <c:pt idx="4">
                  <c:v>-6.2706446693952387</c:v>
                </c:pt>
                <c:pt idx="5">
                  <c:v>-10.221333030246782</c:v>
                </c:pt>
                <c:pt idx="6">
                  <c:v>-5.9121403834717228</c:v>
                </c:pt>
                <c:pt idx="7">
                  <c:v>-1.6491356784263616</c:v>
                </c:pt>
                <c:pt idx="8">
                  <c:v>-0.83446782131888142</c:v>
                </c:pt>
                <c:pt idx="9">
                  <c:v>8.9870746995010791</c:v>
                </c:pt>
                <c:pt idx="10">
                  <c:v>2.0540350754978789</c:v>
                </c:pt>
                <c:pt idx="11">
                  <c:v>2.93836615749386</c:v>
                </c:pt>
                <c:pt idx="12">
                  <c:v>15.343642361969984</c:v>
                </c:pt>
                <c:pt idx="13">
                  <c:v>7.4996883141073454</c:v>
                </c:pt>
                <c:pt idx="14">
                  <c:v>12.407190447125899</c:v>
                </c:pt>
                <c:pt idx="15">
                  <c:v>4.3078873037834882</c:v>
                </c:pt>
                <c:pt idx="16">
                  <c:v>3.6358740920951789</c:v>
                </c:pt>
                <c:pt idx="17">
                  <c:v>4.2986033017194956</c:v>
                </c:pt>
                <c:pt idx="18">
                  <c:v>6.1973857835596391E-2</c:v>
                </c:pt>
                <c:pt idx="19">
                  <c:v>3.2708279628270702</c:v>
                </c:pt>
                <c:pt idx="20">
                  <c:v>2.8529374424444143</c:v>
                </c:pt>
                <c:pt idx="21">
                  <c:v>-6.2036763123118277</c:v>
                </c:pt>
                <c:pt idx="22">
                  <c:v>-9.0388901915678588</c:v>
                </c:pt>
                <c:pt idx="23">
                  <c:v>-8.2739586567005432</c:v>
                </c:pt>
                <c:pt idx="24">
                  <c:v>-5.1826596085381595</c:v>
                </c:pt>
                <c:pt idx="25">
                  <c:v>4.2976187724338644</c:v>
                </c:pt>
                <c:pt idx="26">
                  <c:v>2.7379889035704394</c:v>
                </c:pt>
                <c:pt idx="27">
                  <c:v>5.1810353996600185</c:v>
                </c:pt>
              </c:numCache>
            </c:numRef>
          </c:val>
          <c:smooth val="0"/>
          <c:extLst>
            <c:ext xmlns:c16="http://schemas.microsoft.com/office/drawing/2014/chart" uri="{C3380CC4-5D6E-409C-BE32-E72D297353CC}">
              <c16:uniqueId val="{00000002-1319-45AB-91F2-248633915C3A}"/>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3"/>
          <c:order val="3"/>
          <c:tx>
            <c:strRef>
              <c:f>'výkonnost odvětví 3'!$AA$10</c:f>
              <c:strCache>
                <c:ptCount val="1"/>
                <c:pt idx="0">
                  <c:v>New domestic construction orders </c:v>
                </c:pt>
              </c:strCache>
            </c:strRef>
          </c:tx>
          <c:spPr>
            <a:ln w="15875">
              <a:solidFill>
                <a:srgbClr val="984807"/>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3'!$AA$31:$AA$59</c:f>
              <c:numCache>
                <c:formatCode>0.0</c:formatCode>
                <c:ptCount val="29"/>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pt idx="26">
                  <c:v>10.238212063911533</c:v>
                </c:pt>
                <c:pt idx="27">
                  <c:v>2.0582698922261216</c:v>
                </c:pt>
              </c:numCache>
            </c:numRef>
          </c:val>
          <c:smooth val="0"/>
          <c:extLst>
            <c:ext xmlns:c16="http://schemas.microsoft.com/office/drawing/2014/chart" uri="{C3380CC4-5D6E-409C-BE32-E72D297353CC}">
              <c16:uniqueId val="{00000003-1319-45AB-91F2-248633915C3A}"/>
            </c:ext>
          </c:extLst>
        </c:ser>
        <c:ser>
          <c:idx val="4"/>
          <c:order val="4"/>
          <c:tx>
            <c:strRef>
              <c:f>'výkonnost odvětví 3'!$AB$10</c:f>
              <c:strCache>
                <c:ptCount val="1"/>
                <c:pt idx="0">
                  <c:v>Barrier: inadequate demand </c:v>
                </c:pt>
              </c:strCache>
            </c:strRef>
          </c:tx>
          <c:spPr>
            <a:ln w="15875">
              <a:solidFill>
                <a:srgbClr val="00B050"/>
              </a:solidFill>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3'!$AB$31:$AB$59</c:f>
              <c:numCache>
                <c:formatCode>#\ ##0.0</c:formatCode>
                <c:ptCount val="29"/>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pt idx="27">
                  <c:v>20.5</c:v>
                </c:pt>
                <c:pt idx="28">
                  <c:v>19</c:v>
                </c:pt>
              </c:numCache>
            </c:numRef>
          </c:val>
          <c:smooth val="0"/>
          <c:extLst>
            <c:ext xmlns:c16="http://schemas.microsoft.com/office/drawing/2014/chart" uri="{C3380CC4-5D6E-409C-BE32-E72D297353CC}">
              <c16:uniqueId val="{00000004-1319-45AB-91F2-248633915C3A}"/>
            </c:ext>
          </c:extLst>
        </c:ser>
        <c:ser>
          <c:idx val="5"/>
          <c:order val="5"/>
          <c:tx>
            <c:strRef>
              <c:f>'výkonnost odvětví 3'!$AC$10</c:f>
              <c:strCache>
                <c:ptCount val="1"/>
                <c:pt idx="0">
                  <c:v>Barrier: shortage of employees</c:v>
                </c:pt>
              </c:strCache>
            </c:strRef>
          </c:tx>
          <c:spPr>
            <a:ln w="15875">
              <a:solidFill>
                <a:srgbClr val="00B050"/>
              </a:solidFill>
              <a:prstDash val="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3'!$AC$31:$AC$59</c:f>
              <c:numCache>
                <c:formatCode>#\ ##0.0</c:formatCode>
                <c:ptCount val="29"/>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pt idx="27">
                  <c:v>45.2</c:v>
                </c:pt>
                <c:pt idx="28">
                  <c:v>51.7</c:v>
                </c:pt>
              </c:numCache>
            </c:numRef>
          </c:val>
          <c:smooth val="0"/>
          <c:extLst>
            <c:ext xmlns:c16="http://schemas.microsoft.com/office/drawing/2014/chart" uri="{C3380CC4-5D6E-409C-BE32-E72D297353CC}">
              <c16:uniqueId val="{00000005-1319-45AB-91F2-248633915C3A}"/>
            </c:ext>
          </c:extLst>
        </c:ser>
        <c:ser>
          <c:idx val="6"/>
          <c:order val="6"/>
          <c:tx>
            <c:strRef>
              <c:f>'výkonnost odvětví 3'!$AD$10</c:f>
              <c:strCache>
                <c:ptCount val="1"/>
                <c:pt idx="0">
                  <c:v>Barrier: shortage of material/equipment</c:v>
                </c:pt>
              </c:strCache>
            </c:strRef>
          </c:tx>
          <c:spPr>
            <a:ln w="15875">
              <a:solidFill>
                <a:srgbClr val="00B050"/>
              </a:solidFill>
              <a:prstDash val="sysDash"/>
            </a:ln>
          </c:spPr>
          <c:marker>
            <c:symbol val="none"/>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3'!$AD$31:$AD$59</c:f>
              <c:numCache>
                <c:formatCode>#\ ##0.0</c:formatCode>
                <c:ptCount val="29"/>
                <c:pt idx="0">
                  <c:v>0.2</c:v>
                </c:pt>
                <c:pt idx="1">
                  <c:v>0.5</c:v>
                </c:pt>
                <c:pt idx="2">
                  <c:v>3.7</c:v>
                </c:pt>
                <c:pt idx="3">
                  <c:v>0.3</c:v>
                </c:pt>
                <c:pt idx="4">
                  <c:v>0.9</c:v>
                </c:pt>
                <c:pt idx="5">
                  <c:v>0.8</c:v>
                </c:pt>
                <c:pt idx="6">
                  <c:v>0.1</c:v>
                </c:pt>
                <c:pt idx="7">
                  <c:v>1</c:v>
                </c:pt>
                <c:pt idx="8">
                  <c:v>0.6</c:v>
                </c:pt>
                <c:pt idx="9">
                  <c:v>0.5</c:v>
                </c:pt>
                <c:pt idx="10">
                  <c:v>2.4</c:v>
                </c:pt>
                <c:pt idx="11">
                  <c:v>3.5</c:v>
                </c:pt>
                <c:pt idx="12">
                  <c:v>5.7</c:v>
                </c:pt>
                <c:pt idx="13">
                  <c:v>2.4</c:v>
                </c:pt>
                <c:pt idx="14">
                  <c:v>5.6</c:v>
                </c:pt>
                <c:pt idx="15">
                  <c:v>3.3</c:v>
                </c:pt>
                <c:pt idx="16">
                  <c:v>4.5</c:v>
                </c:pt>
                <c:pt idx="17">
                  <c:v>6.7</c:v>
                </c:pt>
                <c:pt idx="18">
                  <c:v>4.3</c:v>
                </c:pt>
                <c:pt idx="19">
                  <c:v>4</c:v>
                </c:pt>
                <c:pt idx="20">
                  <c:v>2.1</c:v>
                </c:pt>
                <c:pt idx="21">
                  <c:v>4</c:v>
                </c:pt>
                <c:pt idx="22">
                  <c:v>0.3</c:v>
                </c:pt>
                <c:pt idx="23">
                  <c:v>0.7</c:v>
                </c:pt>
                <c:pt idx="24">
                  <c:v>1</c:v>
                </c:pt>
                <c:pt idx="25">
                  <c:v>3.9</c:v>
                </c:pt>
                <c:pt idx="26">
                  <c:v>14</c:v>
                </c:pt>
                <c:pt idx="27">
                  <c:v>22.3</c:v>
                </c:pt>
                <c:pt idx="28">
                  <c:v>26.3</c:v>
                </c:pt>
              </c:numCache>
            </c:numRef>
          </c:val>
          <c:smooth val="0"/>
          <c:extLst>
            <c:ext xmlns:c16="http://schemas.microsoft.com/office/drawing/2014/chart" uri="{C3380CC4-5D6E-409C-BE32-E72D297353CC}">
              <c16:uniqueId val="{00000006-1319-45AB-91F2-248633915C3A}"/>
            </c:ext>
          </c:extLst>
        </c:ser>
        <c:ser>
          <c:idx val="7"/>
          <c:order val="7"/>
          <c:tx>
            <c:strRef>
              <c:f>'výkonnost odvětví 3'!$AE$10</c:f>
              <c:strCache>
                <c:ptCount val="1"/>
                <c:pt idx="0">
                  <c:v>Balance of onfidence in construction </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3'!$AE$31:$AE$59</c:f>
              <c:numCache>
                <c:formatCode>0.0</c:formatCode>
                <c:ptCount val="29"/>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numCache>
            </c:numRef>
          </c:val>
          <c:smooth val="0"/>
          <c:extLst>
            <c:ext xmlns:c16="http://schemas.microsoft.com/office/drawing/2014/chart" uri="{C3380CC4-5D6E-409C-BE32-E72D297353CC}">
              <c16:uniqueId val="{00000007-1319-45AB-91F2-248633915C3A}"/>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0"/>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Contribution to changes of construction output</a:t>
                </a:r>
                <a:endParaRPr lang="cs-CZ" sz="700">
                  <a:effectLst/>
                </a:endParaRP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118080463"/>
        <c:scaling>
          <c:orientation val="minMax"/>
          <c:max val="90"/>
          <c:min val="-6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Orders, Balance of confidence, Growth barriers</a:t>
                </a:r>
                <a:endParaRPr lang="cs-CZ" sz="700">
                  <a:effectLst/>
                </a:endParaRP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15"/>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9.2069300125758653E-5"/>
          <c:y val="0.85936692045041818"/>
          <c:w val="0.99540838138221588"/>
          <c:h val="0.13362821778942557"/>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růstu-4'!$D$25</c:f>
              <c:strCache>
                <c:ptCount val="1"/>
                <c:pt idx="0">
                  <c:v>Transporting and storage</c:v>
                </c:pt>
              </c:strCache>
            </c:strRef>
          </c:tx>
          <c:spPr>
            <a:solidFill>
              <a:srgbClr val="92D05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růstu-4'!$D$38:$D$66</c:f>
              <c:numCache>
                <c:formatCode>0.0</c:formatCode>
                <c:ptCount val="29"/>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-0.1569416952537</c:v>
                </c:pt>
                <c:pt idx="25">
                  <c:v>6.9452061820127984</c:v>
                </c:pt>
                <c:pt idx="26">
                  <c:v>4.1021141164383979</c:v>
                </c:pt>
                <c:pt idx="27">
                  <c:v>4.5411081672439781</c:v>
                </c:pt>
              </c:numCache>
            </c:numRef>
          </c:val>
          <c:extLst>
            <c:ext xmlns:c16="http://schemas.microsoft.com/office/drawing/2014/chart" uri="{C3380CC4-5D6E-409C-BE32-E72D297353CC}">
              <c16:uniqueId val="{00000000-438C-4A49-85B5-C696EC50A22E}"/>
            </c:ext>
          </c:extLst>
        </c:ser>
        <c:ser>
          <c:idx val="1"/>
          <c:order val="2"/>
          <c:tx>
            <c:strRef>
              <c:f>'Služby-příspěvkyk růstu-4'!$E$25</c:f>
              <c:strCache>
                <c:ptCount val="1"/>
                <c:pt idx="0">
                  <c:v>Accommodation, food service activities</c:v>
                </c:pt>
              </c:strCache>
            </c:strRef>
          </c:tx>
          <c:spPr>
            <a:solidFill>
              <a:srgbClr val="00B0F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růstu-4'!$E$38:$E$66</c:f>
              <c:numCache>
                <c:formatCode>0.0</c:formatCode>
                <c:ptCount val="29"/>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-3.6938923324187498</c:v>
                </c:pt>
                <c:pt idx="25">
                  <c:v>1.3740162264831814</c:v>
                </c:pt>
                <c:pt idx="26">
                  <c:v>0.63496524511919994</c:v>
                </c:pt>
                <c:pt idx="27">
                  <c:v>2.8400409946004515</c:v>
                </c:pt>
              </c:numCache>
            </c:numRef>
          </c:val>
          <c:extLst>
            <c:ext xmlns:c16="http://schemas.microsoft.com/office/drawing/2014/chart" uri="{C3380CC4-5D6E-409C-BE32-E72D297353CC}">
              <c16:uniqueId val="{00000001-438C-4A49-85B5-C696EC50A22E}"/>
            </c:ext>
          </c:extLst>
        </c:ser>
        <c:ser>
          <c:idx val="2"/>
          <c:order val="3"/>
          <c:tx>
            <c:strRef>
              <c:f>'Služby-příspěvkyk růstu-4'!$F$25</c:f>
              <c:strCache>
                <c:ptCount val="1"/>
                <c:pt idx="0">
                  <c:v>Information and communication</c:v>
                </c:pt>
              </c:strCache>
            </c:strRef>
          </c:tx>
          <c:spPr>
            <a:solidFill>
              <a:srgbClr val="E6E100"/>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růstu-4'!$F$38:$F$66</c:f>
              <c:numCache>
                <c:formatCode>0.0</c:formatCode>
                <c:ptCount val="29"/>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0.71345327861799956</c:v>
                </c:pt>
                <c:pt idx="25">
                  <c:v>1.5468236089918046</c:v>
                </c:pt>
                <c:pt idx="26">
                  <c:v>1.4415115757943988</c:v>
                </c:pt>
                <c:pt idx="27">
                  <c:v>1.9056402188684927</c:v>
                </c:pt>
              </c:numCache>
            </c:numRef>
          </c:val>
          <c:extLst>
            <c:ext xmlns:c16="http://schemas.microsoft.com/office/drawing/2014/chart" uri="{C3380CC4-5D6E-409C-BE32-E72D297353CC}">
              <c16:uniqueId val="{00000002-438C-4A49-85B5-C696EC50A22E}"/>
            </c:ext>
          </c:extLst>
        </c:ser>
        <c:ser>
          <c:idx val="4"/>
          <c:order val="4"/>
          <c:tx>
            <c:strRef>
              <c:f>'Služby-příspěvkyk růstu-4'!$G$25</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růstu-4'!$G$38:$G$66</c:f>
              <c:numCache>
                <c:formatCode>0.0</c:formatCode>
                <c:ptCount val="29"/>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-0.20088632198500025</c:v>
                </c:pt>
                <c:pt idx="25">
                  <c:v>0.43472502460904949</c:v>
                </c:pt>
                <c:pt idx="26">
                  <c:v>2.7135230949999569E-3</c:v>
                </c:pt>
                <c:pt idx="27">
                  <c:v>0.23850631303799988</c:v>
                </c:pt>
              </c:numCache>
            </c:numRef>
          </c:val>
          <c:extLst>
            <c:ext xmlns:c16="http://schemas.microsoft.com/office/drawing/2014/chart" uri="{C3380CC4-5D6E-409C-BE32-E72D297353CC}">
              <c16:uniqueId val="{00000003-438C-4A49-85B5-C696EC50A22E}"/>
            </c:ext>
          </c:extLst>
        </c:ser>
        <c:ser>
          <c:idx val="5"/>
          <c:order val="5"/>
          <c:tx>
            <c:strRef>
              <c:f>'Služby-příspěvkyk růstu-4'!$H$25</c:f>
              <c:strCache>
                <c:ptCount val="1"/>
                <c:pt idx="0">
                  <c:v>Professional, scientific and technical act.</c:v>
                </c:pt>
              </c:strCache>
            </c:strRef>
          </c:tx>
          <c:spPr>
            <a:solidFill>
              <a:schemeClr val="accent6">
                <a:lumMod val="60000"/>
                <a:lumOff val="4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růstu-4'!$H$38:$H$66</c:f>
              <c:numCache>
                <c:formatCode>0.0</c:formatCode>
                <c:ptCount val="29"/>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-1.5895367811931036</c:v>
                </c:pt>
                <c:pt idx="25">
                  <c:v>2.7169285281228999</c:v>
                </c:pt>
                <c:pt idx="26">
                  <c:v>1.7632854739205988</c:v>
                </c:pt>
                <c:pt idx="27">
                  <c:v>2.0934710358268047</c:v>
                </c:pt>
              </c:numCache>
            </c:numRef>
          </c:val>
          <c:extLst>
            <c:ext xmlns:c16="http://schemas.microsoft.com/office/drawing/2014/chart" uri="{C3380CC4-5D6E-409C-BE32-E72D297353CC}">
              <c16:uniqueId val="{00000004-438C-4A49-85B5-C696EC50A22E}"/>
            </c:ext>
          </c:extLst>
        </c:ser>
        <c:ser>
          <c:idx val="6"/>
          <c:order val="6"/>
          <c:tx>
            <c:strRef>
              <c:f>'Služby-příspěvkyk růstu-4'!$I$25</c:f>
              <c:strCache>
                <c:ptCount val="1"/>
                <c:pt idx="0">
                  <c:v>Administr. and support service activities</c:v>
                </c:pt>
              </c:strCache>
            </c:strRef>
          </c:tx>
          <c:spPr>
            <a:solidFill>
              <a:schemeClr val="accent1">
                <a:lumMod val="20000"/>
                <a:lumOff val="80000"/>
              </a:schemeClr>
            </a:solidFill>
            <a:ln>
              <a:noFill/>
            </a:ln>
          </c:spPr>
          <c:invertIfNegative val="0"/>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růstu-4'!$I$38:$I$66</c:f>
              <c:numCache>
                <c:formatCode>0.0</c:formatCode>
                <c:ptCount val="29"/>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-1.4736020338190001</c:v>
                </c:pt>
                <c:pt idx="25">
                  <c:v>1.7704532307217178</c:v>
                </c:pt>
                <c:pt idx="26">
                  <c:v>1.8501751321200004</c:v>
                </c:pt>
                <c:pt idx="27">
                  <c:v>1.0500907454198474</c:v>
                </c:pt>
              </c:numCache>
            </c:numRef>
          </c:val>
          <c:extLst>
            <c:ext xmlns:c16="http://schemas.microsoft.com/office/drawing/2014/chart" uri="{C3380CC4-5D6E-409C-BE32-E72D297353CC}">
              <c16:uniqueId val="{00000005-438C-4A49-85B5-C696EC50A22E}"/>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růstu-4'!$C$25</c:f>
              <c:strCache>
                <c:ptCount val="1"/>
                <c:pt idx="0">
                  <c:v>Total services</c:v>
                </c:pt>
              </c:strCache>
            </c:strRef>
          </c:tx>
          <c:spPr>
            <a:ln>
              <a:noFill/>
            </a:ln>
          </c:spPr>
          <c:marker>
            <c:symbol val="dash"/>
            <c:size val="9"/>
            <c:spPr>
              <a:solidFill>
                <a:schemeClr val="tx1">
                  <a:lumMod val="95000"/>
                  <a:lumOff val="5000"/>
                </a:schemeClr>
              </a:solidFill>
              <a:ln>
                <a:no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růstu-4'!$C$38:$C$66</c:f>
              <c:numCache>
                <c:formatCode>0.0</c:formatCode>
                <c:ptCount val="29"/>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-6.4084553470000003</c:v>
                </c:pt>
                <c:pt idx="25">
                  <c:v>14.780549300900006</c:v>
                </c:pt>
                <c:pt idx="26">
                  <c:v>9.8381160276999964</c:v>
                </c:pt>
                <c:pt idx="27">
                  <c:v>12.662339231000004</c:v>
                </c:pt>
              </c:numCache>
            </c:numRef>
          </c:val>
          <c:smooth val="0"/>
          <c:extLst>
            <c:ext xmlns:c16="http://schemas.microsoft.com/office/drawing/2014/chart" uri="{C3380CC4-5D6E-409C-BE32-E72D297353CC}">
              <c16:uniqueId val="{00000006-438C-4A49-85B5-C696EC50A22E}"/>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růstu-4'!$J$25</c:f>
              <c:strCache>
                <c:ptCount val="1"/>
                <c:pt idx="0">
                  <c:v>Balance of confidence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růstu-4'!$J$38:$J$66</c:f>
              <c:numCache>
                <c:formatCode>0.0</c:formatCode>
                <c:ptCount val="29"/>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numCache>
            </c:numRef>
          </c:val>
          <c:smooth val="0"/>
          <c:extLst>
            <c:ext xmlns:c16="http://schemas.microsoft.com/office/drawing/2014/chart" uri="{C3380CC4-5D6E-409C-BE32-E72D297353CC}">
              <c16:uniqueId val="{00000007-438C-4A49-85B5-C696EC50A22E}"/>
            </c:ext>
          </c:extLst>
        </c:ser>
        <c:ser>
          <c:idx val="8"/>
          <c:order val="8"/>
          <c:tx>
            <c:strRef>
              <c:f>'Služby-příspěvkyk růstu-4'!$K$25</c:f>
              <c:strCache>
                <c:ptCount val="1"/>
                <c:pt idx="0">
                  <c:v>Growth barrier: inadequate demand</c:v>
                </c:pt>
              </c:strCache>
            </c:strRef>
          </c:tx>
          <c:spPr>
            <a:ln w="15875">
              <a:solidFill>
                <a:schemeClr val="bg2">
                  <a:lumMod val="25000"/>
                </a:schemeClr>
              </a:solidFill>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růstu-4'!$K$38:$K$66</c:f>
              <c:numCache>
                <c:formatCode>#\ ##0.0</c:formatCode>
                <c:ptCount val="29"/>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pt idx="27">
                  <c:v>26.8</c:v>
                </c:pt>
                <c:pt idx="28">
                  <c:v>30.4</c:v>
                </c:pt>
              </c:numCache>
            </c:numRef>
          </c:val>
          <c:smooth val="0"/>
          <c:extLst>
            <c:ext xmlns:c16="http://schemas.microsoft.com/office/drawing/2014/chart" uri="{C3380CC4-5D6E-409C-BE32-E72D297353CC}">
              <c16:uniqueId val="{00000008-438C-4A49-85B5-C696EC50A22E}"/>
            </c:ext>
          </c:extLst>
        </c:ser>
        <c:ser>
          <c:idx val="9"/>
          <c:order val="9"/>
          <c:tx>
            <c:strRef>
              <c:f>'Služby-příspěvkyk růstu-4'!$L$25</c:f>
              <c:strCache>
                <c:ptCount val="1"/>
                <c:pt idx="0">
                  <c:v>Growth barrier: shortage of employees</c:v>
                </c:pt>
              </c:strCache>
            </c:strRef>
          </c:tx>
          <c:spPr>
            <a:ln w="15875">
              <a:solidFill>
                <a:schemeClr val="bg2">
                  <a:lumMod val="25000"/>
                </a:schemeClr>
              </a:solidFill>
              <a:prstDash val="sysDash"/>
            </a:ln>
          </c:spPr>
          <c:marker>
            <c:symbol val="none"/>
          </c:marker>
          <c:cat>
            <c:multiLvlStrRef>
              <c:f>'Služby-příspěvkyk růstu-4'!$A$38:$B$66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růstu-4'!$L$38:$L$66</c:f>
              <c:numCache>
                <c:formatCode>#\ ##0.0</c:formatCode>
                <c:ptCount val="29"/>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pt idx="27">
                  <c:v>18.899999999999999</c:v>
                </c:pt>
                <c:pt idx="28">
                  <c:v>19.3</c:v>
                </c:pt>
              </c:numCache>
            </c:numRef>
          </c:val>
          <c:smooth val="0"/>
          <c:extLst>
            <c:ext xmlns:c16="http://schemas.microsoft.com/office/drawing/2014/chart" uri="{C3380CC4-5D6E-409C-BE32-E72D297353CC}">
              <c16:uniqueId val="{00000009-438C-4A49-85B5-C696EC50A22E}"/>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Contribution to changes in sales in services</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Balance of confidence, Growth barriers</a:t>
                </a:r>
                <a:endParaRPr lang="cs-CZ" sz="700">
                  <a:effectLst/>
                </a:endParaRPr>
              </a:p>
            </c:rich>
          </c:tx>
          <c:layout>
            <c:manualLayout>
              <c:xMode val="edge"/>
              <c:yMode val="edge"/>
              <c:x val="0.97060564907475944"/>
              <c:y val="0.10925373649828851"/>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7402356920644666"/>
        </c:manualLayout>
      </c:layout>
      <c:barChart>
        <c:barDir val="col"/>
        <c:grouping val="clustered"/>
        <c:varyColors val="0"/>
        <c:ser>
          <c:idx val="3"/>
          <c:order val="0"/>
          <c:tx>
            <c:strRef>
              <c:f>'výkonnost odvětví 5'!$C$10</c:f>
              <c:strCache>
                <c:ptCount val="1"/>
                <c:pt idx="0">
                  <c:v>Retail (without motor. segment)</c:v>
                </c:pt>
              </c:strCache>
            </c:strRef>
          </c:tx>
          <c:spPr>
            <a:solidFill>
              <a:srgbClr val="BEBEBE"/>
            </a:solidFill>
            <a:ln>
              <a:noFill/>
            </a:ln>
          </c:spPr>
          <c:invertIfNegative val="0"/>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5'!$C$31:$C$59</c:f>
              <c:numCache>
                <c:formatCode>##0.0</c:formatCode>
                <c:ptCount val="29"/>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0.12908217749999551</c:v>
                </c:pt>
                <c:pt idx="21">
                  <c:v>-2.8976566630000065</c:v>
                </c:pt>
                <c:pt idx="22">
                  <c:v>1.3167079119999983</c:v>
                </c:pt>
                <c:pt idx="23">
                  <c:v>-2.0214892853999942</c:v>
                </c:pt>
                <c:pt idx="24">
                  <c:v>-0.25450931490000528</c:v>
                </c:pt>
                <c:pt idx="25">
                  <c:v>7.2758830861999968</c:v>
                </c:pt>
                <c:pt idx="26">
                  <c:v>3.9166814666999983</c:v>
                </c:pt>
                <c:pt idx="27">
                  <c:v>6.1668547292999989</c:v>
                </c:pt>
              </c:numCache>
            </c:numRef>
          </c:val>
          <c:extLst>
            <c:ext xmlns:c16="http://schemas.microsoft.com/office/drawing/2014/chart" uri="{C3380CC4-5D6E-409C-BE32-E72D297353CC}">
              <c16:uniqueId val="{00000000-6488-41DC-A06B-949FF1B3883D}"/>
            </c:ext>
          </c:extLst>
        </c:ser>
        <c:dLbls>
          <c:showLegendKey val="0"/>
          <c:showVal val="0"/>
          <c:showCatName val="0"/>
          <c:showSerName val="0"/>
          <c:showPercent val="0"/>
          <c:showBubbleSize val="0"/>
        </c:dLbls>
        <c:gapWidth val="31"/>
        <c:axId val="156100864"/>
        <c:axId val="156573696"/>
      </c:barChart>
      <c:lineChart>
        <c:grouping val="standard"/>
        <c:varyColors val="0"/>
        <c:ser>
          <c:idx val="0"/>
          <c:order val="1"/>
          <c:tx>
            <c:strRef>
              <c:f>'výkonnost odvětví 5'!$D$10</c:f>
              <c:strCache>
                <c:ptCount val="1"/>
                <c:pt idx="0">
                  <c:v>Retail with non-food goods</c:v>
                </c:pt>
              </c:strCache>
            </c:strRef>
          </c:tx>
          <c:spPr>
            <a:ln w="15875">
              <a:solidFill>
                <a:srgbClr val="00B05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5'!$D$31:$D$59</c:f>
              <c:numCache>
                <c:formatCode>0.0</c:formatCode>
                <c:ptCount val="29"/>
                <c:pt idx="0">
                  <c:v>7.2715196739000021</c:v>
                </c:pt>
                <c:pt idx="1">
                  <c:v>8.3670083482000024</c:v>
                </c:pt>
                <c:pt idx="2">
                  <c:v>5.8714962675999942</c:v>
                </c:pt>
                <c:pt idx="3">
                  <c:v>7.1796031766999988</c:v>
                </c:pt>
                <c:pt idx="4">
                  <c:v>5.992849787099999</c:v>
                </c:pt>
                <c:pt idx="5">
                  <c:v>5.3652608760999954</c:v>
                </c:pt>
                <c:pt idx="6">
                  <c:v>6.9198240850000019</c:v>
                </c:pt>
                <c:pt idx="7">
                  <c:v>7.0074928439999979</c:v>
                </c:pt>
                <c:pt idx="8">
                  <c:v>8.6852873061999958</c:v>
                </c:pt>
                <c:pt idx="9">
                  <c:v>9.2363312134999944</c:v>
                </c:pt>
                <c:pt idx="10">
                  <c:v>8.5628601745000026</c:v>
                </c:pt>
                <c:pt idx="11">
                  <c:v>8.8840041140000068</c:v>
                </c:pt>
                <c:pt idx="12">
                  <c:v>8.9088398325000071</c:v>
                </c:pt>
                <c:pt idx="13">
                  <c:v>7.5663649659999948</c:v>
                </c:pt>
                <c:pt idx="14">
                  <c:v>6.1198352104999998</c:v>
                </c:pt>
                <c:pt idx="15">
                  <c:v>7.7062771978000058</c:v>
                </c:pt>
                <c:pt idx="16">
                  <c:v>9.2922875281000046</c:v>
                </c:pt>
                <c:pt idx="17">
                  <c:v>7.0020782769999954</c:v>
                </c:pt>
                <c:pt idx="18">
                  <c:v>7.8244667778999997</c:v>
                </c:pt>
                <c:pt idx="19">
                  <c:v>6.6837416494000053</c:v>
                </c:pt>
                <c:pt idx="20">
                  <c:v>8.1510700699993777E-2</c:v>
                </c:pt>
                <c:pt idx="21">
                  <c:v>0.7559899058999946</c:v>
                </c:pt>
                <c:pt idx="22">
                  <c:v>3.6224656044999932</c:v>
                </c:pt>
                <c:pt idx="23">
                  <c:v>-1.9911408056999989</c:v>
                </c:pt>
                <c:pt idx="24">
                  <c:v>2.1065596202000023</c:v>
                </c:pt>
                <c:pt idx="25">
                  <c:v>11.361493757299996</c:v>
                </c:pt>
                <c:pt idx="26">
                  <c:v>7.6021912932999953</c:v>
                </c:pt>
                <c:pt idx="27">
                  <c:v>9.9294145094000044</c:v>
                </c:pt>
              </c:numCache>
            </c:numRef>
          </c:val>
          <c:smooth val="0"/>
          <c:extLst>
            <c:ext xmlns:c16="http://schemas.microsoft.com/office/drawing/2014/chart" uri="{C3380CC4-5D6E-409C-BE32-E72D297353CC}">
              <c16:uniqueId val="{00000001-6488-41DC-A06B-949FF1B3883D}"/>
            </c:ext>
          </c:extLst>
        </c:ser>
        <c:ser>
          <c:idx val="1"/>
          <c:order val="2"/>
          <c:tx>
            <c:strRef>
              <c:f>'výkonnost odvětví 5'!$E$10</c:f>
              <c:strCache>
                <c:ptCount val="1"/>
                <c:pt idx="0">
                  <c:v>Retail with food, total</c:v>
                </c:pt>
              </c:strCache>
            </c:strRef>
          </c:tx>
          <c:spPr>
            <a:ln w="15875">
              <a:solidFill>
                <a:srgbClr val="0070C0"/>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5'!$E$31:$E$59</c:f>
              <c:numCache>
                <c:formatCode>0.0</c:formatCode>
                <c:ptCount val="29"/>
                <c:pt idx="0">
                  <c:v>4.5876844758000033</c:v>
                </c:pt>
                <c:pt idx="1">
                  <c:v>3.0424029370999932</c:v>
                </c:pt>
                <c:pt idx="2">
                  <c:v>4.9263563212000037</c:v>
                </c:pt>
                <c:pt idx="3">
                  <c:v>3.9150013738999974</c:v>
                </c:pt>
                <c:pt idx="4">
                  <c:v>4.5995763954000068</c:v>
                </c:pt>
                <c:pt idx="5">
                  <c:v>3.9376332190000056</c:v>
                </c:pt>
                <c:pt idx="6">
                  <c:v>2.591765420599998</c:v>
                </c:pt>
                <c:pt idx="7">
                  <c:v>-0.23256164999999385</c:v>
                </c:pt>
                <c:pt idx="8">
                  <c:v>1.8918609717999999</c:v>
                </c:pt>
                <c:pt idx="9">
                  <c:v>3.6041123518999996</c:v>
                </c:pt>
                <c:pt idx="10">
                  <c:v>3.0516559300999972</c:v>
                </c:pt>
                <c:pt idx="11">
                  <c:v>2.5811256036000003</c:v>
                </c:pt>
                <c:pt idx="12">
                  <c:v>3.7066780967000028</c:v>
                </c:pt>
                <c:pt idx="13">
                  <c:v>1.323651567400006</c:v>
                </c:pt>
                <c:pt idx="14">
                  <c:v>2.362942357600005</c:v>
                </c:pt>
                <c:pt idx="15">
                  <c:v>1.3214242518999981</c:v>
                </c:pt>
                <c:pt idx="16">
                  <c:v>1.6645836688999935</c:v>
                </c:pt>
                <c:pt idx="17">
                  <c:v>2.9944110046999981</c:v>
                </c:pt>
                <c:pt idx="18">
                  <c:v>1.5968521353999989</c:v>
                </c:pt>
                <c:pt idx="19">
                  <c:v>1.6366635083000034</c:v>
                </c:pt>
                <c:pt idx="20">
                  <c:v>2.4117608905000054</c:v>
                </c:pt>
                <c:pt idx="21">
                  <c:v>-3.0566916679999991</c:v>
                </c:pt>
                <c:pt idx="22">
                  <c:v>-1.0441902567999932</c:v>
                </c:pt>
                <c:pt idx="23">
                  <c:v>0.69822811010000407</c:v>
                </c:pt>
                <c:pt idx="24">
                  <c:v>-1.1475745756000038</c:v>
                </c:pt>
                <c:pt idx="25">
                  <c:v>1.1151025701999941</c:v>
                </c:pt>
                <c:pt idx="26">
                  <c:v>-0.78127660490000039</c:v>
                </c:pt>
                <c:pt idx="27">
                  <c:v>-0.50252165039999852</c:v>
                </c:pt>
              </c:numCache>
            </c:numRef>
          </c:val>
          <c:smooth val="0"/>
          <c:extLst>
            <c:ext xmlns:c16="http://schemas.microsoft.com/office/drawing/2014/chart" uri="{C3380CC4-5D6E-409C-BE32-E72D297353CC}">
              <c16:uniqueId val="{00000002-6488-41DC-A06B-949FF1B3883D}"/>
            </c:ext>
          </c:extLst>
        </c:ser>
        <c:ser>
          <c:idx val="2"/>
          <c:order val="3"/>
          <c:tx>
            <c:strRef>
              <c:f>'výkonnost odvětví 5'!$F$10</c:f>
              <c:strCache>
                <c:ptCount val="1"/>
                <c:pt idx="0">
                  <c:v>Retail with food in specialised shops</c:v>
                </c:pt>
              </c:strCache>
            </c:strRef>
          </c:tx>
          <c:spPr>
            <a:ln w="15875">
              <a:solidFill>
                <a:srgbClr val="00B0F0"/>
              </a:solidFill>
              <a:prstDash val="sysDash"/>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5'!$F$31:$F$59</c:f>
              <c:numCache>
                <c:formatCode>0.0</c:formatCode>
                <c:ptCount val="29"/>
                <c:pt idx="0">
                  <c:v>2.6690178399999951</c:v>
                </c:pt>
                <c:pt idx="1">
                  <c:v>2.2128227439000057</c:v>
                </c:pt>
                <c:pt idx="2">
                  <c:v>1.9202398683000013</c:v>
                </c:pt>
                <c:pt idx="3">
                  <c:v>2.7073259998000054</c:v>
                </c:pt>
                <c:pt idx="4">
                  <c:v>4.1610559200999973</c:v>
                </c:pt>
                <c:pt idx="5">
                  <c:v>1.8660943609999947</c:v>
                </c:pt>
                <c:pt idx="6">
                  <c:v>4.7366658035000029</c:v>
                </c:pt>
                <c:pt idx="7">
                  <c:v>2.0187861211000069</c:v>
                </c:pt>
                <c:pt idx="8">
                  <c:v>3.4615535926999996</c:v>
                </c:pt>
                <c:pt idx="9">
                  <c:v>3.916856426199999</c:v>
                </c:pt>
                <c:pt idx="10">
                  <c:v>1.1265036291000001</c:v>
                </c:pt>
                <c:pt idx="11">
                  <c:v>3.3543429389000039</c:v>
                </c:pt>
                <c:pt idx="12">
                  <c:v>2.3535225098000012</c:v>
                </c:pt>
                <c:pt idx="13">
                  <c:v>0.45949150689999385</c:v>
                </c:pt>
                <c:pt idx="14">
                  <c:v>-0.3179062024999979</c:v>
                </c:pt>
                <c:pt idx="15">
                  <c:v>-2.0474008079000043</c:v>
                </c:pt>
                <c:pt idx="16">
                  <c:v>-0.49759468509999749</c:v>
                </c:pt>
                <c:pt idx="17">
                  <c:v>-1.2062333295999963</c:v>
                </c:pt>
                <c:pt idx="18">
                  <c:v>-2.1788461824999956</c:v>
                </c:pt>
                <c:pt idx="19">
                  <c:v>-1.4449130142999991</c:v>
                </c:pt>
                <c:pt idx="20">
                  <c:v>-5.2832493653999961</c:v>
                </c:pt>
                <c:pt idx="21">
                  <c:v>-21.630136793999995</c:v>
                </c:pt>
                <c:pt idx="22">
                  <c:v>-2.9377238973000033</c:v>
                </c:pt>
                <c:pt idx="23">
                  <c:v>-19.2276622901</c:v>
                </c:pt>
                <c:pt idx="24">
                  <c:v>-6.5251495061000071</c:v>
                </c:pt>
                <c:pt idx="25">
                  <c:v>4.0799849115999933</c:v>
                </c:pt>
                <c:pt idx="26">
                  <c:v>8.7569142999996075E-2</c:v>
                </c:pt>
                <c:pt idx="27">
                  <c:v>6.8164131789999942</c:v>
                </c:pt>
              </c:numCache>
            </c:numRef>
          </c:val>
          <c:smooth val="0"/>
          <c:extLst>
            <c:ext xmlns:c16="http://schemas.microsoft.com/office/drawing/2014/chart" uri="{C3380CC4-5D6E-409C-BE32-E72D297353CC}">
              <c16:uniqueId val="{00000003-6488-41DC-A06B-949FF1B3883D}"/>
            </c:ext>
          </c:extLst>
        </c:ser>
        <c:ser>
          <c:idx val="4"/>
          <c:order val="4"/>
          <c:tx>
            <c:strRef>
              <c:f>'výkonnost odvětví 5'!$G$10</c:f>
              <c:strCache>
                <c:ptCount val="1"/>
                <c:pt idx="0">
                  <c:v>Retail sale of fuels</c:v>
                </c:pt>
              </c:strCache>
            </c:strRef>
          </c:tx>
          <c:spPr>
            <a:ln w="15875">
              <a:solidFill>
                <a:schemeClr val="accent6">
                  <a:lumMod val="75000"/>
                </a:schemeClr>
              </a:solidFill>
            </a:ln>
          </c:spPr>
          <c:marker>
            <c:symbol val="none"/>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5'!$G$31:$G$59</c:f>
              <c:numCache>
                <c:formatCode>0.0</c:formatCode>
                <c:ptCount val="29"/>
                <c:pt idx="0">
                  <c:v>6.1518283433999983</c:v>
                </c:pt>
                <c:pt idx="1">
                  <c:v>4.5607610110999985</c:v>
                </c:pt>
                <c:pt idx="2">
                  <c:v>6.1322263153000023</c:v>
                </c:pt>
                <c:pt idx="3">
                  <c:v>8.9560664269999961</c:v>
                </c:pt>
                <c:pt idx="4">
                  <c:v>5.1322984467000055</c:v>
                </c:pt>
                <c:pt idx="5">
                  <c:v>5.3476340171000061</c:v>
                </c:pt>
                <c:pt idx="6">
                  <c:v>4.6018851928999993</c:v>
                </c:pt>
                <c:pt idx="7">
                  <c:v>5.1791474957999952</c:v>
                </c:pt>
                <c:pt idx="8">
                  <c:v>4.2377818723000047</c:v>
                </c:pt>
                <c:pt idx="9">
                  <c:v>5.9231834445999993</c:v>
                </c:pt>
                <c:pt idx="10">
                  <c:v>6.277465477800007</c:v>
                </c:pt>
                <c:pt idx="11">
                  <c:v>6.3286157347999961</c:v>
                </c:pt>
                <c:pt idx="12">
                  <c:v>5.527956407800005</c:v>
                </c:pt>
                <c:pt idx="13">
                  <c:v>4.6539179964999988</c:v>
                </c:pt>
                <c:pt idx="14">
                  <c:v>3.0533633685000012</c:v>
                </c:pt>
                <c:pt idx="15">
                  <c:v>3.1034954821000014</c:v>
                </c:pt>
                <c:pt idx="16">
                  <c:v>4.7294051002999993</c:v>
                </c:pt>
                <c:pt idx="17">
                  <c:v>2.2193073045000062</c:v>
                </c:pt>
                <c:pt idx="18">
                  <c:v>1.5346987166000048</c:v>
                </c:pt>
                <c:pt idx="19">
                  <c:v>0.54012315949999845</c:v>
                </c:pt>
                <c:pt idx="20">
                  <c:v>-7.0431704789999969</c:v>
                </c:pt>
                <c:pt idx="21">
                  <c:v>-17.114932415300004</c:v>
                </c:pt>
                <c:pt idx="22">
                  <c:v>-0.40724422739999966</c:v>
                </c:pt>
                <c:pt idx="23">
                  <c:v>-11.329794839300007</c:v>
                </c:pt>
                <c:pt idx="24">
                  <c:v>-7.4498472892999956</c:v>
                </c:pt>
                <c:pt idx="25">
                  <c:v>10.003209825100001</c:v>
                </c:pt>
                <c:pt idx="26">
                  <c:v>3.3450686440999959</c:v>
                </c:pt>
                <c:pt idx="27">
                  <c:v>10.038771875400002</c:v>
                </c:pt>
              </c:numCache>
            </c:numRef>
          </c:val>
          <c:smooth val="0"/>
          <c:extLst>
            <c:ext xmlns:c16="http://schemas.microsoft.com/office/drawing/2014/chart" uri="{C3380CC4-5D6E-409C-BE32-E72D297353CC}">
              <c16:uniqueId val="{00000004-6488-41DC-A06B-949FF1B3883D}"/>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5"/>
          <c:tx>
            <c:strRef>
              <c:f>'výkonnost odvětví 5'!$H$10</c:f>
              <c:strCache>
                <c:ptCount val="1"/>
                <c:pt idx="0">
                  <c:v>Balance of consumer confidence indicator</c:v>
                </c:pt>
              </c:strCache>
            </c:strRef>
          </c:tx>
          <c:spPr>
            <a:ln w="15875">
              <a:solidFill>
                <a:schemeClr val="bg1">
                  <a:lumMod val="75000"/>
                </a:schemeClr>
              </a:solidFill>
              <a:prstDash val="sysDash"/>
            </a:ln>
          </c:spPr>
          <c:marker>
            <c:symbol val="diamond"/>
            <c:size val="6"/>
            <c:spPr>
              <a:solidFill>
                <a:srgbClr val="FFFF00"/>
              </a:solidFill>
              <a:ln>
                <a:solidFill>
                  <a:schemeClr val="tx1">
                    <a:lumMod val="95000"/>
                    <a:lumOff val="5000"/>
                  </a:schemeClr>
                </a:solidFill>
              </a:ln>
            </c:spPr>
          </c:marker>
          <c:cat>
            <c:multiLvlStrRef>
              <c:f>'výkonnost odvětví 5'!$A$31:$B$59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'výkonnost odvětví 5'!$H$31:$H$59</c:f>
              <c:numCache>
                <c:formatCode>0.0</c:formatCode>
                <c:ptCount val="29"/>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numCache>
            </c:numRef>
          </c:val>
          <c:smooth val="0"/>
          <c:extLst>
            <c:ext xmlns:c16="http://schemas.microsoft.com/office/drawing/2014/chart" uri="{C3380CC4-5D6E-409C-BE32-E72D297353CC}">
              <c16:uniqueId val="{00000005-6488-41DC-A06B-949FF1B3883D}"/>
            </c:ext>
          </c:extLst>
        </c:ser>
        <c:dLbls>
          <c:showLegendKey val="0"/>
          <c:showVal val="0"/>
          <c:showCatName val="0"/>
          <c:showSerName val="0"/>
          <c:showPercent val="0"/>
          <c:showBubbleSize val="0"/>
        </c:dLbls>
        <c:marker val="1"/>
        <c:smooth val="0"/>
        <c:axId val="1300100448"/>
        <c:axId val="1300099616"/>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Sales</a:t>
                </a:r>
                <a:endParaRPr lang="cs-CZ" sz="700">
                  <a:effectLst/>
                </a:endParaRPr>
              </a:p>
            </c:rich>
          </c:tx>
          <c:layout>
            <c:manualLayout>
              <c:xMode val="edge"/>
              <c:yMode val="edge"/>
              <c:x val="0"/>
              <c:y val="0.292270916911709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300099616"/>
        <c:scaling>
          <c:orientation val="minMax"/>
          <c:max val="3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b="0" i="1" u="none" strike="noStrike" baseline="0">
                    <a:effectLst/>
                  </a:rPr>
                  <a:t>Consumer confidence balance</a:t>
                </a:r>
                <a:endParaRPr lang="cs-CZ" sz="700" b="0" i="1" u="none" strike="noStrike" baseline="0">
                  <a:effectLst/>
                </a:endParaRPr>
              </a:p>
            </c:rich>
          </c:tx>
          <c:layout>
            <c:manualLayout>
              <c:xMode val="edge"/>
              <c:yMode val="edge"/>
              <c:x val="0.97060568193100361"/>
              <c:y val="0.25775438813456547"/>
            </c:manualLayout>
          </c:layout>
          <c:overlay val="0"/>
        </c:title>
        <c:numFmt formatCode="0" sourceLinked="0"/>
        <c:majorTickMark val="out"/>
        <c:minorTickMark val="none"/>
        <c:tickLblPos val="nextTo"/>
        <c:txPr>
          <a:bodyPr/>
          <a:lstStyle/>
          <a:p>
            <a:pPr>
              <a:defRPr sz="800"/>
            </a:pPr>
            <a:endParaRPr lang="cs-CZ"/>
          </a:p>
        </c:txPr>
        <c:crossAx val="1300100448"/>
        <c:crosses val="max"/>
        <c:crossBetween val="between"/>
        <c:majorUnit val="5"/>
      </c:valAx>
      <c:catAx>
        <c:axId val="1300100448"/>
        <c:scaling>
          <c:orientation val="minMax"/>
        </c:scaling>
        <c:delete val="1"/>
        <c:axPos val="b"/>
        <c:numFmt formatCode="General" sourceLinked="1"/>
        <c:majorTickMark val="out"/>
        <c:minorTickMark val="none"/>
        <c:tickLblPos val="nextTo"/>
        <c:crossAx val="1300099616"/>
        <c:crosses val="autoZero"/>
        <c:auto val="1"/>
        <c:lblAlgn val="ctr"/>
        <c:lblOffset val="100"/>
        <c:noMultiLvlLbl val="0"/>
      </c:catAx>
      <c:spPr>
        <a:ln>
          <a:solidFill>
            <a:schemeClr val="tx1"/>
          </a:solidFill>
        </a:ln>
      </c:spPr>
    </c:plotArea>
    <c:legend>
      <c:legendPos val="r"/>
      <c:layout>
        <c:manualLayout>
          <c:xMode val="edge"/>
          <c:yMode val="edge"/>
          <c:x val="6.4094212627732858E-5"/>
          <c:y val="0.87481369385991214"/>
          <c:w val="0.98649823440865303"/>
          <c:h val="0.11811147757237564"/>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0"/>
          <c:order val="0"/>
          <c:tx>
            <c:strRef>
              <c:f>'Vnější vztahy_a'!$B$4</c:f>
              <c:strCache>
                <c:ptCount val="1"/>
                <c:pt idx="0">
                  <c:v>Export</c:v>
                </c:pt>
              </c:strCache>
            </c:strRef>
          </c:tx>
          <c:spPr>
            <a:solidFill>
              <a:srgbClr val="0071BC"/>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vztahy_a'!$B$5:$B$20</c:f>
              <c:numCache>
                <c:formatCode>General</c:formatCode>
                <c:ptCount val="16"/>
                <c:pt idx="0">
                  <c:v>11.002388269186975</c:v>
                </c:pt>
                <c:pt idx="1">
                  <c:v>10.669504790170311</c:v>
                </c:pt>
                <c:pt idx="2">
                  <c:v>-1.4825262579305303</c:v>
                </c:pt>
                <c:pt idx="3">
                  <c:v>-10.81189551944207</c:v>
                </c:pt>
                <c:pt idx="4">
                  <c:v>14.827022335007905</c:v>
                </c:pt>
                <c:pt idx="5">
                  <c:v>10.112037607700053</c:v>
                </c:pt>
                <c:pt idx="6">
                  <c:v>6.0251090942966021</c:v>
                </c:pt>
                <c:pt idx="7">
                  <c:v>2.2153513610284965</c:v>
                </c:pt>
                <c:pt idx="8">
                  <c:v>13.027208809035864</c:v>
                </c:pt>
                <c:pt idx="9">
                  <c:v>3.612768163576892</c:v>
                </c:pt>
                <c:pt idx="10">
                  <c:v>1.1074296541764621</c:v>
                </c:pt>
                <c:pt idx="11">
                  <c:v>6.4802705295808352</c:v>
                </c:pt>
                <c:pt idx="12">
                  <c:v>2.9418083571864679</c:v>
                </c:pt>
                <c:pt idx="13">
                  <c:v>2.0884439685547389</c:v>
                </c:pt>
                <c:pt idx="14">
                  <c:v>-5.6527823819801268</c:v>
                </c:pt>
                <c:pt idx="15">
                  <c:v>13.014676826275789</c:v>
                </c:pt>
              </c:numCache>
            </c:numRef>
          </c:val>
          <c:extLst>
            <c:ext xmlns:c16="http://schemas.microsoft.com/office/drawing/2014/chart" uri="{C3380CC4-5D6E-409C-BE32-E72D297353CC}">
              <c16:uniqueId val="{00000000-BE05-4B3F-A5C9-C87E4B434FE1}"/>
            </c:ext>
          </c:extLst>
        </c:ser>
        <c:ser>
          <c:idx val="1"/>
          <c:order val="1"/>
          <c:tx>
            <c:strRef>
              <c:f>'Vnější vztahy_a'!$C$4</c:f>
              <c:strCache>
                <c:ptCount val="1"/>
                <c:pt idx="0">
                  <c:v>Import</c:v>
                </c:pt>
              </c:strCache>
            </c:strRef>
          </c:tx>
          <c:spPr>
            <a:solidFill>
              <a:srgbClr val="BD1B21"/>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vztahy_a'!$C$5:$C$20</c:f>
              <c:numCache>
                <c:formatCode>General</c:formatCode>
                <c:ptCount val="16"/>
                <c:pt idx="0">
                  <c:v>11.21175795501606</c:v>
                </c:pt>
                <c:pt idx="1">
                  <c:v>11.781531485176759</c:v>
                </c:pt>
                <c:pt idx="2">
                  <c:v>-0.48030336572037585</c:v>
                </c:pt>
                <c:pt idx="3">
                  <c:v>-13.849775964188691</c:v>
                </c:pt>
                <c:pt idx="4">
                  <c:v>17.636423931022911</c:v>
                </c:pt>
                <c:pt idx="5">
                  <c:v>8.6415161627225725</c:v>
                </c:pt>
                <c:pt idx="6">
                  <c:v>4.0042767307394715</c:v>
                </c:pt>
                <c:pt idx="7">
                  <c:v>0.68681070942259659</c:v>
                </c:pt>
                <c:pt idx="8">
                  <c:v>12.071376353644107</c:v>
                </c:pt>
                <c:pt idx="9">
                  <c:v>4.2889556626306211</c:v>
                </c:pt>
                <c:pt idx="10">
                  <c:v>0.11038963287046219</c:v>
                </c:pt>
                <c:pt idx="11">
                  <c:v>6.8245079237178157</c:v>
                </c:pt>
                <c:pt idx="12">
                  <c:v>5.0260247733996772</c:v>
                </c:pt>
                <c:pt idx="13">
                  <c:v>0.80432261722678255</c:v>
                </c:pt>
                <c:pt idx="14">
                  <c:v>-6.8505122440267279</c:v>
                </c:pt>
                <c:pt idx="15">
                  <c:v>19.287984329911698</c:v>
                </c:pt>
              </c:numCache>
            </c:numRef>
          </c:val>
          <c:extLst>
            <c:ext xmlns:c16="http://schemas.microsoft.com/office/drawing/2014/chart" uri="{C3380CC4-5D6E-409C-BE32-E72D297353CC}">
              <c16:uniqueId val="{00000001-BE05-4B3F-A5C9-C87E4B434FE1}"/>
            </c:ext>
          </c:extLst>
        </c:ser>
        <c:dLbls>
          <c:showLegendKey val="0"/>
          <c:showVal val="0"/>
          <c:showCatName val="0"/>
          <c:showSerName val="0"/>
          <c:showPercent val="0"/>
          <c:showBubbleSize val="0"/>
        </c:dLbls>
        <c:gapWidth val="89"/>
        <c:axId val="1603910352"/>
        <c:axId val="1603910768"/>
      </c:barChart>
      <c:lineChart>
        <c:grouping val="standard"/>
        <c:varyColors val="0"/>
        <c:ser>
          <c:idx val="2"/>
          <c:order val="2"/>
          <c:tx>
            <c:strRef>
              <c:f>'Vnější vztahy_a'!$D$4</c:f>
              <c:strCache>
                <c:ptCount val="1"/>
                <c:pt idx="0">
                  <c:v>Balance</c:v>
                </c:pt>
              </c:strCache>
            </c:strRef>
          </c:tx>
          <c:spPr>
            <a:ln w="28575" cap="rnd">
              <a:solidFill>
                <a:schemeClr val="tx1"/>
              </a:solidFill>
              <a:round/>
            </a:ln>
            <a:effectLst/>
          </c:spPr>
          <c:marker>
            <c:symbol val="none"/>
          </c:marker>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vztahy_a'!$D$5:$D$20</c:f>
              <c:numCache>
                <c:formatCode>General</c:formatCode>
                <c:ptCount val="16"/>
                <c:pt idx="0">
                  <c:v>1.8</c:v>
                </c:pt>
                <c:pt idx="1">
                  <c:v>-21.241</c:v>
                </c:pt>
                <c:pt idx="2">
                  <c:v>-44.332000000000001</c:v>
                </c:pt>
                <c:pt idx="3">
                  <c:v>31.067</c:v>
                </c:pt>
                <c:pt idx="4">
                  <c:v>-20.579000000000001</c:v>
                </c:pt>
                <c:pt idx="5">
                  <c:v>11.977</c:v>
                </c:pt>
                <c:pt idx="6">
                  <c:v>64.41</c:v>
                </c:pt>
                <c:pt idx="7">
                  <c:v>106.518</c:v>
                </c:pt>
                <c:pt idx="8">
                  <c:v>146.00899999999999</c:v>
                </c:pt>
                <c:pt idx="9">
                  <c:v>130.97677807700001</c:v>
                </c:pt>
                <c:pt idx="10">
                  <c:v>163.65449183600001</c:v>
                </c:pt>
                <c:pt idx="11">
                  <c:v>163.466347926</c:v>
                </c:pt>
                <c:pt idx="12">
                  <c:v>98.465823833000002</c:v>
                </c:pt>
                <c:pt idx="13">
                  <c:v>145.694717411</c:v>
                </c:pt>
                <c:pt idx="14">
                  <c:v>179.93123328999999</c:v>
                </c:pt>
                <c:pt idx="15">
                  <c:v>-3.8677181819999999</c:v>
                </c:pt>
              </c:numCache>
            </c:numRef>
          </c:val>
          <c:smooth val="0"/>
          <c:extLst>
            <c:ext xmlns:c16="http://schemas.microsoft.com/office/drawing/2014/chart" uri="{C3380CC4-5D6E-409C-BE32-E72D297353CC}">
              <c16:uniqueId val="{00000002-BE05-4B3F-A5C9-C87E4B434FE1}"/>
            </c:ext>
          </c:extLst>
        </c:ser>
        <c:dLbls>
          <c:showLegendKey val="0"/>
          <c:showVal val="0"/>
          <c:showCatName val="0"/>
          <c:showSerName val="0"/>
          <c:showPercent val="0"/>
          <c:showBubbleSize val="0"/>
        </c:dLbls>
        <c:marker val="1"/>
        <c:smooth val="0"/>
        <c:axId val="1171842912"/>
        <c:axId val="1599917024"/>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0"/>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valAx>
      <c:valAx>
        <c:axId val="1599917024"/>
        <c:scaling>
          <c:orientation val="minMax"/>
          <c:min val="-15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6A31-0CF4-420E-A331-6A311D513A58}">
  <ds:schemaRefs>
    <ds:schemaRef ds:uri="http://schemas.openxmlformats.org/officeDocument/2006/bibliography"/>
  </ds:schemaRefs>
</ds:datastoreItem>
</file>

<file path=customXml/itemProps2.xml><?xml version="1.0" encoding="utf-8"?>
<ds:datastoreItem xmlns:ds="http://schemas.openxmlformats.org/officeDocument/2006/customXml" ds:itemID="{91748B25-2DCA-4966-89DC-A83B65C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1</Pages>
  <Words>18554</Words>
  <Characters>109473</Characters>
  <Application>Microsoft Office Word</Application>
  <DocSecurity>0</DocSecurity>
  <Lines>912</Lines>
  <Paragraphs>255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127772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2022-04-21T10:41:00Z</dcterms:created>
  <dcterms:modified xsi:type="dcterms:W3CDTF">2022-04-21T10:44:00Z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2022-03-21T18:27:05Z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4e549edd-b07e-4b32-91fb-7727dcdc0524</vt:lpwstr>
  </property>
  <property fmtid="{D5CDD505-2E9C-101B-9397-08002B2CF9AE}" pid="8" name="MSIP_Label_29db9e61-aac5-4f6e-805d-ceb8cb9983a1_ContentBits">
    <vt:lpwstr>0</vt:lpwstr>
  </property>
</Properties>
</file>