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6DEE" w14:textId="77777777" w:rsidR="009732DF" w:rsidRPr="00B416B4" w:rsidRDefault="009732DF" w:rsidP="009732DF">
      <w:pPr>
        <w:pStyle w:val="Nadpis11"/>
        <w:rPr>
          <w:lang w:val="en-GB"/>
        </w:rPr>
      </w:pPr>
      <w:bookmarkStart w:id="0" w:name="_Toc85106901"/>
      <w:bookmarkStart w:id="1" w:name="_GoBack"/>
      <w:bookmarkEnd w:id="1"/>
      <w:r w:rsidRPr="00787441">
        <w:rPr>
          <w:szCs w:val="32"/>
        </w:rPr>
        <w:t>8</w:t>
      </w:r>
      <w:r>
        <w:t>. </w:t>
      </w:r>
      <w:r w:rsidRPr="00B416B4">
        <w:rPr>
          <w:lang w:val="en-GB"/>
        </w:rPr>
        <w:t>State Budget</w:t>
      </w:r>
      <w:bookmarkEnd w:id="0"/>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9732DF" w:rsidRPr="00B416B4" w14:paraId="209415CB" w14:textId="77777777" w:rsidTr="001144FB">
        <w:trPr>
          <w:trHeight w:val="145"/>
        </w:trPr>
        <w:tc>
          <w:tcPr>
            <w:tcW w:w="1732" w:type="dxa"/>
            <w:shd w:val="clear" w:color="auto" w:fill="auto"/>
            <w:tcMar>
              <w:left w:w="0" w:type="dxa"/>
            </w:tcMar>
          </w:tcPr>
          <w:p w14:paraId="26943AC0" w14:textId="77777777" w:rsidR="009732DF" w:rsidRPr="00B416B4" w:rsidRDefault="009732DF" w:rsidP="001144FB">
            <w:pPr>
              <w:pStyle w:val="Marginlie"/>
              <w:rPr>
                <w:lang w:val="en-GB"/>
              </w:rPr>
            </w:pPr>
            <w:r>
              <w:rPr>
                <w:lang w:val="en-GB"/>
              </w:rPr>
              <w:t xml:space="preserve">Development in both Q1 and Q2 2021 contributed to the half-yearly state budget deficit nearly equally. </w:t>
            </w:r>
          </w:p>
        </w:tc>
        <w:tc>
          <w:tcPr>
            <w:tcW w:w="217" w:type="dxa"/>
            <w:shd w:val="clear" w:color="auto" w:fill="auto"/>
            <w:tcMar>
              <w:left w:w="0" w:type="dxa"/>
            </w:tcMar>
          </w:tcPr>
          <w:p w14:paraId="1F9E91D2" w14:textId="77777777" w:rsidR="009732DF" w:rsidRPr="00B416B4" w:rsidRDefault="009732DF" w:rsidP="001144FB">
            <w:pPr>
              <w:pStyle w:val="Textpoznpodarou"/>
              <w:jc w:val="both"/>
              <w:rPr>
                <w:spacing w:val="-4"/>
                <w:lang w:val="en-GB"/>
              </w:rPr>
            </w:pPr>
          </w:p>
        </w:tc>
        <w:tc>
          <w:tcPr>
            <w:tcW w:w="7720" w:type="dxa"/>
            <w:shd w:val="clear" w:color="auto" w:fill="auto"/>
            <w:tcMar>
              <w:left w:w="0" w:type="dxa"/>
            </w:tcMar>
          </w:tcPr>
          <w:p w14:paraId="214CF65D" w14:textId="77777777" w:rsidR="009732DF" w:rsidRPr="00B416B4" w:rsidRDefault="009732DF" w:rsidP="001144FB">
            <w:pPr>
              <w:spacing w:after="200"/>
              <w:rPr>
                <w:spacing w:val="-2"/>
                <w:lang w:val="en-GB"/>
              </w:rPr>
            </w:pPr>
            <w:r>
              <w:rPr>
                <w:spacing w:val="-2"/>
                <w:lang w:val="en-GB"/>
              </w:rPr>
              <w:t xml:space="preserve">The state budget </w:t>
            </w:r>
            <w:r w:rsidRPr="00B416B4">
              <w:rPr>
                <w:spacing w:val="-2"/>
                <w:lang w:val="en-GB"/>
              </w:rPr>
              <w:t>(SR)</w:t>
            </w:r>
            <w:r w:rsidRPr="00B416B4">
              <w:rPr>
                <w:rStyle w:val="Znakapoznpodarou"/>
                <w:spacing w:val="-2"/>
                <w:lang w:val="en-GB"/>
              </w:rPr>
              <w:footnoteReference w:id="1"/>
            </w:r>
            <w:r w:rsidRPr="00B416B4">
              <w:rPr>
                <w:spacing w:val="-2"/>
                <w:lang w:val="en-GB"/>
              </w:rPr>
              <w:t xml:space="preserve"> </w:t>
            </w:r>
            <w:r>
              <w:rPr>
                <w:spacing w:val="-2"/>
                <w:lang w:val="en-GB"/>
              </w:rPr>
              <w:t xml:space="preserve">was characterised by deep deficit in the amount of </w:t>
            </w:r>
            <w:r w:rsidRPr="00B416B4">
              <w:rPr>
                <w:spacing w:val="-2"/>
                <w:lang w:val="en-GB"/>
              </w:rPr>
              <w:t>265</w:t>
            </w:r>
            <w:r>
              <w:rPr>
                <w:spacing w:val="-2"/>
                <w:lang w:val="en-GB"/>
              </w:rPr>
              <w:t>.</w:t>
            </w:r>
            <w:r w:rsidRPr="00B416B4">
              <w:rPr>
                <w:spacing w:val="-2"/>
                <w:lang w:val="en-GB"/>
              </w:rPr>
              <w:t>1</w:t>
            </w:r>
            <w:r>
              <w:rPr>
                <w:spacing w:val="-2"/>
                <w:lang w:val="en-GB"/>
              </w:rPr>
              <w:t xml:space="preserve"> CZK bn in H1 2021. Compared to the so far record deficit from the first half of the last year, it was by nearly </w:t>
            </w:r>
            <w:r w:rsidRPr="00B416B4">
              <w:rPr>
                <w:spacing w:val="-2"/>
                <w:lang w:val="en-GB"/>
              </w:rPr>
              <w:t>70</w:t>
            </w:r>
            <w:r>
              <w:rPr>
                <w:spacing w:val="-2"/>
                <w:lang w:val="en-GB"/>
              </w:rPr>
              <w:t xml:space="preserve"> bn deeper. The development in both quarters equally contributed to the present this year</w:t>
            </w:r>
            <w:r>
              <w:rPr>
                <w:spacing w:val="-2"/>
                <w:lang w:val="en-US"/>
              </w:rPr>
              <w:t>’</w:t>
            </w:r>
            <w:r>
              <w:rPr>
                <w:spacing w:val="-2"/>
              </w:rPr>
              <w:t>s deficit</w:t>
            </w:r>
            <w:r w:rsidRPr="003914BC">
              <w:rPr>
                <w:spacing w:val="-2"/>
                <w:lang w:val="en-GB"/>
              </w:rPr>
              <w:t>. The deficit however deepened „only“ by 10 CZK bn also thanks to wider loosening of the counter pandemic measures during June</w:t>
            </w:r>
            <w:r>
              <w:rPr>
                <w:spacing w:val="-2"/>
                <w:lang w:val="en-GB"/>
              </w:rPr>
              <w:t xml:space="preserve"> 2021</w:t>
            </w:r>
            <w:r w:rsidRPr="003914BC">
              <w:rPr>
                <w:spacing w:val="-2"/>
                <w:lang w:val="en-GB"/>
              </w:rPr>
              <w:t xml:space="preserve">. </w:t>
            </w:r>
            <w:r>
              <w:rPr>
                <w:spacing w:val="-2"/>
                <w:lang w:val="en-GB"/>
              </w:rPr>
              <w:t xml:space="preserve">In total for the whole half-year however, the SB was still decisively affected by lower economic activity. Together with the </w:t>
            </w:r>
            <w:r>
              <w:rPr>
                <w:spacing w:val="-4"/>
                <w:lang w:val="en-GB"/>
              </w:rPr>
              <w:t>concessions to entrepreneur subjects, lowering of tax burden on labour as well as property and change of budget appropriations of taxes to the benefit of regional budgets</w:t>
            </w:r>
            <w:r w:rsidRPr="003914BC">
              <w:rPr>
                <w:rStyle w:val="Znakapoznpodarou"/>
                <w:spacing w:val="-2"/>
                <w:lang w:val="en-GB"/>
              </w:rPr>
              <w:footnoteReference w:id="2"/>
            </w:r>
            <w:r>
              <w:rPr>
                <w:spacing w:val="-2"/>
                <w:lang w:val="en-GB"/>
              </w:rPr>
              <w:t>, it hampered the growth of the tax income. Apart from this, the need to strengthen the outlay transfers for the support of the affected branches and employees themselves endured</w:t>
            </w:r>
            <w:r w:rsidRPr="003914BC">
              <w:rPr>
                <w:spacing w:val="-2"/>
                <w:lang w:val="en-GB"/>
              </w:rPr>
              <w:t>, but also on the compensation of the heightened demands especially in the area of health care.</w:t>
            </w:r>
            <w:r>
              <w:rPr>
                <w:spacing w:val="-2"/>
                <w:lang w:val="en-GB"/>
              </w:rPr>
              <w:t xml:space="preserve"> </w:t>
            </w:r>
          </w:p>
        </w:tc>
      </w:tr>
      <w:tr w:rsidR="009732DF" w:rsidRPr="003C07E6" w14:paraId="6FB4AE72" w14:textId="77777777" w:rsidTr="001144FB">
        <w:trPr>
          <w:trHeight w:val="145"/>
        </w:trPr>
        <w:tc>
          <w:tcPr>
            <w:tcW w:w="1732" w:type="dxa"/>
            <w:shd w:val="clear" w:color="auto" w:fill="auto"/>
            <w:tcMar>
              <w:left w:w="0" w:type="dxa"/>
            </w:tcMar>
          </w:tcPr>
          <w:p w14:paraId="6C14D593" w14:textId="77777777" w:rsidR="009732DF" w:rsidRPr="009B3FCD" w:rsidRDefault="009732DF" w:rsidP="001144FB">
            <w:pPr>
              <w:pStyle w:val="Marginlie"/>
              <w:rPr>
                <w:lang w:val="en-GB"/>
              </w:rPr>
            </w:pPr>
            <w:r>
              <w:rPr>
                <w:lang w:val="en-GB"/>
              </w:rPr>
              <w:t xml:space="preserve">State-wide tax collection slightly grew mainly thanks to weaker last year basis in H1. However, it was higher compared to year </w:t>
            </w:r>
            <w:r w:rsidRPr="009B3FCD">
              <w:rPr>
                <w:lang w:val="en-GB"/>
              </w:rPr>
              <w:t>2019</w:t>
            </w:r>
            <w:r>
              <w:rPr>
                <w:lang w:val="en-GB"/>
              </w:rPr>
              <w:t xml:space="preserve"> only in this year</w:t>
            </w:r>
            <w:r>
              <w:rPr>
                <w:lang w:val="en-US"/>
              </w:rPr>
              <w:t>’</w:t>
            </w:r>
            <w:r>
              <w:t xml:space="preserve">s June. </w:t>
            </w:r>
          </w:p>
        </w:tc>
        <w:tc>
          <w:tcPr>
            <w:tcW w:w="217" w:type="dxa"/>
            <w:shd w:val="clear" w:color="auto" w:fill="auto"/>
            <w:tcMar>
              <w:left w:w="0" w:type="dxa"/>
            </w:tcMar>
          </w:tcPr>
          <w:p w14:paraId="76525785" w14:textId="77777777" w:rsidR="009732DF" w:rsidRPr="009B3FCD" w:rsidRDefault="009732DF" w:rsidP="001144FB">
            <w:pPr>
              <w:pStyle w:val="Textpoznpodarou"/>
              <w:jc w:val="both"/>
              <w:rPr>
                <w:spacing w:val="-4"/>
                <w:lang w:val="en-GB"/>
              </w:rPr>
            </w:pPr>
          </w:p>
        </w:tc>
        <w:tc>
          <w:tcPr>
            <w:tcW w:w="7720" w:type="dxa"/>
            <w:shd w:val="clear" w:color="auto" w:fill="auto"/>
            <w:tcMar>
              <w:left w:w="0" w:type="dxa"/>
            </w:tcMar>
          </w:tcPr>
          <w:p w14:paraId="4FF4718B" w14:textId="77777777" w:rsidR="009732DF" w:rsidRPr="002744BA" w:rsidRDefault="009732DF" w:rsidP="001144FB">
            <w:pPr>
              <w:spacing w:after="200"/>
              <w:rPr>
                <w:spacing w:val="-2"/>
                <w:lang w:val="en-GB"/>
              </w:rPr>
            </w:pPr>
            <w:r w:rsidRPr="002744BA">
              <w:rPr>
                <w:spacing w:val="-2"/>
                <w:lang w:val="en-GB"/>
              </w:rPr>
              <w:t>Total SB revenues moderately increased by 1.9% (</w:t>
            </w:r>
            <w:r>
              <w:rPr>
                <w:spacing w:val="-2"/>
                <w:lang w:val="en-GB"/>
              </w:rPr>
              <w:t>i.e.</w:t>
            </w:r>
            <w:r w:rsidRPr="002744BA">
              <w:rPr>
                <w:spacing w:val="-2"/>
                <w:lang w:val="en-GB"/>
              </w:rPr>
              <w:t xml:space="preserve"> 13 CZK bn) year-on-year in H1 2021. It however also resulted from the lower last year’s basis since the revenues have not reached the pre coronavirus level this year so far</w:t>
            </w:r>
            <w:r w:rsidRPr="002744BA">
              <w:rPr>
                <w:rStyle w:val="Znakapoznpodarou"/>
                <w:spacing w:val="-2"/>
                <w:lang w:val="en-GB"/>
              </w:rPr>
              <w:footnoteReference w:id="3"/>
            </w:r>
            <w:r w:rsidRPr="002744BA">
              <w:rPr>
                <w:spacing w:val="-2"/>
                <w:lang w:val="en-GB"/>
              </w:rPr>
              <w:t xml:space="preserve">. The year on year growth was mostly influenced by the higher collection of social security insurance (thanks to good condition of the labour market as well as the pay out of extraordinary bonuses especially to health care workers) and stronger collection of the corporate tax. Total state-wide of taxes (excluding insurance premium) at the </w:t>
            </w:r>
            <w:r>
              <w:rPr>
                <w:spacing w:val="-2"/>
                <w:lang w:val="en-GB"/>
              </w:rPr>
              <w:t>level of all public budgets has grown</w:t>
            </w:r>
            <w:r w:rsidRPr="002744BA">
              <w:rPr>
                <w:spacing w:val="-2"/>
                <w:lang w:val="en-GB"/>
              </w:rPr>
              <w:t xml:space="preserve"> by 4.</w:t>
            </w:r>
            <w:r>
              <w:rPr>
                <w:spacing w:val="-2"/>
                <w:lang w:val="en-GB"/>
              </w:rPr>
              <w:t>4% in H1 2021 year-on-</w:t>
            </w:r>
            <w:r w:rsidRPr="002744BA">
              <w:rPr>
                <w:spacing w:val="-2"/>
                <w:lang w:val="en-GB"/>
              </w:rPr>
              <w:t>year, nevertheless only in June it slightly also exceeded the corresponding pre coronavirus level (from June 2019). Non-tax and capital revenues and transfers from the SB decreased (by 7.8%) for the first time since year 2017 in this year’s half year,</w:t>
            </w:r>
            <w:r>
              <w:rPr>
                <w:spacing w:val="-2"/>
                <w:lang w:val="en-GB"/>
              </w:rPr>
              <w:t xml:space="preserve"> both because of mildly lower revenues from the EU budget and especially because the planned transfer of funds from the privatization account into the SB </w:t>
            </w:r>
            <w:r w:rsidRPr="002744BA">
              <w:rPr>
                <w:spacing w:val="-2"/>
                <w:lang w:val="en-GB"/>
              </w:rPr>
              <w:t>(10 </w:t>
            </w:r>
            <w:r>
              <w:rPr>
                <w:spacing w:val="-2"/>
                <w:lang w:val="en-GB"/>
              </w:rPr>
              <w:t>CZK bn</w:t>
            </w:r>
            <w:r w:rsidRPr="002744BA">
              <w:rPr>
                <w:spacing w:val="-2"/>
                <w:lang w:val="en-GB"/>
              </w:rPr>
              <w:t>)</w:t>
            </w:r>
            <w:r>
              <w:rPr>
                <w:spacing w:val="-2"/>
                <w:lang w:val="en-GB"/>
              </w:rPr>
              <w:t xml:space="preserve"> has not as opposed to last year materialised yet this year</w:t>
            </w:r>
            <w:r w:rsidRPr="002744BA">
              <w:rPr>
                <w:rStyle w:val="Znakapoznpodarou"/>
                <w:spacing w:val="-2"/>
                <w:lang w:val="en-GB"/>
              </w:rPr>
              <w:footnoteReference w:id="4"/>
            </w:r>
            <w:r w:rsidRPr="002744BA">
              <w:rPr>
                <w:spacing w:val="-2"/>
                <w:lang w:val="en-GB"/>
              </w:rPr>
              <w:t>.</w:t>
            </w:r>
          </w:p>
        </w:tc>
      </w:tr>
      <w:tr w:rsidR="009732DF" w:rsidRPr="003C07E6" w14:paraId="187D05B1" w14:textId="77777777" w:rsidTr="001144FB">
        <w:trPr>
          <w:trHeight w:val="145"/>
        </w:trPr>
        <w:tc>
          <w:tcPr>
            <w:tcW w:w="1732" w:type="dxa"/>
            <w:shd w:val="clear" w:color="auto" w:fill="auto"/>
            <w:tcMar>
              <w:left w:w="0" w:type="dxa"/>
            </w:tcMar>
          </w:tcPr>
          <w:p w14:paraId="01953A2A" w14:textId="77777777" w:rsidR="009732DF" w:rsidRPr="00A23EB3" w:rsidRDefault="009732DF" w:rsidP="001144FB">
            <w:pPr>
              <w:pStyle w:val="Marginlie"/>
              <w:rPr>
                <w:lang w:val="en-GB"/>
              </w:rPr>
            </w:pPr>
            <w:r>
              <w:rPr>
                <w:lang w:val="en-GB"/>
              </w:rPr>
              <w:t xml:space="preserve">Revival of consumption this year in June majorly assisted the higher collection of VAT. </w:t>
            </w:r>
          </w:p>
        </w:tc>
        <w:tc>
          <w:tcPr>
            <w:tcW w:w="217" w:type="dxa"/>
            <w:shd w:val="clear" w:color="auto" w:fill="auto"/>
            <w:tcMar>
              <w:left w:w="0" w:type="dxa"/>
            </w:tcMar>
          </w:tcPr>
          <w:p w14:paraId="54E4FC5A" w14:textId="77777777" w:rsidR="009732DF" w:rsidRPr="00A23EB3" w:rsidRDefault="009732DF" w:rsidP="001144FB">
            <w:pPr>
              <w:pStyle w:val="Textpoznpodarou"/>
              <w:jc w:val="both"/>
              <w:rPr>
                <w:spacing w:val="-4"/>
                <w:lang w:val="en-GB"/>
              </w:rPr>
            </w:pPr>
          </w:p>
        </w:tc>
        <w:tc>
          <w:tcPr>
            <w:tcW w:w="7720" w:type="dxa"/>
            <w:shd w:val="clear" w:color="auto" w:fill="auto"/>
            <w:tcMar>
              <w:left w:w="0" w:type="dxa"/>
            </w:tcMar>
          </w:tcPr>
          <w:p w14:paraId="6FB1F125" w14:textId="77777777" w:rsidR="009732DF" w:rsidRPr="002744BA" w:rsidRDefault="009732DF" w:rsidP="001144FB">
            <w:pPr>
              <w:spacing w:after="200"/>
              <w:rPr>
                <w:spacing w:val="-4"/>
                <w:lang w:val="en-GB"/>
              </w:rPr>
            </w:pPr>
            <w:r>
              <w:rPr>
                <w:spacing w:val="-4"/>
                <w:lang w:val="en-GB"/>
              </w:rPr>
              <w:t xml:space="preserve">From the weight dominant tax – VAT – by </w:t>
            </w:r>
            <w:r w:rsidRPr="002744BA">
              <w:rPr>
                <w:spacing w:val="-4"/>
                <w:lang w:val="en-GB"/>
              </w:rPr>
              <w:t>3</w:t>
            </w:r>
            <w:r>
              <w:rPr>
                <w:spacing w:val="-4"/>
                <w:lang w:val="en-GB"/>
              </w:rPr>
              <w:t>.</w:t>
            </w:r>
            <w:r w:rsidRPr="002744BA">
              <w:rPr>
                <w:spacing w:val="-4"/>
                <w:lang w:val="en-GB"/>
              </w:rPr>
              <w:t>9% (</w:t>
            </w:r>
            <w:r>
              <w:rPr>
                <w:spacing w:val="-4"/>
                <w:lang w:val="en-GB"/>
              </w:rPr>
              <w:t>i.e.</w:t>
            </w:r>
            <w:r w:rsidRPr="002744BA">
              <w:rPr>
                <w:spacing w:val="-4"/>
                <w:lang w:val="en-GB"/>
              </w:rPr>
              <w:t xml:space="preserve"> </w:t>
            </w:r>
            <w:r>
              <w:rPr>
                <w:spacing w:val="-4"/>
                <w:lang w:val="en-GB"/>
              </w:rPr>
              <w:t xml:space="preserve">by </w:t>
            </w:r>
            <w:r w:rsidRPr="002744BA">
              <w:rPr>
                <w:spacing w:val="-4"/>
                <w:lang w:val="en-GB"/>
              </w:rPr>
              <w:t>5</w:t>
            </w:r>
            <w:r>
              <w:rPr>
                <w:spacing w:val="-4"/>
                <w:lang w:val="en-GB"/>
              </w:rPr>
              <w:t xml:space="preserve"> CZK bn</w:t>
            </w:r>
            <w:r w:rsidRPr="002744BA">
              <w:rPr>
                <w:spacing w:val="-4"/>
                <w:lang w:val="en-GB"/>
              </w:rPr>
              <w:t xml:space="preserve">) </w:t>
            </w:r>
            <w:r>
              <w:rPr>
                <w:spacing w:val="-4"/>
                <w:lang w:val="en-GB"/>
              </w:rPr>
              <w:t>more flew into the SB year-on-year in H1</w:t>
            </w:r>
            <w:r w:rsidRPr="002744BA">
              <w:rPr>
                <w:spacing w:val="-4"/>
                <w:lang w:val="en-GB"/>
              </w:rPr>
              <w:t xml:space="preserve">. Collection even strengthened by 9.1% at the level of all public budgets. </w:t>
            </w:r>
            <w:r>
              <w:rPr>
                <w:spacing w:val="-4"/>
                <w:lang w:val="en-GB"/>
              </w:rPr>
              <w:t xml:space="preserve">Year-on-year comparison is however affected by the weaker last year basis as a result of considerable suspension of trade and other services operations. In comparison to the pre pandemic period </w:t>
            </w:r>
            <w:r w:rsidRPr="002744BA">
              <w:rPr>
                <w:spacing w:val="-4"/>
                <w:lang w:val="en-GB"/>
              </w:rPr>
              <w:t>(</w:t>
            </w:r>
            <w:r>
              <w:rPr>
                <w:spacing w:val="-4"/>
                <w:lang w:val="en-GB"/>
              </w:rPr>
              <w:t>H</w:t>
            </w:r>
            <w:r w:rsidRPr="002744BA">
              <w:rPr>
                <w:spacing w:val="-4"/>
                <w:lang w:val="en-GB"/>
              </w:rPr>
              <w:t>1</w:t>
            </w:r>
            <w:r>
              <w:rPr>
                <w:spacing w:val="-4"/>
                <w:lang w:val="en-GB"/>
              </w:rPr>
              <w:t xml:space="preserve"> </w:t>
            </w:r>
            <w:r w:rsidRPr="002744BA">
              <w:rPr>
                <w:spacing w:val="-4"/>
                <w:lang w:val="en-GB"/>
              </w:rPr>
              <w:t>2019)</w:t>
            </w:r>
            <w:r>
              <w:rPr>
                <w:spacing w:val="-4"/>
                <w:lang w:val="en-GB"/>
              </w:rPr>
              <w:t xml:space="preserve">, the state-wide collection was by </w:t>
            </w:r>
            <w:r w:rsidRPr="002744BA">
              <w:rPr>
                <w:spacing w:val="-4"/>
                <w:lang w:val="en-GB"/>
              </w:rPr>
              <w:t>2</w:t>
            </w:r>
            <w:r>
              <w:rPr>
                <w:spacing w:val="-4"/>
                <w:lang w:val="en-GB"/>
              </w:rPr>
              <w:t>.</w:t>
            </w:r>
            <w:r w:rsidRPr="002744BA">
              <w:rPr>
                <w:spacing w:val="-4"/>
                <w:lang w:val="en-GB"/>
              </w:rPr>
              <w:t>5%</w:t>
            </w:r>
            <w:r>
              <w:rPr>
                <w:spacing w:val="-4"/>
                <w:lang w:val="en-GB"/>
              </w:rPr>
              <w:t xml:space="preserve"> higher, mainly thanks to the stronger revival of the private consumption this year in June. The reduction of the tax rates for some services </w:t>
            </w:r>
            <w:r w:rsidRPr="002744BA">
              <w:rPr>
                <w:spacing w:val="-5"/>
                <w:lang w:val="en-GB"/>
              </w:rPr>
              <w:t>(</w:t>
            </w:r>
            <w:r>
              <w:rPr>
                <w:spacing w:val="-5"/>
                <w:lang w:val="en-GB"/>
              </w:rPr>
              <w:t>especially in food service</w:t>
            </w:r>
            <w:r w:rsidRPr="002744BA">
              <w:rPr>
                <w:spacing w:val="-5"/>
                <w:lang w:val="en-GB"/>
              </w:rPr>
              <w:t>)</w:t>
            </w:r>
            <w:r w:rsidRPr="002744BA">
              <w:rPr>
                <w:rStyle w:val="Znakapoznpodarou"/>
                <w:spacing w:val="-5"/>
                <w:lang w:val="en-GB"/>
              </w:rPr>
              <w:footnoteReference w:id="5"/>
            </w:r>
            <w:r>
              <w:rPr>
                <w:spacing w:val="-5"/>
                <w:lang w:val="en-GB"/>
              </w:rPr>
              <w:t xml:space="preserve"> also had a partial impact on the collection of VAT</w:t>
            </w:r>
            <w:r w:rsidRPr="002744BA">
              <w:rPr>
                <w:spacing w:val="-5"/>
                <w:lang w:val="en-GB"/>
              </w:rPr>
              <w:t>.</w:t>
            </w:r>
          </w:p>
        </w:tc>
      </w:tr>
      <w:tr w:rsidR="009732DF" w:rsidRPr="003C07E6" w14:paraId="4C239874" w14:textId="77777777" w:rsidTr="001144FB">
        <w:trPr>
          <w:trHeight w:val="145"/>
        </w:trPr>
        <w:tc>
          <w:tcPr>
            <w:tcW w:w="1732" w:type="dxa"/>
            <w:shd w:val="clear" w:color="auto" w:fill="auto"/>
            <w:tcMar>
              <w:left w:w="0" w:type="dxa"/>
            </w:tcMar>
          </w:tcPr>
          <w:p w14:paraId="0F50047C" w14:textId="77777777" w:rsidR="009732DF" w:rsidRPr="00EF65B5" w:rsidRDefault="009732DF" w:rsidP="001144FB">
            <w:pPr>
              <w:pStyle w:val="Marginlie"/>
              <w:rPr>
                <w:lang w:val="en-GB"/>
              </w:rPr>
            </w:pPr>
            <w:r>
              <w:rPr>
                <w:lang w:val="en-GB"/>
              </w:rPr>
              <w:t xml:space="preserve">Collection of consumption taxes sank by more than one tenth year-on-year and sizeably lagged behind the budget anticipation. </w:t>
            </w:r>
          </w:p>
        </w:tc>
        <w:tc>
          <w:tcPr>
            <w:tcW w:w="217" w:type="dxa"/>
            <w:shd w:val="clear" w:color="auto" w:fill="auto"/>
            <w:tcMar>
              <w:left w:w="0" w:type="dxa"/>
            </w:tcMar>
          </w:tcPr>
          <w:p w14:paraId="0BC8D0D5" w14:textId="77777777" w:rsidR="009732DF" w:rsidRPr="00EF65B5" w:rsidRDefault="009732DF" w:rsidP="001144FB">
            <w:pPr>
              <w:pStyle w:val="Textpoznpodarou"/>
              <w:jc w:val="both"/>
              <w:rPr>
                <w:spacing w:val="-4"/>
                <w:lang w:val="en-GB"/>
              </w:rPr>
            </w:pPr>
          </w:p>
        </w:tc>
        <w:tc>
          <w:tcPr>
            <w:tcW w:w="7720" w:type="dxa"/>
            <w:shd w:val="clear" w:color="auto" w:fill="auto"/>
            <w:tcMar>
              <w:left w:w="0" w:type="dxa"/>
            </w:tcMar>
          </w:tcPr>
          <w:p w14:paraId="32002F4E" w14:textId="77777777" w:rsidR="009732DF" w:rsidRPr="00D44B44" w:rsidRDefault="009732DF" w:rsidP="001144FB">
            <w:pPr>
              <w:spacing w:after="200"/>
              <w:rPr>
                <w:spacing w:val="-5"/>
                <w:lang w:val="en-GB"/>
              </w:rPr>
            </w:pPr>
            <w:r w:rsidRPr="00D44B44">
              <w:rPr>
                <w:color w:val="0D0D0D" w:themeColor="text1" w:themeTint="F2"/>
                <w:spacing w:val="-5"/>
                <w:lang w:val="en-GB"/>
              </w:rPr>
              <w:t xml:space="preserve">Total SB revenues from consumption taxes slumped by more than one tenth in H1 </w:t>
            </w:r>
            <w:r w:rsidRPr="00D44B44">
              <w:rPr>
                <w:spacing w:val="-4"/>
                <w:lang w:val="en-GB"/>
              </w:rPr>
              <w:t>(even by one sixth for the two years). Their collection thus considerably as opposed to the VAT lagged behind the budget anticipations this year. Notable reduction of the collection of tax on mineral oils manifested (by one fifth year-on-year), as a consequence of weaker transport work especially in the passenger transportation amplified by the newly introduced reduction of tax rate for the diesel fuel</w:t>
            </w:r>
            <w:r w:rsidRPr="00D44B44">
              <w:rPr>
                <w:rStyle w:val="Znakapoznpodarou"/>
                <w:spacing w:val="-4"/>
                <w:lang w:val="en-GB"/>
              </w:rPr>
              <w:footnoteReference w:id="6"/>
            </w:r>
            <w:r w:rsidRPr="00D44B44">
              <w:rPr>
                <w:spacing w:val="-4"/>
                <w:lang w:val="en-GB"/>
              </w:rPr>
              <w:t xml:space="preserve">. Nearly one half of the year-on-year decrease of the collection of all consumption taxes was attributed to the weaker collection from tobacco products this year </w:t>
            </w:r>
            <w:r w:rsidRPr="00D44B44">
              <w:rPr>
                <w:color w:val="0D0D0D" w:themeColor="text1" w:themeTint="F2"/>
                <w:spacing w:val="-5"/>
                <w:lang w:val="en-GB"/>
              </w:rPr>
              <w:t>(</w:t>
            </w:r>
            <w:r w:rsidRPr="00D44B44">
              <w:rPr>
                <w:spacing w:val="-5"/>
                <w:lang w:val="en-GB"/>
              </w:rPr>
              <w:t>–</w:t>
            </w:r>
            <w:r w:rsidRPr="00D44B44">
              <w:rPr>
                <w:color w:val="0D0D0D" w:themeColor="text1" w:themeTint="F2"/>
                <w:spacing w:val="-5"/>
                <w:lang w:val="en-GB"/>
              </w:rPr>
              <w:t xml:space="preserve">14%). In Q2 itself, the collection copied the last year’s level since the impact of the growth of the tax rate and likely also the revival of cross-border purchases started to show more. </w:t>
            </w:r>
            <w:r w:rsidRPr="00D44B44">
              <w:rPr>
                <w:color w:val="0D0D0D" w:themeColor="text1" w:themeTint="F2"/>
                <w:spacing w:val="-5"/>
                <w:lang w:val="en-GB"/>
              </w:rPr>
              <w:lastRenderedPageBreak/>
              <w:t xml:space="preserve">Collection of the tax on beer, holding less weight, was falling in both this year’s quarters, on the contrary, </w:t>
            </w:r>
            <w:r>
              <w:rPr>
                <w:color w:val="0D0D0D" w:themeColor="text1" w:themeTint="F2"/>
                <w:spacing w:val="-5"/>
                <w:lang w:val="en-GB"/>
              </w:rPr>
              <w:t>the tax on alcohol recorded a positive turn during Q</w:t>
            </w:r>
            <w:r w:rsidRPr="00D44B44">
              <w:rPr>
                <w:color w:val="0D0D0D" w:themeColor="text1" w:themeTint="F2"/>
                <w:spacing w:val="-5"/>
                <w:lang w:val="en-GB"/>
              </w:rPr>
              <w:t>2.</w:t>
            </w:r>
            <w:r>
              <w:rPr>
                <w:color w:val="0D0D0D" w:themeColor="text1" w:themeTint="F2"/>
                <w:spacing w:val="-5"/>
                <w:lang w:val="en-GB"/>
              </w:rPr>
              <w:t xml:space="preserve"> The favourable effect of the reopening of restaurants, as well as the gradual recovery of tourism should be fully reflected in the collection of consumption taxes only during the summer period. </w:t>
            </w:r>
          </w:p>
        </w:tc>
      </w:tr>
      <w:tr w:rsidR="009732DF" w:rsidRPr="003C07E6" w14:paraId="702FBB43" w14:textId="77777777" w:rsidTr="001144FB">
        <w:trPr>
          <w:trHeight w:val="145"/>
        </w:trPr>
        <w:tc>
          <w:tcPr>
            <w:tcW w:w="1732" w:type="dxa"/>
            <w:shd w:val="clear" w:color="auto" w:fill="auto"/>
            <w:tcMar>
              <w:left w:w="0" w:type="dxa"/>
            </w:tcMar>
          </w:tcPr>
          <w:p w14:paraId="0C9C812C" w14:textId="77777777" w:rsidR="009732DF" w:rsidRPr="00671B61" w:rsidRDefault="009732DF" w:rsidP="001144FB">
            <w:pPr>
              <w:pStyle w:val="Marginlie"/>
              <w:rPr>
                <w:lang w:val="en-GB"/>
              </w:rPr>
            </w:pPr>
            <w:r w:rsidRPr="00671B61">
              <w:rPr>
                <w:lang w:val="en-GB"/>
              </w:rPr>
              <w:lastRenderedPageBreak/>
              <w:t xml:space="preserve">Collection of the corporate tax already overtook the pre-pandemic level.  </w:t>
            </w:r>
          </w:p>
        </w:tc>
        <w:tc>
          <w:tcPr>
            <w:tcW w:w="217" w:type="dxa"/>
            <w:shd w:val="clear" w:color="auto" w:fill="auto"/>
            <w:tcMar>
              <w:left w:w="0" w:type="dxa"/>
            </w:tcMar>
          </w:tcPr>
          <w:p w14:paraId="6B141F17" w14:textId="77777777" w:rsidR="009732DF" w:rsidRDefault="009732DF" w:rsidP="001144FB">
            <w:pPr>
              <w:pStyle w:val="Textpoznpodarou"/>
              <w:jc w:val="both"/>
              <w:rPr>
                <w:spacing w:val="-4"/>
              </w:rPr>
            </w:pPr>
          </w:p>
        </w:tc>
        <w:tc>
          <w:tcPr>
            <w:tcW w:w="7720" w:type="dxa"/>
            <w:shd w:val="clear" w:color="auto" w:fill="auto"/>
            <w:tcMar>
              <w:left w:w="0" w:type="dxa"/>
            </w:tcMar>
          </w:tcPr>
          <w:p w14:paraId="7DF9B8B4" w14:textId="77777777" w:rsidR="009732DF" w:rsidRPr="007906E3" w:rsidRDefault="009732DF" w:rsidP="001144FB">
            <w:pPr>
              <w:spacing w:after="200"/>
              <w:rPr>
                <w:spacing w:val="-5"/>
                <w:lang w:val="en-GB"/>
              </w:rPr>
            </w:pPr>
            <w:r w:rsidRPr="007906E3">
              <w:rPr>
                <w:spacing w:val="-5"/>
                <w:lang w:val="en-GB"/>
              </w:rPr>
              <w:t>The SB acquired by 45% (+23 CZK bn) more on the corporate tax year-on-year in H1.</w:t>
            </w:r>
            <w:r>
              <w:rPr>
                <w:spacing w:val="-5"/>
                <w:lang w:val="en-GB"/>
              </w:rPr>
              <w:t xml:space="preserve"> Over one half of this addition can be ascribed to the low last year basis </w:t>
            </w:r>
            <w:r w:rsidRPr="007906E3">
              <w:rPr>
                <w:spacing w:val="-5"/>
                <w:lang w:val="en-GB"/>
              </w:rPr>
              <w:t>(</w:t>
            </w:r>
            <w:r>
              <w:rPr>
                <w:spacing w:val="-5"/>
                <w:lang w:val="en-GB"/>
              </w:rPr>
              <w:t>mainly due to the waiver of June advance tax payment</w:t>
            </w:r>
            <w:r w:rsidRPr="007906E3">
              <w:rPr>
                <w:spacing w:val="-5"/>
                <w:lang w:val="en-GB"/>
              </w:rPr>
              <w:t>).</w:t>
            </w:r>
            <w:r>
              <w:rPr>
                <w:spacing w:val="-5"/>
                <w:lang w:val="en-GB"/>
              </w:rPr>
              <w:t xml:space="preserve"> The year-on-year comparison is also blurred by the change of the budgetary tax determination and individual requests of companies for modification of advance tax payments</w:t>
            </w:r>
            <w:r w:rsidRPr="007906E3">
              <w:rPr>
                <w:rStyle w:val="Znakapoznpodarou"/>
                <w:spacing w:val="-5"/>
                <w:lang w:val="en-GB"/>
              </w:rPr>
              <w:footnoteReference w:id="7"/>
            </w:r>
            <w:r w:rsidRPr="007906E3">
              <w:rPr>
                <w:spacing w:val="-5"/>
                <w:lang w:val="en-GB"/>
              </w:rPr>
              <w:t>.</w:t>
            </w:r>
            <w:r>
              <w:rPr>
                <w:spacing w:val="-5"/>
                <w:lang w:val="en-GB"/>
              </w:rPr>
              <w:t xml:space="preserve"> State-wide collection of the corporate tax exceeded the level from H1 2019 by </w:t>
            </w:r>
            <w:r w:rsidRPr="007906E3">
              <w:rPr>
                <w:spacing w:val="-5"/>
                <w:lang w:val="en-GB"/>
              </w:rPr>
              <w:t>8</w:t>
            </w:r>
            <w:r>
              <w:rPr>
                <w:spacing w:val="-5"/>
                <w:lang w:val="en-GB"/>
              </w:rPr>
              <w:t>.</w:t>
            </w:r>
            <w:r w:rsidRPr="007906E3">
              <w:rPr>
                <w:spacing w:val="-5"/>
                <w:lang w:val="en-GB"/>
              </w:rPr>
              <w:t>5%</w:t>
            </w:r>
            <w:r>
              <w:rPr>
                <w:spacing w:val="-5"/>
                <w:lang w:val="en-GB"/>
              </w:rPr>
              <w:t xml:space="preserve"> this year</w:t>
            </w:r>
            <w:r w:rsidRPr="007906E3">
              <w:rPr>
                <w:spacing w:val="-5"/>
                <w:lang w:val="en-GB"/>
              </w:rPr>
              <w:t xml:space="preserve">. </w:t>
            </w:r>
          </w:p>
        </w:tc>
      </w:tr>
      <w:tr w:rsidR="009732DF" w:rsidRPr="003C07E6" w14:paraId="6E0D79CB" w14:textId="77777777" w:rsidTr="001144FB">
        <w:trPr>
          <w:trHeight w:val="145"/>
        </w:trPr>
        <w:tc>
          <w:tcPr>
            <w:tcW w:w="1732" w:type="dxa"/>
            <w:shd w:val="clear" w:color="auto" w:fill="auto"/>
            <w:tcMar>
              <w:left w:w="0" w:type="dxa"/>
            </w:tcMar>
          </w:tcPr>
          <w:p w14:paraId="722FEC80" w14:textId="77777777" w:rsidR="009732DF" w:rsidRPr="00671B61" w:rsidRDefault="009732DF" w:rsidP="001144FB">
            <w:pPr>
              <w:pStyle w:val="Marginlie"/>
              <w:rPr>
                <w:lang w:val="en-GB"/>
              </w:rPr>
            </w:pPr>
            <w:r>
              <w:rPr>
                <w:lang w:val="en-GB"/>
              </w:rPr>
              <w:t xml:space="preserve">Collection of tax on income of NP from dependent activity was influenced by lowering tax burden as well as ongoing payments of compensation bonuses. </w:t>
            </w:r>
          </w:p>
        </w:tc>
        <w:tc>
          <w:tcPr>
            <w:tcW w:w="217" w:type="dxa"/>
            <w:shd w:val="clear" w:color="auto" w:fill="auto"/>
            <w:tcMar>
              <w:left w:w="0" w:type="dxa"/>
            </w:tcMar>
          </w:tcPr>
          <w:p w14:paraId="3390F1BF" w14:textId="77777777" w:rsidR="009732DF" w:rsidRDefault="009732DF" w:rsidP="001144FB">
            <w:pPr>
              <w:pStyle w:val="Textpoznpodarou"/>
              <w:jc w:val="both"/>
              <w:rPr>
                <w:spacing w:val="-4"/>
              </w:rPr>
            </w:pPr>
          </w:p>
        </w:tc>
        <w:tc>
          <w:tcPr>
            <w:tcW w:w="7720" w:type="dxa"/>
            <w:shd w:val="clear" w:color="auto" w:fill="auto"/>
            <w:tcMar>
              <w:left w:w="0" w:type="dxa"/>
            </w:tcMar>
          </w:tcPr>
          <w:p w14:paraId="5A9700FB" w14:textId="77777777" w:rsidR="009732DF" w:rsidRPr="009C7E77" w:rsidRDefault="009732DF" w:rsidP="001144FB">
            <w:pPr>
              <w:spacing w:after="200"/>
              <w:rPr>
                <w:spacing w:val="-4"/>
                <w:lang w:val="en-GB"/>
              </w:rPr>
            </w:pPr>
            <w:r>
              <w:rPr>
                <w:spacing w:val="-4"/>
                <w:lang w:val="en-GB"/>
              </w:rPr>
              <w:t>Lowering of the tax burden on labour</w:t>
            </w:r>
            <w:r w:rsidRPr="009C7E77">
              <w:rPr>
                <w:vertAlign w:val="superscript"/>
                <w:lang w:val="en-GB"/>
              </w:rPr>
              <w:footnoteReference w:id="8"/>
            </w:r>
            <w:r w:rsidRPr="009C7E77">
              <w:rPr>
                <w:spacing w:val="-4"/>
                <w:lang w:val="en-GB"/>
              </w:rPr>
              <w:t xml:space="preserve"> </w:t>
            </w:r>
            <w:r>
              <w:rPr>
                <w:spacing w:val="-4"/>
                <w:lang w:val="en-GB"/>
              </w:rPr>
              <w:t xml:space="preserve">constituted a key factor leading the state-wide collection of income tax of natural persons from dependent activity to plunge by nearly one third year-on-year and reaching the lowest half-yearly level in the last nine years </w:t>
            </w:r>
            <w:r w:rsidRPr="009C7E77">
              <w:rPr>
                <w:spacing w:val="-4"/>
                <w:lang w:val="en-GB"/>
              </w:rPr>
              <w:t>(58</w:t>
            </w:r>
            <w:r>
              <w:rPr>
                <w:spacing w:val="-4"/>
                <w:lang w:val="en-GB"/>
              </w:rPr>
              <w:t>.</w:t>
            </w:r>
            <w:r w:rsidRPr="009C7E77">
              <w:rPr>
                <w:spacing w:val="-4"/>
                <w:lang w:val="en-GB"/>
              </w:rPr>
              <w:t>3</w:t>
            </w:r>
            <w:r>
              <w:rPr>
                <w:spacing w:val="-4"/>
                <w:lang w:val="en-GB"/>
              </w:rPr>
              <w:t xml:space="preserve"> CZK bn</w:t>
            </w:r>
            <w:r w:rsidRPr="009C7E77">
              <w:rPr>
                <w:spacing w:val="-4"/>
                <w:lang w:val="en-GB"/>
              </w:rPr>
              <w:t xml:space="preserve">). </w:t>
            </w:r>
            <w:r>
              <w:rPr>
                <w:spacing w:val="-4"/>
                <w:lang w:val="en-GB"/>
              </w:rPr>
              <w:t xml:space="preserve">Paid out compensation bonuses also continued to affect the size of the collection </w:t>
            </w:r>
            <w:r w:rsidRPr="009C7E77">
              <w:rPr>
                <w:spacing w:val="-4"/>
                <w:lang w:val="en-GB"/>
              </w:rPr>
              <w:t>(</w:t>
            </w:r>
            <w:r>
              <w:rPr>
                <w:spacing w:val="-4"/>
                <w:lang w:val="en-GB"/>
              </w:rPr>
              <w:t>especially self-employed persons</w:t>
            </w:r>
            <w:r w:rsidRPr="009C7E77">
              <w:rPr>
                <w:spacing w:val="-4"/>
                <w:lang w:val="en-GB"/>
              </w:rPr>
              <w:t xml:space="preserve">), </w:t>
            </w:r>
            <w:r>
              <w:rPr>
                <w:spacing w:val="-4"/>
                <w:lang w:val="en-GB"/>
              </w:rPr>
              <w:t xml:space="preserve">their negative budget impact was however by nearly one half weaker this year compared to H1 </w:t>
            </w:r>
            <w:r w:rsidRPr="009C7E77">
              <w:rPr>
                <w:spacing w:val="-4"/>
                <w:lang w:val="en-GB"/>
              </w:rPr>
              <w:t>2020.</w:t>
            </w:r>
          </w:p>
        </w:tc>
      </w:tr>
      <w:tr w:rsidR="009732DF" w:rsidRPr="00F704D2" w14:paraId="3B7B6F24" w14:textId="77777777" w:rsidTr="001144FB">
        <w:trPr>
          <w:trHeight w:val="170"/>
        </w:trPr>
        <w:tc>
          <w:tcPr>
            <w:tcW w:w="1732" w:type="dxa"/>
            <w:vMerge w:val="restart"/>
            <w:shd w:val="clear" w:color="auto" w:fill="auto"/>
            <w:tcMar>
              <w:left w:w="0" w:type="dxa"/>
            </w:tcMar>
          </w:tcPr>
          <w:p w14:paraId="16064E12" w14:textId="77777777" w:rsidR="009732DF" w:rsidRDefault="009732DF" w:rsidP="001144FB">
            <w:pPr>
              <w:pStyle w:val="Marginlie"/>
            </w:pPr>
          </w:p>
        </w:tc>
        <w:tc>
          <w:tcPr>
            <w:tcW w:w="217" w:type="dxa"/>
            <w:vMerge w:val="restart"/>
            <w:shd w:val="clear" w:color="auto" w:fill="auto"/>
            <w:tcMar>
              <w:left w:w="0" w:type="dxa"/>
            </w:tcMar>
          </w:tcPr>
          <w:p w14:paraId="0AEDBC9E" w14:textId="77777777" w:rsidR="009732DF" w:rsidRDefault="009732DF" w:rsidP="001144FB">
            <w:pPr>
              <w:pStyle w:val="Textpoznpodarou"/>
              <w:jc w:val="both"/>
              <w:rPr>
                <w:spacing w:val="-4"/>
              </w:rPr>
            </w:pPr>
          </w:p>
        </w:tc>
        <w:tc>
          <w:tcPr>
            <w:tcW w:w="7720" w:type="dxa"/>
            <w:shd w:val="clear" w:color="auto" w:fill="auto"/>
            <w:tcMar>
              <w:left w:w="0" w:type="dxa"/>
            </w:tcMar>
          </w:tcPr>
          <w:p w14:paraId="5D69B617" w14:textId="77777777" w:rsidR="009732DF" w:rsidRPr="00B0170F" w:rsidRDefault="009732DF" w:rsidP="001144FB">
            <w:pPr>
              <w:spacing w:after="0" w:line="240" w:lineRule="auto"/>
              <w:rPr>
                <w:rFonts w:cs="Arial"/>
                <w:bCs/>
              </w:rPr>
            </w:pPr>
            <w:r w:rsidRPr="00B0170F">
              <w:rPr>
                <w:rFonts w:cs="Arial"/>
                <w:b/>
                <w:bCs/>
                <w:color w:val="000000"/>
                <w:szCs w:val="20"/>
              </w:rPr>
              <w:t xml:space="preserve">Chart 16  </w:t>
            </w:r>
            <w:r w:rsidRPr="00B0170F">
              <w:rPr>
                <w:rFonts w:cs="Arial"/>
                <w:b/>
                <w:bCs/>
                <w:color w:val="000000"/>
                <w:szCs w:val="20"/>
                <w:lang w:val="en-GB"/>
              </w:rPr>
              <w:t>Contribution of constituent revenues to the growth of the total s</w:t>
            </w:r>
            <w:r w:rsidRPr="00B0170F">
              <w:rPr>
                <w:rFonts w:cs="Arial"/>
                <w:b/>
                <w:bCs/>
                <w:lang w:val="en-GB"/>
              </w:rPr>
              <w:t xml:space="preserve">tate wide tax collection* </w:t>
            </w:r>
            <w:r w:rsidRPr="00B0170F">
              <w:rPr>
                <w:rFonts w:cs="Arial"/>
                <w:bCs/>
                <w:lang w:val="en-GB"/>
              </w:rPr>
              <w:t>(year-on-year in p. p.</w:t>
            </w:r>
            <w:r w:rsidRPr="00B0170F">
              <w:rPr>
                <w:bCs/>
                <w:lang w:val="en-GB"/>
              </w:rPr>
              <w:t xml:space="preserve">) </w:t>
            </w:r>
            <w:r w:rsidRPr="00B0170F">
              <w:rPr>
                <w:rFonts w:cs="Arial"/>
                <w:b/>
                <w:bCs/>
                <w:lang w:val="en-GB"/>
              </w:rPr>
              <w:t xml:space="preserve">and state budget balance within H1 </w:t>
            </w:r>
            <w:r w:rsidRPr="00B0170F">
              <w:rPr>
                <w:rFonts w:cs="Arial"/>
                <w:bCs/>
                <w:lang w:val="en-GB"/>
              </w:rPr>
              <w:t xml:space="preserve">(in CZK bn, right axis) </w:t>
            </w:r>
          </w:p>
        </w:tc>
      </w:tr>
      <w:tr w:rsidR="009732DF" w14:paraId="1C87A5E0" w14:textId="77777777" w:rsidTr="001144FB">
        <w:tblPrEx>
          <w:tblCellMar>
            <w:left w:w="70" w:type="dxa"/>
            <w:right w:w="70" w:type="dxa"/>
          </w:tblCellMar>
        </w:tblPrEx>
        <w:trPr>
          <w:trHeight w:val="170"/>
        </w:trPr>
        <w:tc>
          <w:tcPr>
            <w:tcW w:w="1732" w:type="dxa"/>
            <w:vMerge/>
            <w:shd w:val="clear" w:color="auto" w:fill="auto"/>
          </w:tcPr>
          <w:p w14:paraId="0963894E" w14:textId="77777777" w:rsidR="009732DF" w:rsidRDefault="009732DF" w:rsidP="001144FB">
            <w:pPr>
              <w:pStyle w:val="Marginlie"/>
            </w:pPr>
          </w:p>
        </w:tc>
        <w:tc>
          <w:tcPr>
            <w:tcW w:w="217" w:type="dxa"/>
            <w:vMerge/>
            <w:shd w:val="clear" w:color="auto" w:fill="auto"/>
          </w:tcPr>
          <w:p w14:paraId="4A9724EA" w14:textId="77777777" w:rsidR="009732DF" w:rsidRDefault="009732DF" w:rsidP="001144FB">
            <w:pPr>
              <w:pStyle w:val="Textpoznpodarou"/>
              <w:jc w:val="both"/>
              <w:rPr>
                <w:spacing w:val="-4"/>
              </w:rPr>
            </w:pPr>
          </w:p>
        </w:tc>
        <w:tc>
          <w:tcPr>
            <w:tcW w:w="7720" w:type="dxa"/>
            <w:shd w:val="clear" w:color="auto" w:fill="auto"/>
          </w:tcPr>
          <w:p w14:paraId="23700BF6" w14:textId="77777777" w:rsidR="009732DF" w:rsidRPr="0067514E" w:rsidRDefault="009732DF" w:rsidP="001144FB">
            <w:pPr>
              <w:spacing w:after="0"/>
              <w:rPr>
                <w:spacing w:val="-6"/>
              </w:rPr>
            </w:pPr>
            <w:r>
              <w:rPr>
                <w:noProof/>
              </w:rPr>
              <w:drawing>
                <wp:inline distT="0" distB="0" distL="0" distR="0" wp14:anchorId="6B6B756B" wp14:editId="14846E34">
                  <wp:extent cx="4742061" cy="3486978"/>
                  <wp:effectExtent l="0" t="0" r="190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732DF" w:rsidRPr="007B3A78" w14:paraId="16BFA1EF" w14:textId="77777777" w:rsidTr="001144FB">
        <w:trPr>
          <w:trHeight w:val="170"/>
        </w:trPr>
        <w:tc>
          <w:tcPr>
            <w:tcW w:w="1732" w:type="dxa"/>
            <w:vMerge/>
            <w:shd w:val="clear" w:color="auto" w:fill="auto"/>
            <w:tcMar>
              <w:left w:w="0" w:type="dxa"/>
            </w:tcMar>
          </w:tcPr>
          <w:p w14:paraId="1AF33D1F" w14:textId="77777777" w:rsidR="009732DF" w:rsidRDefault="009732DF" w:rsidP="001144FB">
            <w:pPr>
              <w:pStyle w:val="Marginlie"/>
            </w:pPr>
          </w:p>
        </w:tc>
        <w:tc>
          <w:tcPr>
            <w:tcW w:w="217" w:type="dxa"/>
            <w:vMerge/>
            <w:shd w:val="clear" w:color="auto" w:fill="auto"/>
            <w:tcMar>
              <w:left w:w="0" w:type="dxa"/>
            </w:tcMar>
          </w:tcPr>
          <w:p w14:paraId="007C9154" w14:textId="77777777" w:rsidR="009732DF" w:rsidRDefault="009732DF" w:rsidP="001144FB">
            <w:pPr>
              <w:pStyle w:val="Textpoznpodarou"/>
              <w:jc w:val="both"/>
              <w:rPr>
                <w:spacing w:val="-4"/>
              </w:rPr>
            </w:pPr>
          </w:p>
        </w:tc>
        <w:tc>
          <w:tcPr>
            <w:tcW w:w="7720" w:type="dxa"/>
            <w:shd w:val="clear" w:color="auto" w:fill="auto"/>
            <w:tcMar>
              <w:left w:w="0" w:type="dxa"/>
            </w:tcMar>
          </w:tcPr>
          <w:p w14:paraId="45DFE66F" w14:textId="77777777" w:rsidR="009732DF" w:rsidRPr="00A0748D" w:rsidRDefault="009732DF" w:rsidP="001144FB">
            <w:pPr>
              <w:tabs>
                <w:tab w:val="right" w:pos="7683"/>
              </w:tabs>
              <w:spacing w:after="0" w:line="240" w:lineRule="auto"/>
              <w:jc w:val="left"/>
              <w:rPr>
                <w:spacing w:val="-2"/>
                <w:sz w:val="14"/>
                <w:szCs w:val="14"/>
                <w:lang w:val="en-GB"/>
              </w:rPr>
            </w:pPr>
            <w:r>
              <w:rPr>
                <w:spacing w:val="-2"/>
                <w:sz w:val="14"/>
                <w:szCs w:val="14"/>
              </w:rPr>
              <w:t xml:space="preserve">* </w:t>
            </w:r>
            <w:r w:rsidRPr="00A0748D">
              <w:rPr>
                <w:spacing w:val="-2"/>
                <w:sz w:val="14"/>
                <w:szCs w:val="14"/>
                <w:lang w:val="en-GB"/>
              </w:rPr>
              <w:t xml:space="preserve">Includes </w:t>
            </w:r>
            <w:r>
              <w:rPr>
                <w:spacing w:val="-2"/>
                <w:sz w:val="14"/>
                <w:szCs w:val="14"/>
                <w:lang w:val="en-GB"/>
              </w:rPr>
              <w:t xml:space="preserve">total </w:t>
            </w:r>
            <w:r w:rsidRPr="00A0748D">
              <w:rPr>
                <w:spacing w:val="-2"/>
                <w:sz w:val="14"/>
                <w:szCs w:val="14"/>
                <w:lang w:val="en-GB"/>
              </w:rPr>
              <w:t xml:space="preserve">tax income </w:t>
            </w:r>
            <w:r>
              <w:rPr>
                <w:spacing w:val="-2"/>
                <w:sz w:val="14"/>
                <w:szCs w:val="14"/>
                <w:lang w:val="en-GB"/>
              </w:rPr>
              <w:t>(</w:t>
            </w:r>
            <w:r w:rsidRPr="00A0748D">
              <w:rPr>
                <w:spacing w:val="-2"/>
                <w:sz w:val="14"/>
                <w:szCs w:val="14"/>
                <w:lang w:val="en-GB"/>
              </w:rPr>
              <w:t>without the social security insurance</w:t>
            </w:r>
            <w:r>
              <w:rPr>
                <w:spacing w:val="-2"/>
                <w:sz w:val="14"/>
                <w:szCs w:val="14"/>
                <w:lang w:val="en-GB"/>
              </w:rPr>
              <w:t>)</w:t>
            </w:r>
            <w:r w:rsidRPr="00A0748D">
              <w:rPr>
                <w:spacing w:val="-2"/>
                <w:sz w:val="14"/>
                <w:szCs w:val="14"/>
                <w:lang w:val="en-GB"/>
              </w:rPr>
              <w:t xml:space="preserve">. </w:t>
            </w:r>
          </w:p>
          <w:p w14:paraId="3997FC87" w14:textId="77777777" w:rsidR="009732DF" w:rsidRPr="00765540" w:rsidRDefault="009732DF" w:rsidP="001144FB">
            <w:pPr>
              <w:tabs>
                <w:tab w:val="right" w:pos="7683"/>
              </w:tabs>
              <w:spacing w:line="240" w:lineRule="auto"/>
              <w:jc w:val="left"/>
              <w:rPr>
                <w:spacing w:val="-2"/>
                <w:sz w:val="14"/>
                <w:szCs w:val="14"/>
                <w:lang w:val="en-GB"/>
              </w:rPr>
            </w:pPr>
            <w:r w:rsidRPr="00A0748D">
              <w:rPr>
                <w:spacing w:val="-2"/>
                <w:sz w:val="14"/>
                <w:szCs w:val="14"/>
                <w:lang w:val="en-GB"/>
              </w:rPr>
              <w:t>Source: MF C</w:t>
            </w:r>
            <w:r>
              <w:rPr>
                <w:spacing w:val="-2"/>
                <w:sz w:val="14"/>
                <w:szCs w:val="14"/>
                <w:lang w:val="en-GB"/>
              </w:rPr>
              <w:t>R</w:t>
            </w:r>
          </w:p>
        </w:tc>
      </w:tr>
      <w:tr w:rsidR="009732DF" w:rsidRPr="008266F0" w14:paraId="668D5C5F" w14:textId="77777777" w:rsidTr="001144FB">
        <w:trPr>
          <w:trHeight w:val="145"/>
        </w:trPr>
        <w:tc>
          <w:tcPr>
            <w:tcW w:w="1732" w:type="dxa"/>
            <w:shd w:val="clear" w:color="auto" w:fill="auto"/>
            <w:tcMar>
              <w:left w:w="0" w:type="dxa"/>
            </w:tcMar>
          </w:tcPr>
          <w:p w14:paraId="50B40DF6" w14:textId="77777777" w:rsidR="009732DF" w:rsidRPr="00177AAA" w:rsidRDefault="009732DF" w:rsidP="001144FB">
            <w:pPr>
              <w:pStyle w:val="Marginlie"/>
              <w:rPr>
                <w:lang w:val="en-GB"/>
              </w:rPr>
            </w:pPr>
            <w:r w:rsidRPr="00177AAA">
              <w:rPr>
                <w:lang w:val="en-GB"/>
              </w:rPr>
              <w:t>Fis</w:t>
            </w:r>
            <w:r>
              <w:rPr>
                <w:lang w:val="en-GB"/>
              </w:rPr>
              <w:t xml:space="preserve">cal expansion was conducted exclusively by the current outlays of the SB. These were fundamentally affected by higher outlays in health care and on </w:t>
            </w:r>
            <w:r>
              <w:rPr>
                <w:lang w:val="en-GB"/>
              </w:rPr>
              <w:lastRenderedPageBreak/>
              <w:t xml:space="preserve">support programmes for businesses and organizations. </w:t>
            </w:r>
          </w:p>
        </w:tc>
        <w:tc>
          <w:tcPr>
            <w:tcW w:w="217" w:type="dxa"/>
            <w:shd w:val="clear" w:color="auto" w:fill="auto"/>
            <w:tcMar>
              <w:left w:w="0" w:type="dxa"/>
            </w:tcMar>
          </w:tcPr>
          <w:p w14:paraId="268882CA" w14:textId="77777777" w:rsidR="009732DF" w:rsidRPr="00177AAA" w:rsidRDefault="009732DF" w:rsidP="001144FB">
            <w:pPr>
              <w:pStyle w:val="Textpoznpodarou"/>
              <w:jc w:val="both"/>
              <w:rPr>
                <w:spacing w:val="-4"/>
                <w:lang w:val="en-GB"/>
              </w:rPr>
            </w:pPr>
          </w:p>
        </w:tc>
        <w:tc>
          <w:tcPr>
            <w:tcW w:w="7720" w:type="dxa"/>
            <w:shd w:val="clear" w:color="auto" w:fill="auto"/>
            <w:tcMar>
              <w:left w:w="0" w:type="dxa"/>
            </w:tcMar>
          </w:tcPr>
          <w:p w14:paraId="5E0E52DA" w14:textId="77777777" w:rsidR="009732DF" w:rsidRPr="00177AAA" w:rsidRDefault="009732DF" w:rsidP="001144FB">
            <w:pPr>
              <w:spacing w:after="200"/>
              <w:rPr>
                <w:color w:val="0D0D0D" w:themeColor="text1" w:themeTint="F2"/>
                <w:spacing w:val="-5"/>
                <w:lang w:val="en-GB"/>
              </w:rPr>
            </w:pPr>
            <w:r>
              <w:rPr>
                <w:color w:val="0D0D0D" w:themeColor="text1" w:themeTint="F2"/>
                <w:spacing w:val="-5"/>
                <w:lang w:val="en-GB"/>
              </w:rPr>
              <w:t xml:space="preserve">Total SB outlays strengthened by </w:t>
            </w:r>
            <w:r w:rsidRPr="00177AAA">
              <w:rPr>
                <w:spacing w:val="-5"/>
                <w:lang w:val="en-GB"/>
              </w:rPr>
              <w:t>10</w:t>
            </w:r>
            <w:r>
              <w:rPr>
                <w:spacing w:val="-5"/>
                <w:lang w:val="en-GB"/>
              </w:rPr>
              <w:t>.</w:t>
            </w:r>
            <w:r w:rsidRPr="00177AAA">
              <w:rPr>
                <w:spacing w:val="-5"/>
                <w:lang w:val="en-GB"/>
              </w:rPr>
              <w:t>2%</w:t>
            </w:r>
            <w:r>
              <w:rPr>
                <w:spacing w:val="-5"/>
                <w:lang w:val="en-GB"/>
              </w:rPr>
              <w:t xml:space="preserve"> year-on-year in Q1</w:t>
            </w:r>
            <w:r w:rsidRPr="00177AAA">
              <w:rPr>
                <w:spacing w:val="-5"/>
                <w:lang w:val="en-GB"/>
              </w:rPr>
              <w:t>,</w:t>
            </w:r>
            <w:r>
              <w:rPr>
                <w:spacing w:val="-5"/>
                <w:lang w:val="en-GB"/>
              </w:rPr>
              <w:t xml:space="preserve"> by </w:t>
            </w:r>
            <w:r w:rsidRPr="00177AAA">
              <w:rPr>
                <w:spacing w:val="-5"/>
                <w:lang w:val="en-GB"/>
              </w:rPr>
              <w:t>8</w:t>
            </w:r>
            <w:r>
              <w:rPr>
                <w:spacing w:val="-5"/>
                <w:lang w:val="en-GB"/>
              </w:rPr>
              <w:t>.</w:t>
            </w:r>
            <w:r w:rsidRPr="00177AAA">
              <w:rPr>
                <w:spacing w:val="-5"/>
                <w:lang w:val="en-GB"/>
              </w:rPr>
              <w:t>5%</w:t>
            </w:r>
            <w:r>
              <w:rPr>
                <w:spacing w:val="-5"/>
                <w:lang w:val="en-GB"/>
              </w:rPr>
              <w:t xml:space="preserve"> in the subsequent quarter</w:t>
            </w:r>
            <w:r w:rsidRPr="00177AAA">
              <w:rPr>
                <w:spacing w:val="-5"/>
                <w:lang w:val="en-GB"/>
              </w:rPr>
              <w:t xml:space="preserve">. </w:t>
            </w:r>
            <w:r>
              <w:rPr>
                <w:spacing w:val="-5"/>
                <w:lang w:val="en-GB"/>
              </w:rPr>
              <w:t xml:space="preserve">In total, they exceeded the pre-pandemic level from H1 2019 even </w:t>
            </w:r>
            <w:r w:rsidRPr="00177AAA">
              <w:rPr>
                <w:spacing w:val="-5"/>
                <w:lang w:val="en-GB"/>
              </w:rPr>
              <w:t>27</w:t>
            </w:r>
            <w:r>
              <w:rPr>
                <w:spacing w:val="-5"/>
                <w:lang w:val="en-GB"/>
              </w:rPr>
              <w:t>.</w:t>
            </w:r>
            <w:r w:rsidRPr="00177AAA">
              <w:rPr>
                <w:spacing w:val="-5"/>
                <w:lang w:val="en-GB"/>
              </w:rPr>
              <w:t>9% (+213 </w:t>
            </w:r>
            <w:r>
              <w:rPr>
                <w:spacing w:val="-5"/>
                <w:lang w:val="en-GB"/>
              </w:rPr>
              <w:t>CZK bn</w:t>
            </w:r>
            <w:r w:rsidRPr="00177AAA">
              <w:rPr>
                <w:spacing w:val="-5"/>
                <w:lang w:val="en-GB"/>
              </w:rPr>
              <w:t>). Fis</w:t>
            </w:r>
            <w:r>
              <w:rPr>
                <w:spacing w:val="-5"/>
                <w:lang w:val="en-GB"/>
              </w:rPr>
              <w:t xml:space="preserve">cal expansion was driven exclusively by current outlays so far this year, whose year-on-year growth </w:t>
            </w:r>
            <w:r w:rsidRPr="00177AAA">
              <w:rPr>
                <w:spacing w:val="-5"/>
                <w:lang w:val="en-GB"/>
              </w:rPr>
              <w:t>(</w:t>
            </w:r>
            <w:r>
              <w:rPr>
                <w:spacing w:val="-5"/>
                <w:lang w:val="en-GB"/>
              </w:rPr>
              <w:t xml:space="preserve">by </w:t>
            </w:r>
            <w:r w:rsidRPr="00177AAA">
              <w:rPr>
                <w:spacing w:val="-5"/>
                <w:lang w:val="en-GB"/>
              </w:rPr>
              <w:t>88</w:t>
            </w:r>
            <w:r>
              <w:rPr>
                <w:spacing w:val="-5"/>
                <w:lang w:val="en-GB"/>
              </w:rPr>
              <w:t>.</w:t>
            </w:r>
            <w:r w:rsidRPr="00177AAA">
              <w:rPr>
                <w:spacing w:val="-5"/>
                <w:lang w:val="en-GB"/>
              </w:rPr>
              <w:t>3 </w:t>
            </w:r>
            <w:r>
              <w:rPr>
                <w:spacing w:val="-5"/>
                <w:lang w:val="en-GB"/>
              </w:rPr>
              <w:t>bn</w:t>
            </w:r>
            <w:r w:rsidRPr="00177AAA">
              <w:rPr>
                <w:spacing w:val="-5"/>
                <w:lang w:val="en-GB"/>
              </w:rPr>
              <w:t xml:space="preserve">) </w:t>
            </w:r>
            <w:r>
              <w:rPr>
                <w:spacing w:val="-5"/>
                <w:lang w:val="en-GB"/>
              </w:rPr>
              <w:t xml:space="preserve">can be for the major part directly linked to the measures offsetting the adverse effects of the pandemics </w:t>
            </w:r>
            <w:r w:rsidRPr="00177AAA">
              <w:rPr>
                <w:color w:val="0D0D0D" w:themeColor="text1" w:themeTint="F2"/>
                <w:spacing w:val="-5"/>
                <w:lang w:val="en-GB"/>
              </w:rPr>
              <w:t>(</w:t>
            </w:r>
            <w:r>
              <w:rPr>
                <w:color w:val="0D0D0D" w:themeColor="text1" w:themeTint="F2"/>
                <w:spacing w:val="-5"/>
                <w:lang w:val="en-GB"/>
              </w:rPr>
              <w:t>on businesses, individuals as well as municipalities</w:t>
            </w:r>
            <w:r w:rsidRPr="00177AAA">
              <w:rPr>
                <w:spacing w:val="-5"/>
                <w:lang w:val="en-GB"/>
              </w:rPr>
              <w:t xml:space="preserve">) </w:t>
            </w:r>
            <w:r>
              <w:rPr>
                <w:spacing w:val="-5"/>
                <w:lang w:val="en-GB"/>
              </w:rPr>
              <w:t xml:space="preserve">or </w:t>
            </w:r>
            <w:r>
              <w:rPr>
                <w:spacing w:val="-5"/>
                <w:lang w:val="en-GB"/>
              </w:rPr>
              <w:lastRenderedPageBreak/>
              <w:t>to the support of the overloaded healthcare system</w:t>
            </w:r>
            <w:r w:rsidRPr="00177AAA">
              <w:rPr>
                <w:rStyle w:val="Znakapoznpodarou"/>
                <w:spacing w:val="-5"/>
                <w:lang w:val="en-GB"/>
              </w:rPr>
              <w:footnoteReference w:id="9"/>
            </w:r>
            <w:r w:rsidRPr="00177AAA">
              <w:rPr>
                <w:spacing w:val="-5"/>
                <w:lang w:val="en-GB"/>
              </w:rPr>
              <w:t xml:space="preserve">. </w:t>
            </w:r>
            <w:r>
              <w:rPr>
                <w:spacing w:val="-5"/>
                <w:lang w:val="en-GB"/>
              </w:rPr>
              <w:t xml:space="preserve">It can be explained by the fact, that while in the first half of the last year the large part of the swiftly adopted counter pandemic measures was focused on the tax area including insurance </w:t>
            </w:r>
            <w:r w:rsidRPr="00177AAA">
              <w:rPr>
                <w:spacing w:val="-5"/>
                <w:lang w:val="en-GB"/>
              </w:rPr>
              <w:t>(</w:t>
            </w:r>
            <w:r>
              <w:rPr>
                <w:spacing w:val="-5"/>
                <w:lang w:val="en-GB"/>
              </w:rPr>
              <w:t>tax suspension, abolition or individual amendment of the size of advance payments, refunds in the form of compensation bonuses</w:t>
            </w:r>
            <w:r w:rsidRPr="00177AAA">
              <w:rPr>
                <w:spacing w:val="-5"/>
                <w:lang w:val="en-GB"/>
              </w:rPr>
              <w:t>),</w:t>
            </w:r>
            <w:r>
              <w:rPr>
                <w:spacing w:val="-5"/>
                <w:lang w:val="en-GB"/>
              </w:rPr>
              <w:t xml:space="preserve"> </w:t>
            </w:r>
            <w:r w:rsidRPr="00177AAA">
              <w:rPr>
                <w:spacing w:val="-5"/>
                <w:lang w:val="en-GB"/>
              </w:rPr>
              <w:t xml:space="preserve"> </w:t>
            </w:r>
            <w:r>
              <w:rPr>
                <w:spacing w:val="-5"/>
                <w:lang w:val="en-GB"/>
              </w:rPr>
              <w:t xml:space="preserve">this year it primarily constituted the outlays on the health care </w:t>
            </w:r>
            <w:r w:rsidRPr="00177AAA">
              <w:rPr>
                <w:spacing w:val="-5"/>
                <w:lang w:val="en-GB"/>
              </w:rPr>
              <w:t>(</w:t>
            </w:r>
            <w:r>
              <w:rPr>
                <w:spacing w:val="-5"/>
                <w:lang w:val="en-GB"/>
              </w:rPr>
              <w:t>bonuses to workers</w:t>
            </w:r>
            <w:r w:rsidRPr="00177AAA">
              <w:rPr>
                <w:spacing w:val="-5"/>
                <w:lang w:val="en-GB"/>
              </w:rPr>
              <w:t xml:space="preserve">, </w:t>
            </w:r>
            <w:r>
              <w:rPr>
                <w:spacing w:val="-5"/>
                <w:lang w:val="en-GB"/>
              </w:rPr>
              <w:t>higher payments for state insured persons</w:t>
            </w:r>
            <w:r w:rsidRPr="00177AAA">
              <w:rPr>
                <w:spacing w:val="-5"/>
                <w:lang w:val="en-GB"/>
              </w:rPr>
              <w:t xml:space="preserve">) </w:t>
            </w:r>
            <w:r>
              <w:rPr>
                <w:spacing w:val="-5"/>
                <w:lang w:val="en-GB"/>
              </w:rPr>
              <w:t xml:space="preserve">as well as wide spectrum of support programmes for both afflicted businesses and organisations. </w:t>
            </w:r>
          </w:p>
        </w:tc>
      </w:tr>
      <w:tr w:rsidR="009732DF" w:rsidRPr="008266F0" w14:paraId="2CC56737" w14:textId="77777777" w:rsidTr="001144FB">
        <w:trPr>
          <w:trHeight w:val="145"/>
        </w:trPr>
        <w:tc>
          <w:tcPr>
            <w:tcW w:w="1732" w:type="dxa"/>
            <w:shd w:val="clear" w:color="auto" w:fill="auto"/>
            <w:tcMar>
              <w:left w:w="0" w:type="dxa"/>
            </w:tcMar>
          </w:tcPr>
          <w:p w14:paraId="581D86EC" w14:textId="77777777" w:rsidR="009732DF" w:rsidRPr="00CB67CD" w:rsidRDefault="009732DF" w:rsidP="001144FB">
            <w:pPr>
              <w:pStyle w:val="Marginlie"/>
              <w:rPr>
                <w:lang w:val="en-GB"/>
              </w:rPr>
            </w:pPr>
            <w:r>
              <w:rPr>
                <w:lang w:val="en-GB"/>
              </w:rPr>
              <w:lastRenderedPageBreak/>
              <w:t xml:space="preserve">Growth of outlays on wages of workers in education continued. </w:t>
            </w:r>
          </w:p>
          <w:p w14:paraId="7FCDE07A" w14:textId="77777777" w:rsidR="009732DF" w:rsidRPr="00CB67CD" w:rsidRDefault="009732DF" w:rsidP="001144FB">
            <w:pPr>
              <w:pStyle w:val="Marginlie"/>
              <w:rPr>
                <w:lang w:val="en-GB"/>
              </w:rPr>
            </w:pPr>
          </w:p>
          <w:p w14:paraId="182992DF" w14:textId="77777777" w:rsidR="009732DF" w:rsidRPr="00CB67CD" w:rsidRDefault="009732DF" w:rsidP="001144FB">
            <w:pPr>
              <w:pStyle w:val="Marginlie"/>
              <w:rPr>
                <w:lang w:val="en-GB"/>
              </w:rPr>
            </w:pPr>
          </w:p>
          <w:p w14:paraId="0DF433E1" w14:textId="77777777" w:rsidR="009732DF" w:rsidRPr="00CB67CD" w:rsidRDefault="009732DF" w:rsidP="001144FB">
            <w:pPr>
              <w:pStyle w:val="Marginlie"/>
              <w:rPr>
                <w:lang w:val="en-GB"/>
              </w:rPr>
            </w:pPr>
          </w:p>
          <w:p w14:paraId="6C77016C" w14:textId="77777777" w:rsidR="009732DF" w:rsidRPr="00CB67CD" w:rsidRDefault="009732DF" w:rsidP="001144FB">
            <w:pPr>
              <w:pStyle w:val="Marginlie"/>
              <w:rPr>
                <w:lang w:val="en-GB"/>
              </w:rPr>
            </w:pPr>
          </w:p>
          <w:p w14:paraId="2C7E7F67" w14:textId="77777777" w:rsidR="009732DF" w:rsidRPr="00CB67CD" w:rsidRDefault="009732DF" w:rsidP="001144FB">
            <w:pPr>
              <w:pStyle w:val="Marginlie"/>
              <w:rPr>
                <w:lang w:val="en-GB"/>
              </w:rPr>
            </w:pPr>
          </w:p>
          <w:p w14:paraId="0BEA4CF1" w14:textId="77777777" w:rsidR="009732DF" w:rsidRPr="00CB67CD" w:rsidRDefault="009732DF" w:rsidP="001144FB">
            <w:pPr>
              <w:pStyle w:val="Marginlie"/>
              <w:rPr>
                <w:lang w:val="en-GB"/>
              </w:rPr>
            </w:pPr>
          </w:p>
          <w:p w14:paraId="369667B5" w14:textId="77777777" w:rsidR="009732DF" w:rsidRPr="00CB67CD" w:rsidRDefault="009732DF" w:rsidP="001144FB">
            <w:pPr>
              <w:pStyle w:val="Marginlie"/>
              <w:rPr>
                <w:lang w:val="en-GB"/>
              </w:rPr>
            </w:pPr>
          </w:p>
          <w:p w14:paraId="43156066" w14:textId="77777777" w:rsidR="009732DF" w:rsidRPr="00CB67CD" w:rsidRDefault="009732DF" w:rsidP="001144FB">
            <w:pPr>
              <w:pStyle w:val="Marginlie"/>
              <w:rPr>
                <w:lang w:val="en-GB"/>
              </w:rPr>
            </w:pPr>
            <w:r w:rsidRPr="00CB67CD">
              <w:rPr>
                <w:lang w:val="en-GB"/>
              </w:rPr>
              <w:t xml:space="preserve">Outlays on non-investment purchases weakened compared to last year’s record amount. </w:t>
            </w:r>
          </w:p>
        </w:tc>
        <w:tc>
          <w:tcPr>
            <w:tcW w:w="217" w:type="dxa"/>
            <w:shd w:val="clear" w:color="auto" w:fill="auto"/>
            <w:tcMar>
              <w:left w:w="0" w:type="dxa"/>
            </w:tcMar>
          </w:tcPr>
          <w:p w14:paraId="261FF422" w14:textId="77777777" w:rsidR="009732DF" w:rsidRPr="00A4378E" w:rsidRDefault="009732DF" w:rsidP="001144FB">
            <w:pPr>
              <w:pStyle w:val="Textpoznpodarou"/>
              <w:jc w:val="both"/>
              <w:rPr>
                <w:spacing w:val="-4"/>
                <w:lang w:val="en-GB"/>
              </w:rPr>
            </w:pPr>
          </w:p>
        </w:tc>
        <w:tc>
          <w:tcPr>
            <w:tcW w:w="7720" w:type="dxa"/>
            <w:shd w:val="clear" w:color="auto" w:fill="auto"/>
            <w:tcMar>
              <w:left w:w="0" w:type="dxa"/>
            </w:tcMar>
          </w:tcPr>
          <w:p w14:paraId="32E59657" w14:textId="77777777" w:rsidR="009732DF" w:rsidRPr="00597840" w:rsidRDefault="009732DF" w:rsidP="001144FB">
            <w:pPr>
              <w:spacing w:after="210"/>
              <w:rPr>
                <w:color w:val="0D0D0D" w:themeColor="text1" w:themeTint="F2"/>
                <w:spacing w:val="-5"/>
                <w:lang w:val="en-GB"/>
              </w:rPr>
            </w:pPr>
            <w:r w:rsidRPr="00597840">
              <w:rPr>
                <w:spacing w:val="-5"/>
                <w:lang w:val="en-GB"/>
              </w:rPr>
              <w:t xml:space="preserve">From current outlays, non-investment transfers to business entities the most increased </w:t>
            </w:r>
            <w:r w:rsidRPr="00597840">
              <w:rPr>
                <w:color w:val="0D0D0D" w:themeColor="text1" w:themeTint="F2"/>
                <w:spacing w:val="-5"/>
                <w:lang w:val="en-GB"/>
              </w:rPr>
              <w:t xml:space="preserve">(+61%, to </w:t>
            </w:r>
            <w:r w:rsidRPr="00597840">
              <w:rPr>
                <w:spacing w:val="-5"/>
                <w:lang w:val="en-GB"/>
              </w:rPr>
              <w:t>85.3 CZK bn) concentrating the vital part of support measures (Antivirus programme, support of business in the most hit areas, care benefits for self-employed persons) and non-investment transfers to the funds of social public health insurance (+55%). On the contrary, higher current transfers to regional budgets (+14%, +18.8 bn) related mainly to the ongoing growth of average wages in the regional education</w:t>
            </w:r>
            <w:r w:rsidRPr="00597840">
              <w:rPr>
                <w:rStyle w:val="Znakapoznpodarou"/>
                <w:spacing w:val="-5"/>
                <w:lang w:val="en-GB"/>
              </w:rPr>
              <w:footnoteReference w:id="10"/>
            </w:r>
            <w:r w:rsidRPr="00597840">
              <w:rPr>
                <w:spacing w:val="-5"/>
                <w:lang w:val="en-GB"/>
              </w:rPr>
              <w:t xml:space="preserve"> and boosting of resources on social services. The growth pace of outlays on wages in the </w:t>
            </w:r>
            <w:r>
              <w:rPr>
                <w:spacing w:val="-5"/>
                <w:lang w:val="en-GB"/>
              </w:rPr>
              <w:t xml:space="preserve">central government institutions </w:t>
            </w:r>
            <w:r w:rsidRPr="00597840">
              <w:rPr>
                <w:spacing w:val="-5"/>
                <w:lang w:val="en-GB"/>
              </w:rPr>
              <w:t xml:space="preserve">was in contrast weakening for the third year in a row (to 1.1%, the least </w:t>
            </w:r>
            <w:r>
              <w:rPr>
                <w:spacing w:val="-5"/>
                <w:lang w:val="en-GB"/>
              </w:rPr>
              <w:t xml:space="preserve">growth </w:t>
            </w:r>
            <w:r w:rsidRPr="00597840">
              <w:rPr>
                <w:spacing w:val="-5"/>
                <w:lang w:val="en-GB"/>
              </w:rPr>
              <w:t xml:space="preserve">in the last ten years). The SB expended approximately by 3 CZK </w:t>
            </w:r>
            <w:r>
              <w:rPr>
                <w:spacing w:val="-5"/>
                <w:lang w:val="en-GB"/>
              </w:rPr>
              <w:t>b</w:t>
            </w:r>
            <w:r w:rsidRPr="00597840">
              <w:rPr>
                <w:spacing w:val="-5"/>
                <w:lang w:val="en-GB"/>
              </w:rPr>
              <w:t>n less on both the current transfers to contributor</w:t>
            </w:r>
            <w:r>
              <w:rPr>
                <w:spacing w:val="-5"/>
                <w:lang w:val="en-GB"/>
              </w:rPr>
              <w:t>y</w:t>
            </w:r>
            <w:r w:rsidRPr="00597840">
              <w:rPr>
                <w:spacing w:val="-5"/>
                <w:lang w:val="en-GB"/>
              </w:rPr>
              <w:t xml:space="preserve"> organisations (last year’s expenditures on the elimination of debt of part of hospitals were not repeated) and non-investment purchases</w:t>
            </w:r>
            <w:r w:rsidRPr="00597840">
              <w:rPr>
                <w:rStyle w:val="Znakapoznpodarou"/>
                <w:spacing w:val="-5"/>
                <w:lang w:val="en-GB"/>
              </w:rPr>
              <w:footnoteReference w:id="11"/>
            </w:r>
            <w:r w:rsidRPr="00597840">
              <w:rPr>
                <w:spacing w:val="-5"/>
                <w:lang w:val="en-GB"/>
              </w:rPr>
              <w:t xml:space="preserve">, where the lower this year’s need for protective aids as well as medical materials </w:t>
            </w:r>
            <w:r>
              <w:rPr>
                <w:spacing w:val="-5"/>
                <w:lang w:val="en-GB"/>
              </w:rPr>
              <w:t xml:space="preserve">was </w:t>
            </w:r>
            <w:r w:rsidRPr="00597840">
              <w:rPr>
                <w:spacing w:val="-5"/>
                <w:lang w:val="en-GB"/>
              </w:rPr>
              <w:t>only partially offset</w:t>
            </w:r>
            <w:r>
              <w:rPr>
                <w:spacing w:val="-5"/>
                <w:lang w:val="en-GB"/>
              </w:rPr>
              <w:t xml:space="preserve"> by the increase of outlays on the purchases of vaccines </w:t>
            </w:r>
            <w:r w:rsidRPr="00597840">
              <w:rPr>
                <w:spacing w:val="-5"/>
                <w:lang w:val="en-GB"/>
              </w:rPr>
              <w:t>year-on-year in H1.</w:t>
            </w:r>
          </w:p>
        </w:tc>
      </w:tr>
      <w:tr w:rsidR="009732DF" w:rsidRPr="008266F0" w14:paraId="39393E11" w14:textId="77777777" w:rsidTr="001144FB">
        <w:trPr>
          <w:trHeight w:val="145"/>
        </w:trPr>
        <w:tc>
          <w:tcPr>
            <w:tcW w:w="1732" w:type="dxa"/>
            <w:shd w:val="clear" w:color="auto" w:fill="auto"/>
            <w:tcMar>
              <w:left w:w="0" w:type="dxa"/>
            </w:tcMar>
          </w:tcPr>
          <w:p w14:paraId="2C157A21" w14:textId="77777777" w:rsidR="009732DF" w:rsidRPr="00CB67CD" w:rsidRDefault="009732DF" w:rsidP="001144FB">
            <w:pPr>
              <w:pStyle w:val="Marginlie"/>
              <w:rPr>
                <w:lang w:val="en-GB"/>
              </w:rPr>
            </w:pPr>
            <w:r>
              <w:rPr>
                <w:lang w:val="en-GB"/>
              </w:rPr>
              <w:t xml:space="preserve">Drawing of non-pension social benefits went down year-on-year. It was however considerably higher compared to the pre-pandemic level. </w:t>
            </w:r>
          </w:p>
          <w:p w14:paraId="4EFB12F6" w14:textId="77777777" w:rsidR="009732DF" w:rsidRPr="00CB67CD" w:rsidRDefault="009732DF" w:rsidP="001144FB">
            <w:pPr>
              <w:pStyle w:val="Marginlie"/>
              <w:rPr>
                <w:lang w:val="en-GB"/>
              </w:rPr>
            </w:pPr>
          </w:p>
          <w:p w14:paraId="11135271" w14:textId="77777777" w:rsidR="009732DF" w:rsidRPr="00CB67CD" w:rsidRDefault="009732DF" w:rsidP="001144FB">
            <w:pPr>
              <w:pStyle w:val="Marginlie"/>
              <w:rPr>
                <w:lang w:val="en-GB"/>
              </w:rPr>
            </w:pPr>
          </w:p>
          <w:p w14:paraId="2D4E822F" w14:textId="77777777" w:rsidR="009732DF" w:rsidRPr="00CB67CD" w:rsidRDefault="009732DF" w:rsidP="001144FB">
            <w:pPr>
              <w:pStyle w:val="Marginlie"/>
              <w:rPr>
                <w:lang w:val="en-GB"/>
              </w:rPr>
            </w:pPr>
          </w:p>
          <w:p w14:paraId="37E50357" w14:textId="77777777" w:rsidR="009732DF" w:rsidRPr="00CB67CD" w:rsidRDefault="009732DF" w:rsidP="001144FB">
            <w:pPr>
              <w:pStyle w:val="Marginlie"/>
              <w:rPr>
                <w:lang w:val="en-GB"/>
              </w:rPr>
            </w:pPr>
          </w:p>
          <w:p w14:paraId="67BDF845" w14:textId="77777777" w:rsidR="009732DF" w:rsidRPr="00CB67CD" w:rsidRDefault="009732DF" w:rsidP="001144FB">
            <w:pPr>
              <w:pStyle w:val="Marginlie"/>
              <w:rPr>
                <w:lang w:val="en-GB"/>
              </w:rPr>
            </w:pPr>
          </w:p>
          <w:p w14:paraId="7DEA5CD5" w14:textId="77777777" w:rsidR="009732DF" w:rsidRPr="00CB67CD" w:rsidRDefault="009732DF" w:rsidP="001144FB">
            <w:pPr>
              <w:pStyle w:val="Marginlie"/>
              <w:rPr>
                <w:lang w:val="en-GB"/>
              </w:rPr>
            </w:pPr>
            <w:r>
              <w:rPr>
                <w:lang w:val="en-GB"/>
              </w:rPr>
              <w:t>Growth of the volume of material deprivation assistance benefits continued, it however ceased for the unemployment benefits in Q</w:t>
            </w:r>
            <w:r w:rsidRPr="00CB67CD">
              <w:rPr>
                <w:lang w:val="en-GB"/>
              </w:rPr>
              <w:t>2.</w:t>
            </w:r>
          </w:p>
        </w:tc>
        <w:tc>
          <w:tcPr>
            <w:tcW w:w="217" w:type="dxa"/>
            <w:shd w:val="clear" w:color="auto" w:fill="auto"/>
            <w:tcMar>
              <w:left w:w="0" w:type="dxa"/>
            </w:tcMar>
          </w:tcPr>
          <w:p w14:paraId="22F85B8E" w14:textId="77777777" w:rsidR="009732DF" w:rsidRDefault="009732DF" w:rsidP="001144FB">
            <w:pPr>
              <w:pStyle w:val="Textpoznpodarou"/>
              <w:jc w:val="both"/>
              <w:rPr>
                <w:spacing w:val="-4"/>
              </w:rPr>
            </w:pPr>
          </w:p>
        </w:tc>
        <w:tc>
          <w:tcPr>
            <w:tcW w:w="7720" w:type="dxa"/>
            <w:shd w:val="clear" w:color="auto" w:fill="auto"/>
            <w:tcMar>
              <w:left w:w="0" w:type="dxa"/>
            </w:tcMar>
          </w:tcPr>
          <w:p w14:paraId="2CDD19F3" w14:textId="77777777" w:rsidR="009732DF" w:rsidRPr="00597840" w:rsidRDefault="009732DF" w:rsidP="001144FB">
            <w:pPr>
              <w:spacing w:after="210"/>
              <w:rPr>
                <w:spacing w:val="-3"/>
                <w:lang w:val="en-GB"/>
              </w:rPr>
            </w:pPr>
            <w:r>
              <w:rPr>
                <w:spacing w:val="-3"/>
                <w:lang w:val="en-GB"/>
              </w:rPr>
              <w:t>Even though the social benefits traditionally account for the weight dominant SB outlay, growth of their drawing remained in the shadow of outlays directly associated with the pandemics</w:t>
            </w:r>
            <w:r w:rsidRPr="00597840">
              <w:rPr>
                <w:rStyle w:val="Znakapoznpodarou"/>
                <w:spacing w:val="-3"/>
                <w:lang w:val="en-GB"/>
              </w:rPr>
              <w:footnoteReference w:id="12"/>
            </w:r>
            <w:r>
              <w:rPr>
                <w:spacing w:val="-3"/>
                <w:lang w:val="en-GB"/>
              </w:rPr>
              <w:t xml:space="preserve"> this year</w:t>
            </w:r>
            <w:r w:rsidRPr="00597840">
              <w:rPr>
                <w:spacing w:val="-3"/>
                <w:lang w:val="en-GB"/>
              </w:rPr>
              <w:t xml:space="preserve">. </w:t>
            </w:r>
            <w:r>
              <w:rPr>
                <w:spacing w:val="-3"/>
                <w:lang w:val="en-GB"/>
              </w:rPr>
              <w:t xml:space="preserve">Only by </w:t>
            </w:r>
            <w:r w:rsidRPr="00597840">
              <w:rPr>
                <w:spacing w:val="-3"/>
                <w:lang w:val="en-GB"/>
              </w:rPr>
              <w:t>3</w:t>
            </w:r>
            <w:r>
              <w:rPr>
                <w:spacing w:val="-3"/>
                <w:lang w:val="en-GB"/>
              </w:rPr>
              <w:t>.</w:t>
            </w:r>
            <w:r w:rsidRPr="00597840">
              <w:rPr>
                <w:spacing w:val="-3"/>
                <w:lang w:val="en-GB"/>
              </w:rPr>
              <w:t>7% (12</w:t>
            </w:r>
            <w:r>
              <w:rPr>
                <w:spacing w:val="-3"/>
                <w:lang w:val="en-GB"/>
              </w:rPr>
              <w:t>.</w:t>
            </w:r>
            <w:r w:rsidRPr="00597840">
              <w:rPr>
                <w:spacing w:val="-3"/>
                <w:lang w:val="en-GB"/>
              </w:rPr>
              <w:t>6</w:t>
            </w:r>
            <w:r>
              <w:rPr>
                <w:spacing w:val="-3"/>
                <w:lang w:val="en-GB"/>
              </w:rPr>
              <w:t xml:space="preserve"> CZK bn</w:t>
            </w:r>
            <w:r w:rsidRPr="00597840">
              <w:rPr>
                <w:spacing w:val="-3"/>
                <w:lang w:val="en-GB"/>
              </w:rPr>
              <w:t>)</w:t>
            </w:r>
            <w:r>
              <w:rPr>
                <w:spacing w:val="-3"/>
                <w:lang w:val="en-GB"/>
              </w:rPr>
              <w:t xml:space="preserve"> more wandered on these benefits year-on-year in H1</w:t>
            </w:r>
            <w:r w:rsidRPr="00597840">
              <w:rPr>
                <w:spacing w:val="-3"/>
                <w:lang w:val="en-GB"/>
              </w:rPr>
              <w:t xml:space="preserve">. </w:t>
            </w:r>
            <w:r>
              <w:rPr>
                <w:spacing w:val="-3"/>
                <w:lang w:val="en-GB"/>
              </w:rPr>
              <w:t>In contrast to a major part of the last year, outlays on pensions recorded faster pace in this year</w:t>
            </w:r>
            <w:r>
              <w:rPr>
                <w:spacing w:val="-3"/>
                <w:lang w:val="en-US"/>
              </w:rPr>
              <w:t>’</w:t>
            </w:r>
            <w:r>
              <w:rPr>
                <w:spacing w:val="-3"/>
              </w:rPr>
              <w:t>s H</w:t>
            </w:r>
            <w:r w:rsidRPr="00597840">
              <w:rPr>
                <w:spacing w:val="-3"/>
                <w:lang w:val="en-GB"/>
              </w:rPr>
              <w:t>1</w:t>
            </w:r>
            <w:r>
              <w:rPr>
                <w:spacing w:val="-3"/>
                <w:lang w:val="en-GB"/>
              </w:rPr>
              <w:t xml:space="preserve"> </w:t>
            </w:r>
            <w:r w:rsidRPr="00597840">
              <w:rPr>
                <w:spacing w:val="-3"/>
                <w:lang w:val="en-GB"/>
              </w:rPr>
              <w:t>(+5</w:t>
            </w:r>
            <w:r>
              <w:rPr>
                <w:spacing w:val="-3"/>
                <w:lang w:val="en-GB"/>
              </w:rPr>
              <w:t>.</w:t>
            </w:r>
            <w:r w:rsidRPr="00597840">
              <w:rPr>
                <w:spacing w:val="-3"/>
                <w:lang w:val="en-GB"/>
              </w:rPr>
              <w:t xml:space="preserve">7%) </w:t>
            </w:r>
            <w:r>
              <w:rPr>
                <w:spacing w:val="-3"/>
                <w:lang w:val="en-GB"/>
              </w:rPr>
              <w:t xml:space="preserve">than outlays on other social benefits </w:t>
            </w:r>
            <w:r w:rsidRPr="00597840">
              <w:rPr>
                <w:spacing w:val="-3"/>
                <w:lang w:val="en-GB"/>
              </w:rPr>
              <w:t>(–2</w:t>
            </w:r>
            <w:r>
              <w:rPr>
                <w:spacing w:val="-3"/>
                <w:lang w:val="en-GB"/>
              </w:rPr>
              <w:t>.</w:t>
            </w:r>
            <w:r w:rsidRPr="00597840">
              <w:rPr>
                <w:spacing w:val="-3"/>
                <w:lang w:val="en-GB"/>
              </w:rPr>
              <w:t>0%)</w:t>
            </w:r>
            <w:r w:rsidRPr="00597840">
              <w:rPr>
                <w:rStyle w:val="Znakapoznpodarou"/>
                <w:spacing w:val="-3"/>
                <w:lang w:val="en-GB"/>
              </w:rPr>
              <w:footnoteReference w:id="13"/>
            </w:r>
            <w:r w:rsidRPr="00597840">
              <w:rPr>
                <w:spacing w:val="-3"/>
                <w:lang w:val="en-GB"/>
              </w:rPr>
              <w:t xml:space="preserve">. </w:t>
            </w:r>
            <w:r>
              <w:rPr>
                <w:spacing w:val="-3"/>
                <w:lang w:val="en-GB"/>
              </w:rPr>
              <w:t xml:space="preserve">The sickness benefits were mostly behind the fall of their drawing </w:t>
            </w:r>
            <w:r w:rsidRPr="00597840">
              <w:rPr>
                <w:spacing w:val="-3"/>
                <w:lang w:val="en-GB"/>
              </w:rPr>
              <w:t>(–5</w:t>
            </w:r>
            <w:r>
              <w:rPr>
                <w:spacing w:val="-3"/>
                <w:lang w:val="en-GB"/>
              </w:rPr>
              <w:t>.</w:t>
            </w:r>
            <w:r w:rsidRPr="00597840">
              <w:rPr>
                <w:spacing w:val="-3"/>
                <w:lang w:val="en-GB"/>
              </w:rPr>
              <w:t>0%)</w:t>
            </w:r>
            <w:r w:rsidRPr="00597840">
              <w:rPr>
                <w:rStyle w:val="Znakapoznpodarou"/>
                <w:spacing w:val="-3"/>
                <w:lang w:val="en-GB"/>
              </w:rPr>
              <w:footnoteReference w:id="14"/>
            </w:r>
            <w:r w:rsidRPr="00597840">
              <w:rPr>
                <w:spacing w:val="-3"/>
                <w:lang w:val="en-GB"/>
              </w:rPr>
              <w:t xml:space="preserve">. </w:t>
            </w:r>
            <w:r>
              <w:rPr>
                <w:spacing w:val="-3"/>
                <w:lang w:val="en-GB"/>
              </w:rPr>
              <w:t>This result manifested in spite of the outlays on the majority of sickness benefits increasing year-on-year. The Spring reopening of schools proved key this year, damping the need for the care benefits</w:t>
            </w:r>
            <w:r w:rsidRPr="00597840">
              <w:rPr>
                <w:spacing w:val="-3"/>
                <w:lang w:val="en-GB"/>
              </w:rPr>
              <w:t xml:space="preserve">, </w:t>
            </w:r>
            <w:r>
              <w:rPr>
                <w:spacing w:val="-3"/>
                <w:lang w:val="en-GB"/>
              </w:rPr>
              <w:t>whose drawing culminated last year in Q2</w:t>
            </w:r>
            <w:r w:rsidRPr="00597840">
              <w:rPr>
                <w:spacing w:val="-3"/>
                <w:lang w:val="en-GB"/>
              </w:rPr>
              <w:t xml:space="preserve">. </w:t>
            </w:r>
            <w:r>
              <w:rPr>
                <w:spacing w:val="-3"/>
                <w:lang w:val="en-GB"/>
              </w:rPr>
              <w:t>SB spent less also on the state social care benefits year-on-year this year, specifically thanks to the favourable development of nearly all types of benefits, including those income tested</w:t>
            </w:r>
            <w:r w:rsidRPr="00597840">
              <w:rPr>
                <w:spacing w:val="-3"/>
                <w:lang w:val="en-GB"/>
              </w:rPr>
              <w:t xml:space="preserve">. </w:t>
            </w:r>
            <w:r>
              <w:rPr>
                <w:spacing w:val="-3"/>
                <w:lang w:val="en-GB"/>
              </w:rPr>
              <w:t>Higher drawing on material deprivation assistance benefits</w:t>
            </w:r>
            <w:r w:rsidRPr="00597840">
              <w:rPr>
                <w:spacing w:val="-3"/>
                <w:lang w:val="en-GB"/>
              </w:rPr>
              <w:t xml:space="preserve">, </w:t>
            </w:r>
            <w:r>
              <w:rPr>
                <w:spacing w:val="-3"/>
                <w:lang w:val="en-GB"/>
              </w:rPr>
              <w:t>which was observed already fifth quarter in a row, signals worsened income situation of some households.</w:t>
            </w:r>
            <w:r w:rsidRPr="00597840">
              <w:rPr>
                <w:spacing w:val="-3"/>
                <w:lang w:val="en-GB"/>
              </w:rPr>
              <w:t xml:space="preserve"> </w:t>
            </w:r>
            <w:r>
              <w:rPr>
                <w:spacing w:val="-3"/>
                <w:lang w:val="en-GB"/>
              </w:rPr>
              <w:t>Improvement of the total situation on the labour market in connection to the decline of the pandemics was mirrored in the paid out unemployment benefits</w:t>
            </w:r>
            <w:r w:rsidRPr="00597840">
              <w:rPr>
                <w:spacing w:val="-3"/>
                <w:lang w:val="en-GB"/>
              </w:rPr>
              <w:t>.</w:t>
            </w:r>
            <w:r>
              <w:rPr>
                <w:spacing w:val="-3"/>
                <w:lang w:val="en-GB"/>
              </w:rPr>
              <w:t xml:space="preserve"> Their volume dropped by nearly one fifth year-on-year in the period from May to June this year</w:t>
            </w:r>
            <w:r w:rsidRPr="00597840">
              <w:rPr>
                <w:rStyle w:val="Znakapoznpodarou"/>
                <w:spacing w:val="-3"/>
                <w:lang w:val="en-GB"/>
              </w:rPr>
              <w:footnoteReference w:id="15"/>
            </w:r>
            <w:r w:rsidRPr="00597840">
              <w:rPr>
                <w:spacing w:val="-3"/>
                <w:lang w:val="en-GB"/>
              </w:rPr>
              <w:t>.</w:t>
            </w:r>
          </w:p>
        </w:tc>
      </w:tr>
      <w:tr w:rsidR="009732DF" w:rsidRPr="008266F0" w14:paraId="14F16DFC" w14:textId="77777777" w:rsidTr="001144FB">
        <w:trPr>
          <w:trHeight w:val="145"/>
        </w:trPr>
        <w:tc>
          <w:tcPr>
            <w:tcW w:w="1732" w:type="dxa"/>
            <w:shd w:val="clear" w:color="auto" w:fill="auto"/>
            <w:tcMar>
              <w:left w:w="0" w:type="dxa"/>
            </w:tcMar>
          </w:tcPr>
          <w:p w14:paraId="640EF441" w14:textId="77777777" w:rsidR="009732DF" w:rsidRPr="00D00220" w:rsidRDefault="009732DF" w:rsidP="001144FB">
            <w:pPr>
              <w:pStyle w:val="Marginlie"/>
              <w:rPr>
                <w:lang w:val="en-GB"/>
              </w:rPr>
            </w:pPr>
            <w:r>
              <w:rPr>
                <w:lang w:val="en-GB"/>
              </w:rPr>
              <w:lastRenderedPageBreak/>
              <w:t>Pension account balance returned to mild surplus in Q</w:t>
            </w:r>
            <w:r w:rsidRPr="00D00220">
              <w:rPr>
                <w:lang w:val="en-GB"/>
              </w:rPr>
              <w:t>2</w:t>
            </w:r>
            <w:r>
              <w:rPr>
                <w:lang w:val="en-GB"/>
              </w:rPr>
              <w:t xml:space="preserve"> </w:t>
            </w:r>
            <w:r w:rsidRPr="00D00220">
              <w:rPr>
                <w:lang w:val="en-GB"/>
              </w:rPr>
              <w:t>2021</w:t>
            </w:r>
            <w:r>
              <w:rPr>
                <w:lang w:val="en-GB"/>
              </w:rPr>
              <w:t xml:space="preserve">. </w:t>
            </w:r>
          </w:p>
        </w:tc>
        <w:tc>
          <w:tcPr>
            <w:tcW w:w="217" w:type="dxa"/>
            <w:shd w:val="clear" w:color="auto" w:fill="auto"/>
            <w:tcMar>
              <w:left w:w="0" w:type="dxa"/>
            </w:tcMar>
          </w:tcPr>
          <w:p w14:paraId="2CBD58E7" w14:textId="77777777" w:rsidR="009732DF" w:rsidRPr="00D00220" w:rsidRDefault="009732DF" w:rsidP="001144FB">
            <w:pPr>
              <w:pStyle w:val="Textpoznpodarou"/>
              <w:jc w:val="both"/>
              <w:rPr>
                <w:spacing w:val="-4"/>
                <w:lang w:val="en-GB"/>
              </w:rPr>
            </w:pPr>
          </w:p>
        </w:tc>
        <w:tc>
          <w:tcPr>
            <w:tcW w:w="7720" w:type="dxa"/>
            <w:shd w:val="clear" w:color="auto" w:fill="auto"/>
            <w:tcMar>
              <w:left w:w="0" w:type="dxa"/>
            </w:tcMar>
          </w:tcPr>
          <w:p w14:paraId="77084FFC" w14:textId="77777777" w:rsidR="009732DF" w:rsidRPr="00D00220" w:rsidRDefault="009732DF" w:rsidP="001144FB">
            <w:pPr>
              <w:spacing w:after="210"/>
              <w:rPr>
                <w:spacing w:val="-5"/>
                <w:lang w:val="en-GB"/>
              </w:rPr>
            </w:pPr>
            <w:r>
              <w:rPr>
                <w:spacing w:val="-5"/>
                <w:lang w:val="en-GB"/>
              </w:rPr>
              <w:t xml:space="preserve">Growth of outlays on pensions was subdued by the decrease of the number of their recipients. Their number decreased by significant </w:t>
            </w:r>
            <w:r w:rsidRPr="00D00220">
              <w:rPr>
                <w:spacing w:val="-5"/>
                <w:lang w:val="en-GB"/>
              </w:rPr>
              <w:t>1</w:t>
            </w:r>
            <w:r>
              <w:rPr>
                <w:spacing w:val="-5"/>
                <w:lang w:val="en-GB"/>
              </w:rPr>
              <w:t>.</w:t>
            </w:r>
            <w:r w:rsidRPr="00D00220">
              <w:rPr>
                <w:spacing w:val="-5"/>
                <w:lang w:val="en-GB"/>
              </w:rPr>
              <w:t>2%</w:t>
            </w:r>
            <w:r>
              <w:rPr>
                <w:spacing w:val="-5"/>
                <w:lang w:val="en-GB"/>
              </w:rPr>
              <w:t xml:space="preserve"> year-on-year at the end of H1</w:t>
            </w:r>
            <w:r w:rsidRPr="00D00220">
              <w:rPr>
                <w:spacing w:val="-5"/>
                <w:lang w:val="en-GB"/>
              </w:rPr>
              <w:t xml:space="preserve">, </w:t>
            </w:r>
            <w:r>
              <w:rPr>
                <w:spacing w:val="-5"/>
                <w:lang w:val="en-GB"/>
              </w:rPr>
              <w:t xml:space="preserve">primarily due to heightened mortality in the pandemics period. Revenues of the pension insurance expanded by </w:t>
            </w:r>
            <w:r w:rsidRPr="00D00220">
              <w:rPr>
                <w:rFonts w:cs="Arial"/>
                <w:color w:val="0D0D0D" w:themeColor="text1" w:themeTint="F2"/>
                <w:spacing w:val="-5"/>
                <w:lang w:val="en-GB"/>
              </w:rPr>
              <w:t>7</w:t>
            </w:r>
            <w:r>
              <w:rPr>
                <w:rFonts w:cs="Arial"/>
                <w:color w:val="0D0D0D" w:themeColor="text1" w:themeTint="F2"/>
                <w:spacing w:val="-5"/>
                <w:lang w:val="en-GB"/>
              </w:rPr>
              <w:t>.</w:t>
            </w:r>
            <w:r w:rsidRPr="00D00220">
              <w:rPr>
                <w:rFonts w:cs="Arial"/>
                <w:color w:val="0D0D0D" w:themeColor="text1" w:themeTint="F2"/>
                <w:spacing w:val="-5"/>
                <w:lang w:val="en-GB"/>
              </w:rPr>
              <w:t>4%</w:t>
            </w:r>
            <w:r>
              <w:rPr>
                <w:rFonts w:cs="Arial"/>
                <w:color w:val="0D0D0D" w:themeColor="text1" w:themeTint="F2"/>
                <w:spacing w:val="-5"/>
                <w:lang w:val="en-GB"/>
              </w:rPr>
              <w:t xml:space="preserve"> against the weaker last year basis</w:t>
            </w:r>
            <w:r w:rsidRPr="00D00220">
              <w:rPr>
                <w:rStyle w:val="Znakapoznpodarou"/>
                <w:color w:val="0D0D0D" w:themeColor="text1" w:themeTint="F2"/>
                <w:spacing w:val="-5"/>
                <w:lang w:val="en-GB"/>
              </w:rPr>
              <w:footnoteReference w:id="16"/>
            </w:r>
            <w:r w:rsidRPr="00D00220">
              <w:rPr>
                <w:rFonts w:cs="Arial"/>
                <w:color w:val="0D0D0D" w:themeColor="text1" w:themeTint="F2"/>
                <w:spacing w:val="-5"/>
                <w:lang w:val="en-GB"/>
              </w:rPr>
              <w:t xml:space="preserve">. </w:t>
            </w:r>
            <w:r>
              <w:rPr>
                <w:rFonts w:cs="Arial"/>
                <w:color w:val="0D0D0D" w:themeColor="text1" w:themeTint="F2"/>
                <w:spacing w:val="-5"/>
                <w:lang w:val="en-GB"/>
              </w:rPr>
              <w:t>Half-yearly pension account balance</w:t>
            </w:r>
            <w:r w:rsidRPr="00D00220">
              <w:rPr>
                <w:rStyle w:val="Znakapoznpodarou"/>
                <w:color w:val="0D0D0D" w:themeColor="text1" w:themeTint="F2"/>
                <w:spacing w:val="-5"/>
                <w:lang w:val="en-GB"/>
              </w:rPr>
              <w:footnoteReference w:id="17"/>
            </w:r>
            <w:r w:rsidRPr="00D00220">
              <w:rPr>
                <w:rFonts w:cs="Arial"/>
                <w:color w:val="0D0D0D" w:themeColor="text1" w:themeTint="F2"/>
                <w:spacing w:val="-5"/>
                <w:lang w:val="en-GB"/>
              </w:rPr>
              <w:t xml:space="preserve"> </w:t>
            </w:r>
            <w:r>
              <w:rPr>
                <w:rFonts w:cs="Arial"/>
                <w:color w:val="0D0D0D" w:themeColor="text1" w:themeTint="F2"/>
                <w:spacing w:val="-5"/>
                <w:lang w:val="en-GB"/>
              </w:rPr>
              <w:t xml:space="preserve">recorded moderate year-on-year improvement </w:t>
            </w:r>
            <w:r w:rsidRPr="00D00220">
              <w:rPr>
                <w:rFonts w:cs="Arial"/>
                <w:color w:val="0D0D0D" w:themeColor="text1" w:themeTint="F2"/>
                <w:spacing w:val="-5"/>
                <w:lang w:val="en-GB"/>
              </w:rPr>
              <w:t>(</w:t>
            </w:r>
            <w:r>
              <w:rPr>
                <w:rFonts w:cs="Arial"/>
                <w:color w:val="0D0D0D" w:themeColor="text1" w:themeTint="F2"/>
                <w:spacing w:val="-5"/>
                <w:lang w:val="en-GB"/>
              </w:rPr>
              <w:t xml:space="preserve">to </w:t>
            </w:r>
            <w:r w:rsidRPr="00D00220">
              <w:rPr>
                <w:spacing w:val="-5"/>
                <w:lang w:val="en-GB"/>
              </w:rPr>
              <w:t>–</w:t>
            </w:r>
            <w:r w:rsidRPr="00D00220">
              <w:rPr>
                <w:rFonts w:cs="Arial"/>
                <w:color w:val="0D0D0D" w:themeColor="text1" w:themeTint="F2"/>
                <w:spacing w:val="-5"/>
                <w:lang w:val="en-GB"/>
              </w:rPr>
              <w:t>7 </w:t>
            </w:r>
            <w:r>
              <w:rPr>
                <w:rFonts w:cs="Arial"/>
                <w:color w:val="0D0D0D" w:themeColor="text1" w:themeTint="F2"/>
                <w:spacing w:val="-5"/>
                <w:lang w:val="en-GB"/>
              </w:rPr>
              <w:t>CZK bn</w:t>
            </w:r>
            <w:r w:rsidRPr="00D00220">
              <w:rPr>
                <w:rFonts w:cs="Arial"/>
                <w:color w:val="0D0D0D" w:themeColor="text1" w:themeTint="F2"/>
                <w:spacing w:val="-5"/>
                <w:lang w:val="en-GB"/>
              </w:rPr>
              <w:t xml:space="preserve">). </w:t>
            </w:r>
            <w:r>
              <w:rPr>
                <w:rFonts w:cs="Arial"/>
                <w:color w:val="0D0D0D" w:themeColor="text1" w:themeTint="F2"/>
                <w:spacing w:val="-5"/>
                <w:lang w:val="en-GB"/>
              </w:rPr>
              <w:t>In Q</w:t>
            </w:r>
            <w:r w:rsidRPr="00D00220">
              <w:rPr>
                <w:rFonts w:cs="Arial"/>
                <w:color w:val="0D0D0D" w:themeColor="text1" w:themeTint="F2"/>
                <w:spacing w:val="-5"/>
                <w:lang w:val="en-GB"/>
              </w:rPr>
              <w:t>2</w:t>
            </w:r>
            <w:r>
              <w:rPr>
                <w:rFonts w:cs="Arial"/>
                <w:color w:val="0D0D0D" w:themeColor="text1" w:themeTint="F2"/>
                <w:spacing w:val="-5"/>
                <w:lang w:val="en-GB"/>
              </w:rPr>
              <w:t xml:space="preserve"> </w:t>
            </w:r>
            <w:r w:rsidRPr="00D00220">
              <w:rPr>
                <w:rFonts w:cs="Arial"/>
                <w:color w:val="0D0D0D" w:themeColor="text1" w:themeTint="F2"/>
                <w:spacing w:val="-5"/>
                <w:lang w:val="en-GB"/>
              </w:rPr>
              <w:t>2021</w:t>
            </w:r>
            <w:r>
              <w:rPr>
                <w:rFonts w:cs="Arial"/>
                <w:color w:val="0D0D0D" w:themeColor="text1" w:themeTint="F2"/>
                <w:spacing w:val="-5"/>
                <w:lang w:val="en-GB"/>
              </w:rPr>
              <w:t xml:space="preserve">, it returned into a mild surplus </w:t>
            </w:r>
            <w:r w:rsidRPr="00D00220">
              <w:rPr>
                <w:rFonts w:cs="Arial"/>
                <w:color w:val="0D0D0D" w:themeColor="text1" w:themeTint="F2"/>
                <w:spacing w:val="-5"/>
                <w:lang w:val="en-GB"/>
              </w:rPr>
              <w:t>(+2 </w:t>
            </w:r>
            <w:r>
              <w:rPr>
                <w:rFonts w:cs="Arial"/>
                <w:color w:val="0D0D0D" w:themeColor="text1" w:themeTint="F2"/>
                <w:spacing w:val="-5"/>
                <w:lang w:val="en-GB"/>
              </w:rPr>
              <w:t>bn</w:t>
            </w:r>
            <w:r w:rsidRPr="00D00220">
              <w:rPr>
                <w:rFonts w:cs="Arial"/>
                <w:color w:val="0D0D0D" w:themeColor="text1" w:themeTint="F2"/>
                <w:spacing w:val="-5"/>
                <w:lang w:val="en-GB"/>
              </w:rPr>
              <w:t>)</w:t>
            </w:r>
            <w:r>
              <w:rPr>
                <w:rFonts w:cs="Arial"/>
                <w:color w:val="0D0D0D" w:themeColor="text1" w:themeTint="F2"/>
                <w:spacing w:val="-5"/>
                <w:lang w:val="en-GB"/>
              </w:rPr>
              <w:t xml:space="preserve"> thanks to the revival of economic activity </w:t>
            </w:r>
            <w:r w:rsidRPr="00D00220">
              <w:rPr>
                <w:rFonts w:cs="Arial"/>
                <w:color w:val="0D0D0D" w:themeColor="text1" w:themeTint="F2"/>
                <w:spacing w:val="-5"/>
                <w:lang w:val="en-GB"/>
              </w:rPr>
              <w:t>(</w:t>
            </w:r>
            <w:r>
              <w:rPr>
                <w:rFonts w:cs="Arial"/>
                <w:color w:val="0D0D0D" w:themeColor="text1" w:themeTint="F2"/>
                <w:spacing w:val="-5"/>
                <w:lang w:val="en-GB"/>
              </w:rPr>
              <w:t>powered by the payment of extraordinary bonuses in health care</w:t>
            </w:r>
            <w:r w:rsidRPr="00D00220">
              <w:rPr>
                <w:rFonts w:cs="Arial"/>
                <w:color w:val="0D0D0D" w:themeColor="text1" w:themeTint="F2"/>
                <w:spacing w:val="-5"/>
                <w:lang w:val="en-GB"/>
              </w:rPr>
              <w:t xml:space="preserve">) </w:t>
            </w:r>
            <w:r>
              <w:rPr>
                <w:rFonts w:cs="Arial"/>
                <w:color w:val="0D0D0D" w:themeColor="text1" w:themeTint="F2"/>
                <w:spacing w:val="-5"/>
                <w:lang w:val="en-GB"/>
              </w:rPr>
              <w:t xml:space="preserve">for the first time since the end of year </w:t>
            </w:r>
            <w:r w:rsidRPr="00D00220">
              <w:rPr>
                <w:rFonts w:cs="Arial"/>
                <w:color w:val="0D0D0D" w:themeColor="text1" w:themeTint="F2"/>
                <w:spacing w:val="-5"/>
                <w:lang w:val="en-GB"/>
              </w:rPr>
              <w:t>2019.</w:t>
            </w:r>
          </w:p>
        </w:tc>
      </w:tr>
      <w:tr w:rsidR="009732DF" w:rsidRPr="008266F0" w14:paraId="5923A982" w14:textId="77777777" w:rsidTr="001144FB">
        <w:trPr>
          <w:trHeight w:val="145"/>
        </w:trPr>
        <w:tc>
          <w:tcPr>
            <w:tcW w:w="1732" w:type="dxa"/>
            <w:shd w:val="clear" w:color="auto" w:fill="auto"/>
            <w:tcMar>
              <w:left w:w="0" w:type="dxa"/>
            </w:tcMar>
          </w:tcPr>
          <w:p w14:paraId="0D1524B5" w14:textId="77777777" w:rsidR="009732DF" w:rsidRPr="001D7FB8" w:rsidRDefault="009732DF" w:rsidP="001144FB">
            <w:pPr>
              <w:pStyle w:val="Marginlie"/>
              <w:rPr>
                <w:lang w:val="en-GB"/>
              </w:rPr>
            </w:pPr>
            <w:r w:rsidRPr="001D7FB8">
              <w:rPr>
                <w:lang w:val="en-GB"/>
              </w:rPr>
              <w:t>S</w:t>
            </w:r>
            <w:r>
              <w:rPr>
                <w:lang w:val="en-GB"/>
              </w:rPr>
              <w:t xml:space="preserve">teep growth of investment from the SB halted after three years. </w:t>
            </w:r>
          </w:p>
          <w:p w14:paraId="7F2DE427" w14:textId="77777777" w:rsidR="009732DF" w:rsidRPr="001D7FB8" w:rsidRDefault="009732DF" w:rsidP="001144FB">
            <w:pPr>
              <w:pStyle w:val="Marginlie"/>
              <w:rPr>
                <w:lang w:val="en-GB"/>
              </w:rPr>
            </w:pPr>
          </w:p>
          <w:p w14:paraId="1E96B969" w14:textId="77777777" w:rsidR="009732DF" w:rsidRPr="001D7FB8" w:rsidRDefault="009732DF" w:rsidP="001144FB">
            <w:pPr>
              <w:pStyle w:val="Marginlie"/>
              <w:rPr>
                <w:lang w:val="en-GB"/>
              </w:rPr>
            </w:pPr>
          </w:p>
          <w:p w14:paraId="1753B3C2" w14:textId="77777777" w:rsidR="009732DF" w:rsidRPr="001D7FB8" w:rsidRDefault="009732DF" w:rsidP="001144FB">
            <w:pPr>
              <w:pStyle w:val="Marginlie"/>
              <w:rPr>
                <w:lang w:val="en-GB"/>
              </w:rPr>
            </w:pPr>
          </w:p>
          <w:p w14:paraId="0123DF50" w14:textId="77777777" w:rsidR="009732DF" w:rsidRPr="001D7FB8" w:rsidRDefault="009732DF" w:rsidP="001144FB">
            <w:pPr>
              <w:pStyle w:val="Marginlie"/>
              <w:rPr>
                <w:lang w:val="en-GB"/>
              </w:rPr>
            </w:pPr>
            <w:r>
              <w:rPr>
                <w:lang w:val="en-GB"/>
              </w:rPr>
              <w:t xml:space="preserve">Revenues of the CR from the EU budget were even despite year-on- year decrease the second highest in the last five years. </w:t>
            </w:r>
          </w:p>
        </w:tc>
        <w:tc>
          <w:tcPr>
            <w:tcW w:w="217" w:type="dxa"/>
            <w:shd w:val="clear" w:color="auto" w:fill="auto"/>
            <w:tcMar>
              <w:left w:w="0" w:type="dxa"/>
            </w:tcMar>
          </w:tcPr>
          <w:p w14:paraId="583ABEA0" w14:textId="77777777" w:rsidR="009732DF" w:rsidRPr="001D7FB8" w:rsidRDefault="009732DF" w:rsidP="001144FB">
            <w:pPr>
              <w:pStyle w:val="Textpoznpodarou"/>
              <w:jc w:val="both"/>
              <w:rPr>
                <w:spacing w:val="-4"/>
                <w:lang w:val="en-GB"/>
              </w:rPr>
            </w:pPr>
          </w:p>
        </w:tc>
        <w:tc>
          <w:tcPr>
            <w:tcW w:w="7720" w:type="dxa"/>
            <w:shd w:val="clear" w:color="auto" w:fill="auto"/>
            <w:tcMar>
              <w:left w:w="0" w:type="dxa"/>
            </w:tcMar>
          </w:tcPr>
          <w:p w14:paraId="60AFF3AA" w14:textId="77777777" w:rsidR="009732DF" w:rsidRPr="001D7FB8" w:rsidRDefault="009732DF" w:rsidP="001144FB">
            <w:pPr>
              <w:spacing w:after="200"/>
              <w:rPr>
                <w:color w:val="0D0D0D" w:themeColor="text1" w:themeTint="F2"/>
                <w:spacing w:val="-5"/>
                <w:lang w:val="en-GB"/>
              </w:rPr>
            </w:pPr>
            <w:r>
              <w:rPr>
                <w:color w:val="0D0D0D" w:themeColor="text1" w:themeTint="F2"/>
                <w:spacing w:val="-4"/>
                <w:lang w:val="en-GB"/>
              </w:rPr>
              <w:t xml:space="preserve">Capital outlays comprised </w:t>
            </w:r>
            <w:r w:rsidRPr="001D7FB8">
              <w:rPr>
                <w:color w:val="0D0D0D" w:themeColor="text1" w:themeTint="F2"/>
                <w:spacing w:val="-4"/>
                <w:lang w:val="en-GB"/>
              </w:rPr>
              <w:t>60</w:t>
            </w:r>
            <w:r>
              <w:rPr>
                <w:color w:val="0D0D0D" w:themeColor="text1" w:themeTint="F2"/>
                <w:spacing w:val="-4"/>
                <w:lang w:val="en-GB"/>
              </w:rPr>
              <w:t xml:space="preserve"> CZK bn in H1</w:t>
            </w:r>
            <w:r w:rsidRPr="001D7FB8">
              <w:rPr>
                <w:color w:val="0D0D0D" w:themeColor="text1" w:themeTint="F2"/>
                <w:spacing w:val="-4"/>
                <w:lang w:val="en-GB"/>
              </w:rPr>
              <w:t>,</w:t>
            </w:r>
            <w:r>
              <w:rPr>
                <w:color w:val="0D0D0D" w:themeColor="text1" w:themeTint="F2"/>
                <w:spacing w:val="-4"/>
                <w:lang w:val="en-GB"/>
              </w:rPr>
              <w:t xml:space="preserve"> i.e. less than one third of the annual budgetary objective. They decreased by </w:t>
            </w:r>
            <w:r w:rsidRPr="001D7FB8">
              <w:rPr>
                <w:color w:val="0D0D0D" w:themeColor="text1" w:themeTint="F2"/>
                <w:spacing w:val="-5"/>
                <w:lang w:val="en-GB"/>
              </w:rPr>
              <w:t>8</w:t>
            </w:r>
            <w:r>
              <w:rPr>
                <w:color w:val="0D0D0D" w:themeColor="text1" w:themeTint="F2"/>
                <w:spacing w:val="-5"/>
                <w:lang w:val="en-GB"/>
              </w:rPr>
              <w:t>.</w:t>
            </w:r>
            <w:r w:rsidRPr="001D7FB8">
              <w:rPr>
                <w:color w:val="0D0D0D" w:themeColor="text1" w:themeTint="F2"/>
                <w:spacing w:val="-5"/>
                <w:lang w:val="en-GB"/>
              </w:rPr>
              <w:t>7%</w:t>
            </w:r>
            <w:r>
              <w:rPr>
                <w:color w:val="0D0D0D" w:themeColor="text1" w:themeTint="F2"/>
                <w:spacing w:val="-5"/>
                <w:lang w:val="en-GB"/>
              </w:rPr>
              <w:t xml:space="preserve"> in H1 2021 after three years of strong year-on-year growth. This item however shared more than 6% on all SB outlays. Within all H1s, it still comprised the second highest value in the last five years. The largest share of so far realised investment traditionally aimed at the transport infrastructure, mainly the projects co-financed from the European funds. Total revenues of the CR from the EU budget arrived at </w:t>
            </w:r>
            <w:r w:rsidRPr="001D7FB8">
              <w:rPr>
                <w:color w:val="0D0D0D" w:themeColor="text1" w:themeTint="F2"/>
                <w:spacing w:val="-5"/>
                <w:lang w:val="en-GB"/>
              </w:rPr>
              <w:t>71</w:t>
            </w:r>
            <w:r>
              <w:rPr>
                <w:color w:val="0D0D0D" w:themeColor="text1" w:themeTint="F2"/>
                <w:spacing w:val="-5"/>
                <w:lang w:val="en-GB"/>
              </w:rPr>
              <w:t>.</w:t>
            </w:r>
            <w:r w:rsidRPr="001D7FB8">
              <w:rPr>
                <w:color w:val="0D0D0D" w:themeColor="text1" w:themeTint="F2"/>
                <w:spacing w:val="-5"/>
                <w:lang w:val="en-GB"/>
              </w:rPr>
              <w:t>5</w:t>
            </w:r>
            <w:r>
              <w:rPr>
                <w:color w:val="0D0D0D" w:themeColor="text1" w:themeTint="F2"/>
                <w:spacing w:val="-5"/>
                <w:lang w:val="en-GB"/>
              </w:rPr>
              <w:t xml:space="preserve"> CZK bn in H1</w:t>
            </w:r>
            <w:r w:rsidRPr="001D7FB8">
              <w:rPr>
                <w:color w:val="0D0D0D" w:themeColor="text1" w:themeTint="F2"/>
                <w:spacing w:val="-5"/>
                <w:lang w:val="en-GB"/>
              </w:rPr>
              <w:t>,</w:t>
            </w:r>
            <w:r>
              <w:rPr>
                <w:color w:val="0D0D0D" w:themeColor="text1" w:themeTint="F2"/>
                <w:spacing w:val="-5"/>
                <w:lang w:val="en-GB"/>
              </w:rPr>
              <w:t xml:space="preserve"> they fell by </w:t>
            </w:r>
            <w:r w:rsidRPr="001D7FB8">
              <w:rPr>
                <w:color w:val="0D0D0D" w:themeColor="text1" w:themeTint="F2"/>
                <w:spacing w:val="-5"/>
                <w:lang w:val="en-GB"/>
              </w:rPr>
              <w:t>8%</w:t>
            </w:r>
            <w:r>
              <w:rPr>
                <w:color w:val="0D0D0D" w:themeColor="text1" w:themeTint="F2"/>
                <w:spacing w:val="-5"/>
                <w:lang w:val="en-GB"/>
              </w:rPr>
              <w:t xml:space="preserve"> year-on-year</w:t>
            </w:r>
            <w:r w:rsidRPr="001D7FB8">
              <w:rPr>
                <w:color w:val="0D0D0D" w:themeColor="text1" w:themeTint="F2"/>
                <w:spacing w:val="-5"/>
                <w:lang w:val="en-GB"/>
              </w:rPr>
              <w:t xml:space="preserve">. </w:t>
            </w:r>
            <w:r>
              <w:rPr>
                <w:color w:val="0D0D0D" w:themeColor="text1" w:themeTint="F2"/>
                <w:spacing w:val="-5"/>
                <w:lang w:val="en-GB"/>
              </w:rPr>
              <w:t xml:space="preserve">Lower revenues from the structural funds </w:t>
            </w:r>
            <w:r w:rsidRPr="001D7FB8">
              <w:rPr>
                <w:color w:val="0D0D0D" w:themeColor="text1" w:themeTint="F2"/>
                <w:spacing w:val="-5"/>
                <w:lang w:val="en-GB"/>
              </w:rPr>
              <w:t>(</w:t>
            </w:r>
            <w:r w:rsidRPr="001D7FB8">
              <w:rPr>
                <w:spacing w:val="-5"/>
                <w:lang w:val="en-GB"/>
              </w:rPr>
              <w:t>–</w:t>
            </w:r>
            <w:r w:rsidRPr="001D7FB8">
              <w:rPr>
                <w:color w:val="0D0D0D" w:themeColor="text1" w:themeTint="F2"/>
                <w:spacing w:val="-5"/>
                <w:lang w:val="en-GB"/>
              </w:rPr>
              <w:t>18%) a</w:t>
            </w:r>
            <w:r>
              <w:rPr>
                <w:color w:val="0D0D0D" w:themeColor="text1" w:themeTint="F2"/>
                <w:spacing w:val="-5"/>
                <w:lang w:val="en-GB"/>
              </w:rPr>
              <w:t xml:space="preserve">nd less significant by volume revenues on the rural development </w:t>
            </w:r>
            <w:r w:rsidRPr="001D7FB8">
              <w:rPr>
                <w:color w:val="0D0D0D" w:themeColor="text1" w:themeTint="F2"/>
                <w:spacing w:val="-5"/>
                <w:lang w:val="en-GB"/>
              </w:rPr>
              <w:t>(</w:t>
            </w:r>
            <w:r w:rsidRPr="001D7FB8">
              <w:rPr>
                <w:spacing w:val="-5"/>
                <w:lang w:val="en-GB"/>
              </w:rPr>
              <w:t>–</w:t>
            </w:r>
            <w:r w:rsidRPr="001D7FB8">
              <w:rPr>
                <w:color w:val="0D0D0D" w:themeColor="text1" w:themeTint="F2"/>
                <w:spacing w:val="-5"/>
                <w:lang w:val="en-GB"/>
              </w:rPr>
              <w:t>19%)</w:t>
            </w:r>
            <w:r>
              <w:rPr>
                <w:color w:val="0D0D0D" w:themeColor="text1" w:themeTint="F2"/>
                <w:spacing w:val="-5"/>
                <w:lang w:val="en-GB"/>
              </w:rPr>
              <w:t xml:space="preserve"> mostly contributed to this result</w:t>
            </w:r>
            <w:r w:rsidRPr="001D7FB8">
              <w:rPr>
                <w:color w:val="0D0D0D" w:themeColor="text1" w:themeTint="F2"/>
                <w:spacing w:val="-5"/>
                <w:lang w:val="en-GB"/>
              </w:rPr>
              <w:t xml:space="preserve">. </w:t>
            </w:r>
            <w:r>
              <w:rPr>
                <w:color w:val="0D0D0D" w:themeColor="text1" w:themeTint="F2"/>
                <w:spacing w:val="-5"/>
                <w:lang w:val="en-GB"/>
              </w:rPr>
              <w:t xml:space="preserve">All other main programme areas nevertheless also experienced smaller decreases. After taking into account the slight increase of the payments of the CR into the EU budget </w:t>
            </w:r>
            <w:r w:rsidRPr="001D7FB8">
              <w:rPr>
                <w:color w:val="0D0D0D" w:themeColor="text1" w:themeTint="F2"/>
                <w:spacing w:val="-5"/>
                <w:lang w:val="en-GB"/>
              </w:rPr>
              <w:t>(+3%)</w:t>
            </w:r>
            <w:r>
              <w:rPr>
                <w:color w:val="0D0D0D" w:themeColor="text1" w:themeTint="F2"/>
                <w:spacing w:val="-5"/>
                <w:lang w:val="en-GB"/>
              </w:rPr>
              <w:t xml:space="preserve">, the total net position of the CR against the Union attained </w:t>
            </w:r>
            <w:r w:rsidRPr="001D7FB8">
              <w:rPr>
                <w:color w:val="0D0D0D" w:themeColor="text1" w:themeTint="F2"/>
                <w:spacing w:val="-5"/>
                <w:lang w:val="en-GB"/>
              </w:rPr>
              <w:t>38</w:t>
            </w:r>
            <w:r>
              <w:rPr>
                <w:color w:val="0D0D0D" w:themeColor="text1" w:themeTint="F2"/>
                <w:spacing w:val="-5"/>
                <w:lang w:val="en-GB"/>
              </w:rPr>
              <w:t>.</w:t>
            </w:r>
            <w:r w:rsidRPr="001D7FB8">
              <w:rPr>
                <w:color w:val="0D0D0D" w:themeColor="text1" w:themeTint="F2"/>
                <w:spacing w:val="-5"/>
                <w:lang w:val="en-GB"/>
              </w:rPr>
              <w:t>7</w:t>
            </w:r>
            <w:r>
              <w:rPr>
                <w:color w:val="0D0D0D" w:themeColor="text1" w:themeTint="F2"/>
                <w:spacing w:val="-5"/>
                <w:lang w:val="en-GB"/>
              </w:rPr>
              <w:t xml:space="preserve"> CZK bn</w:t>
            </w:r>
            <w:r w:rsidRPr="001D7FB8">
              <w:rPr>
                <w:color w:val="0D0D0D" w:themeColor="text1" w:themeTint="F2"/>
                <w:spacing w:val="-5"/>
                <w:lang w:val="en-GB"/>
              </w:rPr>
              <w:t>,</w:t>
            </w:r>
            <w:r>
              <w:rPr>
                <w:color w:val="0D0D0D" w:themeColor="text1" w:themeTint="F2"/>
                <w:spacing w:val="-5"/>
                <w:lang w:val="en-GB"/>
              </w:rPr>
              <w:t xml:space="preserve"> which represented the second highest first half-yearly balance in the last five years. </w:t>
            </w:r>
          </w:p>
        </w:tc>
      </w:tr>
      <w:tr w:rsidR="009732DF" w:rsidRPr="00F704D2" w14:paraId="58407F09" w14:textId="77777777" w:rsidTr="001144FB">
        <w:trPr>
          <w:trHeight w:val="170"/>
        </w:trPr>
        <w:tc>
          <w:tcPr>
            <w:tcW w:w="1732" w:type="dxa"/>
            <w:vMerge w:val="restart"/>
            <w:shd w:val="clear" w:color="auto" w:fill="auto"/>
            <w:tcMar>
              <w:left w:w="0" w:type="dxa"/>
            </w:tcMar>
          </w:tcPr>
          <w:p w14:paraId="482AB785" w14:textId="77777777" w:rsidR="009732DF" w:rsidRDefault="009732DF" w:rsidP="001144FB">
            <w:pPr>
              <w:pStyle w:val="Marginlie"/>
            </w:pPr>
          </w:p>
        </w:tc>
        <w:tc>
          <w:tcPr>
            <w:tcW w:w="217" w:type="dxa"/>
            <w:vMerge w:val="restart"/>
            <w:shd w:val="clear" w:color="auto" w:fill="auto"/>
            <w:tcMar>
              <w:left w:w="0" w:type="dxa"/>
            </w:tcMar>
          </w:tcPr>
          <w:p w14:paraId="29CF343F" w14:textId="77777777" w:rsidR="009732DF" w:rsidRDefault="009732DF" w:rsidP="001144FB">
            <w:pPr>
              <w:pStyle w:val="Textpoznpodarou"/>
              <w:jc w:val="both"/>
              <w:rPr>
                <w:spacing w:val="-4"/>
              </w:rPr>
            </w:pPr>
          </w:p>
        </w:tc>
        <w:tc>
          <w:tcPr>
            <w:tcW w:w="7720" w:type="dxa"/>
            <w:shd w:val="clear" w:color="auto" w:fill="auto"/>
            <w:tcMar>
              <w:left w:w="0" w:type="dxa"/>
            </w:tcMar>
          </w:tcPr>
          <w:p w14:paraId="0D1420F1" w14:textId="77777777" w:rsidR="009732DF" w:rsidRPr="00D232BB" w:rsidRDefault="009732DF" w:rsidP="001144FB">
            <w:pPr>
              <w:spacing w:after="20" w:line="240" w:lineRule="auto"/>
              <w:jc w:val="left"/>
              <w:rPr>
                <w:rFonts w:cs="Arial"/>
                <w:bCs/>
              </w:rPr>
            </w:pPr>
            <w:r>
              <w:rPr>
                <w:b/>
              </w:rPr>
              <w:t xml:space="preserve">Chart </w:t>
            </w:r>
            <w:r w:rsidRPr="00D232BB">
              <w:rPr>
                <w:b/>
              </w:rPr>
              <w:t xml:space="preserve">17  </w:t>
            </w:r>
            <w:r w:rsidRPr="000A62F6">
              <w:rPr>
                <w:rFonts w:cs="Arial"/>
                <w:b/>
                <w:bCs/>
                <w:spacing w:val="-6"/>
                <w:lang w:val="en-GB"/>
              </w:rPr>
              <w:t>S</w:t>
            </w:r>
            <w:r>
              <w:rPr>
                <w:rFonts w:cs="Arial"/>
                <w:b/>
                <w:bCs/>
                <w:spacing w:val="-6"/>
                <w:lang w:val="en-GB"/>
              </w:rPr>
              <w:t>e</w:t>
            </w:r>
            <w:r w:rsidRPr="000A62F6">
              <w:rPr>
                <w:rFonts w:cs="Arial"/>
                <w:b/>
                <w:bCs/>
                <w:spacing w:val="-6"/>
                <w:lang w:val="en-GB"/>
              </w:rPr>
              <w:t>lected expenditures of the state budget</w:t>
            </w:r>
            <w:r>
              <w:rPr>
                <w:rFonts w:cs="Arial"/>
                <w:b/>
                <w:bCs/>
                <w:spacing w:val="-6"/>
                <w:lang w:val="en-GB"/>
              </w:rPr>
              <w:t xml:space="preserve"> within H1</w:t>
            </w:r>
            <w:r w:rsidRPr="000A62F6">
              <w:rPr>
                <w:rFonts w:cs="Arial"/>
                <w:b/>
                <w:bCs/>
                <w:spacing w:val="-6"/>
                <w:lang w:val="en-GB"/>
              </w:rPr>
              <w:t xml:space="preserve"> </w:t>
            </w:r>
            <w:r w:rsidRPr="000A62F6">
              <w:rPr>
                <w:rFonts w:cs="Arial"/>
                <w:bCs/>
                <w:spacing w:val="-6"/>
                <w:lang w:val="en-GB"/>
              </w:rPr>
              <w:t>(in CZK bn</w:t>
            </w:r>
            <w:r>
              <w:rPr>
                <w:rFonts w:cs="Arial"/>
                <w:bCs/>
                <w:spacing w:val="-6"/>
                <w:lang w:val="en-GB"/>
              </w:rPr>
              <w:t>)</w:t>
            </w:r>
          </w:p>
        </w:tc>
      </w:tr>
      <w:tr w:rsidR="009732DF" w14:paraId="3E47B86A" w14:textId="77777777" w:rsidTr="001144FB">
        <w:tblPrEx>
          <w:tblCellMar>
            <w:left w:w="70" w:type="dxa"/>
            <w:right w:w="70" w:type="dxa"/>
          </w:tblCellMar>
        </w:tblPrEx>
        <w:trPr>
          <w:trHeight w:val="170"/>
        </w:trPr>
        <w:tc>
          <w:tcPr>
            <w:tcW w:w="1732" w:type="dxa"/>
            <w:vMerge/>
            <w:shd w:val="clear" w:color="auto" w:fill="auto"/>
          </w:tcPr>
          <w:p w14:paraId="3D567308" w14:textId="77777777" w:rsidR="009732DF" w:rsidRDefault="009732DF" w:rsidP="001144FB">
            <w:pPr>
              <w:pStyle w:val="Marginlie"/>
            </w:pPr>
          </w:p>
        </w:tc>
        <w:tc>
          <w:tcPr>
            <w:tcW w:w="217" w:type="dxa"/>
            <w:vMerge/>
            <w:shd w:val="clear" w:color="auto" w:fill="auto"/>
          </w:tcPr>
          <w:p w14:paraId="3887CFED" w14:textId="77777777" w:rsidR="009732DF" w:rsidRDefault="009732DF" w:rsidP="001144FB">
            <w:pPr>
              <w:pStyle w:val="Textpoznpodarou"/>
              <w:jc w:val="both"/>
              <w:rPr>
                <w:spacing w:val="-4"/>
              </w:rPr>
            </w:pPr>
          </w:p>
        </w:tc>
        <w:tc>
          <w:tcPr>
            <w:tcW w:w="7720" w:type="dxa"/>
            <w:shd w:val="clear" w:color="auto" w:fill="auto"/>
          </w:tcPr>
          <w:p w14:paraId="4D407EA7" w14:textId="77777777" w:rsidR="009732DF" w:rsidRPr="0067514E" w:rsidRDefault="009732DF" w:rsidP="001144FB">
            <w:pPr>
              <w:spacing w:after="0"/>
              <w:rPr>
                <w:spacing w:val="-6"/>
              </w:rPr>
            </w:pPr>
            <w:r>
              <w:rPr>
                <w:noProof/>
              </w:rPr>
              <w:drawing>
                <wp:inline distT="0" distB="0" distL="0" distR="0" wp14:anchorId="37847CC2" wp14:editId="70B2FD55">
                  <wp:extent cx="4759325" cy="3449782"/>
                  <wp:effectExtent l="0" t="0" r="317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732DF" w:rsidRPr="00343AC1" w14:paraId="24864663" w14:textId="77777777" w:rsidTr="001144FB">
        <w:trPr>
          <w:trHeight w:val="170"/>
        </w:trPr>
        <w:tc>
          <w:tcPr>
            <w:tcW w:w="1732" w:type="dxa"/>
            <w:vMerge/>
            <w:shd w:val="clear" w:color="auto" w:fill="auto"/>
            <w:tcMar>
              <w:left w:w="0" w:type="dxa"/>
            </w:tcMar>
          </w:tcPr>
          <w:p w14:paraId="607A9BFD" w14:textId="77777777" w:rsidR="009732DF" w:rsidRDefault="009732DF" w:rsidP="001144FB">
            <w:pPr>
              <w:pStyle w:val="Marginlie"/>
            </w:pPr>
          </w:p>
        </w:tc>
        <w:tc>
          <w:tcPr>
            <w:tcW w:w="217" w:type="dxa"/>
            <w:vMerge/>
            <w:shd w:val="clear" w:color="auto" w:fill="auto"/>
            <w:tcMar>
              <w:left w:w="0" w:type="dxa"/>
            </w:tcMar>
          </w:tcPr>
          <w:p w14:paraId="5ABF1ED0" w14:textId="77777777" w:rsidR="009732DF" w:rsidRDefault="009732DF" w:rsidP="001144FB">
            <w:pPr>
              <w:pStyle w:val="Textpoznpodarou"/>
              <w:jc w:val="both"/>
              <w:rPr>
                <w:spacing w:val="-4"/>
              </w:rPr>
            </w:pPr>
          </w:p>
        </w:tc>
        <w:tc>
          <w:tcPr>
            <w:tcW w:w="7720" w:type="dxa"/>
            <w:shd w:val="clear" w:color="auto" w:fill="auto"/>
            <w:tcMar>
              <w:left w:w="0" w:type="dxa"/>
            </w:tcMar>
          </w:tcPr>
          <w:p w14:paraId="710DEC99" w14:textId="77777777" w:rsidR="009732DF" w:rsidRDefault="009732DF" w:rsidP="001144FB">
            <w:pPr>
              <w:pStyle w:val="Textpoznpodarou"/>
              <w:rPr>
                <w:spacing w:val="-4"/>
                <w:sz w:val="14"/>
                <w:szCs w:val="14"/>
              </w:rPr>
            </w:pPr>
            <w:r w:rsidRPr="003B04EB">
              <w:rPr>
                <w:spacing w:val="-6"/>
                <w:sz w:val="14"/>
                <w:szCs w:val="14"/>
                <w:lang w:val="en-GB"/>
              </w:rPr>
              <w:t xml:space="preserve">*Covers expenditures on salaries in central government </w:t>
            </w:r>
            <w:r>
              <w:rPr>
                <w:spacing w:val="-6"/>
                <w:sz w:val="14"/>
                <w:szCs w:val="14"/>
                <w:lang w:val="en-GB"/>
              </w:rPr>
              <w:t>institutions</w:t>
            </w:r>
            <w:r w:rsidRPr="003B04EB">
              <w:rPr>
                <w:spacing w:val="-6"/>
                <w:sz w:val="14"/>
                <w:szCs w:val="14"/>
                <w:lang w:val="en-GB"/>
              </w:rPr>
              <w:t>. Does not include e.g. wage costs of regional education.</w:t>
            </w:r>
          </w:p>
          <w:p w14:paraId="3E3A9E05"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Also includes the foster care benefits.</w:t>
            </w:r>
          </w:p>
          <w:p w14:paraId="69CD0A25"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Includes Material deprivation assistance benefits, Benefits for people with disabilities, Care benefits based on Act on State Social Support.</w:t>
            </w:r>
          </w:p>
          <w:p w14:paraId="7A0B0F98"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 xml:space="preserve">Contains mainly expenditures on purchase of services, materials, energies or other services </w:t>
            </w:r>
            <w:r w:rsidRPr="003B04EB">
              <w:rPr>
                <w:spacing w:val="-6"/>
                <w:sz w:val="14"/>
                <w:szCs w:val="14"/>
                <w:lang w:val="en-GB"/>
              </w:rPr>
              <w:t>(</w:t>
            </w:r>
            <w:r>
              <w:rPr>
                <w:spacing w:val="-6"/>
                <w:sz w:val="14"/>
                <w:szCs w:val="14"/>
                <w:lang w:val="en-GB"/>
              </w:rPr>
              <w:t xml:space="preserve">e.g. expenditures on repairs and maintenance). </w:t>
            </w:r>
          </w:p>
          <w:p w14:paraId="1562387A"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 xml:space="preserve">Corresponds to the balance of the budget chapter State debt.  </w:t>
            </w:r>
          </w:p>
          <w:p w14:paraId="741D5657" w14:textId="77777777" w:rsidR="009732DF" w:rsidRPr="003A2463" w:rsidRDefault="009732DF" w:rsidP="001144FB">
            <w:pPr>
              <w:pStyle w:val="Textpoznpodarou"/>
              <w:spacing w:after="240"/>
              <w:rPr>
                <w:spacing w:val="-6"/>
                <w:sz w:val="14"/>
                <w:szCs w:val="14"/>
              </w:rPr>
            </w:pPr>
            <w:r>
              <w:rPr>
                <w:spacing w:val="-6"/>
                <w:sz w:val="14"/>
                <w:szCs w:val="14"/>
                <w:lang w:val="en-GB"/>
              </w:rPr>
              <w:t>So</w:t>
            </w:r>
            <w:r>
              <w:rPr>
                <w:spacing w:val="-6"/>
                <w:sz w:val="14"/>
                <w:szCs w:val="14"/>
              </w:rPr>
              <w:t>urce</w:t>
            </w:r>
            <w:r w:rsidRPr="0067514E">
              <w:rPr>
                <w:spacing w:val="-6"/>
                <w:sz w:val="14"/>
                <w:szCs w:val="14"/>
              </w:rPr>
              <w:t>: MF </w:t>
            </w:r>
            <w:r>
              <w:rPr>
                <w:spacing w:val="-6"/>
                <w:sz w:val="14"/>
                <w:szCs w:val="14"/>
              </w:rPr>
              <w:t>CR</w:t>
            </w:r>
            <w:r w:rsidRPr="0067514E">
              <w:rPr>
                <w:spacing w:val="-6"/>
                <w:sz w:val="14"/>
                <w:szCs w:val="14"/>
              </w:rPr>
              <w:t>, M</w:t>
            </w:r>
            <w:r>
              <w:rPr>
                <w:spacing w:val="-6"/>
                <w:sz w:val="14"/>
                <w:szCs w:val="14"/>
              </w:rPr>
              <w:t>LSA</w:t>
            </w:r>
          </w:p>
        </w:tc>
      </w:tr>
      <w:tr w:rsidR="009732DF" w:rsidRPr="00343AC1" w14:paraId="1D29FF97" w14:textId="77777777" w:rsidTr="001144FB">
        <w:trPr>
          <w:trHeight w:val="170"/>
        </w:trPr>
        <w:tc>
          <w:tcPr>
            <w:tcW w:w="1732" w:type="dxa"/>
            <w:shd w:val="clear" w:color="auto" w:fill="auto"/>
            <w:tcMar>
              <w:left w:w="0" w:type="dxa"/>
            </w:tcMar>
          </w:tcPr>
          <w:p w14:paraId="4E470454" w14:textId="77777777" w:rsidR="009732DF" w:rsidRPr="00BB1CBB" w:rsidRDefault="009732DF" w:rsidP="001144FB">
            <w:pPr>
              <w:pStyle w:val="Marginlie"/>
              <w:rPr>
                <w:lang w:val="en-GB"/>
              </w:rPr>
            </w:pPr>
            <w:r w:rsidRPr="00BB1CBB">
              <w:rPr>
                <w:lang w:val="en-GB"/>
              </w:rPr>
              <w:t xml:space="preserve">Dynamic growth of the state debt continued. It </w:t>
            </w:r>
            <w:r w:rsidRPr="00BB1CBB">
              <w:rPr>
                <w:lang w:val="en-GB"/>
              </w:rPr>
              <w:lastRenderedPageBreak/>
              <w:t xml:space="preserve">however increased less in H1 than in the same period of the last year. </w:t>
            </w:r>
          </w:p>
          <w:p w14:paraId="157DE57B" w14:textId="77777777" w:rsidR="009732DF" w:rsidRPr="00BB1CBB" w:rsidRDefault="009732DF" w:rsidP="001144FB">
            <w:pPr>
              <w:pStyle w:val="Marginlie"/>
              <w:rPr>
                <w:lang w:val="en-GB"/>
              </w:rPr>
            </w:pPr>
          </w:p>
          <w:p w14:paraId="19D966CB" w14:textId="77777777" w:rsidR="009732DF" w:rsidRDefault="009732DF" w:rsidP="001144FB">
            <w:pPr>
              <w:pStyle w:val="Marginlie"/>
            </w:pPr>
          </w:p>
          <w:p w14:paraId="44493BAF" w14:textId="77777777" w:rsidR="009732DF" w:rsidRDefault="009732DF" w:rsidP="001144FB">
            <w:pPr>
              <w:pStyle w:val="Marginlie"/>
            </w:pPr>
          </w:p>
          <w:p w14:paraId="48837C6B" w14:textId="77777777" w:rsidR="009732DF" w:rsidRDefault="009732DF" w:rsidP="001144FB">
            <w:pPr>
              <w:pStyle w:val="Marginlie"/>
            </w:pPr>
          </w:p>
          <w:p w14:paraId="7748F886" w14:textId="77777777" w:rsidR="009732DF" w:rsidRPr="00CE5945" w:rsidRDefault="009732DF" w:rsidP="001144FB">
            <w:pPr>
              <w:pStyle w:val="Marginlie"/>
              <w:rPr>
                <w:lang w:val="en-GB"/>
              </w:rPr>
            </w:pPr>
            <w:r>
              <w:rPr>
                <w:lang w:val="en-GB"/>
              </w:rPr>
              <w:t xml:space="preserve">Outlays on the state debt servicing again grew after the favourable development in both years </w:t>
            </w:r>
            <w:r w:rsidRPr="00CE5945">
              <w:rPr>
                <w:lang w:val="en-GB"/>
              </w:rPr>
              <w:t>2019</w:t>
            </w:r>
            <w:r>
              <w:rPr>
                <w:lang w:val="en-GB"/>
              </w:rPr>
              <w:t xml:space="preserve"> and </w:t>
            </w:r>
            <w:r w:rsidRPr="00CE5945">
              <w:rPr>
                <w:lang w:val="en-GB"/>
              </w:rPr>
              <w:t>2020.</w:t>
            </w:r>
          </w:p>
        </w:tc>
        <w:tc>
          <w:tcPr>
            <w:tcW w:w="217" w:type="dxa"/>
            <w:shd w:val="clear" w:color="auto" w:fill="auto"/>
            <w:tcMar>
              <w:left w:w="0" w:type="dxa"/>
            </w:tcMar>
          </w:tcPr>
          <w:p w14:paraId="45731CD9" w14:textId="77777777" w:rsidR="009732DF" w:rsidRDefault="009732DF" w:rsidP="001144FB">
            <w:pPr>
              <w:pStyle w:val="Textpoznpodarou"/>
              <w:jc w:val="both"/>
              <w:rPr>
                <w:spacing w:val="-4"/>
              </w:rPr>
            </w:pPr>
          </w:p>
        </w:tc>
        <w:tc>
          <w:tcPr>
            <w:tcW w:w="7720" w:type="dxa"/>
            <w:shd w:val="clear" w:color="auto" w:fill="auto"/>
            <w:tcMar>
              <w:left w:w="0" w:type="dxa"/>
            </w:tcMar>
          </w:tcPr>
          <w:p w14:paraId="6C268786" w14:textId="77777777" w:rsidR="009732DF" w:rsidRPr="00281D5A" w:rsidRDefault="009732DF" w:rsidP="001144FB">
            <w:pPr>
              <w:rPr>
                <w:color w:val="0D0D0D" w:themeColor="text1" w:themeTint="F2"/>
                <w:spacing w:val="-4"/>
                <w:lang w:val="en-GB"/>
              </w:rPr>
            </w:pPr>
            <w:r w:rsidRPr="00281D5A">
              <w:rPr>
                <w:color w:val="0D0D0D" w:themeColor="text1" w:themeTint="F2"/>
                <w:spacing w:val="-4"/>
                <w:lang w:val="en-GB"/>
              </w:rPr>
              <w:t>Strongly growing need</w:t>
            </w:r>
            <w:r>
              <w:rPr>
                <w:color w:val="0D0D0D" w:themeColor="text1" w:themeTint="F2"/>
                <w:spacing w:val="-4"/>
                <w:lang w:val="en-GB"/>
              </w:rPr>
              <w:t xml:space="preserve"> for finances tied to the necessity to cover the crisis SB deficit caused the acceleration of the state debt. It climbed up to record </w:t>
            </w:r>
            <w:r w:rsidRPr="00281D5A">
              <w:rPr>
                <w:spacing w:val="-4"/>
                <w:lang w:val="en-GB"/>
              </w:rPr>
              <w:t>2 416 </w:t>
            </w:r>
            <w:r>
              <w:rPr>
                <w:spacing w:val="-4"/>
                <w:lang w:val="en-GB"/>
              </w:rPr>
              <w:t xml:space="preserve">CZK bn at the end of June </w:t>
            </w:r>
            <w:r>
              <w:rPr>
                <w:spacing w:val="-4"/>
                <w:lang w:val="en-GB"/>
              </w:rPr>
              <w:lastRenderedPageBreak/>
              <w:t xml:space="preserve">and strengthened by one eighth year-on-year. Since the beginning of this year, it expanded by </w:t>
            </w:r>
            <w:r w:rsidRPr="00281D5A">
              <w:rPr>
                <w:spacing w:val="-4"/>
                <w:lang w:val="en-GB"/>
              </w:rPr>
              <w:t>366</w:t>
            </w:r>
            <w:r>
              <w:rPr>
                <w:spacing w:val="-4"/>
                <w:lang w:val="en-GB"/>
              </w:rPr>
              <w:t>.</w:t>
            </w:r>
            <w:r w:rsidRPr="00281D5A">
              <w:rPr>
                <w:spacing w:val="-4"/>
                <w:lang w:val="en-GB"/>
              </w:rPr>
              <w:t>5</w:t>
            </w:r>
            <w:r>
              <w:rPr>
                <w:spacing w:val="-4"/>
                <w:lang w:val="en-GB"/>
              </w:rPr>
              <w:t xml:space="preserve"> bn, which was however less than the unprecedented jump in the same period of the last year </w:t>
            </w:r>
            <w:r w:rsidRPr="00281D5A">
              <w:rPr>
                <w:spacing w:val="-4"/>
                <w:lang w:val="en-GB"/>
              </w:rPr>
              <w:t>(+516</w:t>
            </w:r>
            <w:r>
              <w:rPr>
                <w:spacing w:val="-4"/>
                <w:lang w:val="en-GB"/>
              </w:rPr>
              <w:t>.</w:t>
            </w:r>
            <w:r w:rsidRPr="00281D5A">
              <w:rPr>
                <w:spacing w:val="-4"/>
                <w:lang w:val="en-GB"/>
              </w:rPr>
              <w:t>7</w:t>
            </w:r>
            <w:r>
              <w:rPr>
                <w:spacing w:val="-4"/>
                <w:lang w:val="en-GB"/>
              </w:rPr>
              <w:t xml:space="preserve"> bn</w:t>
            </w:r>
            <w:r w:rsidRPr="00281D5A">
              <w:rPr>
                <w:spacing w:val="-4"/>
                <w:lang w:val="en-GB"/>
              </w:rPr>
              <w:t xml:space="preserve">). </w:t>
            </w:r>
            <w:r>
              <w:rPr>
                <w:spacing w:val="-4"/>
                <w:lang w:val="en-GB"/>
              </w:rPr>
              <w:t>Traditionally strong issue activity in the area of state bonds</w:t>
            </w:r>
            <w:r w:rsidRPr="00281D5A">
              <w:rPr>
                <w:rStyle w:val="Znakapoznpodarou"/>
                <w:spacing w:val="-4"/>
                <w:lang w:val="en-GB"/>
              </w:rPr>
              <w:footnoteReference w:id="18"/>
            </w:r>
            <w:r w:rsidRPr="00281D5A">
              <w:rPr>
                <w:spacing w:val="-4"/>
                <w:lang w:val="en-GB"/>
              </w:rPr>
              <w:t xml:space="preserve"> </w:t>
            </w:r>
            <w:r>
              <w:rPr>
                <w:spacing w:val="-4"/>
                <w:lang w:val="en-GB"/>
              </w:rPr>
              <w:t xml:space="preserve">also manifested this year, focused primarily into the first quarter of the year, which enabled to fully cover the debt payments planned for this year. The koruna value of the external debt fell due to the payments by more than one quarter year-on-year at the end of the half-year </w:t>
            </w:r>
            <w:r w:rsidRPr="00281D5A">
              <w:rPr>
                <w:spacing w:val="-4"/>
                <w:lang w:val="en-GB"/>
              </w:rPr>
              <w:t>a</w:t>
            </w:r>
            <w:r>
              <w:rPr>
                <w:spacing w:val="-4"/>
                <w:lang w:val="en-GB"/>
              </w:rPr>
              <w:t xml:space="preserve">nd it participated from only </w:t>
            </w:r>
            <w:r w:rsidRPr="00281D5A">
              <w:rPr>
                <w:spacing w:val="-4"/>
                <w:lang w:val="en-GB"/>
              </w:rPr>
              <w:t>6</w:t>
            </w:r>
            <w:r>
              <w:rPr>
                <w:spacing w:val="-4"/>
                <w:lang w:val="en-GB"/>
              </w:rPr>
              <w:t>.</w:t>
            </w:r>
            <w:r w:rsidRPr="00281D5A">
              <w:rPr>
                <w:spacing w:val="-4"/>
                <w:lang w:val="en-GB"/>
              </w:rPr>
              <w:t>6%</w:t>
            </w:r>
            <w:r>
              <w:rPr>
                <w:spacing w:val="-4"/>
                <w:lang w:val="en-GB"/>
              </w:rPr>
              <w:t xml:space="preserve"> on the total indebtedness</w:t>
            </w:r>
            <w:r w:rsidRPr="00281D5A">
              <w:rPr>
                <w:spacing w:val="-4"/>
                <w:lang w:val="en-GB"/>
              </w:rPr>
              <w:t xml:space="preserve">. </w:t>
            </w:r>
            <w:r>
              <w:rPr>
                <w:spacing w:val="-4"/>
                <w:lang w:val="en-GB"/>
              </w:rPr>
              <w:t>Net outlays on the state debt servicing</w:t>
            </w:r>
            <w:r w:rsidRPr="00281D5A">
              <w:rPr>
                <w:rStyle w:val="Znakapoznpodarou"/>
                <w:spacing w:val="-4"/>
                <w:lang w:val="en-GB"/>
              </w:rPr>
              <w:footnoteReference w:id="19"/>
            </w:r>
            <w:r w:rsidRPr="00281D5A">
              <w:rPr>
                <w:spacing w:val="-4"/>
                <w:lang w:val="en-GB"/>
              </w:rPr>
              <w:t xml:space="preserve"> </w:t>
            </w:r>
            <w:r>
              <w:rPr>
                <w:spacing w:val="-4"/>
                <w:lang w:val="en-GB"/>
              </w:rPr>
              <w:t xml:space="preserve">reached </w:t>
            </w:r>
            <w:r w:rsidRPr="00281D5A">
              <w:rPr>
                <w:spacing w:val="-4"/>
                <w:lang w:val="en-GB"/>
              </w:rPr>
              <w:t>18</w:t>
            </w:r>
            <w:r>
              <w:rPr>
                <w:spacing w:val="-4"/>
                <w:lang w:val="en-GB"/>
              </w:rPr>
              <w:t>.</w:t>
            </w:r>
            <w:r w:rsidRPr="00281D5A">
              <w:rPr>
                <w:spacing w:val="-4"/>
                <w:lang w:val="en-GB"/>
              </w:rPr>
              <w:t>6</w:t>
            </w:r>
            <w:r>
              <w:rPr>
                <w:spacing w:val="-4"/>
                <w:lang w:val="en-GB"/>
              </w:rPr>
              <w:t xml:space="preserve"> CZK bn in the first half-year</w:t>
            </w:r>
            <w:r w:rsidRPr="00281D5A">
              <w:rPr>
                <w:spacing w:val="-4"/>
                <w:lang w:val="en-GB"/>
              </w:rPr>
              <w:t>,</w:t>
            </w:r>
            <w:r>
              <w:rPr>
                <w:spacing w:val="-4"/>
                <w:lang w:val="en-GB"/>
              </w:rPr>
              <w:t xml:space="preserve"> by nearly one half year-on-year</w:t>
            </w:r>
            <w:r w:rsidRPr="00281D5A">
              <w:rPr>
                <w:spacing w:val="-4"/>
                <w:lang w:val="en-GB"/>
              </w:rPr>
              <w:t xml:space="preserve">. </w:t>
            </w:r>
            <w:r>
              <w:rPr>
                <w:spacing w:val="-4"/>
                <w:lang w:val="en-GB"/>
              </w:rPr>
              <w:t xml:space="preserve">Trend of decreasing outlays on the state debt observed in years </w:t>
            </w:r>
            <w:r w:rsidRPr="00281D5A">
              <w:rPr>
                <w:spacing w:val="-4"/>
                <w:lang w:val="en-GB"/>
              </w:rPr>
              <w:t>2019</w:t>
            </w:r>
            <w:r>
              <w:rPr>
                <w:spacing w:val="-4"/>
                <w:lang w:val="en-GB"/>
              </w:rPr>
              <w:t xml:space="preserve"> as well as </w:t>
            </w:r>
            <w:r w:rsidRPr="00281D5A">
              <w:rPr>
                <w:spacing w:val="-4"/>
                <w:lang w:val="en-GB"/>
              </w:rPr>
              <w:t>2020</w:t>
            </w:r>
            <w:r>
              <w:rPr>
                <w:spacing w:val="-4"/>
                <w:lang w:val="en-GB"/>
              </w:rPr>
              <w:t xml:space="preserve"> halted</w:t>
            </w:r>
            <w:r w:rsidRPr="00281D5A">
              <w:rPr>
                <w:spacing w:val="-4"/>
                <w:lang w:val="en-GB"/>
              </w:rPr>
              <w:t xml:space="preserve">. </w:t>
            </w:r>
            <w:r>
              <w:rPr>
                <w:spacing w:val="-4"/>
                <w:lang w:val="en-GB"/>
              </w:rPr>
              <w:t xml:space="preserve">It was connected both to the increase of the total indebtedness and higher yields of the state bonds, detected already at the end of the last year. </w:t>
            </w:r>
          </w:p>
        </w:tc>
      </w:tr>
      <w:tr w:rsidR="009732DF" w:rsidRPr="00343AC1" w14:paraId="57076BE9" w14:textId="77777777" w:rsidTr="001144FB">
        <w:trPr>
          <w:trHeight w:val="170"/>
        </w:trPr>
        <w:tc>
          <w:tcPr>
            <w:tcW w:w="1732" w:type="dxa"/>
            <w:shd w:val="clear" w:color="auto" w:fill="auto"/>
            <w:tcMar>
              <w:left w:w="0" w:type="dxa"/>
            </w:tcMar>
          </w:tcPr>
          <w:p w14:paraId="6F3F0A83" w14:textId="77777777" w:rsidR="009732DF" w:rsidRPr="002C7BBD" w:rsidRDefault="009732DF" w:rsidP="001144FB">
            <w:pPr>
              <w:pStyle w:val="Marginlie"/>
              <w:rPr>
                <w:lang w:val="en-GB"/>
              </w:rPr>
            </w:pPr>
            <w:r>
              <w:rPr>
                <w:lang w:val="en-GB"/>
              </w:rPr>
              <w:lastRenderedPageBreak/>
              <w:t>Weak growth of revenues as well as acceleration of outlays resulted in record budget deficit of the government institutions sector in Q1.</w:t>
            </w:r>
          </w:p>
        </w:tc>
        <w:tc>
          <w:tcPr>
            <w:tcW w:w="217" w:type="dxa"/>
            <w:shd w:val="clear" w:color="auto" w:fill="auto"/>
            <w:tcMar>
              <w:left w:w="0" w:type="dxa"/>
            </w:tcMar>
          </w:tcPr>
          <w:p w14:paraId="60832871" w14:textId="77777777" w:rsidR="009732DF" w:rsidRPr="002C7BBD" w:rsidRDefault="009732DF" w:rsidP="001144FB">
            <w:pPr>
              <w:pStyle w:val="Textpoznpodarou"/>
              <w:jc w:val="both"/>
              <w:rPr>
                <w:spacing w:val="-4"/>
                <w:lang w:val="en-GB"/>
              </w:rPr>
            </w:pPr>
          </w:p>
        </w:tc>
        <w:tc>
          <w:tcPr>
            <w:tcW w:w="7720" w:type="dxa"/>
            <w:shd w:val="clear" w:color="auto" w:fill="auto"/>
            <w:tcMar>
              <w:left w:w="0" w:type="dxa"/>
            </w:tcMar>
          </w:tcPr>
          <w:p w14:paraId="22B363C6" w14:textId="77777777" w:rsidR="009732DF" w:rsidRPr="002C7BBD" w:rsidRDefault="009732DF" w:rsidP="001144FB">
            <w:pPr>
              <w:spacing w:after="200"/>
              <w:rPr>
                <w:spacing w:val="-4"/>
                <w:lang w:val="en-GB"/>
              </w:rPr>
            </w:pPr>
            <w:r w:rsidRPr="002C7BBD">
              <w:rPr>
                <w:rFonts w:cs="Arial"/>
                <w:color w:val="0D0D0D" w:themeColor="text1" w:themeTint="F2"/>
                <w:spacing w:val="-4"/>
                <w:lang w:val="en-GB"/>
              </w:rPr>
              <w:t>Government institution sector (VI) budgeted with deficit of 136.3 CZK bn in the CR in Q1 2021</w:t>
            </w:r>
            <w:r w:rsidRPr="002C7BBD">
              <w:rPr>
                <w:rStyle w:val="Znakapoznpodarou"/>
                <w:color w:val="0D0D0D" w:themeColor="text1" w:themeTint="F2"/>
                <w:spacing w:val="-4"/>
                <w:lang w:val="en-GB"/>
              </w:rPr>
              <w:footnoteReference w:id="20"/>
            </w:r>
            <w:r w:rsidRPr="002C7BBD">
              <w:rPr>
                <w:rFonts w:cs="Arial"/>
                <w:color w:val="0D0D0D" w:themeColor="text1" w:themeTint="F2"/>
                <w:spacing w:val="-4"/>
                <w:szCs w:val="20"/>
                <w:lang w:val="en-GB"/>
              </w:rPr>
              <w:t>. It constituted the deepest recorded deficit for Q</w:t>
            </w:r>
            <w:r w:rsidRPr="002C7BBD">
              <w:rPr>
                <w:rFonts w:cs="Arial"/>
                <w:szCs w:val="20"/>
                <w:lang w:val="en-GB"/>
              </w:rPr>
              <w:t>1 and second worse result in general (after Q4 2020)</w:t>
            </w:r>
            <w:r w:rsidRPr="002C7BBD">
              <w:rPr>
                <w:rFonts w:cs="Arial"/>
                <w:color w:val="0D0D0D" w:themeColor="text1" w:themeTint="F2"/>
                <w:spacing w:val="-4"/>
                <w:szCs w:val="20"/>
                <w:lang w:val="en-GB"/>
              </w:rPr>
              <w:t xml:space="preserve">. Weak growth of revenues </w:t>
            </w:r>
            <w:r w:rsidRPr="002C7BBD">
              <w:rPr>
                <w:rFonts w:cs="Arial"/>
                <w:color w:val="0D0D0D" w:themeColor="text1" w:themeTint="F2"/>
                <w:spacing w:val="-4"/>
                <w:lang w:val="en-GB"/>
              </w:rPr>
              <w:t>(+0.8% year-on-year) was not</w:t>
            </w:r>
            <w:r>
              <w:rPr>
                <w:rFonts w:cs="Arial"/>
                <w:color w:val="0D0D0D" w:themeColor="text1" w:themeTint="F2"/>
                <w:spacing w:val="-4"/>
                <w:lang w:val="en-GB"/>
              </w:rPr>
              <w:t>a</w:t>
            </w:r>
            <w:r w:rsidRPr="002C7BBD">
              <w:rPr>
                <w:rFonts w:cs="Arial"/>
                <w:color w:val="0D0D0D" w:themeColor="text1" w:themeTint="F2"/>
                <w:spacing w:val="-4"/>
                <w:lang w:val="en-GB"/>
              </w:rPr>
              <w:t>bly affected by the decrease of collected taxes on income and wealth, especially due to the tax changes. Growth of outlays accelerated (+14.1%), mainly under the</w:t>
            </w:r>
            <w:r>
              <w:rPr>
                <w:rFonts w:cs="Arial"/>
                <w:color w:val="0D0D0D" w:themeColor="text1" w:themeTint="F2"/>
                <w:spacing w:val="-4"/>
                <w:lang w:val="en-GB"/>
              </w:rPr>
              <w:t xml:space="preserve"> lead of the social benefits and  natural transfers and also strong increase of paid out subsidies. Seasonally adjusted state budget </w:t>
            </w:r>
            <w:r w:rsidRPr="002C7BBD">
              <w:rPr>
                <w:rFonts w:cs="Arial"/>
                <w:color w:val="0D0D0D" w:themeColor="text1" w:themeTint="F2"/>
                <w:spacing w:val="-4"/>
                <w:lang w:val="en-GB"/>
              </w:rPr>
              <w:t>VI</w:t>
            </w:r>
            <w:r>
              <w:rPr>
                <w:rFonts w:cs="Arial"/>
                <w:color w:val="0D0D0D" w:themeColor="text1" w:themeTint="F2"/>
                <w:spacing w:val="-4"/>
                <w:lang w:val="en-GB"/>
              </w:rPr>
              <w:t xml:space="preserve"> amounted to </w:t>
            </w:r>
            <w:r w:rsidRPr="002C7BBD">
              <w:rPr>
                <w:spacing w:val="-4"/>
                <w:lang w:val="en-GB"/>
              </w:rPr>
              <w:t>–</w:t>
            </w:r>
            <w:r w:rsidRPr="002C7BBD">
              <w:rPr>
                <w:rFonts w:cs="Arial"/>
                <w:color w:val="0D0D0D" w:themeColor="text1" w:themeTint="F2"/>
                <w:spacing w:val="-4"/>
                <w:lang w:val="en-GB"/>
              </w:rPr>
              <w:t>8</w:t>
            </w:r>
            <w:r>
              <w:rPr>
                <w:rFonts w:cs="Arial"/>
                <w:color w:val="0D0D0D" w:themeColor="text1" w:themeTint="F2"/>
                <w:spacing w:val="-4"/>
                <w:lang w:val="en-GB"/>
              </w:rPr>
              <w:t>.</w:t>
            </w:r>
            <w:r w:rsidRPr="002C7BBD">
              <w:rPr>
                <w:rFonts w:cs="Arial"/>
                <w:color w:val="0D0D0D" w:themeColor="text1" w:themeTint="F2"/>
                <w:spacing w:val="-4"/>
                <w:lang w:val="en-GB"/>
              </w:rPr>
              <w:t>8%</w:t>
            </w:r>
            <w:r>
              <w:rPr>
                <w:rFonts w:cs="Arial"/>
                <w:color w:val="0D0D0D" w:themeColor="text1" w:themeTint="F2"/>
                <w:spacing w:val="-4"/>
                <w:lang w:val="en-GB"/>
              </w:rPr>
              <w:t xml:space="preserve"> of GDP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which represented worsening in both year-on-year </w:t>
            </w:r>
            <w:r w:rsidRPr="002C7BBD">
              <w:rPr>
                <w:rFonts w:cs="Arial"/>
                <w:color w:val="0D0D0D" w:themeColor="text1" w:themeTint="F2"/>
                <w:spacing w:val="-4"/>
                <w:lang w:val="en-GB"/>
              </w:rPr>
              <w:t>(</w:t>
            </w:r>
            <w:r>
              <w:rPr>
                <w:rFonts w:cs="Arial"/>
                <w:color w:val="0D0D0D" w:themeColor="text1" w:themeTint="F2"/>
                <w:spacing w:val="-4"/>
                <w:lang w:val="en-GB"/>
              </w:rPr>
              <w:t xml:space="preserve">by </w:t>
            </w:r>
            <w:r w:rsidRPr="002C7BBD">
              <w:rPr>
                <w:rFonts w:cs="Arial"/>
                <w:color w:val="0D0D0D" w:themeColor="text1" w:themeTint="F2"/>
                <w:spacing w:val="-4"/>
                <w:lang w:val="en-GB"/>
              </w:rPr>
              <w:t>6</w:t>
            </w:r>
            <w:r>
              <w:rPr>
                <w:rFonts w:cs="Arial"/>
                <w:color w:val="0D0D0D" w:themeColor="text1" w:themeTint="F2"/>
                <w:spacing w:val="-4"/>
                <w:lang w:val="en-GB"/>
              </w:rPr>
              <w:t>.</w:t>
            </w:r>
            <w:r w:rsidRPr="002C7BBD">
              <w:rPr>
                <w:rFonts w:cs="Arial"/>
                <w:color w:val="0D0D0D" w:themeColor="text1" w:themeTint="F2"/>
                <w:spacing w:val="-4"/>
                <w:lang w:val="en-GB"/>
              </w:rPr>
              <w:t>1 p.</w:t>
            </w:r>
            <w:r>
              <w:rPr>
                <w:rFonts w:cs="Arial"/>
                <w:color w:val="0D0D0D" w:themeColor="text1" w:themeTint="F2"/>
                <w:spacing w:val="-4"/>
                <w:lang w:val="en-GB"/>
              </w:rPr>
              <w:t>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but also quarter-on-quarter expression </w:t>
            </w:r>
            <w:r w:rsidRPr="002C7BBD">
              <w:rPr>
                <w:rFonts w:cs="Arial"/>
                <w:color w:val="0D0D0D" w:themeColor="text1" w:themeTint="F2"/>
                <w:spacing w:val="-4"/>
                <w:lang w:val="en-GB"/>
              </w:rPr>
              <w:t>(</w:t>
            </w:r>
            <w:r>
              <w:rPr>
                <w:rFonts w:cs="Arial"/>
                <w:color w:val="0D0D0D" w:themeColor="text1" w:themeTint="F2"/>
                <w:spacing w:val="-4"/>
                <w:lang w:val="en-GB"/>
              </w:rPr>
              <w:t xml:space="preserve">by </w:t>
            </w:r>
            <w:r w:rsidRPr="002C7BBD">
              <w:rPr>
                <w:rFonts w:cs="Arial"/>
                <w:color w:val="0D0D0D" w:themeColor="text1" w:themeTint="F2"/>
                <w:spacing w:val="-4"/>
                <w:lang w:val="en-GB"/>
              </w:rPr>
              <w:t>0</w:t>
            </w:r>
            <w:r>
              <w:rPr>
                <w:rFonts w:cs="Arial"/>
                <w:color w:val="0D0D0D" w:themeColor="text1" w:themeTint="F2"/>
                <w:spacing w:val="-4"/>
                <w:lang w:val="en-GB"/>
              </w:rPr>
              <w:t>.</w:t>
            </w:r>
            <w:r w:rsidRPr="002C7BBD">
              <w:rPr>
                <w:rFonts w:cs="Arial"/>
                <w:color w:val="0D0D0D" w:themeColor="text1" w:themeTint="F2"/>
                <w:spacing w:val="-4"/>
                <w:lang w:val="en-GB"/>
              </w:rPr>
              <w:t>7 p.</w:t>
            </w:r>
            <w:r>
              <w:rPr>
                <w:rFonts w:cs="Arial"/>
                <w:color w:val="0D0D0D" w:themeColor="text1" w:themeTint="F2"/>
                <w:spacing w:val="-4"/>
                <w:lang w:val="en-GB"/>
              </w:rPr>
              <w:t>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The nominal debt </w:t>
            </w:r>
            <w:r w:rsidRPr="002C7BBD">
              <w:rPr>
                <w:spacing w:val="-4"/>
                <w:lang w:val="en-GB"/>
              </w:rPr>
              <w:t xml:space="preserve">VI </w:t>
            </w:r>
            <w:r>
              <w:rPr>
                <w:spacing w:val="-4"/>
                <w:lang w:val="en-GB"/>
              </w:rPr>
              <w:t xml:space="preserve">reached </w:t>
            </w:r>
            <w:r w:rsidRPr="002C7BBD">
              <w:rPr>
                <w:spacing w:val="-4"/>
                <w:lang w:val="en-GB"/>
              </w:rPr>
              <w:t>2</w:t>
            </w:r>
            <w:r>
              <w:rPr>
                <w:rFonts w:cs="Arial"/>
                <w:color w:val="0D0D0D" w:themeColor="text1" w:themeTint="F2"/>
                <w:spacing w:val="-4"/>
                <w:lang w:val="en-GB"/>
              </w:rPr>
              <w:t> </w:t>
            </w:r>
            <w:r w:rsidRPr="002C7BBD">
              <w:rPr>
                <w:spacing w:val="-4"/>
                <w:lang w:val="en-GB"/>
              </w:rPr>
              <w:t>519</w:t>
            </w:r>
            <w:r>
              <w:rPr>
                <w:spacing w:val="-4"/>
                <w:lang w:val="en-GB"/>
              </w:rPr>
              <w:t>.</w:t>
            </w:r>
            <w:r w:rsidRPr="002C7BBD">
              <w:rPr>
                <w:spacing w:val="-4"/>
                <w:lang w:val="en-GB"/>
              </w:rPr>
              <w:t>1 </w:t>
            </w:r>
            <w:r>
              <w:rPr>
                <w:spacing w:val="-4"/>
                <w:lang w:val="en-GB"/>
              </w:rPr>
              <w:t xml:space="preserve">CZK bn. this year at the end of Q1. The indebtedness rate rose year-on-year </w:t>
            </w:r>
            <w:r w:rsidRPr="002C7BBD">
              <w:rPr>
                <w:spacing w:val="-4"/>
                <w:lang w:val="en-GB"/>
              </w:rPr>
              <w:t xml:space="preserve">– </w:t>
            </w:r>
            <w:r>
              <w:rPr>
                <w:spacing w:val="-4"/>
                <w:lang w:val="en-GB"/>
              </w:rPr>
              <w:t xml:space="preserve">from </w:t>
            </w:r>
            <w:r w:rsidRPr="002C7BBD">
              <w:rPr>
                <w:spacing w:val="-4"/>
                <w:lang w:val="en-GB"/>
              </w:rPr>
              <w:t>32</w:t>
            </w:r>
            <w:r>
              <w:rPr>
                <w:spacing w:val="-4"/>
                <w:lang w:val="en-GB"/>
              </w:rPr>
              <w:t>.</w:t>
            </w:r>
            <w:r w:rsidRPr="002C7BBD">
              <w:rPr>
                <w:spacing w:val="-4"/>
                <w:lang w:val="en-GB"/>
              </w:rPr>
              <w:t xml:space="preserve">4% </w:t>
            </w:r>
            <w:r>
              <w:rPr>
                <w:spacing w:val="-4"/>
                <w:lang w:val="en-GB"/>
              </w:rPr>
              <w:t xml:space="preserve">to </w:t>
            </w:r>
            <w:r w:rsidRPr="002C7BBD">
              <w:rPr>
                <w:spacing w:val="-4"/>
                <w:lang w:val="en-GB"/>
              </w:rPr>
              <w:t>44</w:t>
            </w:r>
            <w:r>
              <w:rPr>
                <w:spacing w:val="-4"/>
                <w:lang w:val="en-GB"/>
              </w:rPr>
              <w:t>.</w:t>
            </w:r>
            <w:r w:rsidRPr="002C7BBD">
              <w:rPr>
                <w:spacing w:val="-4"/>
                <w:lang w:val="en-GB"/>
              </w:rPr>
              <w:t>1%</w:t>
            </w:r>
            <w:r>
              <w:rPr>
                <w:spacing w:val="-4"/>
                <w:lang w:val="en-GB"/>
              </w:rPr>
              <w:t xml:space="preserve"> of GDP</w:t>
            </w:r>
            <w:r w:rsidRPr="002C7BBD">
              <w:rPr>
                <w:spacing w:val="-4"/>
                <w:lang w:val="en-GB"/>
              </w:rPr>
              <w:t>.</w:t>
            </w:r>
            <w:r>
              <w:rPr>
                <w:spacing w:val="-4"/>
                <w:lang w:val="en-GB"/>
              </w:rPr>
              <w:t xml:space="preserve"> Falling nominal GDP also left its mark on the record growth of indebtedness, dominantly </w:t>
            </w:r>
            <w:r w:rsidRPr="002C7BBD">
              <w:rPr>
                <w:spacing w:val="-4"/>
                <w:lang w:val="en-GB"/>
              </w:rPr>
              <w:t>(</w:t>
            </w:r>
            <w:r>
              <w:rPr>
                <w:spacing w:val="-4"/>
                <w:lang w:val="en-GB"/>
              </w:rPr>
              <w:t xml:space="preserve">from nearly </w:t>
            </w:r>
            <w:r w:rsidRPr="002C7BBD">
              <w:rPr>
                <w:spacing w:val="-4"/>
                <w:lang w:val="en-GB"/>
              </w:rPr>
              <w:t xml:space="preserve">95%) </w:t>
            </w:r>
            <w:r>
              <w:rPr>
                <w:spacing w:val="-4"/>
                <w:lang w:val="en-GB"/>
              </w:rPr>
              <w:t xml:space="preserve">it however also mirrored the acceleration of the absolute amount of debt. </w:t>
            </w:r>
          </w:p>
        </w:tc>
      </w:tr>
      <w:tr w:rsidR="009732DF" w:rsidRPr="00343AC1" w14:paraId="1DFB3C42" w14:textId="77777777" w:rsidTr="001144FB">
        <w:trPr>
          <w:trHeight w:val="170"/>
        </w:trPr>
        <w:tc>
          <w:tcPr>
            <w:tcW w:w="1732" w:type="dxa"/>
            <w:shd w:val="clear" w:color="auto" w:fill="auto"/>
            <w:tcMar>
              <w:left w:w="0" w:type="dxa"/>
            </w:tcMar>
          </w:tcPr>
          <w:p w14:paraId="52C3A056" w14:textId="77777777" w:rsidR="009732DF" w:rsidRDefault="009732DF" w:rsidP="001144FB">
            <w:pPr>
              <w:pStyle w:val="Marginlie"/>
              <w:rPr>
                <w:lang w:val="en-GB"/>
              </w:rPr>
            </w:pPr>
            <w:r>
              <w:rPr>
                <w:lang w:val="en-GB"/>
              </w:rPr>
              <w:t xml:space="preserve">Budget deficit of the government institutions mildly decreased in the EU compared to the end of year </w:t>
            </w:r>
            <w:r w:rsidRPr="00D136CF">
              <w:rPr>
                <w:lang w:val="en-GB"/>
              </w:rPr>
              <w:t>2020</w:t>
            </w:r>
            <w:r>
              <w:rPr>
                <w:lang w:val="en-GB"/>
              </w:rPr>
              <w:t xml:space="preserve">, it increased in the CR. </w:t>
            </w:r>
          </w:p>
          <w:p w14:paraId="35EAE327" w14:textId="77777777" w:rsidR="009732DF" w:rsidRPr="00D136CF" w:rsidRDefault="009732DF" w:rsidP="001144FB">
            <w:pPr>
              <w:pStyle w:val="Marginlie"/>
              <w:rPr>
                <w:lang w:val="en-GB"/>
              </w:rPr>
            </w:pPr>
          </w:p>
          <w:p w14:paraId="0F1915D4" w14:textId="77777777" w:rsidR="009732DF" w:rsidRPr="00D136CF" w:rsidRDefault="009732DF" w:rsidP="001144FB">
            <w:pPr>
              <w:pStyle w:val="Marginlie"/>
              <w:rPr>
                <w:lang w:val="en-GB"/>
              </w:rPr>
            </w:pPr>
          </w:p>
          <w:p w14:paraId="50672481" w14:textId="77777777" w:rsidR="009732DF" w:rsidRPr="00D136CF" w:rsidRDefault="009732DF" w:rsidP="001144FB">
            <w:pPr>
              <w:pStyle w:val="Marginlie"/>
              <w:rPr>
                <w:lang w:val="en-GB"/>
              </w:rPr>
            </w:pPr>
          </w:p>
          <w:p w14:paraId="1FF05570" w14:textId="77777777" w:rsidR="009732DF" w:rsidRPr="00D136CF" w:rsidRDefault="009732DF" w:rsidP="001144FB">
            <w:pPr>
              <w:pStyle w:val="Marginlie"/>
              <w:rPr>
                <w:lang w:val="en-GB"/>
              </w:rPr>
            </w:pPr>
          </w:p>
          <w:p w14:paraId="620A64BB" w14:textId="77777777" w:rsidR="009732DF" w:rsidRPr="00D136CF" w:rsidRDefault="009732DF" w:rsidP="001144FB">
            <w:pPr>
              <w:pStyle w:val="Marginlie"/>
              <w:rPr>
                <w:lang w:val="en-GB"/>
              </w:rPr>
            </w:pPr>
          </w:p>
          <w:p w14:paraId="43C738DE" w14:textId="77777777" w:rsidR="009732DF" w:rsidRPr="00D136CF" w:rsidRDefault="009732DF" w:rsidP="001144FB">
            <w:pPr>
              <w:pStyle w:val="Marginlie"/>
              <w:rPr>
                <w:lang w:val="en-GB"/>
              </w:rPr>
            </w:pPr>
            <w:r>
              <w:rPr>
                <w:lang w:val="en-GB"/>
              </w:rPr>
              <w:t xml:space="preserve">The indebtedness rate grew the most compared to the pre-pandemic level in the countries of South Europe. Growth in the CR was in the context of countries with lower level of indebtedness relatively strong. </w:t>
            </w:r>
          </w:p>
        </w:tc>
        <w:tc>
          <w:tcPr>
            <w:tcW w:w="217" w:type="dxa"/>
            <w:shd w:val="clear" w:color="auto" w:fill="auto"/>
            <w:tcMar>
              <w:left w:w="0" w:type="dxa"/>
            </w:tcMar>
          </w:tcPr>
          <w:p w14:paraId="4CDD7BCF" w14:textId="77777777" w:rsidR="009732DF" w:rsidRPr="00D136CF" w:rsidRDefault="009732DF" w:rsidP="001144FB">
            <w:pPr>
              <w:pStyle w:val="Textpoznpodarou"/>
              <w:jc w:val="both"/>
              <w:rPr>
                <w:spacing w:val="-4"/>
                <w:lang w:val="en-GB"/>
              </w:rPr>
            </w:pPr>
          </w:p>
        </w:tc>
        <w:tc>
          <w:tcPr>
            <w:tcW w:w="7720" w:type="dxa"/>
            <w:shd w:val="clear" w:color="auto" w:fill="auto"/>
            <w:tcMar>
              <w:left w:w="0" w:type="dxa"/>
            </w:tcMar>
          </w:tcPr>
          <w:p w14:paraId="67E381E6" w14:textId="77777777" w:rsidR="009732DF" w:rsidRPr="00D136CF" w:rsidRDefault="009732DF" w:rsidP="001144FB">
            <w:pPr>
              <w:spacing w:after="0"/>
              <w:rPr>
                <w:spacing w:val="-4"/>
                <w:lang w:val="en-GB"/>
              </w:rPr>
            </w:pPr>
            <w:r>
              <w:rPr>
                <w:spacing w:val="-4"/>
                <w:lang w:val="en-GB"/>
              </w:rPr>
              <w:t xml:space="preserve">Budget deficit of the sector of government institutions in the EU countries </w:t>
            </w:r>
            <w:r w:rsidRPr="00D136CF">
              <w:rPr>
                <w:spacing w:val="-4"/>
                <w:lang w:val="en-GB"/>
              </w:rPr>
              <w:t>(</w:t>
            </w:r>
            <w:r>
              <w:rPr>
                <w:spacing w:val="-4"/>
                <w:lang w:val="en-GB"/>
              </w:rPr>
              <w:t>after seasonal adjustment</w:t>
            </w:r>
            <w:r w:rsidRPr="00D136CF">
              <w:rPr>
                <w:spacing w:val="-4"/>
                <w:lang w:val="en-GB"/>
              </w:rPr>
              <w:t>)</w:t>
            </w:r>
            <w:r>
              <w:rPr>
                <w:spacing w:val="-4"/>
                <w:lang w:val="en-GB"/>
              </w:rPr>
              <w:t xml:space="preserve"> partially stabilised following the record downturn in the beginning phase of the pandemics </w:t>
            </w:r>
            <w:r w:rsidRPr="00D136CF">
              <w:rPr>
                <w:spacing w:val="-4"/>
                <w:lang w:val="en-GB"/>
              </w:rPr>
              <w:t>(</w:t>
            </w:r>
            <w:r>
              <w:rPr>
                <w:spacing w:val="-4"/>
                <w:lang w:val="en-GB"/>
              </w:rPr>
              <w:t xml:space="preserve">to </w:t>
            </w:r>
            <w:r w:rsidRPr="00D136CF">
              <w:rPr>
                <w:spacing w:val="-4"/>
                <w:lang w:val="en-GB"/>
              </w:rPr>
              <w:t>–11</w:t>
            </w:r>
            <w:r>
              <w:rPr>
                <w:spacing w:val="-4"/>
                <w:lang w:val="en-GB"/>
              </w:rPr>
              <w:t>.</w:t>
            </w:r>
            <w:r w:rsidRPr="00D136CF">
              <w:rPr>
                <w:spacing w:val="-4"/>
                <w:lang w:val="en-GB"/>
              </w:rPr>
              <w:t>8%</w:t>
            </w:r>
            <w:r>
              <w:rPr>
                <w:spacing w:val="-4"/>
                <w:lang w:val="en-GB"/>
              </w:rPr>
              <w:t xml:space="preserve"> of GDP in Q</w:t>
            </w:r>
            <w:r w:rsidRPr="00D136CF">
              <w:rPr>
                <w:spacing w:val="-4"/>
                <w:lang w:val="en-GB"/>
              </w:rPr>
              <w:t>2</w:t>
            </w:r>
            <w:r>
              <w:rPr>
                <w:spacing w:val="-4"/>
                <w:lang w:val="en-GB"/>
              </w:rPr>
              <w:t xml:space="preserve"> </w:t>
            </w:r>
            <w:r w:rsidRPr="00D136CF">
              <w:rPr>
                <w:spacing w:val="-4"/>
                <w:lang w:val="en-GB"/>
              </w:rPr>
              <w:t>2020)</w:t>
            </w:r>
            <w:r>
              <w:rPr>
                <w:spacing w:val="-4"/>
                <w:lang w:val="en-GB"/>
              </w:rPr>
              <w:t xml:space="preserve">. It was </w:t>
            </w:r>
            <w:r w:rsidRPr="00D136CF">
              <w:rPr>
                <w:spacing w:val="-4"/>
                <w:lang w:val="en-GB"/>
              </w:rPr>
              <w:t>–6</w:t>
            </w:r>
            <w:r>
              <w:rPr>
                <w:spacing w:val="-4"/>
                <w:lang w:val="en-GB"/>
              </w:rPr>
              <w:t>.</w:t>
            </w:r>
            <w:r w:rsidRPr="00D136CF">
              <w:rPr>
                <w:spacing w:val="-4"/>
                <w:lang w:val="en-GB"/>
              </w:rPr>
              <w:t>8%</w:t>
            </w:r>
            <w:r>
              <w:rPr>
                <w:spacing w:val="-4"/>
                <w:lang w:val="en-GB"/>
              </w:rPr>
              <w:t xml:space="preserve"> of GDP in the first quarter of this year and in contrast to the CR it registered a positive shift compared to the last last year</w:t>
            </w:r>
            <w:r>
              <w:rPr>
                <w:spacing w:val="-4"/>
                <w:lang w:val="en-US"/>
              </w:rPr>
              <w:t>’s quarter. Poland and Germany for instance also recorded a quarter-on-quarter deepening of the deficit this year</w:t>
            </w:r>
            <w:r w:rsidRPr="00D136CF">
              <w:rPr>
                <w:spacing w:val="-4"/>
                <w:lang w:val="en-GB"/>
              </w:rPr>
              <w:t xml:space="preserve">, </w:t>
            </w:r>
            <w:r>
              <w:rPr>
                <w:spacing w:val="-4"/>
                <w:lang w:val="en-GB"/>
              </w:rPr>
              <w:t xml:space="preserve">the size of their deficit was however smaller compared to the CR </w:t>
            </w:r>
            <w:r w:rsidRPr="00D136CF">
              <w:rPr>
                <w:spacing w:val="-4"/>
                <w:lang w:val="en-GB"/>
              </w:rPr>
              <w:t>(–2</w:t>
            </w:r>
            <w:r>
              <w:rPr>
                <w:spacing w:val="-4"/>
                <w:lang w:val="en-GB"/>
              </w:rPr>
              <w:t>.</w:t>
            </w:r>
            <w:r w:rsidRPr="00D136CF">
              <w:rPr>
                <w:spacing w:val="-4"/>
                <w:lang w:val="en-GB"/>
              </w:rPr>
              <w:t xml:space="preserve">6% </w:t>
            </w:r>
            <w:r>
              <w:rPr>
                <w:spacing w:val="-4"/>
                <w:lang w:val="en-GB"/>
              </w:rPr>
              <w:t>and</w:t>
            </w:r>
            <w:r w:rsidRPr="00D136CF">
              <w:rPr>
                <w:spacing w:val="-4"/>
                <w:lang w:val="en-GB"/>
              </w:rPr>
              <w:t xml:space="preserve"> –6</w:t>
            </w:r>
            <w:r>
              <w:rPr>
                <w:spacing w:val="-4"/>
                <w:lang w:val="en-GB"/>
              </w:rPr>
              <w:t>.</w:t>
            </w:r>
            <w:r w:rsidRPr="00D136CF">
              <w:rPr>
                <w:spacing w:val="-4"/>
                <w:lang w:val="en-GB"/>
              </w:rPr>
              <w:t>0%</w:t>
            </w:r>
            <w:r>
              <w:rPr>
                <w:spacing w:val="-4"/>
                <w:lang w:val="en-GB"/>
              </w:rPr>
              <w:t xml:space="preserve"> of GDP, respectively</w:t>
            </w:r>
            <w:r w:rsidRPr="00D136CF">
              <w:rPr>
                <w:spacing w:val="-4"/>
                <w:lang w:val="en-GB"/>
              </w:rPr>
              <w:t xml:space="preserve">). </w:t>
            </w:r>
            <w:r>
              <w:rPr>
                <w:spacing w:val="-4"/>
                <w:lang w:val="en-GB"/>
              </w:rPr>
              <w:t>Deep deficits (at the level of the CR) also afflicted Spain, France, Hungary or Romania at the beginning of this year</w:t>
            </w:r>
            <w:r w:rsidRPr="00D136CF">
              <w:rPr>
                <w:spacing w:val="-4"/>
                <w:lang w:val="en-GB"/>
              </w:rPr>
              <w:t xml:space="preserve">. </w:t>
            </w:r>
            <w:r>
              <w:rPr>
                <w:spacing w:val="-4"/>
                <w:lang w:val="en-GB"/>
              </w:rPr>
              <w:t xml:space="preserve">On the contrary, only Denmark and Luxembourg achieved budget surpluses. Adverse development of the public budgets was logically reflected in the area of debt. The indebtedness rate </w:t>
            </w:r>
            <w:r w:rsidRPr="00D136CF">
              <w:rPr>
                <w:spacing w:val="-4"/>
                <w:lang w:val="en-GB"/>
              </w:rPr>
              <w:t>VI</w:t>
            </w:r>
            <w:r>
              <w:rPr>
                <w:spacing w:val="-4"/>
                <w:lang w:val="en-GB"/>
              </w:rPr>
              <w:t xml:space="preserve"> increased in the Union already at the beginning of the last year and following a significant acceleration in Q</w:t>
            </w:r>
            <w:r w:rsidRPr="00D136CF">
              <w:rPr>
                <w:spacing w:val="-4"/>
                <w:lang w:val="en-GB"/>
              </w:rPr>
              <w:t>2</w:t>
            </w:r>
            <w:r>
              <w:rPr>
                <w:spacing w:val="-4"/>
                <w:lang w:val="en-GB"/>
              </w:rPr>
              <w:t xml:space="preserve"> </w:t>
            </w:r>
            <w:r w:rsidRPr="00D136CF">
              <w:rPr>
                <w:spacing w:val="-4"/>
                <w:lang w:val="en-GB"/>
              </w:rPr>
              <w:t>(</w:t>
            </w:r>
            <w:r>
              <w:rPr>
                <w:spacing w:val="-4"/>
                <w:lang w:val="en-GB"/>
              </w:rPr>
              <w:t>above the level of the maximum from the economic recession in 2</w:t>
            </w:r>
            <w:r w:rsidRPr="00D136CF">
              <w:rPr>
                <w:spacing w:val="-4"/>
                <w:lang w:val="en-GB"/>
              </w:rPr>
              <w:t>013)</w:t>
            </w:r>
            <w:r>
              <w:rPr>
                <w:spacing w:val="-4"/>
                <w:lang w:val="en-GB"/>
              </w:rPr>
              <w:t xml:space="preserve">, it continued in slower growth up to </w:t>
            </w:r>
            <w:r w:rsidRPr="00D136CF">
              <w:rPr>
                <w:spacing w:val="-4"/>
                <w:lang w:val="en-GB"/>
              </w:rPr>
              <w:t>92</w:t>
            </w:r>
            <w:r>
              <w:rPr>
                <w:spacing w:val="-4"/>
                <w:lang w:val="en-GB"/>
              </w:rPr>
              <w:t>.</w:t>
            </w:r>
            <w:r w:rsidRPr="00D136CF">
              <w:rPr>
                <w:spacing w:val="-4"/>
                <w:lang w:val="en-GB"/>
              </w:rPr>
              <w:t>9%</w:t>
            </w:r>
            <w:r>
              <w:rPr>
                <w:spacing w:val="-4"/>
                <w:lang w:val="en-GB"/>
              </w:rPr>
              <w:t xml:space="preserve"> of GDP </w:t>
            </w:r>
            <w:r w:rsidRPr="00D136CF">
              <w:rPr>
                <w:spacing w:val="-4"/>
                <w:lang w:val="en-GB"/>
              </w:rPr>
              <w:t>(</w:t>
            </w:r>
            <w:r>
              <w:rPr>
                <w:spacing w:val="-4"/>
                <w:lang w:val="en-GB"/>
              </w:rPr>
              <w:t>in Q</w:t>
            </w:r>
            <w:r w:rsidRPr="00D136CF">
              <w:rPr>
                <w:spacing w:val="-4"/>
                <w:lang w:val="en-GB"/>
              </w:rPr>
              <w:t>1</w:t>
            </w:r>
            <w:r>
              <w:rPr>
                <w:spacing w:val="-4"/>
                <w:lang w:val="en-GB"/>
              </w:rPr>
              <w:t xml:space="preserve"> </w:t>
            </w:r>
            <w:r w:rsidRPr="00D136CF">
              <w:rPr>
                <w:spacing w:val="-4"/>
                <w:lang w:val="en-GB"/>
              </w:rPr>
              <w:t xml:space="preserve">2021). </w:t>
            </w:r>
            <w:r>
              <w:rPr>
                <w:spacing w:val="-4"/>
                <w:lang w:val="en-GB"/>
              </w:rPr>
              <w:t>The indebtedness expanded in all Union states this year compared to the end of year 2019</w:t>
            </w:r>
            <w:r w:rsidRPr="00D136CF">
              <w:rPr>
                <w:spacing w:val="-4"/>
                <w:lang w:val="en-GB"/>
              </w:rPr>
              <w:t xml:space="preserve">, </w:t>
            </w:r>
            <w:r>
              <w:rPr>
                <w:spacing w:val="-4"/>
                <w:lang w:val="en-GB"/>
              </w:rPr>
              <w:t>the most in the countries of the euro area South wing, which belonged to the most afflicted in this respect already before the pandemics outbreak</w:t>
            </w:r>
            <w:r w:rsidRPr="00D136CF">
              <w:rPr>
                <w:spacing w:val="-4"/>
                <w:lang w:val="en-GB"/>
              </w:rPr>
              <w:t xml:space="preserve">. </w:t>
            </w:r>
            <w:r>
              <w:rPr>
                <w:spacing w:val="-4"/>
                <w:lang w:val="en-GB"/>
              </w:rPr>
              <w:t>Slo</w:t>
            </w:r>
            <w:r w:rsidRPr="00D136CF">
              <w:rPr>
                <w:spacing w:val="-4"/>
                <w:lang w:val="en-GB"/>
              </w:rPr>
              <w:t>v</w:t>
            </w:r>
            <w:r>
              <w:rPr>
                <w:spacing w:val="-4"/>
                <w:lang w:val="en-GB"/>
              </w:rPr>
              <w:t xml:space="preserve">enia experienced the less favourable development </w:t>
            </w:r>
            <w:r w:rsidRPr="00D136CF">
              <w:rPr>
                <w:spacing w:val="-4"/>
                <w:lang w:val="en-GB"/>
              </w:rPr>
              <w:t>(</w:t>
            </w:r>
            <w:r>
              <w:rPr>
                <w:spacing w:val="-4"/>
                <w:lang w:val="en-GB"/>
              </w:rPr>
              <w:t xml:space="preserve">from </w:t>
            </w:r>
            <w:r w:rsidRPr="00D136CF">
              <w:rPr>
                <w:spacing w:val="-4"/>
                <w:lang w:val="en-GB"/>
              </w:rPr>
              <w:t>65</w:t>
            </w:r>
            <w:r>
              <w:rPr>
                <w:spacing w:val="-4"/>
                <w:lang w:val="en-GB"/>
              </w:rPr>
              <w:t>.</w:t>
            </w:r>
            <w:r w:rsidRPr="00D136CF">
              <w:rPr>
                <w:spacing w:val="-4"/>
                <w:lang w:val="en-GB"/>
              </w:rPr>
              <w:t>6%</w:t>
            </w:r>
            <w:r>
              <w:rPr>
                <w:spacing w:val="-4"/>
                <w:lang w:val="en-GB"/>
              </w:rPr>
              <w:t xml:space="preserve"> to </w:t>
            </w:r>
            <w:r w:rsidRPr="00D136CF">
              <w:rPr>
                <w:spacing w:val="-4"/>
                <w:lang w:val="en-GB"/>
              </w:rPr>
              <w:t>86</w:t>
            </w:r>
            <w:r>
              <w:rPr>
                <w:spacing w:val="-4"/>
                <w:lang w:val="en-GB"/>
              </w:rPr>
              <w:t>.</w:t>
            </w:r>
            <w:r w:rsidRPr="00D136CF">
              <w:rPr>
                <w:spacing w:val="-4"/>
                <w:lang w:val="en-GB"/>
              </w:rPr>
              <w:t>0%</w:t>
            </w:r>
            <w:r>
              <w:rPr>
                <w:spacing w:val="-4"/>
                <w:lang w:val="en-GB"/>
              </w:rPr>
              <w:t xml:space="preserve"> of GDP</w:t>
            </w:r>
            <w:r w:rsidRPr="00D136CF">
              <w:rPr>
                <w:spacing w:val="-4"/>
                <w:lang w:val="en-GB"/>
              </w:rPr>
              <w:t>)</w:t>
            </w:r>
            <w:r>
              <w:rPr>
                <w:spacing w:val="-4"/>
                <w:lang w:val="en-GB"/>
              </w:rPr>
              <w:t xml:space="preserve"> among the “medium indebted economies”</w:t>
            </w:r>
            <w:r w:rsidRPr="00D136CF">
              <w:rPr>
                <w:spacing w:val="-4"/>
                <w:lang w:val="en-GB"/>
              </w:rPr>
              <w:t xml:space="preserve">. </w:t>
            </w:r>
            <w:r>
              <w:rPr>
                <w:spacing w:val="-4"/>
                <w:lang w:val="en-GB"/>
              </w:rPr>
              <w:t xml:space="preserve">Among the states fulfilling the Maastricht debt criterion, </w:t>
            </w:r>
            <w:r w:rsidRPr="00D136CF">
              <w:rPr>
                <w:spacing w:val="-4"/>
                <w:lang w:val="en-GB"/>
              </w:rPr>
              <w:t>Malta (+17</w:t>
            </w:r>
            <w:r>
              <w:rPr>
                <w:spacing w:val="-4"/>
                <w:lang w:val="en-GB"/>
              </w:rPr>
              <w:t>.</w:t>
            </w:r>
            <w:r w:rsidRPr="00D136CF">
              <w:rPr>
                <w:spacing w:val="-4"/>
                <w:lang w:val="en-GB"/>
              </w:rPr>
              <w:t>0 p.</w:t>
            </w:r>
            <w:r>
              <w:rPr>
                <w:spacing w:val="-4"/>
                <w:lang w:val="en-GB"/>
              </w:rPr>
              <w:t xml:space="preserve">p., to </w:t>
            </w:r>
            <w:r w:rsidRPr="00D136CF">
              <w:rPr>
                <w:spacing w:val="-4"/>
                <w:lang w:val="en-GB"/>
              </w:rPr>
              <w:t>59</w:t>
            </w:r>
            <w:r>
              <w:rPr>
                <w:spacing w:val="-4"/>
                <w:lang w:val="en-GB"/>
              </w:rPr>
              <w:t>.</w:t>
            </w:r>
            <w:r w:rsidRPr="00D136CF">
              <w:rPr>
                <w:spacing w:val="-4"/>
                <w:lang w:val="en-GB"/>
              </w:rPr>
              <w:t>0%</w:t>
            </w:r>
            <w:r>
              <w:rPr>
                <w:spacing w:val="-4"/>
                <w:lang w:val="en-GB"/>
              </w:rPr>
              <w:t xml:space="preserve"> of GDP</w:t>
            </w:r>
            <w:r w:rsidRPr="00D136CF">
              <w:rPr>
                <w:spacing w:val="-4"/>
                <w:lang w:val="en-GB"/>
              </w:rPr>
              <w:t>) a</w:t>
            </w:r>
            <w:r>
              <w:rPr>
                <w:spacing w:val="-4"/>
                <w:lang w:val="en-GB"/>
              </w:rPr>
              <w:t xml:space="preserve">nd the CR </w:t>
            </w:r>
            <w:r w:rsidRPr="00D136CF">
              <w:rPr>
                <w:spacing w:val="-4"/>
                <w:lang w:val="en-GB"/>
              </w:rPr>
              <w:t>(+14</w:t>
            </w:r>
            <w:r>
              <w:rPr>
                <w:spacing w:val="-4"/>
                <w:lang w:val="en-GB"/>
              </w:rPr>
              <w:t>.</w:t>
            </w:r>
            <w:r w:rsidRPr="00D136CF">
              <w:rPr>
                <w:spacing w:val="-4"/>
                <w:lang w:val="en-GB"/>
              </w:rPr>
              <w:t>1 p.</w:t>
            </w:r>
            <w:r>
              <w:rPr>
                <w:spacing w:val="-4"/>
                <w:lang w:val="en-GB"/>
              </w:rPr>
              <w:t>p.</w:t>
            </w:r>
            <w:r w:rsidRPr="00D136CF">
              <w:rPr>
                <w:spacing w:val="-4"/>
                <w:lang w:val="en-GB"/>
              </w:rPr>
              <w:t>)</w:t>
            </w:r>
            <w:r>
              <w:rPr>
                <w:spacing w:val="-4"/>
                <w:lang w:val="en-GB"/>
              </w:rPr>
              <w:t xml:space="preserve"> fared the worst</w:t>
            </w:r>
            <w:r w:rsidRPr="00D136CF">
              <w:rPr>
                <w:spacing w:val="-4"/>
                <w:lang w:val="en-GB"/>
              </w:rPr>
              <w:t>.</w:t>
            </w:r>
          </w:p>
        </w:tc>
      </w:tr>
    </w:tbl>
    <w:p w14:paraId="4A437270" w14:textId="77777777" w:rsidR="009732DF" w:rsidRPr="000F45E7" w:rsidRDefault="009732DF" w:rsidP="009732DF">
      <w:pPr>
        <w:pStyle w:val="Nadpis11"/>
        <w:spacing w:after="0"/>
        <w:rPr>
          <w:b w:val="0"/>
          <w:sz w:val="2"/>
          <w:szCs w:val="2"/>
        </w:rPr>
      </w:pPr>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AE4D00">
      <w:headerReference w:type="even" r:id="rId11"/>
      <w:headerReference w:type="default" r:id="rId12"/>
      <w:footerReference w:type="even" r:id="rId13"/>
      <w:footerReference w:type="default" r:id="rId14"/>
      <w:pgSz w:w="11906" w:h="16838" w:code="9"/>
      <w:pgMar w:top="1134" w:right="1134" w:bottom="1418" w:left="1134" w:header="680" w:footer="73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DC1D" w14:textId="77777777" w:rsidR="009A15FC" w:rsidRDefault="009A15FC" w:rsidP="00E71A58">
      <w:r>
        <w:separator/>
      </w:r>
    </w:p>
  </w:endnote>
  <w:endnote w:type="continuationSeparator" w:id="0">
    <w:p w14:paraId="7B768979" w14:textId="77777777" w:rsidR="009A15FC" w:rsidRDefault="009A15F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49655913"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E4D00">
      <w:rPr>
        <w:szCs w:val="16"/>
      </w:rPr>
      <w:t>36</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D2985DD"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E4D00">
      <w:rPr>
        <w:rStyle w:val="ZpatChar"/>
        <w:szCs w:val="16"/>
      </w:rPr>
      <w:t>37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290F" w14:textId="77777777" w:rsidR="009A15FC" w:rsidRDefault="009A15FC" w:rsidP="00A21B4D">
      <w:pPr>
        <w:spacing w:after="0"/>
      </w:pPr>
      <w:r>
        <w:separator/>
      </w:r>
    </w:p>
  </w:footnote>
  <w:footnote w:type="continuationSeparator" w:id="0">
    <w:p w14:paraId="1D274763" w14:textId="77777777" w:rsidR="009A15FC" w:rsidRDefault="009A15FC" w:rsidP="00E71A58">
      <w:r>
        <w:continuationSeparator/>
      </w:r>
    </w:p>
  </w:footnote>
  <w:footnote w:id="1">
    <w:p w14:paraId="1DADA46F" w14:textId="77777777" w:rsidR="009732DF" w:rsidRPr="0000724D" w:rsidRDefault="009732DF" w:rsidP="009732DF">
      <w:pPr>
        <w:pStyle w:val="Textpoznpodarou"/>
        <w:jc w:val="both"/>
        <w:rPr>
          <w:spacing w:val="-3"/>
          <w:sz w:val="16"/>
          <w:szCs w:val="16"/>
          <w:lang w:val="en-GB"/>
        </w:rPr>
      </w:pPr>
      <w:r w:rsidRPr="0000724D">
        <w:rPr>
          <w:rStyle w:val="Znakapoznpodarou"/>
          <w:spacing w:val="-3"/>
          <w:sz w:val="16"/>
          <w:szCs w:val="16"/>
          <w:lang w:val="en-GB"/>
        </w:rPr>
        <w:footnoteRef/>
      </w:r>
      <w:r w:rsidRPr="0000724D">
        <w:rPr>
          <w:spacing w:val="-3"/>
          <w:sz w:val="16"/>
          <w:szCs w:val="16"/>
          <w:lang w:val="en-GB"/>
        </w:rPr>
        <w:t xml:space="preserve"> </w:t>
      </w:r>
      <w:r w:rsidRPr="0000724D">
        <w:rPr>
          <w:sz w:val="16"/>
          <w:szCs w:val="16"/>
          <w:lang w:val="en-GB"/>
        </w:rPr>
        <w:t>Unless stated otherwise, all data related to the state budget stem from the data of the Ministry of Finance regarding the cash fulfilment.</w:t>
      </w:r>
      <w:r w:rsidRPr="0000724D">
        <w:rPr>
          <w:color w:val="0D0D0D" w:themeColor="text1" w:themeTint="F2"/>
          <w:spacing w:val="-3"/>
          <w:sz w:val="16"/>
          <w:szCs w:val="16"/>
          <w:lang w:val="en-GB"/>
        </w:rPr>
        <w:t xml:space="preserve"> </w:t>
      </w:r>
    </w:p>
  </w:footnote>
  <w:footnote w:id="2">
    <w:p w14:paraId="298A0839" w14:textId="77777777" w:rsidR="009732DF" w:rsidRPr="0000724D" w:rsidRDefault="009732DF" w:rsidP="009732DF">
      <w:pPr>
        <w:pStyle w:val="Textpoznpodarou"/>
        <w:jc w:val="both"/>
        <w:rPr>
          <w:spacing w:val="-2"/>
          <w:sz w:val="16"/>
          <w:szCs w:val="16"/>
          <w:lang w:val="en-GB"/>
        </w:rPr>
      </w:pPr>
      <w:r w:rsidRPr="0000724D">
        <w:rPr>
          <w:rStyle w:val="Znakapoznpodarou"/>
          <w:spacing w:val="-2"/>
          <w:sz w:val="16"/>
          <w:szCs w:val="16"/>
          <w:lang w:val="en-GB"/>
        </w:rPr>
        <w:footnoteRef/>
      </w:r>
      <w:r w:rsidRPr="0000724D">
        <w:rPr>
          <w:spacing w:val="-2"/>
          <w:sz w:val="16"/>
          <w:szCs w:val="16"/>
          <w:lang w:val="en-GB"/>
        </w:rPr>
        <w:t xml:space="preserve"> The SB thus collected by 12.4 CZK bn less on the shared taxes (VAT, income tax) in H1 this year. </w:t>
      </w:r>
    </w:p>
  </w:footnote>
  <w:footnote w:id="3">
    <w:p w14:paraId="2F6A3AA4"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This year’s SB revenues lagged behind the amount from H1 2019 by 4.2%.</w:t>
      </w:r>
    </w:p>
  </w:footnote>
  <w:footnote w:id="4">
    <w:p w14:paraId="19586771" w14:textId="77777777" w:rsidR="009732DF" w:rsidRPr="0000724D" w:rsidRDefault="009732DF" w:rsidP="009732DF">
      <w:pPr>
        <w:pStyle w:val="Textpoznpodarou"/>
        <w:jc w:val="both"/>
        <w:rPr>
          <w:spacing w:val="-3"/>
          <w:sz w:val="16"/>
          <w:szCs w:val="16"/>
          <w:lang w:val="en-GB"/>
        </w:rPr>
      </w:pPr>
      <w:r w:rsidRPr="0000724D">
        <w:rPr>
          <w:rStyle w:val="Znakapoznpodarou"/>
          <w:spacing w:val="-3"/>
          <w:sz w:val="16"/>
          <w:szCs w:val="16"/>
          <w:lang w:val="en-GB"/>
        </w:rPr>
        <w:footnoteRef/>
      </w:r>
      <w:r w:rsidRPr="0000724D">
        <w:rPr>
          <w:spacing w:val="-3"/>
          <w:sz w:val="16"/>
          <w:szCs w:val="16"/>
          <w:lang w:val="en-GB"/>
        </w:rPr>
        <w:t xml:space="preserve"> This discrepancy was partially compensated by this year’s extraordinary yields from the frequency auction (+5.6 bn).</w:t>
      </w:r>
    </w:p>
  </w:footnote>
  <w:footnote w:id="5">
    <w:p w14:paraId="6F8526ED"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Lower tariff on food service and other services was introduced last year from May until July. This year’s VAT collection was also mildly subdued by temporary waiving of </w:t>
      </w:r>
      <w:r>
        <w:rPr>
          <w:sz w:val="16"/>
          <w:szCs w:val="16"/>
          <w:lang w:val="en-GB"/>
        </w:rPr>
        <w:t xml:space="preserve">the </w:t>
      </w:r>
      <w:r w:rsidRPr="0000724D">
        <w:rPr>
          <w:sz w:val="16"/>
          <w:szCs w:val="16"/>
          <w:lang w:val="en-GB"/>
        </w:rPr>
        <w:t xml:space="preserve">tax on protective aids (e.g. respirators) and on both tests and vaccines connected to the covid-19 epidemics. </w:t>
      </w:r>
    </w:p>
  </w:footnote>
  <w:footnote w:id="6">
    <w:p w14:paraId="623339DF"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Reduction of the tariff by 1 CZK started to be negatively reflected in the tax collection due to the time delay only in March this year. According to the MF estimates, it led to the lowering of this tax collection at the SB level by 1.9 CZK bn for this year’s H1.</w:t>
      </w:r>
    </w:p>
  </w:footnote>
  <w:footnote w:id="7">
    <w:p w14:paraId="62400FE1" w14:textId="77777777" w:rsidR="009732DF" w:rsidRPr="005874A5" w:rsidRDefault="009732DF" w:rsidP="009732DF">
      <w:pPr>
        <w:pStyle w:val="Textpoznpodarou"/>
        <w:jc w:val="both"/>
        <w:rPr>
          <w:spacing w:val="-2"/>
          <w:sz w:val="16"/>
          <w:szCs w:val="16"/>
          <w:lang w:val="en-GB"/>
        </w:rPr>
      </w:pPr>
      <w:r w:rsidRPr="004A27B5">
        <w:rPr>
          <w:rStyle w:val="Znakapoznpodarou"/>
          <w:spacing w:val="-2"/>
          <w:sz w:val="16"/>
          <w:szCs w:val="16"/>
        </w:rPr>
        <w:footnoteRef/>
      </w:r>
      <w:r w:rsidRPr="004A27B5">
        <w:rPr>
          <w:spacing w:val="-2"/>
          <w:sz w:val="16"/>
          <w:szCs w:val="16"/>
        </w:rPr>
        <w:t xml:space="preserve"> </w:t>
      </w:r>
      <w:r w:rsidRPr="005874A5">
        <w:rPr>
          <w:spacing w:val="-2"/>
          <w:sz w:val="16"/>
          <w:szCs w:val="16"/>
          <w:lang w:val="en-GB"/>
        </w:rPr>
        <w:t>According to the estimates of the MF, this factor led to th</w:t>
      </w:r>
      <w:r>
        <w:rPr>
          <w:spacing w:val="-2"/>
          <w:sz w:val="16"/>
          <w:szCs w:val="16"/>
          <w:lang w:val="en-GB"/>
        </w:rPr>
        <w:t>e</w:t>
      </w:r>
      <w:r w:rsidRPr="005874A5">
        <w:rPr>
          <w:spacing w:val="-2"/>
          <w:sz w:val="16"/>
          <w:szCs w:val="16"/>
          <w:lang w:val="en-GB"/>
        </w:rPr>
        <w:t xml:space="preserve"> decrease of income from</w:t>
      </w:r>
      <w:r>
        <w:rPr>
          <w:spacing w:val="-2"/>
          <w:sz w:val="16"/>
          <w:szCs w:val="16"/>
          <w:lang w:val="en-GB"/>
        </w:rPr>
        <w:t xml:space="preserve"> </w:t>
      </w:r>
      <w:r w:rsidRPr="005874A5">
        <w:rPr>
          <w:spacing w:val="-2"/>
          <w:sz w:val="16"/>
          <w:szCs w:val="16"/>
          <w:lang w:val="en-GB"/>
        </w:rPr>
        <w:t>the corporate tax into the SB by 6.4 CZK bn in H1 2021.</w:t>
      </w:r>
    </w:p>
  </w:footnote>
  <w:footnote w:id="8">
    <w:p w14:paraId="4EAE0BD8" w14:textId="77777777" w:rsidR="009732DF" w:rsidRPr="005874A5" w:rsidRDefault="009732DF" w:rsidP="009732DF">
      <w:pPr>
        <w:pStyle w:val="Textpoznpodarou"/>
        <w:jc w:val="both"/>
        <w:rPr>
          <w:spacing w:val="-2"/>
          <w:sz w:val="16"/>
          <w:szCs w:val="16"/>
          <w:lang w:val="en-GB"/>
        </w:rPr>
      </w:pPr>
      <w:r w:rsidRPr="005874A5">
        <w:rPr>
          <w:rStyle w:val="Znakapoznpodarou"/>
          <w:spacing w:val="-2"/>
          <w:sz w:val="16"/>
          <w:szCs w:val="16"/>
          <w:lang w:val="en-GB"/>
        </w:rPr>
        <w:footnoteRef/>
      </w:r>
      <w:r w:rsidRPr="005874A5">
        <w:rPr>
          <w:spacing w:val="-2"/>
          <w:sz w:val="16"/>
          <w:szCs w:val="16"/>
          <w:lang w:val="en-GB"/>
        </w:rPr>
        <w:t xml:space="preserve"> </w:t>
      </w:r>
      <w:r>
        <w:rPr>
          <w:spacing w:val="-2"/>
          <w:sz w:val="16"/>
          <w:szCs w:val="16"/>
          <w:lang w:val="en-GB"/>
        </w:rPr>
        <w:t xml:space="preserve">After the abolition of the “super-gross salary”, a basic 15% tax rate (and supplementary 23%) was introduced from the </w:t>
      </w:r>
      <w:r w:rsidRPr="005874A5">
        <w:rPr>
          <w:spacing w:val="-2"/>
          <w:sz w:val="16"/>
          <w:szCs w:val="16"/>
          <w:lang w:val="en-GB"/>
        </w:rPr>
        <w:t>1</w:t>
      </w:r>
      <w:r w:rsidRPr="0080772F">
        <w:rPr>
          <w:spacing w:val="-2"/>
          <w:sz w:val="16"/>
          <w:szCs w:val="16"/>
          <w:vertAlign w:val="superscript"/>
          <w:lang w:val="en-GB"/>
        </w:rPr>
        <w:t>st</w:t>
      </w:r>
      <w:r>
        <w:rPr>
          <w:spacing w:val="-2"/>
          <w:sz w:val="16"/>
          <w:szCs w:val="16"/>
          <w:lang w:val="en-GB"/>
        </w:rPr>
        <w:t xml:space="preserve"> January </w:t>
      </w:r>
      <w:r w:rsidRPr="005874A5">
        <w:rPr>
          <w:spacing w:val="-2"/>
          <w:sz w:val="16"/>
          <w:szCs w:val="16"/>
          <w:lang w:val="en-GB"/>
        </w:rPr>
        <w:t>2021</w:t>
      </w:r>
      <w:r>
        <w:rPr>
          <w:spacing w:val="-2"/>
          <w:sz w:val="16"/>
          <w:szCs w:val="16"/>
          <w:lang w:val="en-GB"/>
        </w:rPr>
        <w:t xml:space="preserve"> and the annual tax rebate per the tax payer increased </w:t>
      </w:r>
      <w:r w:rsidRPr="005874A5">
        <w:rPr>
          <w:spacing w:val="-2"/>
          <w:sz w:val="16"/>
          <w:szCs w:val="16"/>
          <w:lang w:val="en-GB"/>
        </w:rPr>
        <w:t>(+3 </w:t>
      </w:r>
      <w:r>
        <w:rPr>
          <w:spacing w:val="-2"/>
          <w:sz w:val="16"/>
          <w:szCs w:val="16"/>
          <w:lang w:val="en-GB"/>
        </w:rPr>
        <w:t>CZK thousand</w:t>
      </w:r>
      <w:r w:rsidRPr="005874A5">
        <w:rPr>
          <w:spacing w:val="-2"/>
          <w:sz w:val="16"/>
          <w:szCs w:val="16"/>
          <w:lang w:val="en-GB"/>
        </w:rPr>
        <w:t>). T</w:t>
      </w:r>
      <w:r>
        <w:rPr>
          <w:spacing w:val="-2"/>
          <w:sz w:val="16"/>
          <w:szCs w:val="16"/>
          <w:lang w:val="en-GB"/>
        </w:rPr>
        <w:t xml:space="preserve">hese changes should have according to the MF estimates deprived the public budget on the above mentioned tax for as much as </w:t>
      </w:r>
      <w:r w:rsidRPr="005874A5">
        <w:rPr>
          <w:spacing w:val="-2"/>
          <w:sz w:val="16"/>
          <w:szCs w:val="16"/>
          <w:lang w:val="en-GB"/>
        </w:rPr>
        <w:t>90 </w:t>
      </w:r>
      <w:r>
        <w:rPr>
          <w:spacing w:val="-2"/>
          <w:sz w:val="16"/>
          <w:szCs w:val="16"/>
          <w:lang w:val="en-GB"/>
        </w:rPr>
        <w:t>CZK bn this year</w:t>
      </w:r>
      <w:r w:rsidRPr="005874A5">
        <w:rPr>
          <w:spacing w:val="-2"/>
          <w:sz w:val="16"/>
          <w:szCs w:val="16"/>
          <w:lang w:val="en-GB"/>
        </w:rPr>
        <w:t xml:space="preserve">. </w:t>
      </w:r>
      <w:r>
        <w:rPr>
          <w:spacing w:val="-2"/>
          <w:sz w:val="16"/>
          <w:szCs w:val="16"/>
          <w:lang w:val="en-GB"/>
        </w:rPr>
        <w:t xml:space="preserve">The state wide collection of the ITNP from dependent activity fell by </w:t>
      </w:r>
      <w:r w:rsidRPr="005874A5">
        <w:rPr>
          <w:spacing w:val="-2"/>
          <w:sz w:val="16"/>
          <w:szCs w:val="16"/>
          <w:lang w:val="en-GB"/>
        </w:rPr>
        <w:t>27</w:t>
      </w:r>
      <w:r>
        <w:rPr>
          <w:spacing w:val="-2"/>
          <w:sz w:val="16"/>
          <w:szCs w:val="16"/>
          <w:lang w:val="en-GB"/>
        </w:rPr>
        <w:t>.</w:t>
      </w:r>
      <w:r w:rsidRPr="005874A5">
        <w:rPr>
          <w:spacing w:val="-2"/>
          <w:sz w:val="16"/>
          <w:szCs w:val="16"/>
          <w:lang w:val="en-GB"/>
        </w:rPr>
        <w:t>8</w:t>
      </w:r>
      <w:r>
        <w:rPr>
          <w:spacing w:val="-2"/>
          <w:sz w:val="16"/>
          <w:szCs w:val="16"/>
          <w:lang w:val="en-GB"/>
        </w:rPr>
        <w:t xml:space="preserve"> CZK bn for H1 2021</w:t>
      </w:r>
      <w:r w:rsidRPr="005874A5">
        <w:rPr>
          <w:spacing w:val="-2"/>
          <w:sz w:val="16"/>
          <w:szCs w:val="16"/>
          <w:lang w:val="en-GB"/>
        </w:rPr>
        <w:t>.</w:t>
      </w:r>
    </w:p>
  </w:footnote>
  <w:footnote w:id="9">
    <w:p w14:paraId="060946E6" w14:textId="77777777" w:rsidR="009732DF" w:rsidRPr="001D342F" w:rsidRDefault="009732DF" w:rsidP="009732DF">
      <w:pPr>
        <w:pStyle w:val="Textpoznpodarou"/>
        <w:jc w:val="both"/>
        <w:rPr>
          <w:color w:val="0D0D0D" w:themeColor="text1" w:themeTint="F2"/>
          <w:spacing w:val="-4"/>
          <w:sz w:val="16"/>
          <w:szCs w:val="16"/>
          <w:lang w:val="en-GB"/>
        </w:rPr>
      </w:pPr>
      <w:r w:rsidRPr="00450680">
        <w:rPr>
          <w:rStyle w:val="Znakapoznpodarou"/>
          <w:spacing w:val="-4"/>
          <w:sz w:val="16"/>
          <w:szCs w:val="16"/>
          <w:lang w:val="en-GB"/>
        </w:rPr>
        <w:footnoteRef/>
      </w:r>
      <w:r w:rsidRPr="00450680">
        <w:rPr>
          <w:spacing w:val="-4"/>
          <w:sz w:val="16"/>
          <w:szCs w:val="16"/>
          <w:lang w:val="en-GB"/>
        </w:rPr>
        <w:t xml:space="preserve"> It </w:t>
      </w:r>
      <w:r w:rsidRPr="001D342F">
        <w:rPr>
          <w:spacing w:val="-4"/>
          <w:sz w:val="16"/>
          <w:szCs w:val="16"/>
          <w:lang w:val="en-GB"/>
        </w:rPr>
        <w:t xml:space="preserve">was especially the compensation of part of wages and mandatory payments with the Antivirus Programme </w:t>
      </w:r>
      <w:r w:rsidRPr="001D342F">
        <w:rPr>
          <w:color w:val="0D0D0D" w:themeColor="text1" w:themeTint="F2"/>
          <w:spacing w:val="-4"/>
          <w:sz w:val="16"/>
          <w:szCs w:val="16"/>
          <w:lang w:val="en-GB"/>
        </w:rPr>
        <w:t>A, A+ and B (24.0 CZK bn paid out from the SB in H1 2021), special programmes on the direct support of the afflicted sectors of the economy, e.g. in the area of restaurants, tourism, culture, education, sport, agriculture and food industry (including the programmes COVID Rent, COVID Not covered costs) in the total amount of 27.1 bn, further higher outlays in the health care, mainly the increased pay</w:t>
      </w:r>
      <w:r>
        <w:rPr>
          <w:color w:val="0D0D0D" w:themeColor="text1" w:themeTint="F2"/>
          <w:spacing w:val="-4"/>
          <w:sz w:val="16"/>
          <w:szCs w:val="16"/>
          <w:lang w:val="en-GB"/>
        </w:rPr>
        <w:t>ment of the state per “</w:t>
      </w:r>
      <w:r w:rsidRPr="001D342F">
        <w:rPr>
          <w:color w:val="0D0D0D" w:themeColor="text1" w:themeTint="F2"/>
          <w:spacing w:val="-4"/>
          <w:sz w:val="16"/>
          <w:szCs w:val="16"/>
          <w:lang w:val="en-GB"/>
        </w:rPr>
        <w:t>state insured person</w:t>
      </w:r>
      <w:r>
        <w:rPr>
          <w:color w:val="0D0D0D" w:themeColor="text1" w:themeTint="F2"/>
          <w:spacing w:val="-4"/>
          <w:sz w:val="16"/>
          <w:szCs w:val="16"/>
          <w:lang w:val="en-GB"/>
        </w:rPr>
        <w:t xml:space="preserve">s” (mainly children, students, pensioners, </w:t>
      </w:r>
      <w:r w:rsidRPr="001D342F">
        <w:rPr>
          <w:color w:val="0D0D0D" w:themeColor="text1" w:themeTint="F2"/>
          <w:spacing w:val="-4"/>
          <w:sz w:val="16"/>
          <w:szCs w:val="16"/>
          <w:lang w:val="en-GB"/>
        </w:rPr>
        <w:t>25.1 bn), heightened personal costs of workers in the health care and social works (16.3 bn), purchases of protective aids (3.1 bn) and finally also the increased outlays on some social benefits – care benefits, extraordinary contribut</w:t>
      </w:r>
      <w:r>
        <w:rPr>
          <w:color w:val="0D0D0D" w:themeColor="text1" w:themeTint="F2"/>
          <w:spacing w:val="-4"/>
          <w:sz w:val="16"/>
          <w:szCs w:val="16"/>
          <w:lang w:val="en-GB"/>
        </w:rPr>
        <w:t>ions</w:t>
      </w:r>
      <w:r w:rsidRPr="001D342F">
        <w:rPr>
          <w:color w:val="0D0D0D" w:themeColor="text1" w:themeTint="F2"/>
          <w:spacing w:val="-4"/>
          <w:sz w:val="16"/>
          <w:szCs w:val="16"/>
          <w:lang w:val="en-GB"/>
        </w:rPr>
        <w:t xml:space="preserve"> for employees in the quarantine or isolation (5.1 bn). Majority of the above mentioned outlays substantially increased compared to H1 2020, except for care benefits, purchases of protective aids and hospital debt eliminations. </w:t>
      </w:r>
    </w:p>
  </w:footnote>
  <w:footnote w:id="10">
    <w:p w14:paraId="2CF18879" w14:textId="77777777" w:rsidR="009732DF" w:rsidRPr="001D342F" w:rsidRDefault="009732DF" w:rsidP="009732DF">
      <w:pPr>
        <w:pStyle w:val="Textpoznpodarou"/>
        <w:jc w:val="both"/>
        <w:rPr>
          <w:spacing w:val="-2"/>
          <w:sz w:val="16"/>
          <w:szCs w:val="16"/>
          <w:lang w:val="en-GB"/>
        </w:rPr>
      </w:pPr>
      <w:r w:rsidRPr="001D342F">
        <w:rPr>
          <w:rStyle w:val="Znakapoznpodarou"/>
          <w:spacing w:val="-2"/>
          <w:sz w:val="16"/>
          <w:szCs w:val="16"/>
          <w:lang w:val="en-GB"/>
        </w:rPr>
        <w:footnoteRef/>
      </w:r>
      <w:r w:rsidRPr="001D342F">
        <w:rPr>
          <w:spacing w:val="-2"/>
          <w:sz w:val="16"/>
          <w:szCs w:val="16"/>
          <w:lang w:val="en-GB"/>
        </w:rPr>
        <w:t xml:space="preserve"> It reflects </w:t>
      </w:r>
      <w:r>
        <w:rPr>
          <w:spacing w:val="-2"/>
          <w:sz w:val="16"/>
          <w:szCs w:val="16"/>
          <w:lang w:val="en-GB"/>
        </w:rPr>
        <w:t xml:space="preserve">the </w:t>
      </w:r>
      <w:r w:rsidRPr="001D342F">
        <w:rPr>
          <w:spacing w:val="-2"/>
          <w:sz w:val="16"/>
          <w:szCs w:val="16"/>
          <w:lang w:val="en-GB"/>
        </w:rPr>
        <w:t>approved this year’s year-on-year growth for educational as well as non-education</w:t>
      </w:r>
      <w:r>
        <w:rPr>
          <w:spacing w:val="-2"/>
          <w:sz w:val="16"/>
          <w:szCs w:val="16"/>
          <w:lang w:val="en-GB"/>
        </w:rPr>
        <w:t>al</w:t>
      </w:r>
      <w:r w:rsidRPr="001D342F">
        <w:rPr>
          <w:spacing w:val="-2"/>
          <w:sz w:val="16"/>
          <w:szCs w:val="16"/>
          <w:lang w:val="en-GB"/>
        </w:rPr>
        <w:t xml:space="preserve"> workers (by 9%, resp. 4.3%).</w:t>
      </w:r>
    </w:p>
  </w:footnote>
  <w:footnote w:id="11">
    <w:p w14:paraId="490D5629" w14:textId="77777777" w:rsidR="009732DF" w:rsidRPr="001D342F" w:rsidRDefault="009732DF" w:rsidP="009732DF">
      <w:pPr>
        <w:pStyle w:val="Textpoznpodarou"/>
        <w:jc w:val="both"/>
        <w:rPr>
          <w:sz w:val="16"/>
          <w:szCs w:val="16"/>
          <w:lang w:val="en-GB"/>
        </w:rPr>
      </w:pPr>
      <w:r w:rsidRPr="001D342F">
        <w:rPr>
          <w:rStyle w:val="Znakapoznpodarou"/>
          <w:spacing w:val="-2"/>
          <w:sz w:val="16"/>
          <w:szCs w:val="16"/>
          <w:lang w:val="en-GB"/>
        </w:rPr>
        <w:footnoteRef/>
      </w:r>
      <w:r w:rsidRPr="001D342F">
        <w:rPr>
          <w:spacing w:val="-2"/>
          <w:sz w:val="16"/>
          <w:szCs w:val="16"/>
          <w:lang w:val="en-GB"/>
        </w:rPr>
        <w:t xml:space="preserve"> Does not include the outlays on the state debt servicing. </w:t>
      </w:r>
    </w:p>
  </w:footnote>
  <w:footnote w:id="12">
    <w:p w14:paraId="1FAF3252" w14:textId="77777777" w:rsidR="009732DF" w:rsidRPr="001D342F" w:rsidRDefault="009732DF" w:rsidP="009732DF">
      <w:pPr>
        <w:pStyle w:val="Textpoznpodarou"/>
        <w:jc w:val="both"/>
        <w:rPr>
          <w:sz w:val="16"/>
          <w:szCs w:val="16"/>
          <w:lang w:val="en-GB"/>
        </w:rPr>
      </w:pPr>
      <w:r w:rsidRPr="001D342F">
        <w:rPr>
          <w:rStyle w:val="Znakapoznpodarou"/>
          <w:sz w:val="16"/>
          <w:szCs w:val="16"/>
          <w:lang w:val="en-GB"/>
        </w:rPr>
        <w:footnoteRef/>
      </w:r>
      <w:r w:rsidRPr="001D342F">
        <w:rPr>
          <w:sz w:val="16"/>
          <w:szCs w:val="16"/>
          <w:lang w:val="en-GB"/>
        </w:rPr>
        <w:t xml:space="preserve"> </w:t>
      </w:r>
      <w:r>
        <w:rPr>
          <w:spacing w:val="-5"/>
          <w:sz w:val="16"/>
          <w:szCs w:val="16"/>
          <w:lang w:val="en-GB"/>
        </w:rPr>
        <w:t xml:space="preserve">Proportion of </w:t>
      </w:r>
      <w:r w:rsidRPr="001D342F">
        <w:rPr>
          <w:spacing w:val="-5"/>
          <w:sz w:val="16"/>
          <w:szCs w:val="16"/>
          <w:lang w:val="en-GB"/>
        </w:rPr>
        <w:t>social benefits on all SB outlays narrowed within H1 for the fourth time in a row (to 36.0%, minimum in the ten year comparative time series).</w:t>
      </w:r>
    </w:p>
  </w:footnote>
  <w:footnote w:id="13">
    <w:p w14:paraId="1F2A3BF3" w14:textId="77777777" w:rsidR="009732DF" w:rsidRPr="001D342F" w:rsidRDefault="009732DF" w:rsidP="009732DF">
      <w:pPr>
        <w:pStyle w:val="Textpoznpodarou"/>
        <w:jc w:val="both"/>
        <w:rPr>
          <w:spacing w:val="-4"/>
          <w:sz w:val="16"/>
          <w:szCs w:val="16"/>
          <w:lang w:val="en-GB"/>
        </w:rPr>
      </w:pPr>
      <w:r w:rsidRPr="001D342F">
        <w:rPr>
          <w:rStyle w:val="Znakapoznpodarou"/>
          <w:spacing w:val="-4"/>
          <w:sz w:val="16"/>
          <w:szCs w:val="16"/>
          <w:lang w:val="en-GB"/>
        </w:rPr>
        <w:footnoteRef/>
      </w:r>
      <w:r w:rsidRPr="001D342F">
        <w:rPr>
          <w:spacing w:val="-4"/>
          <w:sz w:val="16"/>
          <w:szCs w:val="16"/>
          <w:lang w:val="en-GB"/>
        </w:rPr>
        <w:t xml:space="preserve"> 84.2 CZK bn were directed on the non-pension benefits from the SB. Compared to the pre pandemic level (H1 2019) it was however by 19.4 CZK bn more.</w:t>
      </w:r>
    </w:p>
  </w:footnote>
  <w:footnote w:id="14">
    <w:p w14:paraId="324A89AF" w14:textId="77777777" w:rsidR="009732DF" w:rsidRPr="001D342F" w:rsidRDefault="009732DF" w:rsidP="009732DF">
      <w:pPr>
        <w:pStyle w:val="Textpoznpodarou"/>
        <w:jc w:val="both"/>
        <w:rPr>
          <w:sz w:val="16"/>
          <w:szCs w:val="16"/>
          <w:lang w:val="en-GB"/>
        </w:rPr>
      </w:pPr>
      <w:r w:rsidRPr="001D342F">
        <w:rPr>
          <w:rStyle w:val="Znakapoznpodarou"/>
          <w:sz w:val="16"/>
          <w:szCs w:val="16"/>
          <w:lang w:val="en-GB"/>
        </w:rPr>
        <w:footnoteRef/>
      </w:r>
      <w:r w:rsidRPr="001D342F">
        <w:rPr>
          <w:sz w:val="16"/>
          <w:szCs w:val="16"/>
          <w:lang w:val="en-GB"/>
        </w:rPr>
        <w:t xml:space="preserve"> </w:t>
      </w:r>
      <w:r w:rsidRPr="001D342F">
        <w:rPr>
          <w:spacing w:val="-6"/>
          <w:sz w:val="16"/>
          <w:szCs w:val="16"/>
          <w:lang w:val="en-GB"/>
        </w:rPr>
        <w:t xml:space="preserve">Even though they were the main driver of the growth of non-pension benefits in years 2015 till 2020. </w:t>
      </w:r>
    </w:p>
  </w:footnote>
  <w:footnote w:id="15">
    <w:p w14:paraId="7090BF16" w14:textId="77777777" w:rsidR="009732DF" w:rsidRPr="00105975" w:rsidRDefault="009732DF" w:rsidP="009732DF">
      <w:pPr>
        <w:pStyle w:val="Textpoznpodarou"/>
        <w:jc w:val="both"/>
        <w:rPr>
          <w:sz w:val="16"/>
          <w:szCs w:val="16"/>
          <w:lang w:val="en-GB"/>
        </w:rPr>
      </w:pPr>
      <w:r w:rsidRPr="008643BE">
        <w:rPr>
          <w:rStyle w:val="Znakapoznpodarou"/>
          <w:sz w:val="16"/>
          <w:szCs w:val="16"/>
        </w:rPr>
        <w:footnoteRef/>
      </w:r>
      <w:r w:rsidRPr="008643BE">
        <w:rPr>
          <w:sz w:val="16"/>
          <w:szCs w:val="16"/>
        </w:rPr>
        <w:t xml:space="preserve"> </w:t>
      </w:r>
      <w:r w:rsidRPr="00105975">
        <w:rPr>
          <w:sz w:val="16"/>
          <w:szCs w:val="16"/>
          <w:lang w:val="en-GB"/>
        </w:rPr>
        <w:t xml:space="preserve">Drawing of benefits last dropped before year-on-year in August 2018. Until the last year’s onset of the pandemics, their growth was not accompanied by more significant increase of the unemployment rate, and thus reflected primarily the strengthening of the average wage in the economy. </w:t>
      </w:r>
    </w:p>
  </w:footnote>
  <w:footnote w:id="16">
    <w:p w14:paraId="7BFF97E3" w14:textId="77777777" w:rsidR="009732DF" w:rsidRPr="00105975" w:rsidRDefault="009732DF" w:rsidP="009732DF">
      <w:pPr>
        <w:pStyle w:val="Textpoznpodarou"/>
        <w:jc w:val="both"/>
        <w:rPr>
          <w:spacing w:val="-4"/>
          <w:sz w:val="16"/>
          <w:szCs w:val="16"/>
          <w:lang w:val="en-GB"/>
        </w:rPr>
      </w:pPr>
      <w:r w:rsidRPr="00105975">
        <w:rPr>
          <w:rStyle w:val="Znakapoznpodarou"/>
          <w:spacing w:val="-4"/>
          <w:sz w:val="16"/>
          <w:szCs w:val="16"/>
          <w:lang w:val="en-GB"/>
        </w:rPr>
        <w:footnoteRef/>
      </w:r>
      <w:r w:rsidRPr="00105975">
        <w:rPr>
          <w:spacing w:val="-4"/>
          <w:sz w:val="16"/>
          <w:szCs w:val="16"/>
          <w:lang w:val="en-GB"/>
        </w:rPr>
        <w:t xml:space="preserve"> The volume of collected insurance was negatively impacted by the abolition of the minimal advance payments for the self-employed persons and also the waiving of the insurance paid by the employer (programme Antivirus C) in H1 last year. </w:t>
      </w:r>
    </w:p>
  </w:footnote>
  <w:footnote w:id="17">
    <w:p w14:paraId="1772EB0F" w14:textId="77777777" w:rsidR="009732DF" w:rsidRPr="00105975" w:rsidRDefault="009732DF" w:rsidP="009732DF">
      <w:pPr>
        <w:pStyle w:val="Textpoznpodarou"/>
        <w:jc w:val="both"/>
        <w:rPr>
          <w:spacing w:val="-4"/>
          <w:lang w:val="en-GB"/>
        </w:rPr>
      </w:pPr>
      <w:r w:rsidRPr="00105975">
        <w:rPr>
          <w:rStyle w:val="Znakapoznpodarou"/>
          <w:spacing w:val="-4"/>
          <w:sz w:val="16"/>
          <w:szCs w:val="16"/>
          <w:lang w:val="en-GB"/>
        </w:rPr>
        <w:footnoteRef/>
      </w:r>
      <w:r w:rsidRPr="00105975">
        <w:rPr>
          <w:spacing w:val="-4"/>
          <w:sz w:val="16"/>
          <w:szCs w:val="16"/>
          <w:lang w:val="en-GB"/>
        </w:rPr>
        <w:t xml:space="preserve"> </w:t>
      </w:r>
      <w:r w:rsidRPr="00105975">
        <w:rPr>
          <w:sz w:val="16"/>
          <w:szCs w:val="16"/>
          <w:lang w:val="en-GB"/>
        </w:rPr>
        <w:t xml:space="preserve">It is expressed as the difference between revenues and expenditures on pensions from the SB. Expenditures on administration of the pension insurance system are not included in the expenditures. </w:t>
      </w:r>
    </w:p>
  </w:footnote>
  <w:footnote w:id="18">
    <w:p w14:paraId="2EB06136" w14:textId="77777777" w:rsidR="009732DF" w:rsidRPr="00E56530" w:rsidRDefault="009732DF" w:rsidP="009732DF">
      <w:pPr>
        <w:pStyle w:val="Textpoznpodarou"/>
        <w:jc w:val="both"/>
        <w:rPr>
          <w:sz w:val="16"/>
          <w:szCs w:val="16"/>
          <w:lang w:val="en-GB"/>
        </w:rPr>
      </w:pPr>
      <w:r w:rsidRPr="007E5ABB">
        <w:rPr>
          <w:rStyle w:val="Znakapoznpodarou"/>
          <w:sz w:val="16"/>
          <w:szCs w:val="16"/>
        </w:rPr>
        <w:footnoteRef/>
      </w:r>
      <w:r w:rsidRPr="007E5ABB">
        <w:rPr>
          <w:sz w:val="16"/>
          <w:szCs w:val="16"/>
        </w:rPr>
        <w:t xml:space="preserve"> </w:t>
      </w:r>
      <w:r>
        <w:rPr>
          <w:sz w:val="16"/>
          <w:szCs w:val="16"/>
        </w:rPr>
        <w:t>In H</w:t>
      </w:r>
      <w:r w:rsidRPr="00E56530">
        <w:rPr>
          <w:sz w:val="16"/>
          <w:szCs w:val="16"/>
          <w:lang w:val="en-GB"/>
        </w:rPr>
        <w:t>1</w:t>
      </w:r>
      <w:r>
        <w:rPr>
          <w:sz w:val="16"/>
          <w:szCs w:val="16"/>
          <w:lang w:val="en-GB"/>
        </w:rPr>
        <w:t xml:space="preserve"> state bonds for 390.8 CZK bn with average annual yield of 1.3% and maturity period of 8 years were issued on the domestic financial market. Domestic banks and other domestic financial institutions, which thus held already </w:t>
      </w:r>
      <w:r w:rsidRPr="00E56530">
        <w:rPr>
          <w:spacing w:val="-4"/>
          <w:sz w:val="16"/>
          <w:szCs w:val="16"/>
          <w:lang w:val="en-GB"/>
        </w:rPr>
        <w:t>64%</w:t>
      </w:r>
      <w:r>
        <w:rPr>
          <w:spacing w:val="-4"/>
          <w:sz w:val="16"/>
          <w:szCs w:val="16"/>
          <w:lang w:val="en-GB"/>
        </w:rPr>
        <w:t xml:space="preserve"> from the total domestic state bonds at the end of June 2021, demanded the bonds the most</w:t>
      </w:r>
      <w:r w:rsidRPr="00E56530">
        <w:rPr>
          <w:spacing w:val="-4"/>
          <w:sz w:val="16"/>
          <w:szCs w:val="16"/>
          <w:lang w:val="en-GB"/>
        </w:rPr>
        <w:t xml:space="preserve">. </w:t>
      </w:r>
      <w:r>
        <w:rPr>
          <w:spacing w:val="-4"/>
          <w:sz w:val="16"/>
          <w:szCs w:val="16"/>
          <w:lang w:val="en-GB"/>
        </w:rPr>
        <w:t xml:space="preserve">Non-residents shared </w:t>
      </w:r>
      <w:r w:rsidRPr="00E56530">
        <w:rPr>
          <w:spacing w:val="-4"/>
          <w:sz w:val="16"/>
          <w:szCs w:val="16"/>
          <w:lang w:val="en-GB"/>
        </w:rPr>
        <w:t>32%,</w:t>
      </w:r>
      <w:r>
        <w:rPr>
          <w:spacing w:val="-4"/>
          <w:sz w:val="16"/>
          <w:szCs w:val="16"/>
          <w:lang w:val="en-GB"/>
        </w:rPr>
        <w:t xml:space="preserve"> by </w:t>
      </w:r>
      <w:r w:rsidRPr="00E56530">
        <w:rPr>
          <w:spacing w:val="-4"/>
          <w:sz w:val="16"/>
          <w:szCs w:val="16"/>
          <w:lang w:val="en-GB"/>
        </w:rPr>
        <w:t>3 p.</w:t>
      </w:r>
      <w:r>
        <w:rPr>
          <w:spacing w:val="-4"/>
          <w:sz w:val="16"/>
          <w:szCs w:val="16"/>
          <w:lang w:val="en-GB"/>
        </w:rPr>
        <w:t xml:space="preserve">p. less year-on-year and by even </w:t>
      </w:r>
      <w:r w:rsidRPr="00E56530">
        <w:rPr>
          <w:spacing w:val="-4"/>
          <w:sz w:val="16"/>
          <w:szCs w:val="16"/>
          <w:lang w:val="en-GB"/>
        </w:rPr>
        <w:t>10 p. </w:t>
      </w:r>
      <w:r>
        <w:rPr>
          <w:spacing w:val="-4"/>
          <w:sz w:val="16"/>
          <w:szCs w:val="16"/>
          <w:lang w:val="en-GB"/>
        </w:rPr>
        <w:t>p. less for two years. Among other debt instruments employed this year, the loans from the European Commission (52.3 CZK bn)</w:t>
      </w:r>
      <w:r w:rsidRPr="00E56530">
        <w:rPr>
          <w:spacing w:val="-4"/>
          <w:sz w:val="16"/>
          <w:szCs w:val="16"/>
          <w:lang w:val="en-GB"/>
        </w:rPr>
        <w:t xml:space="preserve"> </w:t>
      </w:r>
      <w:r>
        <w:rPr>
          <w:spacing w:val="-4"/>
          <w:sz w:val="16"/>
          <w:szCs w:val="16"/>
          <w:lang w:val="en-GB"/>
        </w:rPr>
        <w:t>to assist in the moderation of the unemployment risks due to the spread of the covid-19 pandemics canno</w:t>
      </w:r>
      <w:r>
        <w:rPr>
          <w:sz w:val="16"/>
          <w:szCs w:val="16"/>
          <w:lang w:val="en-GB"/>
        </w:rPr>
        <w:t>t be omitted</w:t>
      </w:r>
      <w:r w:rsidRPr="00E56530">
        <w:rPr>
          <w:sz w:val="16"/>
          <w:szCs w:val="16"/>
          <w:lang w:val="en-GB"/>
        </w:rPr>
        <w:t xml:space="preserve">. </w:t>
      </w:r>
      <w:r>
        <w:rPr>
          <w:sz w:val="16"/>
          <w:szCs w:val="16"/>
          <w:lang w:val="en-GB"/>
        </w:rPr>
        <w:t xml:space="preserve">The role of short-term loans and credit to strengthen the liquidity of the state public treasury also grew. </w:t>
      </w:r>
    </w:p>
  </w:footnote>
  <w:footnote w:id="19">
    <w:p w14:paraId="3F8E2863" w14:textId="77777777" w:rsidR="009732DF" w:rsidRPr="00E56530" w:rsidRDefault="009732DF" w:rsidP="009732DF">
      <w:pPr>
        <w:pStyle w:val="Textpoznpodarou"/>
        <w:jc w:val="both"/>
        <w:rPr>
          <w:sz w:val="16"/>
          <w:szCs w:val="16"/>
          <w:lang w:val="en-GB"/>
        </w:rPr>
      </w:pPr>
      <w:r w:rsidRPr="00E56530">
        <w:rPr>
          <w:rStyle w:val="Znakapoznpodarou"/>
          <w:sz w:val="16"/>
          <w:szCs w:val="16"/>
          <w:lang w:val="en-GB"/>
        </w:rPr>
        <w:footnoteRef/>
      </w:r>
      <w:r w:rsidRPr="00E56530">
        <w:rPr>
          <w:sz w:val="16"/>
          <w:szCs w:val="16"/>
          <w:lang w:val="en-GB"/>
        </w:rPr>
        <w:t xml:space="preserve"> </w:t>
      </w:r>
      <w:r>
        <w:rPr>
          <w:sz w:val="16"/>
          <w:szCs w:val="16"/>
          <w:lang w:val="en-GB"/>
        </w:rPr>
        <w:t xml:space="preserve">Corresponds to the balance of the budgetary chapter State debt. </w:t>
      </w:r>
    </w:p>
  </w:footnote>
  <w:footnote w:id="20">
    <w:p w14:paraId="4BB03AA7" w14:textId="77777777" w:rsidR="009732DF" w:rsidRPr="00603665" w:rsidRDefault="009732DF" w:rsidP="009732DF">
      <w:pPr>
        <w:pStyle w:val="Textpoznpodarou"/>
        <w:jc w:val="both"/>
        <w:rPr>
          <w:sz w:val="16"/>
          <w:szCs w:val="16"/>
        </w:rPr>
      </w:pPr>
      <w:r w:rsidRPr="00E56530">
        <w:rPr>
          <w:rStyle w:val="Znakapoznpodarou"/>
          <w:sz w:val="16"/>
          <w:szCs w:val="16"/>
          <w:lang w:val="en-GB"/>
        </w:rPr>
        <w:footnoteRef/>
      </w:r>
      <w:r w:rsidRPr="00E56530">
        <w:rPr>
          <w:sz w:val="16"/>
          <w:szCs w:val="16"/>
          <w:lang w:val="en-GB"/>
        </w:rPr>
        <w:t xml:space="preserve"> </w:t>
      </w:r>
      <w:r>
        <w:rPr>
          <w:sz w:val="16"/>
          <w:szCs w:val="16"/>
          <w:lang w:val="en-GB"/>
        </w:rPr>
        <w:t>More detailed assessment of the development for Q1</w:t>
      </w:r>
      <w:r w:rsidRPr="00E56530">
        <w:rPr>
          <w:sz w:val="16"/>
          <w:szCs w:val="16"/>
          <w:lang w:val="en-GB"/>
        </w:rPr>
        <w:t> </w:t>
      </w:r>
      <w:r>
        <w:rPr>
          <w:sz w:val="16"/>
          <w:szCs w:val="16"/>
          <w:lang w:val="en-GB"/>
        </w:rPr>
        <w:t>2021 is contained in the publication Analysis of the sector accounts</w:t>
      </w:r>
      <w:r w:rsidRPr="00E56530">
        <w:rPr>
          <w:sz w:val="16"/>
          <w:szCs w:val="16"/>
          <w:lang w:val="en-GB"/>
        </w:rPr>
        <w:t>:</w:t>
      </w:r>
      <w:r w:rsidRPr="00E56530">
        <w:rPr>
          <w:lang w:val="en-GB"/>
        </w:rPr>
        <w:t xml:space="preserve"> </w:t>
      </w:r>
      <w:hyperlink r:id="rId1" w:history="1">
        <w:r w:rsidRPr="00E56530">
          <w:rPr>
            <w:rStyle w:val="Hypertextovodkaz"/>
            <w:sz w:val="16"/>
            <w:szCs w:val="16"/>
            <w:lang w:val="en-GB"/>
          </w:rPr>
          <w:t>https://www.czso.cz/csu/czso/cri/analyza-ctvrtletnich-sektorovych-uctu-1-ctvrtleti-2021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5FC"/>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4D00"/>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1-ctvrtleti-20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st&#225;tn&#237;%20rozpo&#269;et-1.pol.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st&#225;tn&#237;%20rozpo&#269;et-1.pol.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3954550563562969"/>
          <c:h val="0.7230969051138264"/>
        </c:manualLayout>
      </c:layout>
      <c:barChart>
        <c:barDir val="col"/>
        <c:grouping val="stacked"/>
        <c:varyColors val="0"/>
        <c:ser>
          <c:idx val="1"/>
          <c:order val="1"/>
          <c:tx>
            <c:strRef>
              <c:f>'G1-Státní rozpočet-příjmy-2020'!$A$31</c:f>
              <c:strCache>
                <c:ptCount val="1"/>
                <c:pt idx="0">
                  <c:v>Other taxes and fees</c:v>
                </c:pt>
              </c:strCache>
            </c:strRef>
          </c:tx>
          <c:spPr>
            <a:solidFill>
              <a:schemeClr val="bg1">
                <a:lumMod val="75000"/>
              </a:schemeClr>
            </a:solidFill>
            <a:ln w="12700">
              <a:noFill/>
              <a:prstDash val="solid"/>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rozpočet-příjmy-2020'!$E$31:$R$31</c:f>
              <c:numCache>
                <c:formatCode>0.0</c:formatCode>
                <c:ptCount val="14"/>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0.32332107581403891</c:v>
                </c:pt>
                <c:pt idx="12">
                  <c:v>-0.43538278185604729</c:v>
                </c:pt>
                <c:pt idx="13">
                  <c:v>-0.90977846207546864</c:v>
                </c:pt>
              </c:numCache>
            </c:numRef>
          </c:val>
          <c:extLst>
            <c:ext xmlns:c16="http://schemas.microsoft.com/office/drawing/2014/chart" uri="{C3380CC4-5D6E-409C-BE32-E72D297353CC}">
              <c16:uniqueId val="{00000000-AD72-42D9-B915-3F251078E284}"/>
            </c:ext>
          </c:extLst>
        </c:ser>
        <c:ser>
          <c:idx val="3"/>
          <c:order val="2"/>
          <c:tx>
            <c:strRef>
              <c:f>'G1-Státní rozpočet-příjmy-2020'!$A$32</c:f>
              <c:strCache>
                <c:ptCount val="1"/>
                <c:pt idx="0">
                  <c:v>Income tax of natural persons (from employment)</c:v>
                </c:pt>
              </c:strCache>
            </c:strRef>
          </c:tx>
          <c:spPr>
            <a:solidFill>
              <a:srgbClr val="EA6C75"/>
            </a:solidFill>
            <a:ln w="19050">
              <a:noFill/>
              <a:prstDash val="sysDot"/>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rozpočet-příjmy-2020'!$E$32:$R$32</c:f>
              <c:numCache>
                <c:formatCode>0.0</c:formatCode>
                <c:ptCount val="14"/>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2.8717758032576497</c:v>
                </c:pt>
                <c:pt idx="12">
                  <c:v>-3.7310659863948725</c:v>
                </c:pt>
                <c:pt idx="13">
                  <c:v>-4.8739262418741118</c:v>
                </c:pt>
              </c:numCache>
            </c:numRef>
          </c:val>
          <c:extLst>
            <c:ext xmlns:c16="http://schemas.microsoft.com/office/drawing/2014/chart" uri="{C3380CC4-5D6E-409C-BE32-E72D297353CC}">
              <c16:uniqueId val="{00000001-AD72-42D9-B915-3F251078E284}"/>
            </c:ext>
          </c:extLst>
        </c:ser>
        <c:ser>
          <c:idx val="4"/>
          <c:order val="3"/>
          <c:tx>
            <c:strRef>
              <c:f>'G1-Státní rozpočet-příjmy-2020'!$A$33</c:f>
              <c:strCache>
                <c:ptCount val="1"/>
                <c:pt idx="0">
                  <c:v>Income tax of legal persons (corporate tax)</c:v>
                </c:pt>
              </c:strCache>
            </c:strRef>
          </c:tx>
          <c:spPr>
            <a:solidFill>
              <a:schemeClr val="accent6">
                <a:lumMod val="60000"/>
                <a:lumOff val="40000"/>
              </a:schemeClr>
            </a:solidFill>
            <a:ln w="19050">
              <a:noFill/>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rozpočet-příjmy-2020'!$E$33:$R$33</c:f>
              <c:numCache>
                <c:formatCode>0.0</c:formatCode>
                <c:ptCount val="14"/>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1.1964034041960514</c:v>
                </c:pt>
                <c:pt idx="12">
                  <c:v>-4.7390510722411321</c:v>
                </c:pt>
                <c:pt idx="13">
                  <c:v>8.1290324343686748</c:v>
                </c:pt>
              </c:numCache>
            </c:numRef>
          </c:val>
          <c:extLst>
            <c:ext xmlns:c16="http://schemas.microsoft.com/office/drawing/2014/chart" uri="{C3380CC4-5D6E-409C-BE32-E72D297353CC}">
              <c16:uniqueId val="{00000002-AD72-42D9-B915-3F251078E284}"/>
            </c:ext>
          </c:extLst>
        </c:ser>
        <c:ser>
          <c:idx val="2"/>
          <c:order val="4"/>
          <c:tx>
            <c:strRef>
              <c:f>'G1-Státní rozpočet-příjmy-2020'!$A$34</c:f>
              <c:strCache>
                <c:ptCount val="1"/>
                <c:pt idx="0">
                  <c:v>Consumption taxes</c:v>
                </c:pt>
              </c:strCache>
            </c:strRef>
          </c:tx>
          <c:spPr>
            <a:solidFill>
              <a:schemeClr val="accent5">
                <a:lumMod val="40000"/>
                <a:lumOff val="60000"/>
              </a:schemeClr>
            </a:solidFill>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rozpočet-příjmy-2020'!$E$34:$R$34</c:f>
              <c:numCache>
                <c:formatCode>0.0</c:formatCode>
                <c:ptCount val="14"/>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0.5951444531946295</c:v>
                </c:pt>
                <c:pt idx="12">
                  <c:v>-1.0191471511484216</c:v>
                </c:pt>
                <c:pt idx="13">
                  <c:v>-1.7301770736794635</c:v>
                </c:pt>
              </c:numCache>
            </c:numRef>
          </c:val>
          <c:extLst>
            <c:ext xmlns:c16="http://schemas.microsoft.com/office/drawing/2014/chart" uri="{C3380CC4-5D6E-409C-BE32-E72D297353CC}">
              <c16:uniqueId val="{00000003-AD72-42D9-B915-3F251078E284}"/>
            </c:ext>
          </c:extLst>
        </c:ser>
        <c:ser>
          <c:idx val="5"/>
          <c:order val="5"/>
          <c:tx>
            <c:strRef>
              <c:f>'G1-Státní rozpočet-příjmy-2020'!$A$35</c:f>
              <c:strCache>
                <c:ptCount val="1"/>
                <c:pt idx="0">
                  <c:v>VAT</c:v>
                </c:pt>
              </c:strCache>
            </c:strRef>
          </c:tx>
          <c:spPr>
            <a:solidFill>
              <a:srgbClr val="92D050"/>
            </a:solidFill>
            <a:ln>
              <a:noFill/>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rozpočet-příjmy-2020'!$E$35:$R$35</c:f>
              <c:numCache>
                <c:formatCode>0.0</c:formatCode>
                <c:ptCount val="14"/>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1.1536019195484959</c:v>
                </c:pt>
                <c:pt idx="12">
                  <c:v>-2.3369375494227094</c:v>
                </c:pt>
                <c:pt idx="13">
                  <c:v>3.7426873954992734</c:v>
                </c:pt>
              </c:numCache>
            </c:numRef>
          </c:val>
          <c:extLst>
            <c:ext xmlns:c16="http://schemas.microsoft.com/office/drawing/2014/chart" uri="{C3380CC4-5D6E-409C-BE32-E72D297353CC}">
              <c16:uniqueId val="{00000004-AD72-42D9-B915-3F251078E284}"/>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'G1-Státní rozpočet-příjmy-2020'!$A$30</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rozpočet-příjmy-2020'!$E$30:$R$30</c:f>
              <c:numCache>
                <c:formatCode>0.0</c:formatCode>
                <c:ptCount val="14"/>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6.1402466560108451</c:v>
                </c:pt>
                <c:pt idx="12">
                  <c:v>-12.261584541063172</c:v>
                </c:pt>
                <c:pt idx="13">
                  <c:v>4.357838052238904</c:v>
                </c:pt>
              </c:numCache>
            </c:numRef>
          </c:val>
          <c:smooth val="0"/>
          <c:extLst>
            <c:ext xmlns:c16="http://schemas.microsoft.com/office/drawing/2014/chart" uri="{C3380CC4-5D6E-409C-BE32-E72D297353CC}">
              <c16:uniqueId val="{00000005-AD72-42D9-B915-3F251078E284}"/>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'G1-Státní rozpočet-příjmy-2020'!$A$36</c:f>
              <c:strCache>
                <c:ptCount val="1"/>
                <c:pt idx="0">
                  <c:v>State budget balance (SB, right axis)</c:v>
                </c:pt>
              </c:strCache>
            </c:strRef>
          </c:tx>
          <c:spPr>
            <a:ln w="19050">
              <a:solidFill>
                <a:schemeClr val="tx1">
                  <a:lumMod val="95000"/>
                  <a:lumOff val="5000"/>
                </a:schemeClr>
              </a:solidFill>
            </a:ln>
          </c:spPr>
          <c:marker>
            <c:symbol val="none"/>
          </c:marker>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rozpočet-příjmy-2020'!$E$36:$R$36</c:f>
              <c:numCache>
                <c:formatCode>#\ ##0.0</c:formatCode>
                <c:ptCount val="14"/>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numCache>
            </c:numRef>
          </c:val>
          <c:smooth val="0"/>
          <c:extLst>
            <c:ext xmlns:c16="http://schemas.microsoft.com/office/drawing/2014/chart" uri="{C3380CC4-5D6E-409C-BE32-E72D297353CC}">
              <c16:uniqueId val="{00000006-AD72-42D9-B915-3F251078E284}"/>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12"/>
          <c:min val="-15"/>
        </c:scaling>
        <c:delete val="0"/>
        <c:axPos val="l"/>
        <c:majorGridlines>
          <c:spPr>
            <a:ln w="6350">
              <a:solidFill>
                <a:schemeClr val="bg1">
                  <a:lumMod val="75000"/>
                </a:schemeClr>
              </a:solidFill>
            </a:ln>
          </c:spPr>
        </c:majorGridlines>
        <c:title>
          <c:tx>
            <c:rich>
              <a:bodyPr/>
              <a:lstStyle/>
              <a:p>
                <a:pPr>
                  <a:defRPr sz="700" b="0" i="1"/>
                </a:pPr>
                <a:r>
                  <a:rPr lang="en-US" sz="700" b="0" i="1"/>
                  <a:t>Contribution to the growth of total tax income</a:t>
                </a:r>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3"/>
      </c:valAx>
      <c:valAx>
        <c:axId val="556140592"/>
        <c:scaling>
          <c:orientation val="minMax"/>
          <c:max val="240"/>
          <c:min val="-300"/>
        </c:scaling>
        <c:delete val="0"/>
        <c:axPos val="r"/>
        <c:title>
          <c:tx>
            <c:rich>
              <a:bodyPr/>
              <a:lstStyle/>
              <a:p>
                <a:pPr>
                  <a:defRPr sz="700" b="0" i="1"/>
                </a:pPr>
                <a:r>
                  <a:rPr lang="en-US" sz="700" b="0" i="1"/>
                  <a:t>State budget balance</a:t>
                </a:r>
              </a:p>
            </c:rich>
          </c:tx>
          <c:layout>
            <c:manualLayout>
              <c:xMode val="edge"/>
              <c:yMode val="edge"/>
              <c:x val="0.97040632754407841"/>
              <c:y val="0.21441431520359464"/>
            </c:manualLayout>
          </c:layout>
          <c:overlay val="0"/>
        </c:title>
        <c:numFmt formatCode="#,##0" sourceLinked="0"/>
        <c:majorTickMark val="out"/>
        <c:minorTickMark val="none"/>
        <c:tickLblPos val="nextTo"/>
        <c:crossAx val="539204576"/>
        <c:crosses val="max"/>
        <c:crossBetween val="between"/>
        <c:majorUnit val="6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egendEntry>
        <c:idx val="1"/>
        <c:txPr>
          <a:bodyPr/>
          <a:lstStyle/>
          <a:p>
            <a:pPr>
              <a:defRPr sz="800"/>
            </a:pPr>
            <a:endParaRPr lang="cs-CZ"/>
          </a:p>
        </c:txPr>
      </c:legendEntry>
      <c:layout>
        <c:manualLayout>
          <c:xMode val="edge"/>
          <c:yMode val="edge"/>
          <c:x val="7.2268998648477939E-2"/>
          <c:y val="0.78725415811176236"/>
          <c:w val="0.83264154552208414"/>
          <c:h val="0.20910233102811873"/>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7187944427015698"/>
        </c:manualLayout>
      </c:layout>
      <c:barChart>
        <c:barDir val="col"/>
        <c:grouping val="clustered"/>
        <c:varyColors val="0"/>
        <c:ser>
          <c:idx val="0"/>
          <c:order val="0"/>
          <c:tx>
            <c:strRef>
              <c:f>'SR-výdaje-celorok-2021'!$B$30</c:f>
              <c:strCache>
                <c:ptCount val="1"/>
                <c:pt idx="0">
                  <c:v>Total current expenditures (right axis)</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918.21552936517992</c:v>
                </c:pt>
              </c:numCache>
            </c:numRef>
          </c:val>
          <c:extLst>
            <c:ext xmlns:c16="http://schemas.microsoft.com/office/drawing/2014/chart" uri="{C3380CC4-5D6E-409C-BE32-E72D297353CC}">
              <c16:uniqueId val="{00000000-78FE-49D5-A400-CCE8555E30B8}"/>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'SR-výdaje-celorok-2021'!$C$30</c:f>
              <c:strCache>
                <c:ptCount val="1"/>
                <c:pt idx="0">
                  <c:v>Wages of employees in public admin.*</c:v>
                </c:pt>
              </c:strCache>
            </c:strRef>
          </c:tx>
          <c:spPr>
            <a:ln w="15875">
              <a:solidFill>
                <a:srgbClr val="996633"/>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60.730175770279999</c:v>
                </c:pt>
              </c:numCache>
            </c:numRef>
          </c:val>
          <c:smooth val="0"/>
          <c:extLst>
            <c:ext xmlns:c16="http://schemas.microsoft.com/office/drawing/2014/chart" uri="{C3380CC4-5D6E-409C-BE32-E72D297353CC}">
              <c16:uniqueId val="{00000001-78FE-49D5-A400-CCE8555E30B8}"/>
            </c:ext>
          </c:extLst>
        </c:ser>
        <c:ser>
          <c:idx val="6"/>
          <c:order val="2"/>
          <c:tx>
            <c:strRef>
              <c:f>'SR-výdaje-celorok-2021'!$D$30</c:f>
              <c:strCache>
                <c:ptCount val="1"/>
                <c:pt idx="0">
                  <c:v>Unemployment benefits</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5.4808145954800001</c:v>
                </c:pt>
              </c:numCache>
            </c:numRef>
          </c:val>
          <c:smooth val="0"/>
          <c:extLst>
            <c:ext xmlns:c16="http://schemas.microsoft.com/office/drawing/2014/chart" uri="{C3380CC4-5D6E-409C-BE32-E72D297353CC}">
              <c16:uniqueId val="{00000002-78FE-49D5-A400-CCE8555E30B8}"/>
            </c:ext>
          </c:extLst>
        </c:ser>
        <c:ser>
          <c:idx val="7"/>
          <c:order val="3"/>
          <c:tx>
            <c:strRef>
              <c:f>'SR-výdaje-celorok-2021'!$E$30</c:f>
              <c:strCache>
                <c:ptCount val="1"/>
                <c:pt idx="0">
                  <c:v>State social support**</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0.0</c:formatCode>
                <c:ptCount val="14"/>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24.55531385466</c:v>
                </c:pt>
              </c:numCache>
            </c:numRef>
          </c:val>
          <c:smooth val="0"/>
          <c:extLst>
            <c:ext xmlns:c16="http://schemas.microsoft.com/office/drawing/2014/chart" uri="{C3380CC4-5D6E-409C-BE32-E72D297353CC}">
              <c16:uniqueId val="{00000003-78FE-49D5-A400-CCE8555E30B8}"/>
            </c:ext>
          </c:extLst>
        </c:ser>
        <c:ser>
          <c:idx val="2"/>
          <c:order val="4"/>
          <c:tx>
            <c:strRef>
              <c:f>'SR-výdaje-celorok-2021'!$F$30</c:f>
              <c:strCache>
                <c:ptCount val="1"/>
                <c:pt idx="0">
                  <c:v>Sickness benefits</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numCache>
            </c:numRef>
          </c:val>
          <c:smooth val="0"/>
          <c:extLst>
            <c:ext xmlns:c16="http://schemas.microsoft.com/office/drawing/2014/chart" uri="{C3380CC4-5D6E-409C-BE32-E72D297353CC}">
              <c16:uniqueId val="{00000004-78FE-49D5-A400-CCE8555E30B8}"/>
            </c:ext>
          </c:extLst>
        </c:ser>
        <c:ser>
          <c:idx val="3"/>
          <c:order val="5"/>
          <c:tx>
            <c:strRef>
              <c:f>'SR-výdaje-celorok-2021'!$G$30</c:f>
              <c:strCache>
                <c:ptCount val="1"/>
                <c:pt idx="0">
                  <c:v>Social care benefits***</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numCache>
            </c:numRef>
          </c:val>
          <c:smooth val="0"/>
          <c:extLst>
            <c:ext xmlns:c16="http://schemas.microsoft.com/office/drawing/2014/chart" uri="{C3380CC4-5D6E-409C-BE32-E72D297353CC}">
              <c16:uniqueId val="{00000005-78FE-49D5-A400-CCE8555E30B8}"/>
            </c:ext>
          </c:extLst>
        </c:ser>
        <c:ser>
          <c:idx val="4"/>
          <c:order val="6"/>
          <c:tx>
            <c:strRef>
              <c:f>'SR-výdaje-celorok-2021'!$H$30</c:f>
              <c:strCache>
                <c:ptCount val="1"/>
                <c:pt idx="0">
                  <c:v>Non-investment purchases****</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0.0</c:formatCode>
                <c:ptCount val="14"/>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32.288567214580006</c:v>
                </c:pt>
              </c:numCache>
            </c:numRef>
          </c:val>
          <c:smooth val="0"/>
          <c:extLst>
            <c:ext xmlns:c16="http://schemas.microsoft.com/office/drawing/2014/chart" uri="{C3380CC4-5D6E-409C-BE32-E72D297353CC}">
              <c16:uniqueId val="{00000006-78FE-49D5-A400-CCE8555E30B8}"/>
            </c:ext>
          </c:extLst>
        </c:ser>
        <c:ser>
          <c:idx val="5"/>
          <c:order val="7"/>
          <c:tx>
            <c:strRef>
              <c:f>'SR-výdaje-celorok-2021'!$I$30</c:f>
              <c:strCache>
                <c:ptCount val="1"/>
                <c:pt idx="0">
                  <c:v>State debt (net expenditures) ****</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0.0</c:formatCode>
                <c:ptCount val="14"/>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18.616192468259996</c:v>
                </c:pt>
              </c:numCache>
            </c:numRef>
          </c:val>
          <c:smooth val="0"/>
          <c:extLst>
            <c:ext xmlns:c16="http://schemas.microsoft.com/office/drawing/2014/chart" uri="{C3380CC4-5D6E-409C-BE32-E72D297353CC}">
              <c16:uniqueId val="{00000007-78FE-49D5-A400-CCE8555E30B8}"/>
            </c:ext>
          </c:extLst>
        </c:ser>
        <c:ser>
          <c:idx val="8"/>
          <c:order val="8"/>
          <c:tx>
            <c:strRef>
              <c:f>'SR-výdaje-celorok-2021'!$J$30</c:f>
              <c:strCache>
                <c:ptCount val="1"/>
                <c:pt idx="0">
                  <c:v>Capital expenditures</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59.615568521599997</c:v>
                </c:pt>
              </c:numCache>
            </c:numRef>
          </c:val>
          <c:smooth val="0"/>
          <c:extLst>
            <c:ext xmlns:c16="http://schemas.microsoft.com/office/drawing/2014/chart" uri="{C3380CC4-5D6E-409C-BE32-E72D297353CC}">
              <c16:uniqueId val="{00000008-78FE-49D5-A400-CCE8555E30B8}"/>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00"/>
          <c:min val="0"/>
        </c:scaling>
        <c:delete val="0"/>
        <c:axPos val="l"/>
        <c:majorGridlines>
          <c:spPr>
            <a:ln w="6350">
              <a:solidFill>
                <a:schemeClr val="bg1">
                  <a:lumMod val="75000"/>
                </a:schemeClr>
              </a:solidFill>
            </a:ln>
          </c:spPr>
        </c:majorGridlines>
        <c:title>
          <c:tx>
            <c:rich>
              <a:bodyPr/>
              <a:lstStyle/>
              <a:p>
                <a:pPr>
                  <a:defRPr sz="700" b="0" i="1"/>
                </a:pPr>
                <a:r>
                  <a:rPr lang="cs-CZ" sz="700" b="0" i="1"/>
                  <a:t>Selected</a:t>
                </a:r>
                <a:r>
                  <a:rPr lang="cs-CZ" sz="700" b="0" i="1" baseline="0"/>
                  <a:t> </a:t>
                </a:r>
                <a:r>
                  <a:rPr lang="en-US" sz="700" b="0" i="1"/>
                  <a:t>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000"/>
          <c:min val="0"/>
        </c:scaling>
        <c:delete val="0"/>
        <c:axPos val="r"/>
        <c:title>
          <c:tx>
            <c:rich>
              <a:bodyPr/>
              <a:lstStyle/>
              <a:p>
                <a:pPr>
                  <a:defRPr sz="700" b="0" i="1"/>
                </a:pPr>
                <a:r>
                  <a:rPr lang="en-US"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9260846290953799E-2"/>
          <c:y val="0.83801856372655259"/>
          <c:w val="0.92822901268856584"/>
          <c:h val="0.1587939840330429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D012-EDFA-4292-BFFD-DB0AD164B04C}">
  <ds:schemaRefs>
    <ds:schemaRef ds:uri="http://schemas.openxmlformats.org/officeDocument/2006/bibliography"/>
  </ds:schemaRefs>
</ds:datastoreItem>
</file>

<file path=customXml/itemProps2.xml><?xml version="1.0" encoding="utf-8"?>
<ds:datastoreItem xmlns:ds="http://schemas.openxmlformats.org/officeDocument/2006/customXml" ds:itemID="{B1860929-319D-4767-A5E6-4B2E9C5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1</Pages>
  <Words>2502</Words>
  <Characters>14764</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17232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14</cp:revision>
  <cp:lastPrinted>2019-04-08T10:52:00Z</cp:lastPrinted>
  <dcterms:created xsi:type="dcterms:W3CDTF">2021-10-13T08:35:00Z</dcterms:created>
  <dcterms:modified xsi:type="dcterms:W3CDTF">2021-10-14T10:40:00Z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