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D89DE" w14:textId="77777777" w:rsidR="009732DF" w:rsidRPr="00EA5051" w:rsidRDefault="009732DF" w:rsidP="009732DF">
      <w:pPr>
        <w:pStyle w:val="Nadpis11"/>
        <w:spacing w:after="120"/>
        <w:rPr>
          <w:lang w:val="en-GB"/>
        </w:rPr>
      </w:pPr>
      <w:bookmarkStart w:id="0" w:name="_Toc74246554"/>
      <w:bookmarkStart w:id="1" w:name="_Toc85106899"/>
      <w:bookmarkStart w:id="2" w:name="_Toc66719933"/>
      <w:bookmarkStart w:id="3" w:name="_Toc50712132"/>
      <w:r w:rsidRPr="00B43216">
        <w:t>6. </w:t>
      </w:r>
      <w:r w:rsidRPr="00EA5051">
        <w:rPr>
          <w:lang w:val="en-GB"/>
        </w:rPr>
        <w:t>Labour Market</w:t>
      </w:r>
      <w:bookmarkEnd w:id="0"/>
      <w:bookmarkEnd w:id="1"/>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9732DF" w:rsidRPr="006237E6" w14:paraId="6082C0B5" w14:textId="77777777" w:rsidTr="001144FB">
        <w:trPr>
          <w:trHeight w:val="155"/>
        </w:trPr>
        <w:tc>
          <w:tcPr>
            <w:tcW w:w="1792" w:type="dxa"/>
            <w:shd w:val="clear" w:color="auto" w:fill="auto"/>
            <w:tcMar>
              <w:left w:w="0" w:type="dxa"/>
            </w:tcMar>
          </w:tcPr>
          <w:p w14:paraId="60CECA3C" w14:textId="77777777" w:rsidR="009732DF" w:rsidRPr="002E551F" w:rsidRDefault="009732DF" w:rsidP="001144FB">
            <w:pPr>
              <w:pStyle w:val="Marginlie"/>
              <w:spacing w:after="120"/>
              <w:rPr>
                <w:spacing w:val="-4"/>
                <w:lang w:val="en-GB"/>
              </w:rPr>
            </w:pPr>
            <w:r>
              <w:rPr>
                <w:spacing w:val="-4"/>
                <w:lang w:val="en-GB"/>
              </w:rPr>
              <w:t xml:space="preserve">The number of employees increased the most in Q2 year-on-year since the end of year </w:t>
            </w:r>
            <w:r w:rsidRPr="002E551F">
              <w:rPr>
                <w:spacing w:val="-4"/>
                <w:lang w:val="en-GB"/>
              </w:rPr>
              <w:t xml:space="preserve">2018. </w:t>
            </w:r>
            <w:r>
              <w:rPr>
                <w:spacing w:val="-4"/>
                <w:lang w:val="en-GB"/>
              </w:rPr>
              <w:t xml:space="preserve">Losses of working entrepreneurs however continued. </w:t>
            </w:r>
          </w:p>
        </w:tc>
        <w:tc>
          <w:tcPr>
            <w:tcW w:w="216" w:type="dxa"/>
            <w:shd w:val="clear" w:color="auto" w:fill="auto"/>
            <w:tcMar>
              <w:left w:w="0" w:type="dxa"/>
            </w:tcMar>
          </w:tcPr>
          <w:p w14:paraId="78314FA9" w14:textId="77777777" w:rsidR="009732DF" w:rsidRPr="002E551F" w:rsidRDefault="009732DF" w:rsidP="001144FB">
            <w:pPr>
              <w:pStyle w:val="Textpoznpodarou"/>
              <w:spacing w:after="120"/>
              <w:jc w:val="both"/>
              <w:rPr>
                <w:spacing w:val="-4"/>
                <w:lang w:val="en-GB"/>
              </w:rPr>
            </w:pPr>
          </w:p>
        </w:tc>
        <w:tc>
          <w:tcPr>
            <w:tcW w:w="7656" w:type="dxa"/>
            <w:shd w:val="clear" w:color="auto" w:fill="auto"/>
            <w:tcMar>
              <w:left w:w="0" w:type="dxa"/>
            </w:tcMar>
          </w:tcPr>
          <w:p w14:paraId="16CA0DDE" w14:textId="77777777" w:rsidR="009732DF" w:rsidRPr="002E551F" w:rsidRDefault="009732DF" w:rsidP="001144FB">
            <w:pPr>
              <w:rPr>
                <w:spacing w:val="-4"/>
                <w:lang w:val="en-GB"/>
              </w:rPr>
            </w:pPr>
            <w:r>
              <w:rPr>
                <w:spacing w:val="-4"/>
                <w:lang w:val="en-GB"/>
              </w:rPr>
              <w:t xml:space="preserve">Progressive loosening of strict counter pandemic measures accompanied by larger </w:t>
            </w:r>
            <w:r w:rsidRPr="00F9533C">
              <w:rPr>
                <w:spacing w:val="-4"/>
                <w:lang w:val="en-GB"/>
              </w:rPr>
              <w:t>reduction of state support programmes (Antivirus, care benefits) at the turn of this year’s Spring and Summer period brought the anticipated recovery to the domestic labour market. Total employment</w:t>
            </w:r>
            <w:r w:rsidRPr="00F9533C">
              <w:rPr>
                <w:color w:val="0D0D0D" w:themeColor="text1" w:themeTint="F2"/>
                <w:spacing w:val="-4"/>
                <w:vertAlign w:val="superscript"/>
                <w:lang w:val="en-GB"/>
              </w:rPr>
              <w:footnoteReference w:id="1"/>
            </w:r>
            <w:r w:rsidRPr="00F9533C">
              <w:rPr>
                <w:spacing w:val="-4"/>
                <w:lang w:val="en-GB"/>
              </w:rPr>
              <w:t xml:space="preserve"> went up in Q2 year-on-year (by 0.3%, for the first time in the last seven quarters)</w:t>
            </w:r>
            <w:r>
              <w:rPr>
                <w:spacing w:val="-4"/>
                <w:lang w:val="en-GB"/>
              </w:rPr>
              <w:t xml:space="preserve"> </w:t>
            </w:r>
            <w:r w:rsidRPr="00F9533C">
              <w:rPr>
                <w:spacing w:val="-4"/>
                <w:lang w:val="en-GB"/>
              </w:rPr>
              <w:t>and strengthened by significant 0.7%</w:t>
            </w:r>
            <w:r w:rsidRPr="00F9533C">
              <w:rPr>
                <w:rStyle w:val="Znakapoznpodarou"/>
                <w:spacing w:val="-4"/>
                <w:lang w:val="en-GB"/>
              </w:rPr>
              <w:footnoteReference w:id="2"/>
            </w:r>
            <w:r w:rsidRPr="00F9533C">
              <w:rPr>
                <w:spacing w:val="-4"/>
                <w:lang w:val="en-GB"/>
              </w:rPr>
              <w:t xml:space="preserve"> compared to the previous quarter. </w:t>
            </w:r>
            <w:r>
              <w:rPr>
                <w:spacing w:val="-4"/>
                <w:lang w:val="en-GB"/>
              </w:rPr>
              <w:t xml:space="preserve">This positive development was however solely the result of the number of employees, whose levels expanded by </w:t>
            </w:r>
            <w:r w:rsidRPr="00F9533C">
              <w:rPr>
                <w:spacing w:val="-4"/>
                <w:lang w:val="en-GB"/>
              </w:rPr>
              <w:t>52 t</w:t>
            </w:r>
            <w:r>
              <w:rPr>
                <w:spacing w:val="-4"/>
                <w:lang w:val="en-GB"/>
              </w:rPr>
              <w:t xml:space="preserve">housand year-on-year, the most since the end of year </w:t>
            </w:r>
            <w:r w:rsidRPr="00F9533C">
              <w:rPr>
                <w:spacing w:val="-4"/>
                <w:lang w:val="en-GB"/>
              </w:rPr>
              <w:t xml:space="preserve">2018. </w:t>
            </w:r>
            <w:r>
              <w:rPr>
                <w:spacing w:val="-4"/>
                <w:lang w:val="en-GB"/>
              </w:rPr>
              <w:t xml:space="preserve">The number of entrepreneurs on the contrary dropped by nearly </w:t>
            </w:r>
            <w:r w:rsidRPr="00F9533C">
              <w:rPr>
                <w:spacing w:val="-4"/>
                <w:lang w:val="en-GB"/>
              </w:rPr>
              <w:t>5% (</w:t>
            </w:r>
            <w:r>
              <w:rPr>
                <w:spacing w:val="-4"/>
                <w:lang w:val="en-GB"/>
              </w:rPr>
              <w:t>or</w:t>
            </w:r>
            <w:r w:rsidRPr="00F9533C">
              <w:rPr>
                <w:spacing w:val="-4"/>
                <w:lang w:val="en-GB"/>
              </w:rPr>
              <w:t xml:space="preserve"> 36 t</w:t>
            </w:r>
            <w:r>
              <w:rPr>
                <w:spacing w:val="-4"/>
                <w:lang w:val="en-GB"/>
              </w:rPr>
              <w:t>housand, respectively</w:t>
            </w:r>
            <w:r w:rsidRPr="00F9533C">
              <w:rPr>
                <w:spacing w:val="-4"/>
                <w:lang w:val="en-GB"/>
              </w:rPr>
              <w:t>) a</w:t>
            </w:r>
            <w:r>
              <w:rPr>
                <w:spacing w:val="-4"/>
                <w:lang w:val="en-GB"/>
              </w:rPr>
              <w:t>nd</w:t>
            </w:r>
            <w:r w:rsidRPr="00F9533C">
              <w:rPr>
                <w:spacing w:val="-4"/>
                <w:lang w:val="en-GB"/>
              </w:rPr>
              <w:t> </w:t>
            </w:r>
            <w:r>
              <w:rPr>
                <w:spacing w:val="-4"/>
                <w:lang w:val="en-GB"/>
              </w:rPr>
              <w:t>their numbers also decreased compared to Q</w:t>
            </w:r>
            <w:r w:rsidRPr="00F9533C">
              <w:rPr>
                <w:spacing w:val="-4"/>
                <w:lang w:val="en-GB"/>
              </w:rPr>
              <w:t>1</w:t>
            </w:r>
            <w:r>
              <w:rPr>
                <w:spacing w:val="-4"/>
                <w:lang w:val="en-GB"/>
              </w:rPr>
              <w:t xml:space="preserve"> </w:t>
            </w:r>
            <w:r w:rsidRPr="00F9533C">
              <w:rPr>
                <w:spacing w:val="-4"/>
                <w:lang w:val="en-GB"/>
              </w:rPr>
              <w:t>2021 (</w:t>
            </w:r>
            <w:r>
              <w:rPr>
                <w:spacing w:val="-4"/>
                <w:lang w:val="en-GB"/>
              </w:rPr>
              <w:t xml:space="preserve">by </w:t>
            </w:r>
            <w:r w:rsidRPr="00F9533C">
              <w:rPr>
                <w:spacing w:val="-4"/>
                <w:lang w:val="en-GB"/>
              </w:rPr>
              <w:t>1</w:t>
            </w:r>
            <w:r>
              <w:rPr>
                <w:spacing w:val="-4"/>
                <w:lang w:val="en-GB"/>
              </w:rPr>
              <w:t>.</w:t>
            </w:r>
            <w:r w:rsidRPr="00F9533C">
              <w:rPr>
                <w:spacing w:val="-4"/>
                <w:lang w:val="en-GB"/>
              </w:rPr>
              <w:t>6%).</w:t>
            </w:r>
            <w:r>
              <w:rPr>
                <w:spacing w:val="-4"/>
                <w:lang w:val="en-GB"/>
              </w:rPr>
              <w:t xml:space="preserve"> Difficulties of entrepreneurs could have been associated with a more guarded realisation of the delayed consumption of the domestic households in some branches and could have been also amplified by the persisting restrictions in the arrival tourism. </w:t>
            </w:r>
            <w:r w:rsidRPr="00F9533C">
              <w:rPr>
                <w:spacing w:val="-4"/>
                <w:lang w:val="en-GB"/>
              </w:rPr>
              <w:t>T</w:t>
            </w:r>
            <w:r>
              <w:rPr>
                <w:spacing w:val="-4"/>
                <w:lang w:val="en-GB"/>
              </w:rPr>
              <w:t>his was also mirrored in the number of hours worked</w:t>
            </w:r>
            <w:r w:rsidRPr="00F9533C">
              <w:rPr>
                <w:rStyle w:val="Znakapoznpodarou"/>
                <w:spacing w:val="-4"/>
                <w:lang w:val="en-GB"/>
              </w:rPr>
              <w:footnoteReference w:id="3"/>
            </w:r>
            <w:r w:rsidRPr="00F9533C">
              <w:rPr>
                <w:spacing w:val="-4"/>
                <w:lang w:val="en-GB"/>
              </w:rPr>
              <w:t>.</w:t>
            </w:r>
          </w:p>
        </w:tc>
      </w:tr>
      <w:tr w:rsidR="009732DF" w:rsidRPr="006237E6" w14:paraId="16F9C694" w14:textId="77777777" w:rsidTr="001144FB">
        <w:trPr>
          <w:trHeight w:val="155"/>
        </w:trPr>
        <w:tc>
          <w:tcPr>
            <w:tcW w:w="1792" w:type="dxa"/>
            <w:shd w:val="clear" w:color="auto" w:fill="auto"/>
            <w:tcMar>
              <w:left w:w="0" w:type="dxa"/>
            </w:tcMar>
          </w:tcPr>
          <w:p w14:paraId="1327CF66" w14:textId="77777777" w:rsidR="009732DF" w:rsidRPr="00C86FFC" w:rsidRDefault="009732DF" w:rsidP="001144FB">
            <w:pPr>
              <w:pStyle w:val="Marginlie"/>
              <w:spacing w:after="120"/>
              <w:rPr>
                <w:spacing w:val="-4"/>
                <w:lang w:val="en-GB"/>
              </w:rPr>
            </w:pPr>
            <w:r>
              <w:rPr>
                <w:spacing w:val="-4"/>
                <w:lang w:val="en-GB"/>
              </w:rPr>
              <w:t xml:space="preserve">Higher employment was driven especially by the public services and information and communication year-on-year. Strong demand for workers manifested also in construction. </w:t>
            </w:r>
          </w:p>
        </w:tc>
        <w:tc>
          <w:tcPr>
            <w:tcW w:w="216" w:type="dxa"/>
            <w:shd w:val="clear" w:color="auto" w:fill="auto"/>
            <w:tcMar>
              <w:left w:w="0" w:type="dxa"/>
            </w:tcMar>
          </w:tcPr>
          <w:p w14:paraId="794C4841" w14:textId="77777777" w:rsidR="009732DF" w:rsidRPr="00C86FFC" w:rsidRDefault="009732DF" w:rsidP="001144FB">
            <w:pPr>
              <w:pStyle w:val="Textpoznpodarou"/>
              <w:spacing w:after="120"/>
              <w:jc w:val="both"/>
              <w:rPr>
                <w:spacing w:val="-4"/>
                <w:lang w:val="en-GB"/>
              </w:rPr>
            </w:pPr>
          </w:p>
        </w:tc>
        <w:tc>
          <w:tcPr>
            <w:tcW w:w="7656" w:type="dxa"/>
            <w:shd w:val="clear" w:color="auto" w:fill="auto"/>
            <w:tcMar>
              <w:left w:w="0" w:type="dxa"/>
            </w:tcMar>
          </w:tcPr>
          <w:p w14:paraId="7E7CDB66" w14:textId="77777777" w:rsidR="009732DF" w:rsidRPr="00C86FFC" w:rsidRDefault="009732DF" w:rsidP="001144FB">
            <w:pPr>
              <w:rPr>
                <w:rFonts w:cs="Arial"/>
                <w:bCs/>
                <w:color w:val="0D0D0D" w:themeColor="text1" w:themeTint="F2"/>
                <w:spacing w:val="-4"/>
                <w:szCs w:val="20"/>
                <w:lang w:val="en-GB"/>
              </w:rPr>
            </w:pPr>
            <w:r w:rsidRPr="00C86FFC">
              <w:rPr>
                <w:rFonts w:cs="Arial"/>
                <w:bCs/>
                <w:color w:val="0D0D0D" w:themeColor="text1" w:themeTint="F2"/>
                <w:spacing w:val="-4"/>
                <w:szCs w:val="20"/>
                <w:lang w:val="en-GB"/>
              </w:rPr>
              <w:t>Economic revival was favourably reflected also in the number of workers in the vast majority of main branches in the second this year’s quarter.</w:t>
            </w:r>
            <w:r>
              <w:rPr>
                <w:rFonts w:cs="Arial"/>
                <w:bCs/>
                <w:color w:val="0D0D0D" w:themeColor="text1" w:themeTint="F2"/>
                <w:spacing w:val="-4"/>
                <w:szCs w:val="20"/>
                <w:lang w:val="en-GB"/>
              </w:rPr>
              <w:t xml:space="preserve"> Professional, scientific, technical and administrative activities </w:t>
            </w:r>
            <w:r w:rsidRPr="00C86FFC">
              <w:rPr>
                <w:rFonts w:cs="Arial"/>
                <w:bCs/>
                <w:color w:val="0D0D0D" w:themeColor="text1" w:themeTint="F2"/>
                <w:spacing w:val="-4"/>
                <w:szCs w:val="20"/>
                <w:lang w:val="en-GB"/>
              </w:rPr>
              <w:t>(+12 t</w:t>
            </w:r>
            <w:r>
              <w:rPr>
                <w:rFonts w:cs="Arial"/>
                <w:bCs/>
                <w:color w:val="0D0D0D" w:themeColor="text1" w:themeTint="F2"/>
                <w:spacing w:val="-4"/>
                <w:szCs w:val="20"/>
                <w:lang w:val="en-GB"/>
              </w:rPr>
              <w:t>housand</w:t>
            </w:r>
            <w:r w:rsidRPr="00C86FFC">
              <w:rPr>
                <w:rFonts w:cs="Arial"/>
                <w:bCs/>
                <w:color w:val="0D0D0D" w:themeColor="text1" w:themeTint="F2"/>
                <w:spacing w:val="-4"/>
                <w:szCs w:val="20"/>
                <w:lang w:val="en-GB"/>
              </w:rPr>
              <w:t>) a</w:t>
            </w:r>
            <w:r>
              <w:rPr>
                <w:rFonts w:cs="Arial"/>
                <w:bCs/>
                <w:color w:val="0D0D0D" w:themeColor="text1" w:themeTint="F2"/>
                <w:spacing w:val="-4"/>
                <w:szCs w:val="20"/>
                <w:lang w:val="en-GB"/>
              </w:rPr>
              <w:t xml:space="preserve">nd industry </w:t>
            </w:r>
            <w:r w:rsidRPr="00C86FFC">
              <w:rPr>
                <w:rFonts w:cs="Arial"/>
                <w:bCs/>
                <w:color w:val="0D0D0D" w:themeColor="text1" w:themeTint="F2"/>
                <w:spacing w:val="-4"/>
                <w:szCs w:val="20"/>
                <w:lang w:val="en-GB"/>
              </w:rPr>
              <w:t>(+11 t</w:t>
            </w:r>
            <w:r>
              <w:rPr>
                <w:rFonts w:cs="Arial"/>
                <w:bCs/>
                <w:color w:val="0D0D0D" w:themeColor="text1" w:themeTint="F2"/>
                <w:spacing w:val="-4"/>
                <w:szCs w:val="20"/>
                <w:lang w:val="en-GB"/>
              </w:rPr>
              <w:t>housand</w:t>
            </w:r>
            <w:r w:rsidRPr="00C86FFC">
              <w:rPr>
                <w:rFonts w:cs="Arial"/>
                <w:bCs/>
                <w:color w:val="0D0D0D" w:themeColor="text1" w:themeTint="F2"/>
                <w:spacing w:val="-4"/>
                <w:szCs w:val="20"/>
                <w:lang w:val="en-GB"/>
              </w:rPr>
              <w:t>)</w:t>
            </w:r>
            <w:r>
              <w:rPr>
                <w:rFonts w:cs="Arial"/>
                <w:bCs/>
                <w:color w:val="0D0D0D" w:themeColor="text1" w:themeTint="F2"/>
                <w:spacing w:val="-4"/>
                <w:szCs w:val="20"/>
                <w:lang w:val="en-GB"/>
              </w:rPr>
              <w:t xml:space="preserve"> the most contributed to the quarter-on-quarter growth of employment</w:t>
            </w:r>
            <w:r w:rsidRPr="00C86FFC">
              <w:rPr>
                <w:rFonts w:cs="Arial"/>
                <w:bCs/>
                <w:color w:val="0D0D0D" w:themeColor="text1" w:themeTint="F2"/>
                <w:spacing w:val="-4"/>
                <w:szCs w:val="20"/>
                <w:lang w:val="en-GB"/>
              </w:rPr>
              <w:t>.</w:t>
            </w:r>
            <w:r>
              <w:rPr>
                <w:rFonts w:cs="Arial"/>
                <w:bCs/>
                <w:color w:val="0D0D0D" w:themeColor="text1" w:themeTint="F2"/>
                <w:spacing w:val="-4"/>
                <w:szCs w:val="20"/>
                <w:lang w:val="en-GB"/>
              </w:rPr>
              <w:t xml:space="preserve"> In both cases it represents a branch, whose relative employment declines were deeper in comparison to the whole economy last year. The </w:t>
            </w:r>
            <w:r w:rsidRPr="0025464D">
              <w:rPr>
                <w:rFonts w:cs="Arial"/>
                <w:bCs/>
                <w:color w:val="0D0D0D" w:themeColor="text1" w:themeTint="F2"/>
                <w:spacing w:val="-4"/>
                <w:szCs w:val="20"/>
                <w:lang w:val="en-GB"/>
              </w:rPr>
              <w:t>branch p</w:t>
            </w:r>
            <w:r w:rsidRPr="0025464D">
              <w:rPr>
                <w:rFonts w:cs="Arial"/>
                <w:szCs w:val="20"/>
                <w:lang w:val="en-GB"/>
              </w:rPr>
              <w:t xml:space="preserve">ublic administration, education, health and social work </w:t>
            </w:r>
            <w:r w:rsidRPr="0025464D">
              <w:rPr>
                <w:rFonts w:cs="Arial"/>
                <w:bCs/>
                <w:color w:val="0D0D0D" w:themeColor="text1" w:themeTint="F2"/>
                <w:spacing w:val="-4"/>
                <w:szCs w:val="20"/>
                <w:lang w:val="en-GB"/>
              </w:rPr>
              <w:t>(+30 thousand) helped the most the year-on-year growth of total employment in Q2 (similarly as throughout the whole pandemic period).</w:t>
            </w:r>
            <w:r>
              <w:rPr>
                <w:rFonts w:cs="Arial"/>
                <w:bCs/>
                <w:color w:val="0D0D0D" w:themeColor="text1" w:themeTint="F2"/>
                <w:spacing w:val="-4"/>
                <w:szCs w:val="20"/>
                <w:lang w:val="en-GB"/>
              </w:rPr>
              <w:t xml:space="preserve"> However information and communication prospering in the long-term grew relatively the strongest </w:t>
            </w:r>
            <w:r w:rsidRPr="0025464D">
              <w:rPr>
                <w:rFonts w:cs="Arial"/>
                <w:bCs/>
                <w:color w:val="0D0D0D" w:themeColor="text1" w:themeTint="F2"/>
                <w:spacing w:val="-4"/>
                <w:szCs w:val="20"/>
                <w:lang w:val="en-GB"/>
              </w:rPr>
              <w:t>(5</w:t>
            </w:r>
            <w:r>
              <w:rPr>
                <w:rFonts w:cs="Arial"/>
                <w:bCs/>
                <w:color w:val="0D0D0D" w:themeColor="text1" w:themeTint="F2"/>
                <w:spacing w:val="-4"/>
                <w:szCs w:val="20"/>
                <w:lang w:val="en-GB"/>
              </w:rPr>
              <w:t>.</w:t>
            </w:r>
            <w:r w:rsidRPr="0025464D">
              <w:rPr>
                <w:rFonts w:cs="Arial"/>
                <w:bCs/>
                <w:color w:val="0D0D0D" w:themeColor="text1" w:themeTint="F2"/>
                <w:spacing w:val="-4"/>
                <w:szCs w:val="20"/>
                <w:lang w:val="en-GB"/>
              </w:rPr>
              <w:t>2%)</w:t>
            </w:r>
            <w:r>
              <w:rPr>
                <w:rFonts w:cs="Arial"/>
                <w:bCs/>
                <w:color w:val="0D0D0D" w:themeColor="text1" w:themeTint="F2"/>
                <w:spacing w:val="-4"/>
                <w:szCs w:val="20"/>
                <w:lang w:val="en-GB"/>
              </w:rPr>
              <w:t xml:space="preserve"> and as one of few branches also recorded increased number of entrepreneurs. </w:t>
            </w:r>
            <w:r w:rsidRPr="0025464D">
              <w:rPr>
                <w:rFonts w:cs="Arial"/>
                <w:bCs/>
                <w:color w:val="0D0D0D" w:themeColor="text1" w:themeTint="F2"/>
                <w:spacing w:val="-4"/>
                <w:szCs w:val="20"/>
                <w:lang w:val="en-GB"/>
              </w:rPr>
              <w:t xml:space="preserve">Construction, where the moderate last year’s employment growth continued </w:t>
            </w:r>
            <w:r w:rsidRPr="0025464D">
              <w:rPr>
                <w:spacing w:val="-4"/>
                <w:lang w:val="en-GB"/>
              </w:rPr>
              <w:t xml:space="preserve">(+2.0%) also fared well. </w:t>
            </w:r>
            <w:r>
              <w:rPr>
                <w:spacing w:val="-4"/>
                <w:lang w:val="en-GB"/>
              </w:rPr>
              <w:t xml:space="preserve">Long-term high demand for labour force was here to considerable extent saturated by recruitment from abroad. Number of foreigners working in the CR in the employment position despite still administratively demanding visa procedure grew in the last months. It attained record </w:t>
            </w:r>
            <w:r w:rsidRPr="0025464D">
              <w:rPr>
                <w:spacing w:val="-4"/>
                <w:lang w:val="en-GB"/>
              </w:rPr>
              <w:t>682 t</w:t>
            </w:r>
            <w:r>
              <w:rPr>
                <w:spacing w:val="-4"/>
                <w:lang w:val="en-GB"/>
              </w:rPr>
              <w:t xml:space="preserve">housand this year and it was by </w:t>
            </w:r>
            <w:r w:rsidRPr="0025464D">
              <w:rPr>
                <w:spacing w:val="-4"/>
                <w:lang w:val="en-GB"/>
              </w:rPr>
              <w:t>13%</w:t>
            </w:r>
            <w:r>
              <w:rPr>
                <w:spacing w:val="-4"/>
                <w:lang w:val="en-GB"/>
              </w:rPr>
              <w:t xml:space="preserve"> higher year-on-year</w:t>
            </w:r>
            <w:r w:rsidRPr="0025464D">
              <w:rPr>
                <w:spacing w:val="-4"/>
                <w:lang w:val="en-GB"/>
              </w:rPr>
              <w:t xml:space="preserve">, </w:t>
            </w:r>
            <w:r>
              <w:rPr>
                <w:spacing w:val="-4"/>
                <w:lang w:val="en-GB"/>
              </w:rPr>
              <w:t>for the overwhelming part due to the employees from Ukraine</w:t>
            </w:r>
            <w:r w:rsidRPr="0025464D">
              <w:rPr>
                <w:rStyle w:val="Znakapoznpodarou"/>
                <w:spacing w:val="-4"/>
                <w:lang w:val="en-GB"/>
              </w:rPr>
              <w:footnoteReference w:id="4"/>
            </w:r>
            <w:r w:rsidRPr="0025464D">
              <w:rPr>
                <w:spacing w:val="-4"/>
                <w:lang w:val="en-GB"/>
              </w:rPr>
              <w:t>.</w:t>
            </w:r>
          </w:p>
        </w:tc>
      </w:tr>
      <w:tr w:rsidR="009732DF" w:rsidRPr="006237E6" w14:paraId="28962FB4" w14:textId="77777777" w:rsidTr="001144FB">
        <w:trPr>
          <w:trHeight w:val="155"/>
        </w:trPr>
        <w:tc>
          <w:tcPr>
            <w:tcW w:w="1792" w:type="dxa"/>
            <w:shd w:val="clear" w:color="auto" w:fill="auto"/>
            <w:tcMar>
              <w:left w:w="0" w:type="dxa"/>
            </w:tcMar>
          </w:tcPr>
          <w:p w14:paraId="0743CC3F" w14:textId="77777777" w:rsidR="009732DF" w:rsidRPr="005D72AF" w:rsidRDefault="009732DF" w:rsidP="001144FB">
            <w:pPr>
              <w:pStyle w:val="Marginlie"/>
              <w:spacing w:after="120"/>
              <w:rPr>
                <w:spacing w:val="-4"/>
                <w:lang w:val="en-GB"/>
              </w:rPr>
            </w:pPr>
            <w:r w:rsidRPr="005D72AF">
              <w:rPr>
                <w:spacing w:val="-4"/>
                <w:lang w:val="en-GB"/>
              </w:rPr>
              <w:t>Despite partial improvement, the group</w:t>
            </w:r>
            <w:r>
              <w:rPr>
                <w:spacing w:val="-4"/>
                <w:lang w:val="en-GB"/>
              </w:rPr>
              <w:t xml:space="preserve"> of activities </w:t>
            </w:r>
            <w:r w:rsidRPr="005D72AF">
              <w:rPr>
                <w:spacing w:val="-4"/>
                <w:lang w:val="en-GB"/>
              </w:rPr>
              <w:t>trade, transportation, accommodation and food service still contributed the most to the decline of total employment.  </w:t>
            </w:r>
          </w:p>
        </w:tc>
        <w:tc>
          <w:tcPr>
            <w:tcW w:w="216" w:type="dxa"/>
            <w:shd w:val="clear" w:color="auto" w:fill="auto"/>
            <w:tcMar>
              <w:left w:w="0" w:type="dxa"/>
            </w:tcMar>
          </w:tcPr>
          <w:p w14:paraId="4EFF545E" w14:textId="77777777" w:rsidR="009732DF" w:rsidRPr="003B1401" w:rsidRDefault="009732DF" w:rsidP="001144FB">
            <w:pPr>
              <w:pStyle w:val="Textpoznpodarou"/>
              <w:spacing w:after="120"/>
              <w:jc w:val="both"/>
              <w:rPr>
                <w:spacing w:val="-4"/>
              </w:rPr>
            </w:pPr>
          </w:p>
        </w:tc>
        <w:tc>
          <w:tcPr>
            <w:tcW w:w="7656" w:type="dxa"/>
            <w:shd w:val="clear" w:color="auto" w:fill="auto"/>
            <w:tcMar>
              <w:left w:w="0" w:type="dxa"/>
            </w:tcMar>
          </w:tcPr>
          <w:p w14:paraId="34547EEE" w14:textId="77777777" w:rsidR="009732DF" w:rsidRPr="00CE63FC" w:rsidRDefault="009732DF" w:rsidP="001144FB">
            <w:pPr>
              <w:rPr>
                <w:spacing w:val="-4"/>
                <w:lang w:val="en-GB"/>
              </w:rPr>
            </w:pPr>
            <w:r w:rsidRPr="00CE63FC">
              <w:rPr>
                <w:spacing w:val="-4"/>
                <w:lang w:val="en-GB"/>
              </w:rPr>
              <w:t xml:space="preserve">In spite of partial improvement the group trade, transportation, accommodation and food service </w:t>
            </w:r>
            <w:r>
              <w:rPr>
                <w:spacing w:val="-4"/>
                <w:lang w:val="en-GB"/>
              </w:rPr>
              <w:t xml:space="preserve">struggled with marked decreases of workers </w:t>
            </w:r>
            <w:r w:rsidRPr="00CE63FC">
              <w:rPr>
                <w:spacing w:val="-4"/>
                <w:lang w:val="en-GB"/>
              </w:rPr>
              <w:t>(–27 t</w:t>
            </w:r>
            <w:r>
              <w:rPr>
                <w:spacing w:val="-4"/>
                <w:lang w:val="en-GB"/>
              </w:rPr>
              <w:t>housand</w:t>
            </w:r>
            <w:r w:rsidRPr="00CE63FC">
              <w:rPr>
                <w:spacing w:val="-4"/>
                <w:lang w:val="en-GB"/>
              </w:rPr>
              <w:t>)</w:t>
            </w:r>
            <w:r w:rsidRPr="00CE63FC">
              <w:rPr>
                <w:rStyle w:val="Znakapoznpodarou"/>
                <w:spacing w:val="-4"/>
                <w:lang w:val="en-GB"/>
              </w:rPr>
              <w:footnoteReference w:id="5"/>
            </w:r>
            <w:r>
              <w:rPr>
                <w:spacing w:val="-4"/>
                <w:lang w:val="en-GB"/>
              </w:rPr>
              <w:t xml:space="preserve">  year-on-year in Q2 as well</w:t>
            </w:r>
            <w:r w:rsidRPr="00CE63FC">
              <w:rPr>
                <w:spacing w:val="-4"/>
                <w:lang w:val="en-GB"/>
              </w:rPr>
              <w:t xml:space="preserve">. </w:t>
            </w:r>
            <w:r>
              <w:rPr>
                <w:spacing w:val="-4"/>
                <w:lang w:val="en-GB"/>
              </w:rPr>
              <w:t xml:space="preserve">The decrease occurred for both entrepreneurs </w:t>
            </w:r>
            <w:r w:rsidRPr="00CE63FC">
              <w:rPr>
                <w:spacing w:val="-4"/>
                <w:lang w:val="en-GB"/>
              </w:rPr>
              <w:t>(–11</w:t>
            </w:r>
            <w:r>
              <w:rPr>
                <w:spacing w:val="-4"/>
                <w:lang w:val="en-GB"/>
              </w:rPr>
              <w:t>.</w:t>
            </w:r>
            <w:r w:rsidRPr="00CE63FC">
              <w:rPr>
                <w:spacing w:val="-4"/>
                <w:lang w:val="en-GB"/>
              </w:rPr>
              <w:t>6%)</w:t>
            </w:r>
            <w:r>
              <w:rPr>
                <w:spacing w:val="-4"/>
                <w:lang w:val="en-GB"/>
              </w:rPr>
              <w:t xml:space="preserve"> and employees </w:t>
            </w:r>
            <w:r w:rsidRPr="00CE63FC">
              <w:rPr>
                <w:spacing w:val="-4"/>
                <w:lang w:val="en-GB"/>
              </w:rPr>
              <w:t>(–0</w:t>
            </w:r>
            <w:r>
              <w:rPr>
                <w:spacing w:val="-4"/>
                <w:lang w:val="en-GB"/>
              </w:rPr>
              <w:t>.</w:t>
            </w:r>
            <w:r w:rsidRPr="00CE63FC">
              <w:rPr>
                <w:spacing w:val="-4"/>
                <w:lang w:val="en-GB"/>
              </w:rPr>
              <w:t xml:space="preserve">7%). </w:t>
            </w:r>
            <w:r>
              <w:rPr>
                <w:spacing w:val="-4"/>
                <w:lang w:val="en-GB"/>
              </w:rPr>
              <w:t xml:space="preserve">Industry was also still slightly losing workers </w:t>
            </w:r>
            <w:r w:rsidRPr="00CE63FC">
              <w:rPr>
                <w:spacing w:val="-4"/>
                <w:lang w:val="en-GB"/>
              </w:rPr>
              <w:t>(–0</w:t>
            </w:r>
            <w:r>
              <w:rPr>
                <w:spacing w:val="-4"/>
                <w:lang w:val="en-GB"/>
              </w:rPr>
              <w:t>.</w:t>
            </w:r>
            <w:r w:rsidRPr="00CE63FC">
              <w:rPr>
                <w:spacing w:val="-4"/>
                <w:lang w:val="en-GB"/>
              </w:rPr>
              <w:t>5%</w:t>
            </w:r>
            <w:r>
              <w:rPr>
                <w:spacing w:val="-4"/>
                <w:lang w:val="en-GB"/>
              </w:rPr>
              <w:t xml:space="preserve"> and</w:t>
            </w:r>
            <w:r w:rsidRPr="00CE63FC">
              <w:rPr>
                <w:spacing w:val="-4"/>
                <w:lang w:val="en-GB"/>
              </w:rPr>
              <w:t xml:space="preserve"> –8 t</w:t>
            </w:r>
            <w:r>
              <w:rPr>
                <w:spacing w:val="-4"/>
                <w:lang w:val="en-GB"/>
              </w:rPr>
              <w:t>housand</w:t>
            </w:r>
            <w:r w:rsidRPr="00CE63FC">
              <w:rPr>
                <w:spacing w:val="-4"/>
                <w:lang w:val="en-GB"/>
              </w:rPr>
              <w:t xml:space="preserve">), </w:t>
            </w:r>
            <w:r>
              <w:rPr>
                <w:spacing w:val="-4"/>
                <w:lang w:val="en-GB"/>
              </w:rPr>
              <w:t>strictly due to the decline of entrepreneurs</w:t>
            </w:r>
            <w:r w:rsidRPr="00CE63FC">
              <w:rPr>
                <w:spacing w:val="-4"/>
                <w:lang w:val="en-GB"/>
              </w:rPr>
              <w:t xml:space="preserve">. </w:t>
            </w:r>
            <w:r>
              <w:rPr>
                <w:spacing w:val="-4"/>
                <w:lang w:val="en-GB"/>
              </w:rPr>
              <w:t xml:space="preserve">The situation differed in the individual industry divisions – manufacturers of motor vehicles (including tied fields of activity), energetics or metalworking fared better, e.g. machinery or structurally hit mining industry fared worse. Agriculture, forestry and fishing keeps stable employment in the latest years. </w:t>
            </w:r>
          </w:p>
        </w:tc>
      </w:tr>
      <w:tr w:rsidR="009732DF" w:rsidRPr="006237E6" w14:paraId="73F53D2B" w14:textId="77777777" w:rsidTr="001144FB">
        <w:trPr>
          <w:trHeight w:val="155"/>
        </w:trPr>
        <w:tc>
          <w:tcPr>
            <w:tcW w:w="1792" w:type="dxa"/>
            <w:shd w:val="clear" w:color="auto" w:fill="auto"/>
            <w:tcMar>
              <w:left w:w="0" w:type="dxa"/>
            </w:tcMar>
          </w:tcPr>
          <w:p w14:paraId="24B0CB8F" w14:textId="77777777" w:rsidR="009732DF" w:rsidRPr="00282B14" w:rsidRDefault="009732DF" w:rsidP="001144FB">
            <w:pPr>
              <w:pStyle w:val="Marginlie"/>
              <w:spacing w:after="120"/>
              <w:rPr>
                <w:spacing w:val="-4"/>
                <w:lang w:val="en-GB"/>
              </w:rPr>
            </w:pPr>
            <w:r>
              <w:rPr>
                <w:spacing w:val="-4"/>
                <w:lang w:val="en-GB"/>
              </w:rPr>
              <w:lastRenderedPageBreak/>
              <w:t>Proportion of businesses expecting increase of their number of employees was growing during H1</w:t>
            </w:r>
            <w:r w:rsidRPr="00282B14">
              <w:rPr>
                <w:spacing w:val="-4"/>
                <w:lang w:val="en-GB"/>
              </w:rPr>
              <w:t>.</w:t>
            </w:r>
          </w:p>
          <w:p w14:paraId="2D7DE526" w14:textId="77777777" w:rsidR="009732DF" w:rsidRPr="00282B14" w:rsidRDefault="009732DF" w:rsidP="001144FB">
            <w:pPr>
              <w:pStyle w:val="Marginlie"/>
              <w:spacing w:after="120"/>
              <w:rPr>
                <w:spacing w:val="-4"/>
                <w:lang w:val="en-GB"/>
              </w:rPr>
            </w:pPr>
          </w:p>
          <w:p w14:paraId="51CC9F1F" w14:textId="77777777" w:rsidR="009732DF" w:rsidRPr="00282B14" w:rsidRDefault="009732DF" w:rsidP="001144FB">
            <w:pPr>
              <w:pStyle w:val="Marginlie"/>
              <w:spacing w:after="120"/>
              <w:rPr>
                <w:spacing w:val="-4"/>
                <w:lang w:val="en-GB"/>
              </w:rPr>
            </w:pPr>
          </w:p>
          <w:p w14:paraId="32014A92" w14:textId="77777777" w:rsidR="009732DF" w:rsidRPr="00282B14" w:rsidRDefault="009732DF" w:rsidP="001144FB">
            <w:pPr>
              <w:pStyle w:val="Marginlie"/>
              <w:spacing w:after="120"/>
              <w:rPr>
                <w:spacing w:val="-6"/>
                <w:lang w:val="en-GB"/>
              </w:rPr>
            </w:pPr>
            <w:r>
              <w:rPr>
                <w:spacing w:val="-6"/>
                <w:lang w:val="en-GB"/>
              </w:rPr>
              <w:t xml:space="preserve">Difficulty with recruitment of labour force troubled mainly construction, it was increasing also in industry in the last months. </w:t>
            </w:r>
          </w:p>
        </w:tc>
        <w:tc>
          <w:tcPr>
            <w:tcW w:w="216" w:type="dxa"/>
            <w:shd w:val="clear" w:color="auto" w:fill="auto"/>
            <w:tcMar>
              <w:left w:w="0" w:type="dxa"/>
            </w:tcMar>
          </w:tcPr>
          <w:p w14:paraId="76968280" w14:textId="77777777" w:rsidR="009732DF" w:rsidRPr="00282B14" w:rsidRDefault="009732DF" w:rsidP="001144FB">
            <w:pPr>
              <w:pStyle w:val="Textpoznpodarou"/>
              <w:spacing w:after="120"/>
              <w:jc w:val="both"/>
              <w:rPr>
                <w:spacing w:val="-4"/>
                <w:lang w:val="en-GB"/>
              </w:rPr>
            </w:pPr>
          </w:p>
        </w:tc>
        <w:tc>
          <w:tcPr>
            <w:tcW w:w="7656" w:type="dxa"/>
            <w:shd w:val="clear" w:color="auto" w:fill="auto"/>
            <w:tcMar>
              <w:left w:w="0" w:type="dxa"/>
            </w:tcMar>
          </w:tcPr>
          <w:p w14:paraId="071962F0" w14:textId="77777777" w:rsidR="009732DF" w:rsidRPr="00BF1F3E" w:rsidRDefault="009732DF" w:rsidP="001144FB">
            <w:pPr>
              <w:rPr>
                <w:spacing w:val="-2"/>
                <w:lang w:val="en-GB"/>
              </w:rPr>
            </w:pPr>
            <w:r w:rsidRPr="00BF1F3E">
              <w:rPr>
                <w:spacing w:val="-2"/>
                <w:lang w:val="en-GB"/>
              </w:rPr>
              <w:t>The short term employment expectations (seen by businesses) climbed the highest based on the business cycle surveys in June 2021 since the beginning of pandemics. They were positive in the majority of branches apart from some areas of services – e.g. air transportation, publishing activities as well as financial activities. Similarly around 15% of respondents in industry, construction or trade planned the increase of number of employees for the Q3 period. The shortage of employees limits especially the businesses in construction, where it remains the most significant barrier to growth for the last three years. Since the beginning of this year, industry also faces larger difficulties with the recruitment of workers</w:t>
            </w:r>
            <w:r w:rsidRPr="00BF1F3E">
              <w:rPr>
                <w:rStyle w:val="Znakapoznpodarou"/>
                <w:spacing w:val="-2"/>
                <w:lang w:val="en-GB"/>
              </w:rPr>
              <w:footnoteReference w:id="6"/>
            </w:r>
            <w:r w:rsidRPr="00BF1F3E">
              <w:rPr>
                <w:spacing w:val="-2"/>
                <w:lang w:val="en-GB"/>
              </w:rPr>
              <w:t xml:space="preserve">. In contrast the number of branches still struggled mainly with the weaker demand for services in the tertiary sector. Thus only companies in administrative and support service activities, land transportation or courier activities experienced difficulties with the shortage of employees to a large extent – always with lower intensity than before the commencement of pandemics. </w:t>
            </w:r>
          </w:p>
        </w:tc>
      </w:tr>
      <w:tr w:rsidR="009732DF" w:rsidRPr="009F2A8A" w14:paraId="1A2A7685" w14:textId="77777777" w:rsidTr="001144FB">
        <w:trPr>
          <w:trHeight w:val="155"/>
        </w:trPr>
        <w:tc>
          <w:tcPr>
            <w:tcW w:w="1792" w:type="dxa"/>
            <w:vMerge w:val="restart"/>
            <w:shd w:val="clear" w:color="auto" w:fill="auto"/>
            <w:tcMar>
              <w:left w:w="0" w:type="dxa"/>
            </w:tcMar>
          </w:tcPr>
          <w:p w14:paraId="22388C5D" w14:textId="77777777" w:rsidR="009732DF" w:rsidRPr="00B43216" w:rsidRDefault="009732DF" w:rsidP="001144FB">
            <w:pPr>
              <w:pStyle w:val="Marginlie"/>
              <w:spacing w:after="120"/>
              <w:rPr>
                <w:spacing w:val="-4"/>
              </w:rPr>
            </w:pPr>
          </w:p>
        </w:tc>
        <w:tc>
          <w:tcPr>
            <w:tcW w:w="216" w:type="dxa"/>
            <w:vMerge w:val="restart"/>
            <w:shd w:val="clear" w:color="auto" w:fill="auto"/>
            <w:tcMar>
              <w:left w:w="0" w:type="dxa"/>
            </w:tcMar>
          </w:tcPr>
          <w:p w14:paraId="6E6D9B6E"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7DF0CE62" w14:textId="77777777" w:rsidR="009732DF" w:rsidRPr="00343F02" w:rsidRDefault="009732DF" w:rsidP="001144FB">
            <w:pPr>
              <w:spacing w:after="0"/>
              <w:rPr>
                <w:spacing w:val="-2"/>
                <w:szCs w:val="20"/>
              </w:rPr>
            </w:pPr>
            <w:r w:rsidRPr="00343F02">
              <w:rPr>
                <w:rFonts w:cs="Arial"/>
                <w:b/>
                <w:bCs/>
                <w:color w:val="000000"/>
                <w:szCs w:val="20"/>
              </w:rPr>
              <w:t xml:space="preserve">Chart 12  </w:t>
            </w:r>
            <w:r w:rsidRPr="00343F02">
              <w:rPr>
                <w:rFonts w:cs="Arial"/>
                <w:b/>
                <w:bCs/>
                <w:color w:val="000000"/>
                <w:szCs w:val="20"/>
                <w:lang w:val="en-GB"/>
              </w:rPr>
              <w:t xml:space="preserve">Total employment </w:t>
            </w:r>
            <w:r w:rsidRPr="00343F02">
              <w:rPr>
                <w:szCs w:val="20"/>
                <w:lang w:val="en-GB" w:eastAsia="en-US"/>
              </w:rPr>
              <w:t xml:space="preserve">(year-on-year in </w:t>
            </w:r>
            <w:r w:rsidRPr="00343F02">
              <w:rPr>
                <w:spacing w:val="-2"/>
                <w:szCs w:val="20"/>
                <w:lang w:val="en-GB"/>
              </w:rPr>
              <w:t>%)</w:t>
            </w:r>
            <w:r w:rsidRPr="00343F02">
              <w:rPr>
                <w:b/>
                <w:bCs/>
                <w:spacing w:val="-2"/>
                <w:szCs w:val="20"/>
                <w:lang w:val="en-GB"/>
              </w:rPr>
              <w:t xml:space="preserve">, contributions of branches to year-on-year change of employment </w:t>
            </w:r>
            <w:r w:rsidRPr="00343F02">
              <w:rPr>
                <w:spacing w:val="-2"/>
                <w:szCs w:val="20"/>
                <w:lang w:val="en-GB"/>
              </w:rPr>
              <w:t>(in p.p.)</w:t>
            </w:r>
            <w:r w:rsidRPr="00343F02">
              <w:rPr>
                <w:b/>
                <w:bCs/>
                <w:spacing w:val="-2"/>
                <w:szCs w:val="20"/>
                <w:lang w:val="en-GB"/>
              </w:rPr>
              <w:t xml:space="preserve"> and expectations of employment development </w:t>
            </w:r>
            <w:r w:rsidRPr="00343F02">
              <w:rPr>
                <w:spacing w:val="-2"/>
                <w:szCs w:val="20"/>
                <w:lang w:val="en-GB"/>
              </w:rPr>
              <w:t>(balance in p. p.)</w:t>
            </w:r>
          </w:p>
        </w:tc>
      </w:tr>
      <w:tr w:rsidR="009732DF" w:rsidRPr="00B43216" w14:paraId="44C21ECE" w14:textId="77777777" w:rsidTr="001144FB">
        <w:tblPrEx>
          <w:tblCellMar>
            <w:left w:w="70" w:type="dxa"/>
            <w:right w:w="70" w:type="dxa"/>
          </w:tblCellMar>
        </w:tblPrEx>
        <w:trPr>
          <w:trHeight w:val="155"/>
        </w:trPr>
        <w:tc>
          <w:tcPr>
            <w:tcW w:w="1792" w:type="dxa"/>
            <w:vMerge/>
            <w:shd w:val="clear" w:color="auto" w:fill="auto"/>
          </w:tcPr>
          <w:p w14:paraId="6A119BF7" w14:textId="77777777" w:rsidR="009732DF" w:rsidRPr="00B43216" w:rsidRDefault="009732DF" w:rsidP="001144FB">
            <w:pPr>
              <w:pStyle w:val="Marginlie"/>
              <w:spacing w:after="120"/>
              <w:rPr>
                <w:spacing w:val="-4"/>
              </w:rPr>
            </w:pPr>
          </w:p>
        </w:tc>
        <w:tc>
          <w:tcPr>
            <w:tcW w:w="216" w:type="dxa"/>
            <w:vMerge/>
            <w:shd w:val="clear" w:color="auto" w:fill="auto"/>
          </w:tcPr>
          <w:p w14:paraId="40992FCB" w14:textId="77777777" w:rsidR="009732DF" w:rsidRPr="00B43216" w:rsidRDefault="009732DF" w:rsidP="001144FB">
            <w:pPr>
              <w:pStyle w:val="Textpoznpodarou"/>
              <w:spacing w:after="120"/>
              <w:jc w:val="both"/>
              <w:rPr>
                <w:spacing w:val="-4"/>
              </w:rPr>
            </w:pPr>
          </w:p>
        </w:tc>
        <w:tc>
          <w:tcPr>
            <w:tcW w:w="7656" w:type="dxa"/>
            <w:shd w:val="clear" w:color="auto" w:fill="auto"/>
          </w:tcPr>
          <w:p w14:paraId="4FCB4926" w14:textId="77777777" w:rsidR="009732DF" w:rsidRPr="00B43216" w:rsidRDefault="009732DF" w:rsidP="001144FB">
            <w:pPr>
              <w:spacing w:after="0"/>
              <w:rPr>
                <w:spacing w:val="-4"/>
              </w:rPr>
            </w:pPr>
            <w:r>
              <w:rPr>
                <w:noProof/>
              </w:rPr>
              <w:drawing>
                <wp:inline distT="0" distB="0" distL="0" distR="0" wp14:anchorId="7A8AF438" wp14:editId="3FC805C6">
                  <wp:extent cx="4703370" cy="3966846"/>
                  <wp:effectExtent l="0" t="0" r="2540" b="444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732DF" w:rsidRPr="00485ED5" w14:paraId="1057958E" w14:textId="77777777" w:rsidTr="001144FB">
        <w:trPr>
          <w:trHeight w:val="671"/>
        </w:trPr>
        <w:tc>
          <w:tcPr>
            <w:tcW w:w="1792" w:type="dxa"/>
            <w:vMerge/>
            <w:shd w:val="clear" w:color="auto" w:fill="auto"/>
            <w:tcMar>
              <w:left w:w="0" w:type="dxa"/>
            </w:tcMar>
          </w:tcPr>
          <w:p w14:paraId="6624A32B" w14:textId="77777777" w:rsidR="009732DF" w:rsidRPr="00B43216" w:rsidRDefault="009732DF" w:rsidP="001144FB">
            <w:pPr>
              <w:pStyle w:val="Marginlie"/>
              <w:spacing w:after="120"/>
              <w:rPr>
                <w:spacing w:val="-4"/>
              </w:rPr>
            </w:pPr>
          </w:p>
        </w:tc>
        <w:tc>
          <w:tcPr>
            <w:tcW w:w="216" w:type="dxa"/>
            <w:vMerge/>
            <w:shd w:val="clear" w:color="auto" w:fill="auto"/>
            <w:tcMar>
              <w:left w:w="0" w:type="dxa"/>
            </w:tcMar>
          </w:tcPr>
          <w:p w14:paraId="26949CC3"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2E4EAD26" w14:textId="77777777" w:rsidR="009732DF" w:rsidRPr="00301F5A" w:rsidRDefault="009732DF" w:rsidP="001144FB">
            <w:pPr>
              <w:spacing w:after="0" w:line="240" w:lineRule="auto"/>
              <w:rPr>
                <w:rFonts w:cs="Arial"/>
                <w:sz w:val="14"/>
                <w:szCs w:val="14"/>
                <w:lang w:val="en-GB"/>
              </w:rPr>
            </w:pPr>
            <w:r w:rsidRPr="00301F5A">
              <w:rPr>
                <w:rFonts w:cs="Arial"/>
                <w:sz w:val="14"/>
                <w:szCs w:val="14"/>
                <w:lang w:val="en-GB"/>
              </w:rPr>
              <w:t>*Mining and energetics</w:t>
            </w:r>
            <w:r>
              <w:rPr>
                <w:rFonts w:cs="Arial"/>
                <w:sz w:val="14"/>
                <w:szCs w:val="14"/>
                <w:lang w:val="en-GB"/>
              </w:rPr>
              <w:t>;</w:t>
            </w:r>
            <w:r w:rsidRPr="00301F5A">
              <w:rPr>
                <w:rFonts w:cs="Arial"/>
                <w:sz w:val="14"/>
                <w:szCs w:val="14"/>
                <w:lang w:val="en-GB"/>
              </w:rPr>
              <w:t xml:space="preserve"> Financial and insurance activities</w:t>
            </w:r>
            <w:r>
              <w:rPr>
                <w:rFonts w:cs="Arial"/>
                <w:sz w:val="14"/>
                <w:szCs w:val="14"/>
                <w:lang w:val="en-GB"/>
              </w:rPr>
              <w:t>;</w:t>
            </w:r>
            <w:r w:rsidRPr="00301F5A">
              <w:rPr>
                <w:rFonts w:cs="Arial"/>
                <w:sz w:val="14"/>
                <w:szCs w:val="14"/>
                <w:lang w:val="en-GB"/>
              </w:rPr>
              <w:t xml:space="preserve"> Real estate activit</w:t>
            </w:r>
            <w:r>
              <w:rPr>
                <w:rFonts w:cs="Arial"/>
                <w:sz w:val="14"/>
                <w:szCs w:val="14"/>
                <w:lang w:val="en-GB"/>
              </w:rPr>
              <w:t>i</w:t>
            </w:r>
            <w:r w:rsidRPr="00301F5A">
              <w:rPr>
                <w:rFonts w:cs="Arial"/>
                <w:sz w:val="14"/>
                <w:szCs w:val="14"/>
                <w:lang w:val="en-GB"/>
              </w:rPr>
              <w:t>es</w:t>
            </w:r>
            <w:r>
              <w:rPr>
                <w:rFonts w:cs="Arial"/>
                <w:sz w:val="14"/>
                <w:szCs w:val="14"/>
                <w:lang w:val="en-GB"/>
              </w:rPr>
              <w:t>;</w:t>
            </w:r>
            <w:r w:rsidRPr="00301F5A">
              <w:rPr>
                <w:rFonts w:cs="Arial"/>
                <w:sz w:val="14"/>
                <w:szCs w:val="14"/>
                <w:lang w:val="en-GB"/>
              </w:rPr>
              <w:t xml:space="preserve"> Arts, e</w:t>
            </w:r>
            <w:r>
              <w:rPr>
                <w:rFonts w:cs="Arial"/>
                <w:sz w:val="14"/>
                <w:szCs w:val="14"/>
                <w:lang w:val="en-GB"/>
              </w:rPr>
              <w:t>n</w:t>
            </w:r>
            <w:r w:rsidRPr="00301F5A">
              <w:rPr>
                <w:rFonts w:cs="Arial"/>
                <w:sz w:val="14"/>
                <w:szCs w:val="14"/>
                <w:lang w:val="en-GB"/>
              </w:rPr>
              <w:t>tertainment and recreation activiti</w:t>
            </w:r>
            <w:r>
              <w:rPr>
                <w:rFonts w:cs="Arial"/>
                <w:sz w:val="14"/>
                <w:szCs w:val="14"/>
                <w:lang w:val="en-GB"/>
              </w:rPr>
              <w:t>e</w:t>
            </w:r>
            <w:r w:rsidRPr="00301F5A">
              <w:rPr>
                <w:rFonts w:cs="Arial"/>
                <w:sz w:val="14"/>
                <w:szCs w:val="14"/>
                <w:lang w:val="en-GB"/>
              </w:rPr>
              <w:t>s</w:t>
            </w:r>
            <w:r>
              <w:rPr>
                <w:rFonts w:cs="Arial"/>
                <w:sz w:val="14"/>
                <w:szCs w:val="14"/>
                <w:lang w:val="en-GB"/>
              </w:rPr>
              <w:t>.</w:t>
            </w:r>
            <w:r w:rsidRPr="00301F5A">
              <w:rPr>
                <w:rFonts w:cs="Arial"/>
                <w:sz w:val="14"/>
                <w:szCs w:val="14"/>
                <w:lang w:val="en-GB"/>
              </w:rPr>
              <w:t xml:space="preserve"> </w:t>
            </w:r>
          </w:p>
          <w:p w14:paraId="1B554926" w14:textId="77777777" w:rsidR="009732DF" w:rsidRDefault="009732DF" w:rsidP="001144FB">
            <w:pPr>
              <w:spacing w:after="0" w:line="240" w:lineRule="auto"/>
              <w:rPr>
                <w:rFonts w:cs="Arial"/>
                <w:sz w:val="14"/>
                <w:szCs w:val="14"/>
              </w:rPr>
            </w:pPr>
            <w:r w:rsidRPr="00301F5A">
              <w:rPr>
                <w:rFonts w:cs="Arial"/>
                <w:sz w:val="14"/>
                <w:szCs w:val="14"/>
                <w:lang w:val="en-GB"/>
              </w:rPr>
              <w:t xml:space="preserve">Note: </w:t>
            </w:r>
            <w:r>
              <w:rPr>
                <w:rFonts w:cs="Arial"/>
                <w:sz w:val="14"/>
                <w:szCs w:val="14"/>
                <w:lang w:val="en-GB"/>
              </w:rPr>
              <w:t xml:space="preserve">Balance of expectations expresses the difference in p.p. between categories growth vs. decrease of employment in the nearest three months. Data are seasonally adjusted and relate to the second month of the given quarter. </w:t>
            </w:r>
          </w:p>
          <w:p w14:paraId="31E3EF14" w14:textId="77777777" w:rsidR="009732DF" w:rsidRPr="00343F02" w:rsidRDefault="009732DF" w:rsidP="001144FB">
            <w:pPr>
              <w:spacing w:after="200" w:line="240" w:lineRule="auto"/>
              <w:rPr>
                <w:rFonts w:cs="Arial"/>
                <w:sz w:val="14"/>
                <w:szCs w:val="14"/>
                <w:lang w:val="en-GB"/>
              </w:rPr>
            </w:pPr>
            <w:r>
              <w:rPr>
                <w:rFonts w:cs="Arial"/>
                <w:sz w:val="14"/>
                <w:szCs w:val="14"/>
              </w:rPr>
              <w:t>Source</w:t>
            </w:r>
            <w:r w:rsidRPr="00862F17">
              <w:rPr>
                <w:rFonts w:cs="Arial"/>
                <w:sz w:val="14"/>
                <w:szCs w:val="14"/>
              </w:rPr>
              <w:t xml:space="preserve">: </w:t>
            </w:r>
            <w:r w:rsidRPr="001971BA">
              <w:rPr>
                <w:rFonts w:cs="Arial"/>
                <w:sz w:val="14"/>
                <w:szCs w:val="14"/>
                <w:lang w:val="en-GB"/>
              </w:rPr>
              <w:t>CZSO (</w:t>
            </w:r>
            <w:r>
              <w:rPr>
                <w:rFonts w:cs="Arial"/>
                <w:sz w:val="14"/>
                <w:szCs w:val="14"/>
                <w:lang w:val="en-GB"/>
              </w:rPr>
              <w:t>LFSS</w:t>
            </w:r>
            <w:r w:rsidRPr="001971BA">
              <w:rPr>
                <w:rFonts w:cs="Arial"/>
                <w:sz w:val="14"/>
                <w:szCs w:val="14"/>
                <w:lang w:val="en-GB"/>
              </w:rPr>
              <w:t>, business cycle surveys)</w:t>
            </w:r>
          </w:p>
        </w:tc>
      </w:tr>
      <w:tr w:rsidR="009732DF" w:rsidRPr="00D82DBD" w14:paraId="2E9EDC10" w14:textId="77777777" w:rsidTr="001144FB">
        <w:trPr>
          <w:trHeight w:val="145"/>
        </w:trPr>
        <w:tc>
          <w:tcPr>
            <w:tcW w:w="1792" w:type="dxa"/>
            <w:shd w:val="clear" w:color="auto" w:fill="auto"/>
            <w:tcMar>
              <w:left w:w="0" w:type="dxa"/>
            </w:tcMar>
          </w:tcPr>
          <w:p w14:paraId="0B112069" w14:textId="77777777" w:rsidR="009732DF" w:rsidRPr="008B72D5" w:rsidRDefault="009732DF" w:rsidP="001144FB">
            <w:pPr>
              <w:pStyle w:val="Marginlie"/>
              <w:spacing w:after="120"/>
              <w:rPr>
                <w:color w:val="0D0D0D" w:themeColor="text1" w:themeTint="F2"/>
                <w:spacing w:val="-5"/>
                <w:lang w:val="en-GB"/>
              </w:rPr>
            </w:pPr>
            <w:r>
              <w:rPr>
                <w:color w:val="0D0D0D" w:themeColor="text1" w:themeTint="F2"/>
                <w:spacing w:val="-5"/>
                <w:lang w:val="en-GB"/>
              </w:rPr>
              <w:t xml:space="preserve">Unemployment decreased with simultaneous reduction of government </w:t>
            </w:r>
            <w:r>
              <w:rPr>
                <w:color w:val="0D0D0D" w:themeColor="text1" w:themeTint="F2"/>
                <w:spacing w:val="-5"/>
                <w:lang w:val="en-GB"/>
              </w:rPr>
              <w:lastRenderedPageBreak/>
              <w:t xml:space="preserve">stabilisation programmes in Q2. </w:t>
            </w:r>
          </w:p>
          <w:p w14:paraId="2B151BFC" w14:textId="77777777" w:rsidR="009732DF" w:rsidRPr="008B72D5" w:rsidRDefault="009732DF" w:rsidP="001144FB">
            <w:pPr>
              <w:pStyle w:val="Marginlie"/>
              <w:spacing w:line="240" w:lineRule="auto"/>
              <w:rPr>
                <w:color w:val="0D0D0D" w:themeColor="text1" w:themeTint="F2"/>
                <w:spacing w:val="-5"/>
                <w:lang w:val="en-GB"/>
              </w:rPr>
            </w:pPr>
          </w:p>
          <w:p w14:paraId="63DF6318" w14:textId="77777777" w:rsidR="009732DF" w:rsidRPr="008B72D5" w:rsidRDefault="009732DF" w:rsidP="001144FB">
            <w:pPr>
              <w:pStyle w:val="Marginlie"/>
              <w:spacing w:line="240" w:lineRule="auto"/>
              <w:rPr>
                <w:color w:val="0D0D0D" w:themeColor="text1" w:themeTint="F2"/>
                <w:spacing w:val="-5"/>
                <w:lang w:val="en-GB"/>
              </w:rPr>
            </w:pPr>
          </w:p>
          <w:p w14:paraId="0BE973AD" w14:textId="77777777" w:rsidR="009732DF" w:rsidRPr="008B72D5" w:rsidRDefault="009732DF" w:rsidP="001144FB">
            <w:pPr>
              <w:pStyle w:val="Marginlie"/>
              <w:spacing w:line="240" w:lineRule="auto"/>
              <w:rPr>
                <w:color w:val="0D0D0D" w:themeColor="text1" w:themeTint="F2"/>
                <w:spacing w:val="-5"/>
                <w:lang w:val="en-GB"/>
              </w:rPr>
            </w:pPr>
          </w:p>
          <w:p w14:paraId="1607732A" w14:textId="77777777" w:rsidR="009732DF" w:rsidRPr="008B72D5" w:rsidRDefault="009732DF" w:rsidP="001144FB">
            <w:pPr>
              <w:pStyle w:val="Marginlie"/>
              <w:spacing w:line="240" w:lineRule="auto"/>
              <w:rPr>
                <w:color w:val="0D0D0D" w:themeColor="text1" w:themeTint="F2"/>
                <w:spacing w:val="-5"/>
                <w:lang w:val="en-GB"/>
              </w:rPr>
            </w:pPr>
          </w:p>
          <w:p w14:paraId="36D9D864" w14:textId="77777777" w:rsidR="009732DF" w:rsidRPr="008B72D5" w:rsidRDefault="009732DF" w:rsidP="001144FB">
            <w:pPr>
              <w:pStyle w:val="Marginlie"/>
              <w:spacing w:line="240" w:lineRule="auto"/>
              <w:rPr>
                <w:color w:val="0D0D0D" w:themeColor="text1" w:themeTint="F2"/>
                <w:spacing w:val="-5"/>
                <w:lang w:val="en-GB"/>
              </w:rPr>
            </w:pPr>
          </w:p>
          <w:p w14:paraId="5E4F4EC4" w14:textId="77777777" w:rsidR="009732DF" w:rsidRPr="008B72D5" w:rsidRDefault="009732DF" w:rsidP="001144FB">
            <w:pPr>
              <w:pStyle w:val="Marginlie"/>
              <w:spacing w:after="120"/>
              <w:rPr>
                <w:color w:val="0D0D0D" w:themeColor="text1" w:themeTint="F2"/>
                <w:spacing w:val="-5"/>
                <w:lang w:val="en-GB"/>
              </w:rPr>
            </w:pPr>
            <w:r>
              <w:rPr>
                <w:color w:val="0D0D0D" w:themeColor="text1" w:themeTint="F2"/>
                <w:spacing w:val="-5"/>
                <w:lang w:val="en-GB"/>
              </w:rPr>
              <w:t xml:space="preserve">Number as well as proportion of long-term unemployed however increased. </w:t>
            </w:r>
          </w:p>
        </w:tc>
        <w:tc>
          <w:tcPr>
            <w:tcW w:w="216" w:type="dxa"/>
            <w:shd w:val="clear" w:color="auto" w:fill="auto"/>
            <w:tcMar>
              <w:left w:w="0" w:type="dxa"/>
            </w:tcMar>
          </w:tcPr>
          <w:p w14:paraId="238D9843" w14:textId="77777777" w:rsidR="009732DF" w:rsidRPr="008B72D5" w:rsidRDefault="009732DF" w:rsidP="001144FB">
            <w:pPr>
              <w:pStyle w:val="Textpoznpodarou"/>
              <w:spacing w:after="120"/>
              <w:jc w:val="both"/>
              <w:rPr>
                <w:color w:val="0D0D0D" w:themeColor="text1" w:themeTint="F2"/>
                <w:spacing w:val="-4"/>
                <w:lang w:val="en-GB"/>
              </w:rPr>
            </w:pPr>
          </w:p>
        </w:tc>
        <w:tc>
          <w:tcPr>
            <w:tcW w:w="7656" w:type="dxa"/>
            <w:shd w:val="clear" w:color="auto" w:fill="auto"/>
            <w:tcMar>
              <w:left w:w="0" w:type="dxa"/>
            </w:tcMar>
          </w:tcPr>
          <w:p w14:paraId="0A16FAC4" w14:textId="77777777" w:rsidR="009732DF" w:rsidRPr="008B72D5" w:rsidRDefault="009732DF" w:rsidP="001144FB">
            <w:pPr>
              <w:rPr>
                <w:color w:val="0D0D0D" w:themeColor="text1" w:themeTint="F2"/>
                <w:spacing w:val="-4"/>
                <w:lang w:val="en-GB"/>
              </w:rPr>
            </w:pPr>
            <w:r w:rsidRPr="008B72D5">
              <w:rPr>
                <w:color w:val="0D0D0D" w:themeColor="text1" w:themeTint="F2"/>
                <w:spacing w:val="-4"/>
                <w:lang w:val="en-GB"/>
              </w:rPr>
              <w:t>General unemployment rate</w:t>
            </w:r>
            <w:r w:rsidRPr="008B72D5">
              <w:rPr>
                <w:rStyle w:val="Znakapoznpodarou"/>
                <w:color w:val="0D0D0D" w:themeColor="text1" w:themeTint="F2"/>
                <w:spacing w:val="-4"/>
                <w:lang w:val="en-GB"/>
              </w:rPr>
              <w:footnoteReference w:id="7"/>
            </w:r>
            <w:r w:rsidRPr="008B72D5">
              <w:rPr>
                <w:color w:val="0D0D0D" w:themeColor="text1" w:themeTint="F2"/>
                <w:spacing w:val="-4"/>
                <w:lang w:val="en-GB"/>
              </w:rPr>
              <w:t xml:space="preserve"> (aged 15 till 64 years of age) moderately increased at the beginning of the year and hit the nearly four year maximum (3.5%) this year in March.</w:t>
            </w:r>
            <w:r>
              <w:rPr>
                <w:color w:val="0D0D0D" w:themeColor="text1" w:themeTint="F2"/>
                <w:spacing w:val="-4"/>
                <w:lang w:val="en-GB"/>
              </w:rPr>
              <w:t xml:space="preserve"> A positive turnaround occurred at economy reopening in Q</w:t>
            </w:r>
            <w:r w:rsidRPr="008B72D5">
              <w:rPr>
                <w:color w:val="0D0D0D" w:themeColor="text1" w:themeTint="F2"/>
                <w:spacing w:val="-4"/>
                <w:lang w:val="en-GB"/>
              </w:rPr>
              <w:t>2</w:t>
            </w:r>
            <w:r>
              <w:rPr>
                <w:color w:val="0D0D0D" w:themeColor="text1" w:themeTint="F2"/>
                <w:spacing w:val="-4"/>
                <w:lang w:val="en-GB"/>
              </w:rPr>
              <w:t xml:space="preserve"> </w:t>
            </w:r>
            <w:r w:rsidRPr="008B72D5">
              <w:rPr>
                <w:color w:val="0D0D0D" w:themeColor="text1" w:themeTint="F2"/>
                <w:spacing w:val="-4"/>
                <w:lang w:val="en-GB"/>
              </w:rPr>
              <w:t>a</w:t>
            </w:r>
            <w:r>
              <w:rPr>
                <w:color w:val="0D0D0D" w:themeColor="text1" w:themeTint="F2"/>
                <w:spacing w:val="-4"/>
                <w:lang w:val="en-GB"/>
              </w:rPr>
              <w:t xml:space="preserve">nd only </w:t>
            </w:r>
            <w:r w:rsidRPr="008B72D5">
              <w:rPr>
                <w:color w:val="0D0D0D" w:themeColor="text1" w:themeTint="F2"/>
                <w:spacing w:val="-4"/>
                <w:lang w:val="en-GB"/>
              </w:rPr>
              <w:t>2</w:t>
            </w:r>
            <w:r>
              <w:rPr>
                <w:color w:val="0D0D0D" w:themeColor="text1" w:themeTint="F2"/>
                <w:spacing w:val="-4"/>
                <w:lang w:val="en-GB"/>
              </w:rPr>
              <w:t>.</w:t>
            </w:r>
            <w:r w:rsidRPr="008B72D5">
              <w:rPr>
                <w:color w:val="0D0D0D" w:themeColor="text1" w:themeTint="F2"/>
                <w:spacing w:val="-4"/>
                <w:lang w:val="en-GB"/>
              </w:rPr>
              <w:t>4%</w:t>
            </w:r>
            <w:r>
              <w:rPr>
                <w:color w:val="0D0D0D" w:themeColor="text1" w:themeTint="F2"/>
                <w:spacing w:val="-4"/>
                <w:lang w:val="en-GB"/>
              </w:rPr>
              <w:t xml:space="preserve"> of economically active males and</w:t>
            </w:r>
            <w:r w:rsidRPr="008B72D5">
              <w:rPr>
                <w:color w:val="0D0D0D" w:themeColor="text1" w:themeTint="F2"/>
                <w:spacing w:val="-4"/>
                <w:lang w:val="en-GB"/>
              </w:rPr>
              <w:t xml:space="preserve"> 3</w:t>
            </w:r>
            <w:r>
              <w:rPr>
                <w:color w:val="0D0D0D" w:themeColor="text1" w:themeTint="F2"/>
                <w:spacing w:val="-4"/>
                <w:lang w:val="en-GB"/>
              </w:rPr>
              <w:t>.</w:t>
            </w:r>
            <w:r w:rsidRPr="008B72D5">
              <w:rPr>
                <w:color w:val="0D0D0D" w:themeColor="text1" w:themeTint="F2"/>
                <w:spacing w:val="-4"/>
                <w:lang w:val="en-GB"/>
              </w:rPr>
              <w:t>5%</w:t>
            </w:r>
            <w:r>
              <w:rPr>
                <w:color w:val="0D0D0D" w:themeColor="text1" w:themeTint="F2"/>
                <w:spacing w:val="-4"/>
                <w:lang w:val="en-GB"/>
              </w:rPr>
              <w:t xml:space="preserve"> females</w:t>
            </w:r>
            <w:r w:rsidRPr="008B72D5">
              <w:rPr>
                <w:rStyle w:val="Znakapoznpodarou"/>
                <w:color w:val="0D0D0D" w:themeColor="text1" w:themeTint="F2"/>
                <w:spacing w:val="-4"/>
                <w:lang w:val="en-GB"/>
              </w:rPr>
              <w:footnoteReference w:id="8"/>
            </w:r>
            <w:r>
              <w:rPr>
                <w:color w:val="0D0D0D" w:themeColor="text1" w:themeTint="F2"/>
                <w:spacing w:val="-4"/>
                <w:lang w:val="en-GB"/>
              </w:rPr>
              <w:t xml:space="preserve"> were out of work in June</w:t>
            </w:r>
            <w:r w:rsidRPr="008B72D5">
              <w:rPr>
                <w:color w:val="0D0D0D" w:themeColor="text1" w:themeTint="F2"/>
                <w:spacing w:val="-4"/>
                <w:lang w:val="en-GB"/>
              </w:rPr>
              <w:t xml:space="preserve">. </w:t>
            </w:r>
            <w:r>
              <w:rPr>
                <w:color w:val="0D0D0D" w:themeColor="text1" w:themeTint="F2"/>
                <w:spacing w:val="-4"/>
                <w:lang w:val="en-GB"/>
              </w:rPr>
              <w:t xml:space="preserve">Considerable reduction of </w:t>
            </w:r>
            <w:r>
              <w:rPr>
                <w:color w:val="0D0D0D" w:themeColor="text1" w:themeTint="F2"/>
                <w:spacing w:val="-4"/>
                <w:lang w:val="en-GB"/>
              </w:rPr>
              <w:lastRenderedPageBreak/>
              <w:t>government stabilisation programmes</w:t>
            </w:r>
            <w:r w:rsidRPr="008B72D5">
              <w:rPr>
                <w:rStyle w:val="Znakapoznpodarou"/>
                <w:color w:val="0D0D0D" w:themeColor="text1" w:themeTint="F2"/>
                <w:spacing w:val="-4"/>
                <w:lang w:val="en-GB"/>
              </w:rPr>
              <w:footnoteReference w:id="9"/>
            </w:r>
            <w:r w:rsidRPr="008B72D5">
              <w:rPr>
                <w:color w:val="0D0D0D" w:themeColor="text1" w:themeTint="F2"/>
                <w:spacing w:val="-4"/>
                <w:lang w:val="en-GB"/>
              </w:rPr>
              <w:t xml:space="preserve"> </w:t>
            </w:r>
            <w:r>
              <w:rPr>
                <w:color w:val="0D0D0D" w:themeColor="text1" w:themeTint="F2"/>
                <w:spacing w:val="-4"/>
                <w:lang w:val="en-GB"/>
              </w:rPr>
              <w:t xml:space="preserve">thus was not negatively reflected in the unemployment area in this time period. The position of females </w:t>
            </w:r>
            <w:r w:rsidRPr="008B72D5">
              <w:rPr>
                <w:color w:val="0D0D0D" w:themeColor="text1" w:themeTint="F2"/>
                <w:spacing w:val="-4"/>
                <w:lang w:val="en-GB"/>
              </w:rPr>
              <w:t>(+1</w:t>
            </w:r>
            <w:r>
              <w:rPr>
                <w:color w:val="0D0D0D" w:themeColor="text1" w:themeTint="F2"/>
                <w:spacing w:val="-4"/>
                <w:lang w:val="en-GB"/>
              </w:rPr>
              <w:t>.</w:t>
            </w:r>
            <w:r w:rsidRPr="008B72D5">
              <w:rPr>
                <w:color w:val="0D0D0D" w:themeColor="text1" w:themeTint="F2"/>
                <w:spacing w:val="-4"/>
                <w:lang w:val="en-GB"/>
              </w:rPr>
              <w:t>6 p.</w:t>
            </w:r>
            <w:r>
              <w:rPr>
                <w:color w:val="0D0D0D" w:themeColor="text1" w:themeTint="F2"/>
                <w:spacing w:val="-4"/>
                <w:lang w:val="en-GB"/>
              </w:rPr>
              <w:t>p</w:t>
            </w:r>
            <w:r w:rsidRPr="008B72D5">
              <w:rPr>
                <w:color w:val="0D0D0D" w:themeColor="text1" w:themeTint="F2"/>
                <w:spacing w:val="-4"/>
                <w:lang w:val="en-GB"/>
              </w:rPr>
              <w:t>.)</w:t>
            </w:r>
            <w:r>
              <w:rPr>
                <w:color w:val="0D0D0D" w:themeColor="text1" w:themeTint="F2"/>
                <w:spacing w:val="-4"/>
                <w:lang w:val="en-GB"/>
              </w:rPr>
              <w:t xml:space="preserve"> worsened more than position of males </w:t>
            </w:r>
            <w:r w:rsidRPr="008B72D5">
              <w:rPr>
                <w:color w:val="0D0D0D" w:themeColor="text1" w:themeTint="F2"/>
                <w:spacing w:val="-4"/>
                <w:lang w:val="en-GB"/>
              </w:rPr>
              <w:t>(+0</w:t>
            </w:r>
            <w:r>
              <w:rPr>
                <w:color w:val="0D0D0D" w:themeColor="text1" w:themeTint="F2"/>
                <w:spacing w:val="-4"/>
                <w:lang w:val="en-GB"/>
              </w:rPr>
              <w:t>.</w:t>
            </w:r>
            <w:r w:rsidRPr="008B72D5">
              <w:rPr>
                <w:color w:val="0D0D0D" w:themeColor="text1" w:themeTint="F2"/>
                <w:spacing w:val="-4"/>
                <w:lang w:val="en-GB"/>
              </w:rPr>
              <w:t>6 p.</w:t>
            </w:r>
            <w:r>
              <w:rPr>
                <w:color w:val="0D0D0D" w:themeColor="text1" w:themeTint="F2"/>
                <w:spacing w:val="-4"/>
                <w:lang w:val="en-GB"/>
              </w:rPr>
              <w:t>p.</w:t>
            </w:r>
            <w:r w:rsidRPr="008B72D5">
              <w:rPr>
                <w:color w:val="0D0D0D" w:themeColor="text1" w:themeTint="F2"/>
                <w:spacing w:val="-4"/>
                <w:lang w:val="en-GB"/>
              </w:rPr>
              <w:t>)</w:t>
            </w:r>
            <w:r>
              <w:rPr>
                <w:color w:val="0D0D0D" w:themeColor="text1" w:themeTint="F2"/>
                <w:spacing w:val="-4"/>
                <w:lang w:val="en-GB"/>
              </w:rPr>
              <w:t xml:space="preserve"> compared to the level immediately before the pandemics (from February 2020).</w:t>
            </w:r>
            <w:r w:rsidRPr="008B72D5">
              <w:rPr>
                <w:color w:val="0D0D0D" w:themeColor="text1" w:themeTint="F2"/>
                <w:spacing w:val="-4"/>
                <w:lang w:val="en-GB"/>
              </w:rPr>
              <w:t xml:space="preserve"> Pos</w:t>
            </w:r>
            <w:r>
              <w:rPr>
                <w:color w:val="0D0D0D" w:themeColor="text1" w:themeTint="F2"/>
                <w:spacing w:val="-4"/>
                <w:lang w:val="en-GB"/>
              </w:rPr>
              <w:t>ition of females is complicated by the fact, that number of branches strongly hit by the demand slump during the pandemics recovers slowly and does not plan to recruit new workers for now</w:t>
            </w:r>
            <w:r w:rsidRPr="008B72D5">
              <w:rPr>
                <w:color w:val="0D0D0D" w:themeColor="text1" w:themeTint="F2"/>
                <w:spacing w:val="-4"/>
                <w:lang w:val="en-GB"/>
              </w:rPr>
              <w:t xml:space="preserve">. </w:t>
            </w:r>
            <w:r>
              <w:rPr>
                <w:color w:val="0D0D0D" w:themeColor="text1" w:themeTint="F2"/>
                <w:spacing w:val="-4"/>
                <w:lang w:val="en-GB"/>
              </w:rPr>
              <w:t xml:space="preserve">The supply of part time job positions also likely has not reached to level from year </w:t>
            </w:r>
            <w:r w:rsidRPr="008B72D5">
              <w:rPr>
                <w:color w:val="0D0D0D" w:themeColor="text1" w:themeTint="F2"/>
                <w:spacing w:val="-4"/>
                <w:lang w:val="en-GB"/>
              </w:rPr>
              <w:t>2019</w:t>
            </w:r>
            <w:r>
              <w:rPr>
                <w:color w:val="0D0D0D" w:themeColor="text1" w:themeTint="F2"/>
                <w:spacing w:val="-4"/>
                <w:lang w:val="en-GB"/>
              </w:rPr>
              <w:t xml:space="preserve"> so far</w:t>
            </w:r>
            <w:r w:rsidRPr="008B72D5">
              <w:rPr>
                <w:rStyle w:val="Znakapoznpodarou"/>
                <w:color w:val="0D0D0D" w:themeColor="text1" w:themeTint="F2"/>
                <w:spacing w:val="-4"/>
                <w:lang w:val="en-GB"/>
              </w:rPr>
              <w:footnoteReference w:id="10"/>
            </w:r>
            <w:r w:rsidRPr="008B72D5">
              <w:rPr>
                <w:color w:val="0D0D0D" w:themeColor="text1" w:themeTint="F2"/>
                <w:spacing w:val="-4"/>
                <w:lang w:val="en-GB"/>
              </w:rPr>
              <w:t xml:space="preserve">. </w:t>
            </w:r>
            <w:r>
              <w:rPr>
                <w:color w:val="0D0D0D" w:themeColor="text1" w:themeTint="F2"/>
                <w:spacing w:val="-4"/>
                <w:lang w:val="en-GB"/>
              </w:rPr>
              <w:t xml:space="preserve">Unemployment rate among young up to </w:t>
            </w:r>
            <w:r w:rsidRPr="008B72D5">
              <w:rPr>
                <w:color w:val="0D0D0D" w:themeColor="text1" w:themeTint="F2"/>
                <w:spacing w:val="-4"/>
                <w:lang w:val="en-GB"/>
              </w:rPr>
              <w:t>25</w:t>
            </w:r>
            <w:r>
              <w:rPr>
                <w:color w:val="0D0D0D" w:themeColor="text1" w:themeTint="F2"/>
                <w:spacing w:val="-4"/>
                <w:lang w:val="en-GB"/>
              </w:rPr>
              <w:t xml:space="preserve"> years of age nevertheless dropped to </w:t>
            </w:r>
            <w:r w:rsidRPr="004428F6">
              <w:rPr>
                <w:color w:val="0D0D0D" w:themeColor="text1" w:themeTint="F2"/>
                <w:spacing w:val="-4"/>
                <w:lang w:val="en-GB"/>
              </w:rPr>
              <w:t>7</w:t>
            </w:r>
            <w:r>
              <w:rPr>
                <w:color w:val="0D0D0D" w:themeColor="text1" w:themeTint="F2"/>
                <w:spacing w:val="-4"/>
                <w:lang w:val="en-GB"/>
              </w:rPr>
              <w:t>.</w:t>
            </w:r>
            <w:r w:rsidRPr="004428F6">
              <w:rPr>
                <w:color w:val="0D0D0D" w:themeColor="text1" w:themeTint="F2"/>
                <w:spacing w:val="-4"/>
                <w:lang w:val="en-GB"/>
              </w:rPr>
              <w:t xml:space="preserve">0% (similarly for both males and females) and it was thus the lowest since last year’s April. </w:t>
            </w:r>
            <w:r>
              <w:rPr>
                <w:color w:val="0D0D0D" w:themeColor="text1" w:themeTint="F2"/>
                <w:spacing w:val="-4"/>
                <w:lang w:val="en-GB"/>
              </w:rPr>
              <w:t>Number of long-term unemployed however went up year-on-year</w:t>
            </w:r>
            <w:r w:rsidRPr="004428F6">
              <w:rPr>
                <w:color w:val="0D0D0D" w:themeColor="text1" w:themeTint="F2"/>
                <w:spacing w:val="-4"/>
                <w:lang w:val="en-GB"/>
              </w:rPr>
              <w:t>, their share in the total unemployment approached</w:t>
            </w:r>
            <w:r>
              <w:rPr>
                <w:color w:val="0D0D0D" w:themeColor="text1" w:themeTint="F2"/>
                <w:spacing w:val="-4"/>
                <w:lang w:val="en-GB"/>
              </w:rPr>
              <w:t xml:space="preserve"> </w:t>
            </w:r>
            <w:r w:rsidRPr="008B72D5">
              <w:rPr>
                <w:color w:val="0D0D0D" w:themeColor="text1" w:themeTint="F2"/>
                <w:spacing w:val="-4"/>
                <w:lang w:val="en-GB"/>
              </w:rPr>
              <w:t>30%</w:t>
            </w:r>
            <w:r>
              <w:rPr>
                <w:color w:val="0D0D0D" w:themeColor="text1" w:themeTint="F2"/>
                <w:spacing w:val="-4"/>
                <w:lang w:val="en-GB"/>
              </w:rPr>
              <w:t xml:space="preserve"> in Q2</w:t>
            </w:r>
            <w:r w:rsidRPr="008B72D5">
              <w:rPr>
                <w:color w:val="0D0D0D" w:themeColor="text1" w:themeTint="F2"/>
                <w:spacing w:val="-4"/>
                <w:lang w:val="en-GB"/>
              </w:rPr>
              <w:t xml:space="preserve">, </w:t>
            </w:r>
            <w:r>
              <w:rPr>
                <w:color w:val="0D0D0D" w:themeColor="text1" w:themeTint="F2"/>
                <w:spacing w:val="-4"/>
                <w:lang w:val="en-GB"/>
              </w:rPr>
              <w:t xml:space="preserve">i.e. common values from the boom year </w:t>
            </w:r>
            <w:r w:rsidRPr="008B72D5">
              <w:rPr>
                <w:color w:val="0D0D0D" w:themeColor="text1" w:themeTint="F2"/>
                <w:spacing w:val="-4"/>
                <w:lang w:val="en-GB"/>
              </w:rPr>
              <w:t xml:space="preserve">2019. </w:t>
            </w:r>
            <w:r>
              <w:rPr>
                <w:color w:val="0D0D0D" w:themeColor="text1" w:themeTint="F2"/>
                <w:spacing w:val="-4"/>
                <w:lang w:val="en-GB"/>
              </w:rPr>
              <w:t xml:space="preserve">Among regions, the unemployment troubled the most the Karlovy Vary region </w:t>
            </w:r>
            <w:r w:rsidRPr="008B72D5">
              <w:rPr>
                <w:color w:val="0D0D0D" w:themeColor="text1" w:themeTint="F2"/>
                <w:spacing w:val="-4"/>
                <w:lang w:val="en-GB"/>
              </w:rPr>
              <w:t>(5</w:t>
            </w:r>
            <w:r>
              <w:rPr>
                <w:color w:val="0D0D0D" w:themeColor="text1" w:themeTint="F2"/>
                <w:spacing w:val="-4"/>
                <w:lang w:val="en-GB"/>
              </w:rPr>
              <w:t>.</w:t>
            </w:r>
            <w:r w:rsidRPr="008B72D5">
              <w:rPr>
                <w:color w:val="0D0D0D" w:themeColor="text1" w:themeTint="F2"/>
                <w:spacing w:val="-4"/>
                <w:lang w:val="en-GB"/>
              </w:rPr>
              <w:t>6%),</w:t>
            </w:r>
            <w:r>
              <w:rPr>
                <w:color w:val="0D0D0D" w:themeColor="text1" w:themeTint="F2"/>
                <w:spacing w:val="-4"/>
                <w:lang w:val="en-GB"/>
              </w:rPr>
              <w:t xml:space="preserve"> which was valid throughout the whole pandemic period. </w:t>
            </w:r>
          </w:p>
        </w:tc>
      </w:tr>
      <w:tr w:rsidR="009732DF" w:rsidRPr="00B43216" w14:paraId="608E4351" w14:textId="77777777" w:rsidTr="001144FB">
        <w:trPr>
          <w:trHeight w:val="155"/>
        </w:trPr>
        <w:tc>
          <w:tcPr>
            <w:tcW w:w="1792" w:type="dxa"/>
            <w:vMerge w:val="restart"/>
            <w:shd w:val="clear" w:color="auto" w:fill="auto"/>
            <w:tcMar>
              <w:left w:w="0" w:type="dxa"/>
            </w:tcMar>
          </w:tcPr>
          <w:p w14:paraId="1F6D27C2" w14:textId="77777777" w:rsidR="009732DF" w:rsidRPr="00B43216" w:rsidRDefault="009732DF" w:rsidP="001144FB">
            <w:pPr>
              <w:pStyle w:val="Marginlie"/>
              <w:spacing w:after="120"/>
              <w:rPr>
                <w:spacing w:val="-4"/>
              </w:rPr>
            </w:pPr>
          </w:p>
        </w:tc>
        <w:tc>
          <w:tcPr>
            <w:tcW w:w="216" w:type="dxa"/>
            <w:vMerge w:val="restart"/>
            <w:shd w:val="clear" w:color="auto" w:fill="auto"/>
            <w:tcMar>
              <w:left w:w="0" w:type="dxa"/>
            </w:tcMar>
          </w:tcPr>
          <w:p w14:paraId="399AFE11"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0A119BAF" w14:textId="77777777" w:rsidR="009732DF" w:rsidRPr="00BD4EF4" w:rsidRDefault="009732DF" w:rsidP="001144FB">
            <w:pPr>
              <w:spacing w:after="0"/>
              <w:rPr>
                <w:b/>
                <w:spacing w:val="-2"/>
              </w:rPr>
            </w:pPr>
            <w:r>
              <w:rPr>
                <w:b/>
                <w:spacing w:val="-2"/>
              </w:rPr>
              <w:t>Chart 13</w:t>
            </w:r>
            <w:r w:rsidRPr="00BD4EF4">
              <w:rPr>
                <w:b/>
                <w:spacing w:val="-2"/>
              </w:rPr>
              <w:t xml:space="preserve"> </w:t>
            </w:r>
            <w:r w:rsidRPr="00DC6D2D">
              <w:rPr>
                <w:rFonts w:cs="Arial"/>
                <w:b/>
                <w:spacing w:val="-3"/>
                <w:lang w:val="en-GB"/>
              </w:rPr>
              <w:t xml:space="preserve">General unemployment rate </w:t>
            </w:r>
            <w:r w:rsidRPr="00DC6D2D">
              <w:rPr>
                <w:rFonts w:cs="Arial"/>
                <w:bCs/>
                <w:spacing w:val="-3"/>
                <w:lang w:val="en-GB"/>
              </w:rPr>
              <w:t>(in %)</w:t>
            </w:r>
            <w:r w:rsidRPr="00DC6D2D">
              <w:rPr>
                <w:rFonts w:cs="Arial"/>
                <w:b/>
                <w:spacing w:val="-3"/>
                <w:lang w:val="en-GB"/>
              </w:rPr>
              <w:t xml:space="preserve">, </w:t>
            </w:r>
            <w:r>
              <w:rPr>
                <w:rFonts w:cs="Arial"/>
                <w:b/>
                <w:spacing w:val="-3"/>
                <w:lang w:val="en-GB"/>
              </w:rPr>
              <w:t xml:space="preserve">ratio of long-term unemployed and persons up to 25 and above 50 years of age among unemployed </w:t>
            </w:r>
            <w:r w:rsidRPr="00DC6D2D">
              <w:rPr>
                <w:rFonts w:cs="Arial"/>
                <w:bCs/>
                <w:spacing w:val="-3"/>
                <w:lang w:val="en-GB"/>
              </w:rPr>
              <w:t>(</w:t>
            </w:r>
            <w:r>
              <w:rPr>
                <w:rFonts w:cs="Arial"/>
                <w:bCs/>
                <w:spacing w:val="-3"/>
                <w:lang w:val="en-GB"/>
              </w:rPr>
              <w:t>in</w:t>
            </w:r>
            <w:r w:rsidRPr="00DC6D2D">
              <w:rPr>
                <w:rFonts w:cs="Arial"/>
                <w:bCs/>
                <w:spacing w:val="-3"/>
                <w:lang w:val="en-GB"/>
              </w:rPr>
              <w:t> %)</w:t>
            </w:r>
            <w:r w:rsidRPr="00DC6D2D">
              <w:rPr>
                <w:rFonts w:cs="Arial"/>
                <w:b/>
                <w:spacing w:val="-3"/>
                <w:lang w:val="en-GB"/>
              </w:rPr>
              <w:t>, e</w:t>
            </w:r>
            <w:r>
              <w:rPr>
                <w:rFonts w:cs="Arial"/>
                <w:b/>
                <w:spacing w:val="-3"/>
                <w:lang w:val="en-GB"/>
              </w:rPr>
              <w:t xml:space="preserve">conomically inactive willing to work </w:t>
            </w:r>
            <w:r w:rsidRPr="00DC6D2D">
              <w:rPr>
                <w:rFonts w:cs="Arial"/>
                <w:bCs/>
                <w:spacing w:val="-3"/>
                <w:lang w:val="en-GB"/>
              </w:rPr>
              <w:t>(</w:t>
            </w:r>
            <w:r>
              <w:rPr>
                <w:rFonts w:cs="Arial"/>
                <w:bCs/>
                <w:spacing w:val="-3"/>
                <w:lang w:val="en-GB"/>
              </w:rPr>
              <w:t>in thousand</w:t>
            </w:r>
            <w:r w:rsidRPr="00DC6D2D">
              <w:rPr>
                <w:rFonts w:cs="Arial"/>
                <w:bCs/>
                <w:spacing w:val="-3"/>
                <w:lang w:val="en-GB"/>
              </w:rPr>
              <w:t>)</w:t>
            </w:r>
            <w:r w:rsidRPr="00646F2C">
              <w:rPr>
                <w:rFonts w:cs="Arial"/>
                <w:bCs/>
                <w:spacing w:val="-4"/>
              </w:rPr>
              <w:t>*</w:t>
            </w:r>
            <w:r w:rsidRPr="00DC6D2D">
              <w:rPr>
                <w:rFonts w:cs="Arial"/>
                <w:b/>
                <w:spacing w:val="-3"/>
                <w:lang w:val="en-GB"/>
              </w:rPr>
              <w:t xml:space="preserve"> a</w:t>
            </w:r>
            <w:r>
              <w:rPr>
                <w:rFonts w:cs="Arial"/>
                <w:b/>
                <w:spacing w:val="-3"/>
                <w:lang w:val="en-GB"/>
              </w:rPr>
              <w:t xml:space="preserve">nd unemployment expectations of households </w:t>
            </w:r>
            <w:r w:rsidRPr="00646F2C">
              <w:rPr>
                <w:rFonts w:cs="Arial"/>
                <w:bCs/>
                <w:spacing w:val="-4"/>
              </w:rPr>
              <w:t>(</w:t>
            </w:r>
            <w:r>
              <w:rPr>
                <w:rFonts w:cs="Arial"/>
                <w:bCs/>
                <w:spacing w:val="-4"/>
              </w:rPr>
              <w:t>in</w:t>
            </w:r>
            <w:r w:rsidRPr="00646F2C">
              <w:rPr>
                <w:rFonts w:cs="Arial"/>
                <w:bCs/>
                <w:spacing w:val="-4"/>
              </w:rPr>
              <w:t> </w:t>
            </w:r>
            <w:r>
              <w:rPr>
                <w:rFonts w:cs="Arial"/>
                <w:bCs/>
                <w:spacing w:val="-4"/>
              </w:rPr>
              <w:t>p. p.</w:t>
            </w:r>
            <w:r w:rsidRPr="00646F2C">
              <w:rPr>
                <w:rFonts w:cs="Arial"/>
                <w:bCs/>
                <w:spacing w:val="-4"/>
              </w:rPr>
              <w:t>)**</w:t>
            </w:r>
          </w:p>
        </w:tc>
      </w:tr>
      <w:tr w:rsidR="009732DF" w:rsidRPr="00B43216" w14:paraId="71AE2B2D" w14:textId="77777777" w:rsidTr="001144FB">
        <w:tblPrEx>
          <w:tblCellMar>
            <w:left w:w="70" w:type="dxa"/>
            <w:right w:w="70" w:type="dxa"/>
          </w:tblCellMar>
        </w:tblPrEx>
        <w:trPr>
          <w:trHeight w:val="155"/>
        </w:trPr>
        <w:tc>
          <w:tcPr>
            <w:tcW w:w="1792" w:type="dxa"/>
            <w:vMerge/>
            <w:shd w:val="clear" w:color="auto" w:fill="auto"/>
          </w:tcPr>
          <w:p w14:paraId="4CB963D9" w14:textId="77777777" w:rsidR="009732DF" w:rsidRPr="00B43216" w:rsidRDefault="009732DF" w:rsidP="001144FB">
            <w:pPr>
              <w:pStyle w:val="Marginlie"/>
              <w:spacing w:after="120"/>
              <w:rPr>
                <w:spacing w:val="-4"/>
              </w:rPr>
            </w:pPr>
          </w:p>
        </w:tc>
        <w:tc>
          <w:tcPr>
            <w:tcW w:w="216" w:type="dxa"/>
            <w:vMerge/>
            <w:shd w:val="clear" w:color="auto" w:fill="auto"/>
          </w:tcPr>
          <w:p w14:paraId="7F386B79" w14:textId="77777777" w:rsidR="009732DF" w:rsidRPr="00B43216" w:rsidRDefault="009732DF" w:rsidP="001144FB">
            <w:pPr>
              <w:pStyle w:val="Textpoznpodarou"/>
              <w:spacing w:after="120"/>
              <w:jc w:val="both"/>
              <w:rPr>
                <w:spacing w:val="-4"/>
              </w:rPr>
            </w:pPr>
          </w:p>
        </w:tc>
        <w:tc>
          <w:tcPr>
            <w:tcW w:w="7656" w:type="dxa"/>
            <w:shd w:val="clear" w:color="auto" w:fill="auto"/>
          </w:tcPr>
          <w:p w14:paraId="327FF386" w14:textId="77777777" w:rsidR="009732DF" w:rsidRPr="00B43216" w:rsidRDefault="009732DF" w:rsidP="001144FB">
            <w:pPr>
              <w:spacing w:after="0"/>
              <w:rPr>
                <w:spacing w:val="-4"/>
              </w:rPr>
            </w:pPr>
            <w:r>
              <w:rPr>
                <w:noProof/>
              </w:rPr>
              <w:drawing>
                <wp:inline distT="0" distB="0" distL="0" distR="0" wp14:anchorId="77925977" wp14:editId="447F1095">
                  <wp:extent cx="4753999" cy="3528000"/>
                  <wp:effectExtent l="0" t="0" r="889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732DF" w:rsidRPr="00B43216" w14:paraId="08CB64EE" w14:textId="77777777" w:rsidTr="001144FB">
        <w:trPr>
          <w:trHeight w:val="671"/>
        </w:trPr>
        <w:tc>
          <w:tcPr>
            <w:tcW w:w="1792" w:type="dxa"/>
            <w:vMerge/>
            <w:shd w:val="clear" w:color="auto" w:fill="auto"/>
            <w:tcMar>
              <w:left w:w="0" w:type="dxa"/>
            </w:tcMar>
          </w:tcPr>
          <w:p w14:paraId="41BB52D6" w14:textId="77777777" w:rsidR="009732DF" w:rsidRPr="00B43216" w:rsidRDefault="009732DF" w:rsidP="001144FB">
            <w:pPr>
              <w:pStyle w:val="Marginlie"/>
              <w:rPr>
                <w:spacing w:val="-4"/>
              </w:rPr>
            </w:pPr>
          </w:p>
        </w:tc>
        <w:tc>
          <w:tcPr>
            <w:tcW w:w="216" w:type="dxa"/>
            <w:vMerge/>
            <w:shd w:val="clear" w:color="auto" w:fill="auto"/>
            <w:tcMar>
              <w:left w:w="0" w:type="dxa"/>
            </w:tcMar>
          </w:tcPr>
          <w:p w14:paraId="4A65AE63" w14:textId="77777777" w:rsidR="009732DF" w:rsidRPr="00B43216" w:rsidRDefault="009732DF" w:rsidP="001144FB">
            <w:pPr>
              <w:pStyle w:val="Textpoznpodarou"/>
              <w:jc w:val="both"/>
              <w:rPr>
                <w:spacing w:val="-4"/>
              </w:rPr>
            </w:pPr>
          </w:p>
        </w:tc>
        <w:tc>
          <w:tcPr>
            <w:tcW w:w="7656" w:type="dxa"/>
            <w:shd w:val="clear" w:color="auto" w:fill="auto"/>
            <w:tcMar>
              <w:left w:w="0" w:type="dxa"/>
            </w:tcMar>
          </w:tcPr>
          <w:p w14:paraId="39DFF337" w14:textId="77777777" w:rsidR="009732DF" w:rsidRPr="00D970F7" w:rsidRDefault="009732DF" w:rsidP="001144FB">
            <w:pPr>
              <w:spacing w:after="0" w:line="240" w:lineRule="auto"/>
              <w:rPr>
                <w:rFonts w:cs="Arial"/>
                <w:color w:val="0D0D0D" w:themeColor="text1" w:themeTint="F2"/>
                <w:sz w:val="14"/>
                <w:szCs w:val="14"/>
                <w:lang w:val="en-GB"/>
              </w:rPr>
            </w:pPr>
            <w:r w:rsidRPr="00D970F7">
              <w:rPr>
                <w:rFonts w:cs="Arial"/>
                <w:color w:val="0D0D0D" w:themeColor="text1" w:themeTint="F2"/>
                <w:sz w:val="14"/>
                <w:szCs w:val="14"/>
                <w:lang w:val="en-GB"/>
              </w:rPr>
              <w:t>Note.: Figures regarding the unemployment rate are seasonally adjusted, other data are not.</w:t>
            </w:r>
          </w:p>
          <w:p w14:paraId="5F826A5B" w14:textId="77777777" w:rsidR="009732DF" w:rsidRPr="00D970F7" w:rsidRDefault="009732DF" w:rsidP="001144FB">
            <w:pPr>
              <w:spacing w:after="0" w:line="240" w:lineRule="auto"/>
              <w:rPr>
                <w:rFonts w:cs="Arial"/>
                <w:bCs/>
                <w:color w:val="0D0D0D" w:themeColor="text1" w:themeTint="F2"/>
                <w:sz w:val="14"/>
                <w:szCs w:val="14"/>
                <w:lang w:val="en-GB"/>
              </w:rPr>
            </w:pPr>
            <w:r w:rsidRPr="00D970F7">
              <w:rPr>
                <w:rFonts w:cs="Arial"/>
                <w:bCs/>
                <w:color w:val="0D0D0D" w:themeColor="text1" w:themeTint="F2"/>
                <w:sz w:val="14"/>
                <w:szCs w:val="14"/>
                <w:lang w:val="en-GB"/>
              </w:rPr>
              <w:t xml:space="preserve">*Persons not in employment, not seeking work, but expressing the willingness to work. </w:t>
            </w:r>
          </w:p>
          <w:p w14:paraId="29371C0C" w14:textId="77777777" w:rsidR="009732DF" w:rsidRPr="00D970F7" w:rsidRDefault="009732DF" w:rsidP="001144FB">
            <w:pPr>
              <w:spacing w:after="0" w:line="240" w:lineRule="auto"/>
              <w:rPr>
                <w:rFonts w:cs="Arial"/>
                <w:color w:val="0D0D0D" w:themeColor="text1" w:themeTint="F2"/>
                <w:spacing w:val="-2"/>
                <w:sz w:val="14"/>
                <w:szCs w:val="14"/>
                <w:lang w:val="en-GB"/>
              </w:rPr>
            </w:pPr>
            <w:r w:rsidRPr="00D970F7">
              <w:rPr>
                <w:rFonts w:cs="Arial"/>
                <w:color w:val="0D0D0D" w:themeColor="text1" w:themeTint="F2"/>
                <w:spacing w:val="-2"/>
                <w:sz w:val="14"/>
                <w:szCs w:val="14"/>
                <w:lang w:val="en-GB"/>
              </w:rPr>
              <w:t>**Seasonally adjusted balance of expectations of unemployment in the next 12 months (difference between percentage frequency of answers of households “growth” and “decrease” expressed in percentage points</w:t>
            </w:r>
            <w:r>
              <w:rPr>
                <w:rFonts w:cs="Arial"/>
                <w:color w:val="0D0D0D" w:themeColor="text1" w:themeTint="F2"/>
                <w:spacing w:val="-2"/>
                <w:sz w:val="14"/>
                <w:szCs w:val="14"/>
                <w:lang w:val="en-GB"/>
              </w:rPr>
              <w:t>)</w:t>
            </w:r>
            <w:r w:rsidRPr="00D970F7">
              <w:rPr>
                <w:rFonts w:cs="Arial"/>
                <w:color w:val="0D0D0D" w:themeColor="text1" w:themeTint="F2"/>
                <w:spacing w:val="-2"/>
                <w:sz w:val="14"/>
                <w:szCs w:val="14"/>
                <w:lang w:val="en-GB"/>
              </w:rPr>
              <w:t xml:space="preserve">. Data relate to the </w:t>
            </w:r>
            <w:r>
              <w:rPr>
                <w:rFonts w:cs="Arial"/>
                <w:color w:val="0D0D0D" w:themeColor="text1" w:themeTint="F2"/>
                <w:spacing w:val="-2"/>
                <w:sz w:val="14"/>
                <w:szCs w:val="14"/>
                <w:lang w:val="en-GB"/>
              </w:rPr>
              <w:t xml:space="preserve">middle </w:t>
            </w:r>
            <w:r w:rsidRPr="00D970F7">
              <w:rPr>
                <w:rFonts w:cs="Arial"/>
                <w:color w:val="0D0D0D" w:themeColor="text1" w:themeTint="F2"/>
                <w:spacing w:val="-2"/>
                <w:sz w:val="14"/>
                <w:szCs w:val="14"/>
                <w:lang w:val="en-GB"/>
              </w:rPr>
              <w:t xml:space="preserve">month of the given quarter. </w:t>
            </w:r>
          </w:p>
          <w:p w14:paraId="423BBCEB" w14:textId="77777777" w:rsidR="009732DF" w:rsidRPr="00485ED5" w:rsidRDefault="009732DF" w:rsidP="001144FB">
            <w:pPr>
              <w:spacing w:line="240" w:lineRule="auto"/>
              <w:rPr>
                <w:rFonts w:cs="Arial"/>
                <w:color w:val="0D0D0D" w:themeColor="text1" w:themeTint="F2"/>
                <w:spacing w:val="-2"/>
                <w:sz w:val="14"/>
                <w:szCs w:val="14"/>
              </w:rPr>
            </w:pPr>
            <w:r w:rsidRPr="00D970F7">
              <w:rPr>
                <w:rFonts w:cs="Arial"/>
                <w:color w:val="0D0D0D" w:themeColor="text1" w:themeTint="F2"/>
                <w:sz w:val="14"/>
                <w:szCs w:val="14"/>
                <w:lang w:val="en-GB"/>
              </w:rPr>
              <w:t>Source: CZSO</w:t>
            </w:r>
            <w:r>
              <w:rPr>
                <w:rFonts w:cs="Arial"/>
                <w:color w:val="0D0D0D" w:themeColor="text1" w:themeTint="F2"/>
                <w:sz w:val="14"/>
                <w:szCs w:val="14"/>
                <w:lang w:val="en-GB"/>
              </w:rPr>
              <w:t xml:space="preserve"> (LFSS, business cycle surveys)</w:t>
            </w:r>
          </w:p>
        </w:tc>
      </w:tr>
      <w:tr w:rsidR="009732DF" w:rsidRPr="00C53F2B" w14:paraId="48B10FEA" w14:textId="77777777" w:rsidTr="001144FB">
        <w:trPr>
          <w:trHeight w:val="145"/>
        </w:trPr>
        <w:tc>
          <w:tcPr>
            <w:tcW w:w="1792" w:type="dxa"/>
            <w:shd w:val="clear" w:color="auto" w:fill="auto"/>
            <w:tcMar>
              <w:left w:w="0" w:type="dxa"/>
            </w:tcMar>
          </w:tcPr>
          <w:p w14:paraId="7DEBC4F7" w14:textId="77777777" w:rsidR="009732DF" w:rsidRPr="0029161E" w:rsidRDefault="009732DF" w:rsidP="001144FB">
            <w:pPr>
              <w:pStyle w:val="Marginlie"/>
              <w:spacing w:after="120"/>
              <w:rPr>
                <w:color w:val="0D0D0D" w:themeColor="text1" w:themeTint="F2"/>
                <w:spacing w:val="-5"/>
                <w:lang w:val="en-GB"/>
              </w:rPr>
            </w:pPr>
            <w:r w:rsidRPr="0029161E">
              <w:rPr>
                <w:color w:val="0D0D0D" w:themeColor="text1" w:themeTint="F2"/>
                <w:spacing w:val="-5"/>
                <w:lang w:val="en-GB"/>
              </w:rPr>
              <w:t xml:space="preserve">Concerns of people regarding the growth of unemployment declined to the level observed in the </w:t>
            </w:r>
            <w:r w:rsidRPr="0029161E">
              <w:rPr>
                <w:color w:val="0D0D0D" w:themeColor="text1" w:themeTint="F2"/>
                <w:spacing w:val="-5"/>
                <w:lang w:val="en-GB"/>
              </w:rPr>
              <w:lastRenderedPageBreak/>
              <w:t>period before the pandemics in Q2.</w:t>
            </w:r>
          </w:p>
          <w:p w14:paraId="58F03502" w14:textId="77777777" w:rsidR="009732DF" w:rsidRPr="0029161E" w:rsidRDefault="009732DF" w:rsidP="001144FB">
            <w:pPr>
              <w:pStyle w:val="Marginlie"/>
              <w:rPr>
                <w:color w:val="0D0D0D" w:themeColor="text1" w:themeTint="F2"/>
                <w:spacing w:val="-5"/>
                <w:lang w:val="en-GB"/>
              </w:rPr>
            </w:pPr>
          </w:p>
          <w:p w14:paraId="122E828B" w14:textId="77777777" w:rsidR="009732DF" w:rsidRPr="0029161E" w:rsidRDefault="009732DF" w:rsidP="001144FB">
            <w:pPr>
              <w:pStyle w:val="Marginlie"/>
              <w:rPr>
                <w:color w:val="0D0D0D" w:themeColor="text1" w:themeTint="F2"/>
                <w:spacing w:val="-5"/>
                <w:lang w:val="en-GB"/>
              </w:rPr>
            </w:pPr>
          </w:p>
          <w:p w14:paraId="1D52C8CB" w14:textId="77777777" w:rsidR="009732DF" w:rsidRPr="0029161E" w:rsidRDefault="009732DF" w:rsidP="001144FB">
            <w:pPr>
              <w:pStyle w:val="Marginlie"/>
              <w:spacing w:after="120"/>
              <w:rPr>
                <w:color w:val="0D0D0D" w:themeColor="text1" w:themeTint="F2"/>
                <w:spacing w:val="-5"/>
                <w:lang w:val="en-GB"/>
              </w:rPr>
            </w:pPr>
            <w:r>
              <w:rPr>
                <w:color w:val="0D0D0D" w:themeColor="text1" w:themeTint="F2"/>
                <w:spacing w:val="-5"/>
                <w:lang w:val="en-GB"/>
              </w:rPr>
              <w:t xml:space="preserve">Larger excess of job applicants over job vacancies was reported usually only by regions affected by the winding down of coal mining. </w:t>
            </w:r>
          </w:p>
        </w:tc>
        <w:tc>
          <w:tcPr>
            <w:tcW w:w="216" w:type="dxa"/>
            <w:shd w:val="clear" w:color="auto" w:fill="auto"/>
            <w:tcMar>
              <w:left w:w="0" w:type="dxa"/>
            </w:tcMar>
          </w:tcPr>
          <w:p w14:paraId="0BEDD35D" w14:textId="77777777" w:rsidR="009732DF" w:rsidRPr="0029161E" w:rsidRDefault="009732DF" w:rsidP="001144FB">
            <w:pPr>
              <w:pStyle w:val="Textpoznpodarou"/>
              <w:spacing w:after="120"/>
              <w:jc w:val="both"/>
              <w:rPr>
                <w:color w:val="0D0D0D" w:themeColor="text1" w:themeTint="F2"/>
                <w:spacing w:val="-4"/>
                <w:lang w:val="en-GB"/>
              </w:rPr>
            </w:pPr>
          </w:p>
        </w:tc>
        <w:tc>
          <w:tcPr>
            <w:tcW w:w="7656" w:type="dxa"/>
            <w:shd w:val="clear" w:color="auto" w:fill="auto"/>
            <w:tcMar>
              <w:left w:w="0" w:type="dxa"/>
            </w:tcMar>
          </w:tcPr>
          <w:p w14:paraId="3DD2526E" w14:textId="77777777" w:rsidR="009732DF" w:rsidRPr="00C53F2B" w:rsidRDefault="009732DF" w:rsidP="001144FB">
            <w:pPr>
              <w:rPr>
                <w:color w:val="0D0D0D" w:themeColor="text1" w:themeTint="F2"/>
                <w:spacing w:val="-4"/>
                <w:lang w:val="en-GB"/>
              </w:rPr>
            </w:pPr>
            <w:r w:rsidRPr="00C53F2B">
              <w:rPr>
                <w:color w:val="0D0D0D" w:themeColor="text1" w:themeTint="F2"/>
                <w:spacing w:val="-4"/>
                <w:lang w:val="en-GB"/>
              </w:rPr>
              <w:t>Concerns of households regarding unemployment growth (in the nearest twelve months) sharply retreated during Q2 and return</w:t>
            </w:r>
            <w:r>
              <w:rPr>
                <w:color w:val="0D0D0D" w:themeColor="text1" w:themeTint="F2"/>
                <w:spacing w:val="-4"/>
                <w:lang w:val="en-GB"/>
              </w:rPr>
              <w:t>ed</w:t>
            </w:r>
            <w:r w:rsidRPr="00C53F2B">
              <w:rPr>
                <w:color w:val="0D0D0D" w:themeColor="text1" w:themeTint="F2"/>
                <w:spacing w:val="-4"/>
                <w:lang w:val="en-GB"/>
              </w:rPr>
              <w:t xml:space="preserve"> to the low level from the second half of year 2019. This year’s Sumer period only confirmed this status. Rising number of job vacancies also proves the recovery on the labour market. The job offices in the CR offered 385 thousand </w:t>
            </w:r>
            <w:r w:rsidRPr="00C53F2B">
              <w:rPr>
                <w:color w:val="0D0D0D" w:themeColor="text1" w:themeTint="F2"/>
                <w:spacing w:val="-4"/>
                <w:lang w:val="en-GB"/>
              </w:rPr>
              <w:lastRenderedPageBreak/>
              <w:t>vacancies at the end of July 2021, by 24 thousand more year-on-year (</w:t>
            </w:r>
            <w:r>
              <w:rPr>
                <w:color w:val="0D0D0D" w:themeColor="text1" w:themeTint="F2"/>
                <w:spacing w:val="-4"/>
                <w:lang w:val="en-GB"/>
              </w:rPr>
              <w:t xml:space="preserve">or </w:t>
            </w:r>
            <w:r w:rsidRPr="00C53F2B">
              <w:rPr>
                <w:color w:val="0D0D0D" w:themeColor="text1" w:themeTint="F2"/>
                <w:spacing w:val="-4"/>
                <w:lang w:val="en-GB"/>
              </w:rPr>
              <w:t>by 12 thousand</w:t>
            </w:r>
            <w:r w:rsidRPr="00C53F2B">
              <w:rPr>
                <w:rStyle w:val="Znakapoznpodarou"/>
                <w:color w:val="0D0D0D" w:themeColor="text1" w:themeTint="F2"/>
                <w:spacing w:val="-4"/>
                <w:lang w:val="en-GB"/>
              </w:rPr>
              <w:footnoteReference w:id="11"/>
            </w:r>
            <w:r w:rsidRPr="00C53F2B">
              <w:rPr>
                <w:color w:val="0D0D0D" w:themeColor="text1" w:themeTint="F2"/>
                <w:spacing w:val="-4"/>
                <w:lang w:val="en-GB"/>
              </w:rPr>
              <w:t xml:space="preserve"> more compared to the same month of year 2019)</w:t>
            </w:r>
            <w:r>
              <w:rPr>
                <w:color w:val="0D0D0D" w:themeColor="text1" w:themeTint="F2"/>
                <w:spacing w:val="-4"/>
                <w:lang w:val="en-GB"/>
              </w:rPr>
              <w:t>.</w:t>
            </w:r>
            <w:r w:rsidRPr="00C53F2B">
              <w:rPr>
                <w:color w:val="0D0D0D" w:themeColor="text1" w:themeTint="F2"/>
                <w:spacing w:val="-4"/>
                <w:lang w:val="en-GB"/>
              </w:rPr>
              <w:t xml:space="preserve"> Even though the number of job positions vacant in the long term stays high, their share on the total supply of jobs was the lowest in the last eleven quarters</w:t>
            </w:r>
            <w:r w:rsidRPr="00C53F2B">
              <w:rPr>
                <w:rStyle w:val="Znakapoznpodarou"/>
                <w:color w:val="0D0D0D" w:themeColor="text1" w:themeTint="F2"/>
                <w:spacing w:val="-4"/>
                <w:lang w:val="en-GB"/>
              </w:rPr>
              <w:footnoteReference w:id="12"/>
            </w:r>
            <w:r w:rsidRPr="00C53F2B">
              <w:rPr>
                <w:color w:val="0D0D0D" w:themeColor="text1" w:themeTint="F2"/>
                <w:spacing w:val="-4"/>
                <w:lang w:val="en-GB"/>
              </w:rPr>
              <w:t>. The proportion of vacancies with minimum qualification demands kept further rising, primary education was thus adequate to applicants already for 74% of offered job vacancies</w:t>
            </w:r>
            <w:r w:rsidRPr="00C53F2B">
              <w:rPr>
                <w:rStyle w:val="Znakapoznpodarou"/>
                <w:color w:val="0D0D0D" w:themeColor="text1" w:themeTint="F2"/>
                <w:spacing w:val="-4"/>
                <w:lang w:val="en-GB"/>
              </w:rPr>
              <w:footnoteReference w:id="13"/>
            </w:r>
            <w:r w:rsidRPr="00C53F2B">
              <w:rPr>
                <w:color w:val="0D0D0D" w:themeColor="text1" w:themeTint="F2"/>
                <w:spacing w:val="-4"/>
                <w:lang w:val="en-GB"/>
              </w:rPr>
              <w:t>. It was connected with the fast post crisis revival in industry</w:t>
            </w:r>
            <w:r w:rsidRPr="00C53F2B">
              <w:rPr>
                <w:rStyle w:val="Znakapoznpodarou"/>
                <w:color w:val="0D0D0D" w:themeColor="text1" w:themeTint="F2"/>
                <w:spacing w:val="-4"/>
                <w:lang w:val="en-GB"/>
              </w:rPr>
              <w:footnoteReference w:id="14"/>
            </w:r>
            <w:r w:rsidRPr="00C53F2B">
              <w:rPr>
                <w:color w:val="0D0D0D" w:themeColor="text1" w:themeTint="F2"/>
                <w:spacing w:val="-4"/>
                <w:lang w:val="en-GB"/>
              </w:rPr>
              <w:t xml:space="preserve">. Compared to the last year’s July, the offer for applicants with </w:t>
            </w:r>
            <w:r>
              <w:rPr>
                <w:color w:val="0D0D0D" w:themeColor="text1" w:themeTint="F2"/>
                <w:spacing w:val="-4"/>
                <w:lang w:val="en-GB"/>
              </w:rPr>
              <w:t xml:space="preserve">school leaving certificate and higher education </w:t>
            </w:r>
            <w:r w:rsidRPr="00C53F2B">
              <w:rPr>
                <w:color w:val="0D0D0D" w:themeColor="text1" w:themeTint="F2"/>
                <w:spacing w:val="-4"/>
                <w:lang w:val="en-GB"/>
              </w:rPr>
              <w:t>(+2.5 thousand positions) also however slightly expanded. The excess of offered vacancies over the number of registered job applicants prevailed in the majority of regions.</w:t>
            </w:r>
            <w:r>
              <w:rPr>
                <w:color w:val="0D0D0D" w:themeColor="text1" w:themeTint="F2"/>
                <w:spacing w:val="-4"/>
                <w:lang w:val="en-GB"/>
              </w:rPr>
              <w:t xml:space="preserve"> On the contrary, the position of unemployed was worsened mainly in the Moravian-Silesian and Ustecky regions</w:t>
            </w:r>
            <w:r w:rsidRPr="00C53F2B">
              <w:rPr>
                <w:color w:val="0D0D0D" w:themeColor="text1" w:themeTint="F2"/>
                <w:spacing w:val="-4"/>
                <w:lang w:val="en-GB"/>
              </w:rPr>
              <w:t>, especially in areas with coal mining winding down</w:t>
            </w:r>
            <w:r w:rsidRPr="00C53F2B">
              <w:rPr>
                <w:rStyle w:val="Znakapoznpodarou"/>
                <w:color w:val="0D0D0D" w:themeColor="text1" w:themeTint="F2"/>
                <w:spacing w:val="-4"/>
                <w:lang w:val="en-GB"/>
              </w:rPr>
              <w:footnoteReference w:id="15"/>
            </w:r>
            <w:r w:rsidRPr="00C53F2B">
              <w:rPr>
                <w:color w:val="0D0D0D" w:themeColor="text1" w:themeTint="F2"/>
                <w:spacing w:val="-4"/>
                <w:lang w:val="en-GB"/>
              </w:rPr>
              <w:t>.</w:t>
            </w:r>
          </w:p>
        </w:tc>
      </w:tr>
      <w:tr w:rsidR="009732DF" w:rsidRPr="00191C35" w14:paraId="57A865D5" w14:textId="77777777" w:rsidTr="001144FB">
        <w:trPr>
          <w:trHeight w:val="145"/>
        </w:trPr>
        <w:tc>
          <w:tcPr>
            <w:tcW w:w="1792" w:type="dxa"/>
            <w:shd w:val="clear" w:color="auto" w:fill="auto"/>
            <w:tcMar>
              <w:left w:w="0" w:type="dxa"/>
            </w:tcMar>
          </w:tcPr>
          <w:p w14:paraId="4BBC6890" w14:textId="77777777" w:rsidR="009732DF" w:rsidRPr="00AA6B3B" w:rsidRDefault="009732DF" w:rsidP="001144FB">
            <w:pPr>
              <w:pStyle w:val="Marginlie"/>
              <w:spacing w:after="120"/>
              <w:rPr>
                <w:lang w:val="en-GB"/>
              </w:rPr>
            </w:pPr>
            <w:r w:rsidRPr="00AA6B3B">
              <w:rPr>
                <w:lang w:val="en-GB"/>
              </w:rPr>
              <w:lastRenderedPageBreak/>
              <w:t>Strong last year’s growth of the number of economically inactive halted this year.</w:t>
            </w:r>
          </w:p>
        </w:tc>
        <w:tc>
          <w:tcPr>
            <w:tcW w:w="216" w:type="dxa"/>
            <w:shd w:val="clear" w:color="auto" w:fill="auto"/>
            <w:tcMar>
              <w:left w:w="0" w:type="dxa"/>
            </w:tcMar>
          </w:tcPr>
          <w:p w14:paraId="16042D03" w14:textId="77777777" w:rsidR="009732DF" w:rsidRPr="00AA6B3B" w:rsidRDefault="009732DF" w:rsidP="001144FB">
            <w:pPr>
              <w:pStyle w:val="Textpoznpodarou"/>
              <w:spacing w:after="120"/>
              <w:jc w:val="both"/>
              <w:rPr>
                <w:spacing w:val="-4"/>
                <w:lang w:val="en-GB"/>
              </w:rPr>
            </w:pPr>
          </w:p>
        </w:tc>
        <w:tc>
          <w:tcPr>
            <w:tcW w:w="7656" w:type="dxa"/>
            <w:shd w:val="clear" w:color="auto" w:fill="auto"/>
            <w:tcMar>
              <w:left w:w="0" w:type="dxa"/>
            </w:tcMar>
          </w:tcPr>
          <w:p w14:paraId="393F979E" w14:textId="77777777" w:rsidR="009732DF" w:rsidRPr="00D52DB5" w:rsidRDefault="009732DF" w:rsidP="001144FB">
            <w:pPr>
              <w:rPr>
                <w:color w:val="0D0D0D" w:themeColor="text1" w:themeTint="F2"/>
                <w:spacing w:val="-4"/>
                <w:lang w:val="en-GB"/>
              </w:rPr>
            </w:pPr>
            <w:r w:rsidRPr="00D52DB5">
              <w:rPr>
                <w:color w:val="0D0D0D" w:themeColor="text1" w:themeTint="F2"/>
                <w:spacing w:val="-4"/>
                <w:lang w:val="en-GB"/>
              </w:rPr>
              <w:t>Growth of the number of economically inactive persons halted after the strong last year’s surge</w:t>
            </w:r>
            <w:r w:rsidRPr="00D52DB5">
              <w:rPr>
                <w:rStyle w:val="Znakapoznpodarou"/>
                <w:color w:val="0D0D0D" w:themeColor="text1" w:themeTint="F2"/>
                <w:spacing w:val="-4"/>
                <w:lang w:val="en-GB"/>
              </w:rPr>
              <w:footnoteReference w:id="16"/>
            </w:r>
            <w:r w:rsidRPr="00D52DB5">
              <w:rPr>
                <w:color w:val="0D0D0D" w:themeColor="text1" w:themeTint="F2"/>
                <w:spacing w:val="-4"/>
                <w:lang w:val="en-GB"/>
              </w:rPr>
              <w:t xml:space="preserve">. </w:t>
            </w:r>
            <w:r>
              <w:rPr>
                <w:color w:val="0D0D0D" w:themeColor="text1" w:themeTint="F2"/>
                <w:spacing w:val="-4"/>
                <w:lang w:val="en-GB"/>
              </w:rPr>
              <w:t>Their number stagnated year-on-year in both Q</w:t>
            </w:r>
            <w:r w:rsidRPr="00D52DB5">
              <w:rPr>
                <w:color w:val="0D0D0D" w:themeColor="text1" w:themeTint="F2"/>
                <w:spacing w:val="-4"/>
                <w:lang w:val="en-GB"/>
              </w:rPr>
              <w:t>1</w:t>
            </w:r>
            <w:r>
              <w:rPr>
                <w:color w:val="0D0D0D" w:themeColor="text1" w:themeTint="F2"/>
                <w:spacing w:val="-4"/>
                <w:lang w:val="en-GB"/>
              </w:rPr>
              <w:t xml:space="preserve"> and Q</w:t>
            </w:r>
            <w:r w:rsidRPr="00D52DB5">
              <w:rPr>
                <w:color w:val="0D0D0D" w:themeColor="text1" w:themeTint="F2"/>
                <w:spacing w:val="-4"/>
                <w:lang w:val="en-GB"/>
              </w:rPr>
              <w:t>2.</w:t>
            </w:r>
            <w:r>
              <w:rPr>
                <w:color w:val="0D0D0D" w:themeColor="text1" w:themeTint="F2"/>
                <w:spacing w:val="-4"/>
                <w:lang w:val="en-GB"/>
              </w:rPr>
              <w:t xml:space="preserve"> Larger offer of more flexible forms of job contracts would assist the return to the precrisis level aimed especially on the potential workers in both outer age spectra of the productive age.</w:t>
            </w:r>
            <w:r w:rsidRPr="00D52DB5">
              <w:rPr>
                <w:color w:val="0D0D0D" w:themeColor="text1" w:themeTint="F2"/>
                <w:spacing w:val="-4"/>
                <w:lang w:val="en-GB"/>
              </w:rPr>
              <w:t xml:space="preserve"> </w:t>
            </w:r>
            <w:r>
              <w:rPr>
                <w:color w:val="0D0D0D" w:themeColor="text1" w:themeTint="F2"/>
                <w:spacing w:val="-4"/>
                <w:lang w:val="en-GB"/>
              </w:rPr>
              <w:t xml:space="preserve">Number of all inactive not seeking employment, but willing to work arrived at </w:t>
            </w:r>
            <w:r w:rsidRPr="00D52DB5">
              <w:rPr>
                <w:spacing w:val="-4"/>
                <w:lang w:val="en-GB"/>
              </w:rPr>
              <w:t>114 t</w:t>
            </w:r>
            <w:r>
              <w:rPr>
                <w:spacing w:val="-4"/>
                <w:lang w:val="en-GB"/>
              </w:rPr>
              <w:t>housand persons</w:t>
            </w:r>
            <w:r w:rsidRPr="00D52DB5">
              <w:rPr>
                <w:rStyle w:val="Znakapoznpodarou"/>
                <w:spacing w:val="-4"/>
                <w:lang w:val="en-GB"/>
              </w:rPr>
              <w:footnoteReference w:id="17"/>
            </w:r>
            <w:r>
              <w:rPr>
                <w:spacing w:val="-4"/>
                <w:lang w:val="en-GB"/>
              </w:rPr>
              <w:t xml:space="preserve"> in Q2</w:t>
            </w:r>
            <w:r w:rsidRPr="00D52DB5">
              <w:rPr>
                <w:spacing w:val="-4"/>
                <w:lang w:val="en-GB"/>
              </w:rPr>
              <w:t xml:space="preserve"> a</w:t>
            </w:r>
            <w:r>
              <w:rPr>
                <w:spacing w:val="-4"/>
                <w:lang w:val="en-GB"/>
              </w:rPr>
              <w:t xml:space="preserve">nd it moderately increased for the second time in a row year-on-year. </w:t>
            </w:r>
          </w:p>
        </w:tc>
      </w:tr>
      <w:tr w:rsidR="009732DF" w:rsidRPr="00191C35" w14:paraId="4C9E4F15" w14:textId="77777777" w:rsidTr="001144FB">
        <w:trPr>
          <w:trHeight w:val="145"/>
        </w:trPr>
        <w:tc>
          <w:tcPr>
            <w:tcW w:w="1792" w:type="dxa"/>
            <w:shd w:val="clear" w:color="auto" w:fill="auto"/>
            <w:tcMar>
              <w:left w:w="0" w:type="dxa"/>
            </w:tcMar>
          </w:tcPr>
          <w:p w14:paraId="7257899F" w14:textId="77777777" w:rsidR="009732DF" w:rsidRPr="00F25486" w:rsidRDefault="009732DF" w:rsidP="001144FB">
            <w:pPr>
              <w:pStyle w:val="Marginlie"/>
              <w:spacing w:after="120"/>
              <w:rPr>
                <w:lang w:val="en-GB"/>
              </w:rPr>
            </w:pPr>
            <w:r>
              <w:rPr>
                <w:lang w:val="en-GB"/>
              </w:rPr>
              <w:t xml:space="preserve">Year-on-year growth of the average wage due to extraordinary factors accelerated in Q2. </w:t>
            </w:r>
          </w:p>
        </w:tc>
        <w:tc>
          <w:tcPr>
            <w:tcW w:w="216" w:type="dxa"/>
            <w:shd w:val="clear" w:color="auto" w:fill="auto"/>
            <w:tcMar>
              <w:left w:w="0" w:type="dxa"/>
            </w:tcMar>
          </w:tcPr>
          <w:p w14:paraId="23479286" w14:textId="77777777" w:rsidR="009732DF" w:rsidRPr="00F25486" w:rsidRDefault="009732DF" w:rsidP="001144FB">
            <w:pPr>
              <w:pStyle w:val="Textpoznpodarou"/>
              <w:spacing w:after="120"/>
              <w:jc w:val="both"/>
              <w:rPr>
                <w:spacing w:val="-4"/>
                <w:lang w:val="en-GB"/>
              </w:rPr>
            </w:pPr>
          </w:p>
        </w:tc>
        <w:tc>
          <w:tcPr>
            <w:tcW w:w="7656" w:type="dxa"/>
            <w:shd w:val="clear" w:color="auto" w:fill="auto"/>
            <w:tcMar>
              <w:left w:w="0" w:type="dxa"/>
            </w:tcMar>
          </w:tcPr>
          <w:p w14:paraId="0BCCD89A" w14:textId="77777777" w:rsidR="009732DF" w:rsidRPr="00F25486" w:rsidRDefault="009732DF" w:rsidP="001144FB">
            <w:pPr>
              <w:rPr>
                <w:spacing w:val="-4"/>
                <w:lang w:val="en-GB"/>
              </w:rPr>
            </w:pPr>
            <w:r>
              <w:rPr>
                <w:spacing w:val="-4"/>
                <w:lang w:val="en-GB"/>
              </w:rPr>
              <w:t>Wage growth was variable in the economy during the pandemic period, mainly due to the differing number of hours worked. While in Q</w:t>
            </w:r>
            <w:r w:rsidRPr="00F25486">
              <w:rPr>
                <w:spacing w:val="-4"/>
                <w:lang w:val="en-GB"/>
              </w:rPr>
              <w:t>1</w:t>
            </w:r>
            <w:r>
              <w:rPr>
                <w:spacing w:val="-4"/>
                <w:lang w:val="en-GB"/>
              </w:rPr>
              <w:t xml:space="preserve"> </w:t>
            </w:r>
            <w:r w:rsidRPr="00F25486">
              <w:rPr>
                <w:spacing w:val="-4"/>
                <w:lang w:val="en-GB"/>
              </w:rPr>
              <w:t>2021</w:t>
            </w:r>
            <w:r>
              <w:rPr>
                <w:spacing w:val="-4"/>
                <w:lang w:val="en-GB"/>
              </w:rPr>
              <w:t xml:space="preserve">, the average wage increased in nominal terms by </w:t>
            </w:r>
            <w:r w:rsidRPr="00F25486">
              <w:rPr>
                <w:spacing w:val="-4"/>
                <w:lang w:val="en-GB"/>
              </w:rPr>
              <w:t>3</w:t>
            </w:r>
            <w:r>
              <w:rPr>
                <w:spacing w:val="-4"/>
                <w:lang w:val="en-GB"/>
              </w:rPr>
              <w:t>.</w:t>
            </w:r>
            <w:r w:rsidRPr="00F25486">
              <w:rPr>
                <w:spacing w:val="-4"/>
                <w:lang w:val="en-GB"/>
              </w:rPr>
              <w:t>3%</w:t>
            </w:r>
            <w:r>
              <w:rPr>
                <w:spacing w:val="-4"/>
                <w:lang w:val="en-GB"/>
              </w:rPr>
              <w:t xml:space="preserve"> in comparison to still standard last </w:t>
            </w:r>
            <w:r w:rsidRPr="00B7252C">
              <w:rPr>
                <w:spacing w:val="-4"/>
                <w:lang w:val="en-GB"/>
              </w:rPr>
              <w:t xml:space="preserve">year’s basis, its pace fastened to 11.3% in Q2. The gross monthly </w:t>
            </w:r>
            <w:r>
              <w:rPr>
                <w:spacing w:val="-4"/>
                <w:lang w:val="en-GB"/>
              </w:rPr>
              <w:t xml:space="preserve">average </w:t>
            </w:r>
            <w:r w:rsidRPr="00B7252C">
              <w:rPr>
                <w:spacing w:val="-4"/>
                <w:lang w:val="en-GB"/>
              </w:rPr>
              <w:t xml:space="preserve">wage thus reached </w:t>
            </w:r>
            <w:r w:rsidRPr="00B7252C">
              <w:rPr>
                <w:rFonts w:cs="Arial"/>
                <w:bCs/>
                <w:lang w:val="en-GB"/>
              </w:rPr>
              <w:t xml:space="preserve">38 275 CZK. </w:t>
            </w:r>
            <w:r>
              <w:rPr>
                <w:rFonts w:cs="Arial"/>
                <w:bCs/>
                <w:lang w:val="en-GB"/>
              </w:rPr>
              <w:t xml:space="preserve">Even when taking into consideration the brisk growth of the consumer prices the wage hiked up in real terms by record </w:t>
            </w:r>
            <w:r w:rsidRPr="00B7252C">
              <w:rPr>
                <w:bCs/>
                <w:spacing w:val="-4"/>
                <w:lang w:val="en-GB"/>
              </w:rPr>
              <w:t>8</w:t>
            </w:r>
            <w:r>
              <w:rPr>
                <w:bCs/>
                <w:spacing w:val="-4"/>
                <w:lang w:val="en-GB"/>
              </w:rPr>
              <w:t>.</w:t>
            </w:r>
            <w:r w:rsidRPr="00B7252C">
              <w:rPr>
                <w:bCs/>
                <w:spacing w:val="-4"/>
                <w:lang w:val="en-GB"/>
              </w:rPr>
              <w:t xml:space="preserve">2%. </w:t>
            </w:r>
            <w:r>
              <w:rPr>
                <w:bCs/>
                <w:spacing w:val="-4"/>
                <w:lang w:val="en-GB"/>
              </w:rPr>
              <w:t xml:space="preserve">Registered number of employees increased at the same time </w:t>
            </w:r>
            <w:r w:rsidRPr="00B7252C">
              <w:rPr>
                <w:bCs/>
                <w:spacing w:val="-4"/>
                <w:lang w:val="en-GB"/>
              </w:rPr>
              <w:t>(</w:t>
            </w:r>
            <w:r>
              <w:rPr>
                <w:bCs/>
                <w:spacing w:val="-4"/>
                <w:lang w:val="en-GB"/>
              </w:rPr>
              <w:t xml:space="preserve">by </w:t>
            </w:r>
            <w:r w:rsidRPr="00B7252C">
              <w:rPr>
                <w:bCs/>
                <w:spacing w:val="-4"/>
                <w:lang w:val="en-GB"/>
              </w:rPr>
              <w:t>0</w:t>
            </w:r>
            <w:r>
              <w:rPr>
                <w:bCs/>
                <w:spacing w:val="-4"/>
                <w:lang w:val="en-GB"/>
              </w:rPr>
              <w:t>.</w:t>
            </w:r>
            <w:r w:rsidRPr="00B7252C">
              <w:rPr>
                <w:bCs/>
                <w:spacing w:val="-4"/>
                <w:lang w:val="en-GB"/>
              </w:rPr>
              <w:t xml:space="preserve">7%, </w:t>
            </w:r>
            <w:r>
              <w:rPr>
                <w:bCs/>
                <w:spacing w:val="-4"/>
                <w:lang w:val="en-GB"/>
              </w:rPr>
              <w:t>i.e.</w:t>
            </w:r>
            <w:r w:rsidRPr="00B7252C">
              <w:rPr>
                <w:bCs/>
                <w:spacing w:val="-4"/>
                <w:lang w:val="en-GB"/>
              </w:rPr>
              <w:t xml:space="preserve"> 29 t</w:t>
            </w:r>
            <w:r>
              <w:rPr>
                <w:bCs/>
                <w:spacing w:val="-4"/>
                <w:lang w:val="en-GB"/>
              </w:rPr>
              <w:t>housand</w:t>
            </w:r>
            <w:r w:rsidRPr="00B7252C">
              <w:rPr>
                <w:bCs/>
                <w:spacing w:val="-4"/>
                <w:lang w:val="en-GB"/>
              </w:rPr>
              <w:t>),</w:t>
            </w:r>
            <w:r>
              <w:rPr>
                <w:bCs/>
                <w:spacing w:val="-4"/>
                <w:lang w:val="en-GB"/>
              </w:rPr>
              <w:t xml:space="preserve"> for the first time since the beginning of year </w:t>
            </w:r>
            <w:r w:rsidRPr="00B7252C">
              <w:rPr>
                <w:bCs/>
                <w:spacing w:val="-4"/>
                <w:lang w:val="en-GB"/>
              </w:rPr>
              <w:t>2019.</w:t>
            </w:r>
            <w:r>
              <w:rPr>
                <w:bCs/>
                <w:spacing w:val="-4"/>
                <w:lang w:val="en-GB"/>
              </w:rPr>
              <w:t xml:space="preserve"> Largely uneven impact of the pandemic crisis, varying speed of subsequent economic revival, as well as the form of remuneration in the budgetary sphere resulted in that the wage differential between branches and likely also inside many of them widened. </w:t>
            </w:r>
          </w:p>
        </w:tc>
      </w:tr>
      <w:tr w:rsidR="009732DF" w:rsidRPr="00191C35" w14:paraId="05E01DBC" w14:textId="77777777" w:rsidTr="001144FB">
        <w:trPr>
          <w:trHeight w:val="145"/>
        </w:trPr>
        <w:tc>
          <w:tcPr>
            <w:tcW w:w="1792" w:type="dxa"/>
            <w:shd w:val="clear" w:color="auto" w:fill="auto"/>
            <w:tcMar>
              <w:left w:w="0" w:type="dxa"/>
            </w:tcMar>
          </w:tcPr>
          <w:p w14:paraId="704CA8E0" w14:textId="77777777" w:rsidR="009732DF" w:rsidRPr="00F25486" w:rsidRDefault="009732DF" w:rsidP="001144FB">
            <w:pPr>
              <w:pStyle w:val="Marginlie"/>
              <w:spacing w:after="120"/>
              <w:rPr>
                <w:lang w:val="en-GB"/>
              </w:rPr>
            </w:pPr>
            <w:r w:rsidRPr="00F25486">
              <w:rPr>
                <w:lang w:val="en-GB"/>
              </w:rPr>
              <w:t xml:space="preserve">Quarter-on-quarter growth of the average wage slightly increased. </w:t>
            </w:r>
          </w:p>
        </w:tc>
        <w:tc>
          <w:tcPr>
            <w:tcW w:w="216" w:type="dxa"/>
            <w:shd w:val="clear" w:color="auto" w:fill="auto"/>
            <w:tcMar>
              <w:left w:w="0" w:type="dxa"/>
            </w:tcMar>
          </w:tcPr>
          <w:p w14:paraId="47F787D2" w14:textId="77777777" w:rsidR="009732DF" w:rsidRPr="00F25486" w:rsidRDefault="009732DF" w:rsidP="001144FB">
            <w:pPr>
              <w:pStyle w:val="Textpoznpodarou"/>
              <w:spacing w:after="120"/>
              <w:jc w:val="both"/>
              <w:rPr>
                <w:spacing w:val="-4"/>
                <w:lang w:val="en-GB"/>
              </w:rPr>
            </w:pPr>
          </w:p>
        </w:tc>
        <w:tc>
          <w:tcPr>
            <w:tcW w:w="7656" w:type="dxa"/>
            <w:shd w:val="clear" w:color="auto" w:fill="auto"/>
            <w:tcMar>
              <w:left w:w="0" w:type="dxa"/>
            </w:tcMar>
          </w:tcPr>
          <w:p w14:paraId="7E22533C" w14:textId="77777777" w:rsidR="009732DF" w:rsidRPr="00F25486" w:rsidRDefault="009732DF" w:rsidP="001144FB">
            <w:pPr>
              <w:rPr>
                <w:bCs/>
                <w:spacing w:val="-4"/>
                <w:lang w:val="en-GB"/>
              </w:rPr>
            </w:pPr>
            <w:r>
              <w:rPr>
                <w:rFonts w:cs="Arial"/>
                <w:spacing w:val="-4"/>
                <w:lang w:val="en-GB"/>
              </w:rPr>
              <w:t>The average wage adjusted for seasonal effects increased by 1.2% against Q</w:t>
            </w:r>
            <w:r w:rsidRPr="00F25486">
              <w:rPr>
                <w:rFonts w:cs="Arial"/>
                <w:spacing w:val="-4"/>
                <w:lang w:val="en-GB"/>
              </w:rPr>
              <w:t>1</w:t>
            </w:r>
            <w:r>
              <w:rPr>
                <w:rFonts w:cs="Arial"/>
                <w:spacing w:val="-4"/>
                <w:lang w:val="en-GB"/>
              </w:rPr>
              <w:t xml:space="preserve"> </w:t>
            </w:r>
            <w:r w:rsidRPr="00F25486">
              <w:rPr>
                <w:rFonts w:cs="Arial"/>
                <w:spacing w:val="-4"/>
                <w:lang w:val="en-GB"/>
              </w:rPr>
              <w:t>2021,</w:t>
            </w:r>
            <w:r>
              <w:rPr>
                <w:rFonts w:cs="Arial"/>
                <w:spacing w:val="-4"/>
                <w:lang w:val="en-GB"/>
              </w:rPr>
              <w:t xml:space="preserve"> i.e. slightly more than in the preceding two quarters </w:t>
            </w:r>
            <w:r w:rsidRPr="00F25486">
              <w:rPr>
                <w:rFonts w:cs="Arial"/>
                <w:spacing w:val="-4"/>
                <w:lang w:val="en-GB"/>
              </w:rPr>
              <w:t>(0</w:t>
            </w:r>
            <w:r>
              <w:rPr>
                <w:rFonts w:cs="Arial"/>
                <w:spacing w:val="-4"/>
                <w:lang w:val="en-GB"/>
              </w:rPr>
              <w:t>.</w:t>
            </w:r>
            <w:r w:rsidRPr="00F25486">
              <w:rPr>
                <w:rFonts w:cs="Arial"/>
                <w:spacing w:val="-4"/>
                <w:lang w:val="en-GB"/>
              </w:rPr>
              <w:t>9%, 1</w:t>
            </w:r>
            <w:r>
              <w:rPr>
                <w:rFonts w:cs="Arial"/>
                <w:spacing w:val="-4"/>
                <w:lang w:val="en-GB"/>
              </w:rPr>
              <w:t>.</w:t>
            </w:r>
            <w:r w:rsidRPr="00F25486">
              <w:rPr>
                <w:rFonts w:cs="Arial"/>
                <w:spacing w:val="-4"/>
                <w:lang w:val="en-GB"/>
              </w:rPr>
              <w:t xml:space="preserve">1%). </w:t>
            </w:r>
            <w:r>
              <w:rPr>
                <w:rFonts w:cs="Arial"/>
                <w:spacing w:val="-4"/>
                <w:lang w:val="en-GB"/>
              </w:rPr>
              <w:t>The effect of receding pandemics and return of majority of shops as well as other services to regular regime partially manifested.</w:t>
            </w:r>
            <w:r w:rsidRPr="00F25486">
              <w:rPr>
                <w:bCs/>
                <w:spacing w:val="-4"/>
                <w:lang w:val="en-GB"/>
              </w:rPr>
              <w:t xml:space="preserve"> </w:t>
            </w:r>
            <w:r>
              <w:rPr>
                <w:bCs/>
                <w:spacing w:val="-4"/>
                <w:lang w:val="en-GB"/>
              </w:rPr>
              <w:t xml:space="preserve">Number of hours worked for employees however still lagged behind the precrisis level </w:t>
            </w:r>
            <w:r w:rsidRPr="00F25486">
              <w:rPr>
                <w:rFonts w:cs="Arial"/>
                <w:spacing w:val="-4"/>
                <w:lang w:val="en-GB"/>
              </w:rPr>
              <w:t>(</w:t>
            </w:r>
            <w:r>
              <w:rPr>
                <w:rFonts w:cs="Arial"/>
                <w:spacing w:val="-4"/>
                <w:lang w:val="en-GB"/>
              </w:rPr>
              <w:t>from Q</w:t>
            </w:r>
            <w:r w:rsidRPr="00F25486">
              <w:rPr>
                <w:rFonts w:cs="Arial"/>
                <w:spacing w:val="-4"/>
                <w:lang w:val="en-GB"/>
              </w:rPr>
              <w:t>2</w:t>
            </w:r>
            <w:r>
              <w:rPr>
                <w:rFonts w:cs="Arial"/>
                <w:spacing w:val="-4"/>
                <w:lang w:val="en-GB"/>
              </w:rPr>
              <w:t xml:space="preserve"> </w:t>
            </w:r>
            <w:r w:rsidRPr="00F25486">
              <w:rPr>
                <w:rFonts w:cs="Arial"/>
                <w:spacing w:val="-4"/>
                <w:lang w:val="en-GB"/>
              </w:rPr>
              <w:t>2019)</w:t>
            </w:r>
            <w:r>
              <w:rPr>
                <w:rFonts w:cs="Arial"/>
                <w:spacing w:val="-4"/>
                <w:lang w:val="en-GB"/>
              </w:rPr>
              <w:t xml:space="preserve"> by </w:t>
            </w:r>
            <w:r w:rsidRPr="00F25486">
              <w:rPr>
                <w:rFonts w:cs="Arial"/>
                <w:spacing w:val="-4"/>
                <w:lang w:val="en-GB"/>
              </w:rPr>
              <w:t>3</w:t>
            </w:r>
            <w:r>
              <w:rPr>
                <w:rFonts w:cs="Arial"/>
                <w:spacing w:val="-4"/>
                <w:lang w:val="en-GB"/>
              </w:rPr>
              <w:t>.</w:t>
            </w:r>
            <w:r w:rsidRPr="00F25486">
              <w:rPr>
                <w:rFonts w:cs="Arial"/>
                <w:spacing w:val="-4"/>
                <w:lang w:val="en-GB"/>
              </w:rPr>
              <w:t>5%</w:t>
            </w:r>
            <w:r w:rsidRPr="00F25486">
              <w:rPr>
                <w:rStyle w:val="Znakapoznpodarou"/>
                <w:spacing w:val="-4"/>
                <w:lang w:val="en-GB"/>
              </w:rPr>
              <w:footnoteReference w:id="18"/>
            </w:r>
            <w:r>
              <w:rPr>
                <w:rFonts w:cs="Arial"/>
                <w:spacing w:val="-4"/>
                <w:lang w:val="en-GB"/>
              </w:rPr>
              <w:t xml:space="preserve"> in Q2</w:t>
            </w:r>
            <w:r w:rsidRPr="00F25486">
              <w:rPr>
                <w:rFonts w:cs="Arial"/>
                <w:spacing w:val="-4"/>
                <w:lang w:val="en-GB"/>
              </w:rPr>
              <w:t xml:space="preserve">. </w:t>
            </w:r>
            <w:r>
              <w:rPr>
                <w:rFonts w:cs="Arial"/>
                <w:spacing w:val="-4"/>
                <w:lang w:val="en-GB"/>
              </w:rPr>
              <w:t xml:space="preserve">It was especially apparent in the branch closely tied to tourism </w:t>
            </w:r>
            <w:r w:rsidRPr="00F25486">
              <w:rPr>
                <w:rFonts w:cs="Arial"/>
                <w:spacing w:val="-4"/>
                <w:lang w:val="en-GB"/>
              </w:rPr>
              <w:t xml:space="preserve">– </w:t>
            </w:r>
            <w:r>
              <w:rPr>
                <w:rFonts w:cs="Arial"/>
                <w:spacing w:val="-4"/>
                <w:lang w:val="en-GB"/>
              </w:rPr>
              <w:t xml:space="preserve">in trade, transportation, food service and accommodation </w:t>
            </w:r>
            <w:r w:rsidRPr="00F25486">
              <w:rPr>
                <w:rFonts w:cs="Arial"/>
                <w:spacing w:val="-4"/>
                <w:lang w:val="en-GB"/>
              </w:rPr>
              <w:t xml:space="preserve">(10%), </w:t>
            </w:r>
            <w:r>
              <w:rPr>
                <w:rFonts w:cs="Arial"/>
                <w:spacing w:val="-4"/>
                <w:lang w:val="en-GB"/>
              </w:rPr>
              <w:t xml:space="preserve">further in the so called other services </w:t>
            </w:r>
            <w:r w:rsidRPr="00F25486">
              <w:rPr>
                <w:rFonts w:cs="Arial"/>
                <w:spacing w:val="-4"/>
                <w:lang w:val="en-GB"/>
              </w:rPr>
              <w:t>(</w:t>
            </w:r>
            <w:r>
              <w:rPr>
                <w:rFonts w:cs="Arial"/>
                <w:spacing w:val="-4"/>
                <w:lang w:val="en-GB"/>
              </w:rPr>
              <w:t>e.g. hairdressing, repairs of products for households (</w:t>
            </w:r>
            <w:r w:rsidRPr="00F25486">
              <w:rPr>
                <w:rFonts w:cs="Arial"/>
                <w:spacing w:val="-4"/>
                <w:lang w:val="en-GB"/>
              </w:rPr>
              <w:t>18%) a</w:t>
            </w:r>
            <w:r>
              <w:rPr>
                <w:rFonts w:cs="Arial"/>
                <w:spacing w:val="-4"/>
                <w:lang w:val="en-GB"/>
              </w:rPr>
              <w:t xml:space="preserve">nd to a lesser extent in financial services or manufacturing. </w:t>
            </w:r>
          </w:p>
        </w:tc>
      </w:tr>
      <w:tr w:rsidR="009732DF" w:rsidRPr="00191C35" w14:paraId="3EDCA050" w14:textId="77777777" w:rsidTr="001144FB">
        <w:trPr>
          <w:trHeight w:val="145"/>
        </w:trPr>
        <w:tc>
          <w:tcPr>
            <w:tcW w:w="1792" w:type="dxa"/>
            <w:shd w:val="clear" w:color="auto" w:fill="auto"/>
            <w:tcMar>
              <w:left w:w="0" w:type="dxa"/>
            </w:tcMar>
          </w:tcPr>
          <w:p w14:paraId="01E16F5F" w14:textId="77777777" w:rsidR="009732DF" w:rsidRPr="009B2951" w:rsidRDefault="009732DF" w:rsidP="001144FB">
            <w:pPr>
              <w:pStyle w:val="Marginlie"/>
              <w:spacing w:after="120"/>
              <w:rPr>
                <w:lang w:val="en-GB"/>
              </w:rPr>
            </w:pPr>
            <w:r>
              <w:rPr>
                <w:lang w:val="en-GB"/>
              </w:rPr>
              <w:t xml:space="preserve">Pace of wages was influenced by a mix of opposing factors. </w:t>
            </w:r>
          </w:p>
        </w:tc>
        <w:tc>
          <w:tcPr>
            <w:tcW w:w="216" w:type="dxa"/>
            <w:shd w:val="clear" w:color="auto" w:fill="auto"/>
            <w:tcMar>
              <w:left w:w="0" w:type="dxa"/>
            </w:tcMar>
          </w:tcPr>
          <w:p w14:paraId="407A3A39" w14:textId="77777777" w:rsidR="009732DF" w:rsidRPr="009B2951" w:rsidRDefault="009732DF" w:rsidP="001144FB">
            <w:pPr>
              <w:pStyle w:val="Textpoznpodarou"/>
              <w:spacing w:after="120"/>
              <w:jc w:val="both"/>
              <w:rPr>
                <w:spacing w:val="-4"/>
                <w:lang w:val="en-GB"/>
              </w:rPr>
            </w:pPr>
          </w:p>
        </w:tc>
        <w:tc>
          <w:tcPr>
            <w:tcW w:w="7656" w:type="dxa"/>
            <w:shd w:val="clear" w:color="auto" w:fill="auto"/>
            <w:tcMar>
              <w:left w:w="0" w:type="dxa"/>
            </w:tcMar>
          </w:tcPr>
          <w:p w14:paraId="2C1864B8" w14:textId="77777777" w:rsidR="009732DF" w:rsidRPr="009B2951" w:rsidRDefault="009732DF" w:rsidP="001144FB">
            <w:pPr>
              <w:rPr>
                <w:rFonts w:cs="Arial"/>
                <w:spacing w:val="-4"/>
                <w:lang w:val="en-GB"/>
              </w:rPr>
            </w:pPr>
            <w:r>
              <w:rPr>
                <w:rFonts w:cs="Arial"/>
                <w:spacing w:val="-4"/>
                <w:lang w:val="en-GB"/>
              </w:rPr>
              <w:t>The tension on the labour market associated with low unemployment and high number of long-term job vacancies had a pro-growth effect on the size of wages</w:t>
            </w:r>
            <w:r w:rsidRPr="009B2951">
              <w:rPr>
                <w:rFonts w:cs="Arial"/>
                <w:spacing w:val="-4"/>
                <w:lang w:val="en-GB"/>
              </w:rPr>
              <w:t xml:space="preserve">. </w:t>
            </w:r>
            <w:r>
              <w:rPr>
                <w:rFonts w:cs="Arial"/>
                <w:spacing w:val="-4"/>
                <w:lang w:val="en-GB"/>
              </w:rPr>
              <w:t xml:space="preserve">Shortage of employees thus limited production in the number of significant branches. Lowering of </w:t>
            </w:r>
            <w:r>
              <w:rPr>
                <w:rFonts w:cs="Arial"/>
                <w:spacing w:val="-4"/>
                <w:lang w:val="en-GB"/>
              </w:rPr>
              <w:lastRenderedPageBreak/>
              <w:t>effective taxes for workers</w:t>
            </w:r>
            <w:r w:rsidRPr="009B2951">
              <w:rPr>
                <w:rFonts w:cs="Arial"/>
                <w:spacing w:val="-4"/>
                <w:lang w:val="en-GB"/>
              </w:rPr>
              <w:t xml:space="preserve">, </w:t>
            </w:r>
            <w:r>
              <w:rPr>
                <w:rFonts w:cs="Arial"/>
                <w:spacing w:val="-4"/>
                <w:lang w:val="en-GB"/>
              </w:rPr>
              <w:t xml:space="preserve">which enabled companies to maintain high employment with lower pressures on cost of labour growth, had likely the opposite effect. Part of employers especially in the market branches thus allowed for the fact, that the net earnings of people will rise even without increasing the gross wages. In addition the wage level was still influenced by the loss of wage for employees receiving care benefits or wage substitution during the quarantine. </w:t>
            </w:r>
          </w:p>
        </w:tc>
      </w:tr>
      <w:tr w:rsidR="009732DF" w:rsidRPr="00191C35" w14:paraId="6A089729" w14:textId="77777777" w:rsidTr="001144FB">
        <w:trPr>
          <w:trHeight w:val="145"/>
        </w:trPr>
        <w:tc>
          <w:tcPr>
            <w:tcW w:w="1792" w:type="dxa"/>
            <w:shd w:val="clear" w:color="auto" w:fill="auto"/>
            <w:tcMar>
              <w:left w:w="0" w:type="dxa"/>
            </w:tcMar>
          </w:tcPr>
          <w:p w14:paraId="30FF031E" w14:textId="77777777" w:rsidR="009732DF" w:rsidRPr="00DC5EEF" w:rsidRDefault="009732DF" w:rsidP="001144FB">
            <w:pPr>
              <w:pStyle w:val="Marginlie"/>
              <w:spacing w:after="120"/>
              <w:rPr>
                <w:lang w:val="en-GB"/>
              </w:rPr>
            </w:pPr>
            <w:r>
              <w:rPr>
                <w:lang w:val="en-GB"/>
              </w:rPr>
              <w:lastRenderedPageBreak/>
              <w:t xml:space="preserve">Unprecedented wage growth in health and social care was connected with the pay out of extraordinary bonuses. </w:t>
            </w:r>
          </w:p>
        </w:tc>
        <w:tc>
          <w:tcPr>
            <w:tcW w:w="216" w:type="dxa"/>
            <w:shd w:val="clear" w:color="auto" w:fill="auto"/>
            <w:tcMar>
              <w:left w:w="0" w:type="dxa"/>
            </w:tcMar>
          </w:tcPr>
          <w:p w14:paraId="42275883" w14:textId="77777777" w:rsidR="009732DF" w:rsidRPr="00DC5EEF" w:rsidRDefault="009732DF" w:rsidP="001144FB">
            <w:pPr>
              <w:pStyle w:val="Textpoznpodarou"/>
              <w:spacing w:after="120"/>
              <w:jc w:val="both"/>
              <w:rPr>
                <w:spacing w:val="-4"/>
                <w:lang w:val="en-GB"/>
              </w:rPr>
            </w:pPr>
          </w:p>
        </w:tc>
        <w:tc>
          <w:tcPr>
            <w:tcW w:w="7656" w:type="dxa"/>
            <w:shd w:val="clear" w:color="auto" w:fill="auto"/>
            <w:tcMar>
              <w:left w:w="0" w:type="dxa"/>
            </w:tcMar>
          </w:tcPr>
          <w:p w14:paraId="7A7B5F6B" w14:textId="77777777" w:rsidR="009732DF" w:rsidRPr="00184C35" w:rsidRDefault="009732DF" w:rsidP="001144FB">
            <w:pPr>
              <w:rPr>
                <w:rFonts w:cs="Arial"/>
                <w:spacing w:val="-3"/>
                <w:lang w:val="en-GB"/>
              </w:rPr>
            </w:pPr>
            <w:r w:rsidRPr="00184C35">
              <w:rPr>
                <w:bCs/>
                <w:spacing w:val="-3"/>
                <w:lang w:val="en-GB"/>
              </w:rPr>
              <w:t xml:space="preserve">The low comparative basis of wages manifested in the year-on-year comparison in Q2, specifically because of last year’s closure of part of economy and slump of the total number of hours worked of employees </w:t>
            </w:r>
            <w:r w:rsidRPr="00184C35">
              <w:rPr>
                <w:rFonts w:cs="Arial"/>
                <w:spacing w:val="-3"/>
                <w:lang w:val="en-GB"/>
              </w:rPr>
              <w:t>– by even 10% year-on-year. This year’s pay out of exceptional bonuses to medical staff is</w:t>
            </w:r>
            <w:r>
              <w:rPr>
                <w:rFonts w:cs="Arial"/>
                <w:spacing w:val="-3"/>
                <w:lang w:val="en-GB"/>
              </w:rPr>
              <w:t xml:space="preserve"> </w:t>
            </w:r>
            <w:r w:rsidRPr="00184C35">
              <w:rPr>
                <w:rFonts w:cs="Arial"/>
                <w:spacing w:val="-3"/>
                <w:lang w:val="en-GB"/>
              </w:rPr>
              <w:t>also closely tied to the pandemics and led to the unprecedented growth of the average nominal wage in the branch health and social care by 43.8%. Without this branch the wages would strengthen „only“ by 8.5% in the remaining part of the economy year-on-year in Q2.</w:t>
            </w:r>
          </w:p>
        </w:tc>
      </w:tr>
      <w:tr w:rsidR="009732DF" w:rsidRPr="00191C35" w14:paraId="4DD32206" w14:textId="77777777" w:rsidTr="001144FB">
        <w:trPr>
          <w:trHeight w:val="145"/>
        </w:trPr>
        <w:tc>
          <w:tcPr>
            <w:tcW w:w="1792" w:type="dxa"/>
            <w:shd w:val="clear" w:color="auto" w:fill="auto"/>
            <w:tcMar>
              <w:left w:w="0" w:type="dxa"/>
            </w:tcMar>
          </w:tcPr>
          <w:p w14:paraId="669BF382" w14:textId="77777777" w:rsidR="009732DF" w:rsidRPr="00C428FC" w:rsidRDefault="009732DF" w:rsidP="001144FB">
            <w:pPr>
              <w:pStyle w:val="Marginlie"/>
              <w:spacing w:after="120"/>
              <w:rPr>
                <w:lang w:val="en-GB"/>
              </w:rPr>
            </w:pPr>
            <w:r w:rsidRPr="00C428FC">
              <w:rPr>
                <w:lang w:val="en-GB"/>
              </w:rPr>
              <w:t>Outside of health care the average wages grew the most in branches, which were strongly hi</w:t>
            </w:r>
            <w:r>
              <w:rPr>
                <w:lang w:val="en-GB"/>
              </w:rPr>
              <w:t>t</w:t>
            </w:r>
            <w:r w:rsidRPr="00C428FC">
              <w:rPr>
                <w:lang w:val="en-GB"/>
              </w:rPr>
              <w:t xml:space="preserve"> by impacts of the first pandemic wave last year. </w:t>
            </w:r>
          </w:p>
        </w:tc>
        <w:tc>
          <w:tcPr>
            <w:tcW w:w="216" w:type="dxa"/>
            <w:shd w:val="clear" w:color="auto" w:fill="auto"/>
            <w:tcMar>
              <w:left w:w="0" w:type="dxa"/>
            </w:tcMar>
          </w:tcPr>
          <w:p w14:paraId="07D9A67C"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43D497DF" w14:textId="77777777" w:rsidR="009732DF" w:rsidRPr="00BF1F3E" w:rsidRDefault="009732DF" w:rsidP="001144FB">
            <w:pPr>
              <w:rPr>
                <w:bCs/>
                <w:spacing w:val="-4"/>
                <w:lang w:val="en-GB"/>
              </w:rPr>
            </w:pPr>
            <w:r w:rsidRPr="00BF1F3E">
              <w:rPr>
                <w:rFonts w:cs="Arial"/>
                <w:spacing w:val="-4"/>
                <w:lang w:val="en-GB"/>
              </w:rPr>
              <w:t xml:space="preserve">Outside of healthcare, the average wages grew the most mainly in branches, which were the most hit by the onsetting pandemics last year – accommodation, food service and restaurants (+17.3%), other activities (+19.2%), administrative and support service activities  (+12.3%) </w:t>
            </w:r>
            <w:r w:rsidRPr="00BF1F3E">
              <w:rPr>
                <w:rFonts w:cs="Arial"/>
                <w:spacing w:val="-4"/>
                <w:szCs w:val="20"/>
                <w:lang w:val="en-GB"/>
              </w:rPr>
              <w:t>and manufacturing (+11.3%) year-on-year this year in Q2. Cultural, amusement and recreation activities, where the below average wage pace endured, comprised an exception. The situation in the majority of branches interconnected with tourism is however still difficult, as reflected in the continuing decrease of the number of employees as well as cut down increase of wages compared to the pre-pandemics level</w:t>
            </w:r>
            <w:r w:rsidRPr="00BF1F3E">
              <w:rPr>
                <w:rStyle w:val="Znakapoznpodarou"/>
                <w:spacing w:val="-4"/>
                <w:szCs w:val="20"/>
                <w:lang w:val="en-GB"/>
              </w:rPr>
              <w:footnoteReference w:id="19"/>
            </w:r>
            <w:r w:rsidRPr="00BF1F3E">
              <w:rPr>
                <w:rFonts w:cs="Arial"/>
                <w:spacing w:val="-4"/>
                <w:szCs w:val="20"/>
                <w:lang w:val="en-GB"/>
              </w:rPr>
              <w:t>. The attained wage level is also still considerably below the level of the whole economy in these branches and it is only at one third level e.g. in accommodation, food service and restaurants compared to financial activities.</w:t>
            </w:r>
          </w:p>
        </w:tc>
      </w:tr>
      <w:tr w:rsidR="009732DF" w:rsidRPr="00191C35" w14:paraId="3ADCA70F" w14:textId="77777777" w:rsidTr="001144FB">
        <w:trPr>
          <w:trHeight w:val="145"/>
        </w:trPr>
        <w:tc>
          <w:tcPr>
            <w:tcW w:w="1792" w:type="dxa"/>
            <w:shd w:val="clear" w:color="auto" w:fill="auto"/>
            <w:tcMar>
              <w:left w:w="0" w:type="dxa"/>
            </w:tcMar>
          </w:tcPr>
          <w:p w14:paraId="37CD1C1E" w14:textId="77777777" w:rsidR="009732DF" w:rsidRPr="00831240" w:rsidRDefault="009732DF" w:rsidP="001144FB">
            <w:pPr>
              <w:pStyle w:val="Marginlie"/>
              <w:spacing w:after="120"/>
              <w:rPr>
                <w:lang w:val="en-GB"/>
              </w:rPr>
            </w:pPr>
            <w:r>
              <w:rPr>
                <w:lang w:val="en-GB"/>
              </w:rPr>
              <w:t>Thanks to brisk pace of the wage growth their level slightly overtook the level of the whole economy in education</w:t>
            </w:r>
            <w:r w:rsidRPr="00831240">
              <w:rPr>
                <w:lang w:val="en-GB"/>
              </w:rPr>
              <w:t>.</w:t>
            </w:r>
          </w:p>
          <w:p w14:paraId="52BC7FDE" w14:textId="77777777" w:rsidR="009732DF" w:rsidRPr="00831240" w:rsidRDefault="009732DF" w:rsidP="001144FB">
            <w:pPr>
              <w:pStyle w:val="Marginlie"/>
              <w:spacing w:after="120"/>
              <w:rPr>
                <w:lang w:val="en-GB"/>
              </w:rPr>
            </w:pPr>
          </w:p>
          <w:p w14:paraId="248240BD" w14:textId="77777777" w:rsidR="009732DF" w:rsidRPr="00831240" w:rsidRDefault="009732DF" w:rsidP="001144FB">
            <w:pPr>
              <w:pStyle w:val="Marginlie"/>
              <w:spacing w:after="120"/>
              <w:rPr>
                <w:lang w:val="en-GB"/>
              </w:rPr>
            </w:pPr>
          </w:p>
          <w:p w14:paraId="33FA6B60" w14:textId="77777777" w:rsidR="009732DF" w:rsidRPr="00831240" w:rsidRDefault="009732DF" w:rsidP="001144FB">
            <w:pPr>
              <w:pStyle w:val="Marginlie"/>
              <w:spacing w:after="120"/>
              <w:rPr>
                <w:lang w:val="en-GB"/>
              </w:rPr>
            </w:pPr>
            <w:r>
              <w:rPr>
                <w:lang w:val="en-GB"/>
              </w:rPr>
              <w:t xml:space="preserve">Growth of average wages in industry, construction, transportation and warehousing was moderate in total for the last two years. </w:t>
            </w:r>
          </w:p>
        </w:tc>
        <w:tc>
          <w:tcPr>
            <w:tcW w:w="216" w:type="dxa"/>
            <w:shd w:val="clear" w:color="auto" w:fill="auto"/>
            <w:tcMar>
              <w:left w:w="0" w:type="dxa"/>
            </w:tcMar>
          </w:tcPr>
          <w:p w14:paraId="28F61E1D" w14:textId="77777777" w:rsidR="009732DF" w:rsidRPr="00831240" w:rsidRDefault="009732DF" w:rsidP="001144FB">
            <w:pPr>
              <w:pStyle w:val="Textpoznpodarou"/>
              <w:spacing w:after="120"/>
              <w:jc w:val="both"/>
              <w:rPr>
                <w:spacing w:val="-4"/>
                <w:lang w:val="en-GB"/>
              </w:rPr>
            </w:pPr>
          </w:p>
        </w:tc>
        <w:tc>
          <w:tcPr>
            <w:tcW w:w="7656" w:type="dxa"/>
            <w:shd w:val="clear" w:color="auto" w:fill="auto"/>
            <w:tcMar>
              <w:left w:w="0" w:type="dxa"/>
            </w:tcMar>
          </w:tcPr>
          <w:p w14:paraId="04EE0905" w14:textId="77777777" w:rsidR="009732DF" w:rsidRPr="00831240" w:rsidRDefault="009732DF" w:rsidP="001144FB">
            <w:pPr>
              <w:rPr>
                <w:bCs/>
                <w:spacing w:val="-4"/>
                <w:lang w:val="en-GB"/>
              </w:rPr>
            </w:pPr>
            <w:r>
              <w:rPr>
                <w:bCs/>
                <w:spacing w:val="-4"/>
                <w:lang w:val="en-GB"/>
              </w:rPr>
              <w:t xml:space="preserve">The growth of wage tariffs from the last years continued in education. The average wage rose by one tenth here year-on-year and tightly exceeded the level of earnings in the whole economy. On the contrary, the wage growth </w:t>
            </w:r>
            <w:r w:rsidRPr="009922EC">
              <w:rPr>
                <w:bCs/>
                <w:spacing w:val="-4"/>
                <w:lang w:val="en-GB"/>
              </w:rPr>
              <w:t>practically ceased in p</w:t>
            </w:r>
            <w:r w:rsidRPr="009922EC">
              <w:rPr>
                <w:rFonts w:cs="Arial"/>
                <w:szCs w:val="20"/>
                <w:lang w:val="en-GB"/>
              </w:rPr>
              <w:t xml:space="preserve">ublic administration, education, health and social work. </w:t>
            </w:r>
            <w:r>
              <w:rPr>
                <w:rFonts w:cs="Arial"/>
                <w:szCs w:val="20"/>
                <w:lang w:val="en-GB"/>
              </w:rPr>
              <w:t xml:space="preserve">While the economic revival was reflected in the wage area </w:t>
            </w:r>
            <w:r w:rsidRPr="009922EC">
              <w:rPr>
                <w:bCs/>
                <w:spacing w:val="-4"/>
                <w:lang w:val="en-GB"/>
              </w:rPr>
              <w:t>(+9</w:t>
            </w:r>
            <w:r>
              <w:rPr>
                <w:bCs/>
                <w:spacing w:val="-4"/>
                <w:lang w:val="en-GB"/>
              </w:rPr>
              <w:t>.</w:t>
            </w:r>
            <w:r w:rsidRPr="009922EC">
              <w:rPr>
                <w:bCs/>
                <w:spacing w:val="-4"/>
                <w:lang w:val="en-GB"/>
              </w:rPr>
              <w:t xml:space="preserve">4%) </w:t>
            </w:r>
            <w:r>
              <w:rPr>
                <w:bCs/>
                <w:spacing w:val="-4"/>
                <w:lang w:val="en-GB"/>
              </w:rPr>
              <w:t xml:space="preserve">as well as employment </w:t>
            </w:r>
            <w:r w:rsidRPr="009922EC">
              <w:rPr>
                <w:bCs/>
                <w:spacing w:val="-4"/>
                <w:lang w:val="en-GB"/>
              </w:rPr>
              <w:t>(+1</w:t>
            </w:r>
            <w:r>
              <w:rPr>
                <w:bCs/>
                <w:spacing w:val="-4"/>
                <w:lang w:val="en-GB"/>
              </w:rPr>
              <w:t>.</w:t>
            </w:r>
            <w:r w:rsidRPr="009922EC">
              <w:rPr>
                <w:bCs/>
                <w:spacing w:val="-4"/>
                <w:lang w:val="en-GB"/>
              </w:rPr>
              <w:t>5%)</w:t>
            </w:r>
            <w:r>
              <w:rPr>
                <w:bCs/>
                <w:spacing w:val="-4"/>
                <w:lang w:val="en-GB"/>
              </w:rPr>
              <w:t xml:space="preserve"> </w:t>
            </w:r>
            <w:r>
              <w:rPr>
                <w:rFonts w:cs="Arial"/>
                <w:szCs w:val="20"/>
                <w:lang w:val="en-GB"/>
              </w:rPr>
              <w:t>in trade in Q</w:t>
            </w:r>
            <w:r w:rsidRPr="009922EC">
              <w:rPr>
                <w:bCs/>
                <w:spacing w:val="-4"/>
                <w:lang w:val="en-GB"/>
              </w:rPr>
              <w:t xml:space="preserve">2, </w:t>
            </w:r>
            <w:r>
              <w:rPr>
                <w:bCs/>
                <w:spacing w:val="-4"/>
                <w:lang w:val="en-GB"/>
              </w:rPr>
              <w:t xml:space="preserve">only average wages increased in transportation and warehousing </w:t>
            </w:r>
            <w:r w:rsidRPr="009922EC">
              <w:rPr>
                <w:bCs/>
                <w:spacing w:val="-4"/>
                <w:lang w:val="en-GB"/>
              </w:rPr>
              <w:t>(+7</w:t>
            </w:r>
            <w:r>
              <w:rPr>
                <w:bCs/>
                <w:spacing w:val="-4"/>
                <w:lang w:val="en-GB"/>
              </w:rPr>
              <w:t>.</w:t>
            </w:r>
            <w:r w:rsidRPr="009922EC">
              <w:rPr>
                <w:bCs/>
                <w:spacing w:val="-4"/>
                <w:lang w:val="en-GB"/>
              </w:rPr>
              <w:t xml:space="preserve">6%). </w:t>
            </w:r>
            <w:r>
              <w:rPr>
                <w:bCs/>
                <w:spacing w:val="-4"/>
                <w:lang w:val="en-GB"/>
              </w:rPr>
              <w:t xml:space="preserve">Financial and insurance activities on the other hand recorded small decrease in both areas, still it with the size of the average monthly wages </w:t>
            </w:r>
            <w:r w:rsidRPr="009922EC">
              <w:rPr>
                <w:bCs/>
                <w:spacing w:val="-4"/>
                <w:lang w:val="en-GB"/>
              </w:rPr>
              <w:t>(63</w:t>
            </w:r>
            <w:r>
              <w:rPr>
                <w:bCs/>
                <w:spacing w:val="-4"/>
                <w:lang w:val="en-GB"/>
              </w:rPr>
              <w:t>.</w:t>
            </w:r>
            <w:r w:rsidRPr="009922EC">
              <w:rPr>
                <w:bCs/>
                <w:spacing w:val="-4"/>
                <w:lang w:val="en-GB"/>
              </w:rPr>
              <w:t>5</w:t>
            </w:r>
            <w:r>
              <w:rPr>
                <w:bCs/>
                <w:spacing w:val="-4"/>
                <w:lang w:val="en-GB"/>
              </w:rPr>
              <w:t xml:space="preserve"> CZK thousand</w:t>
            </w:r>
            <w:r w:rsidRPr="009922EC">
              <w:rPr>
                <w:bCs/>
                <w:spacing w:val="-4"/>
                <w:lang w:val="en-GB"/>
              </w:rPr>
              <w:t xml:space="preserve">) </w:t>
            </w:r>
            <w:r>
              <w:rPr>
                <w:bCs/>
                <w:spacing w:val="-4"/>
                <w:lang w:val="en-GB"/>
              </w:rPr>
              <w:t xml:space="preserve">overtook all main branches of the economy. Information and communication followed in short distance </w:t>
            </w:r>
            <w:r w:rsidRPr="00831240">
              <w:rPr>
                <w:bCs/>
                <w:spacing w:val="-4"/>
                <w:lang w:val="en-GB"/>
              </w:rPr>
              <w:t>(62</w:t>
            </w:r>
            <w:r>
              <w:rPr>
                <w:bCs/>
                <w:spacing w:val="-4"/>
                <w:lang w:val="en-GB"/>
              </w:rPr>
              <w:t>.</w:t>
            </w:r>
            <w:r w:rsidRPr="00831240">
              <w:rPr>
                <w:bCs/>
                <w:spacing w:val="-4"/>
                <w:lang w:val="en-GB"/>
              </w:rPr>
              <w:t>7 </w:t>
            </w:r>
            <w:r>
              <w:rPr>
                <w:bCs/>
                <w:spacing w:val="-4"/>
                <w:lang w:val="en-GB"/>
              </w:rPr>
              <w:t>CZK thousand</w:t>
            </w:r>
            <w:r w:rsidRPr="00831240">
              <w:rPr>
                <w:bCs/>
                <w:spacing w:val="-4"/>
                <w:lang w:val="en-GB"/>
              </w:rPr>
              <w:t xml:space="preserve">), </w:t>
            </w:r>
            <w:r>
              <w:rPr>
                <w:bCs/>
                <w:spacing w:val="-4"/>
                <w:lang w:val="en-GB"/>
              </w:rPr>
              <w:t>being among the busiest branches during the pandemics, which is also reflected in the ceaseless employment growth. Neither construction suffers from inadequate demand. The growth of average wages was however rather mild for the whole pandemic period here</w:t>
            </w:r>
            <w:r w:rsidRPr="00831240">
              <w:rPr>
                <w:bCs/>
                <w:spacing w:val="-4"/>
                <w:lang w:val="en-GB"/>
              </w:rPr>
              <w:t>, s</w:t>
            </w:r>
            <w:r>
              <w:rPr>
                <w:bCs/>
                <w:spacing w:val="-4"/>
                <w:lang w:val="en-GB"/>
              </w:rPr>
              <w:t>imilarly to industry, transportation as well as storage.</w:t>
            </w:r>
          </w:p>
        </w:tc>
      </w:tr>
      <w:bookmarkEnd w:id="2"/>
      <w:bookmarkEnd w:id="3"/>
      <w:tr w:rsidR="009732DF" w:rsidRPr="00191C35" w14:paraId="3F0B720F" w14:textId="77777777" w:rsidTr="001144FB">
        <w:trPr>
          <w:trHeight w:val="145"/>
        </w:trPr>
        <w:tc>
          <w:tcPr>
            <w:tcW w:w="1792" w:type="dxa"/>
            <w:shd w:val="clear" w:color="auto" w:fill="auto"/>
            <w:tcMar>
              <w:left w:w="0" w:type="dxa"/>
            </w:tcMar>
          </w:tcPr>
          <w:p w14:paraId="3E01C4AA" w14:textId="77777777" w:rsidR="009732DF" w:rsidRDefault="009732DF" w:rsidP="001144FB">
            <w:pPr>
              <w:pStyle w:val="Marginlie"/>
              <w:spacing w:after="120"/>
              <w:rPr>
                <w:lang w:val="en-GB"/>
              </w:rPr>
            </w:pPr>
            <w:r w:rsidRPr="00882EC3">
              <w:rPr>
                <w:lang w:val="en-GB"/>
              </w:rPr>
              <w:t>Pr</w:t>
            </w:r>
            <w:r>
              <w:rPr>
                <w:lang w:val="en-GB"/>
              </w:rPr>
              <w:t xml:space="preserve">ague labour market still features lower percentage growth of average wages in combination with higher creation of new job positions. </w:t>
            </w:r>
          </w:p>
        </w:tc>
        <w:tc>
          <w:tcPr>
            <w:tcW w:w="216" w:type="dxa"/>
            <w:shd w:val="clear" w:color="auto" w:fill="auto"/>
            <w:tcMar>
              <w:left w:w="0" w:type="dxa"/>
            </w:tcMar>
          </w:tcPr>
          <w:p w14:paraId="64E27BE8" w14:textId="77777777" w:rsidR="009732DF" w:rsidRPr="00831240" w:rsidRDefault="009732DF" w:rsidP="001144FB">
            <w:pPr>
              <w:pStyle w:val="Textpoznpodarou"/>
              <w:spacing w:after="120"/>
              <w:jc w:val="both"/>
              <w:rPr>
                <w:spacing w:val="-4"/>
                <w:lang w:val="en-GB"/>
              </w:rPr>
            </w:pPr>
          </w:p>
        </w:tc>
        <w:tc>
          <w:tcPr>
            <w:tcW w:w="7656" w:type="dxa"/>
            <w:shd w:val="clear" w:color="auto" w:fill="auto"/>
            <w:tcMar>
              <w:left w:w="0" w:type="dxa"/>
            </w:tcMar>
          </w:tcPr>
          <w:p w14:paraId="5FB85E6D" w14:textId="77777777" w:rsidR="009732DF" w:rsidRDefault="009732DF" w:rsidP="001144FB">
            <w:pPr>
              <w:rPr>
                <w:bCs/>
                <w:spacing w:val="-4"/>
                <w:lang w:val="en-GB"/>
              </w:rPr>
            </w:pPr>
            <w:r>
              <w:rPr>
                <w:bCs/>
                <w:szCs w:val="20"/>
                <w:lang w:val="en-GB"/>
              </w:rPr>
              <w:t xml:space="preserve">The average wages grew the most in </w:t>
            </w:r>
            <w:r w:rsidRPr="00882EC3">
              <w:rPr>
                <w:bCs/>
                <w:szCs w:val="20"/>
                <w:lang w:val="en-GB"/>
              </w:rPr>
              <w:t>Karlovarsk</w:t>
            </w:r>
            <w:r>
              <w:rPr>
                <w:bCs/>
                <w:szCs w:val="20"/>
                <w:lang w:val="en-GB"/>
              </w:rPr>
              <w:t xml:space="preserve">y, Liberecky and Kralovehradecky regions </w:t>
            </w:r>
            <w:r w:rsidRPr="00882EC3">
              <w:rPr>
                <w:bCs/>
                <w:szCs w:val="20"/>
                <w:lang w:val="en-GB"/>
              </w:rPr>
              <w:t>(</w:t>
            </w:r>
            <w:r>
              <w:rPr>
                <w:bCs/>
                <w:szCs w:val="20"/>
                <w:lang w:val="en-GB"/>
              </w:rPr>
              <w:t xml:space="preserve">always slightly above </w:t>
            </w:r>
            <w:r w:rsidRPr="00882EC3">
              <w:rPr>
                <w:bCs/>
                <w:szCs w:val="20"/>
                <w:lang w:val="en-GB"/>
              </w:rPr>
              <w:t>14%),</w:t>
            </w:r>
            <w:r>
              <w:rPr>
                <w:bCs/>
                <w:szCs w:val="20"/>
                <w:lang w:val="en-GB"/>
              </w:rPr>
              <w:t xml:space="preserve"> the least then in Prague </w:t>
            </w:r>
            <w:r w:rsidRPr="00882EC3">
              <w:rPr>
                <w:bCs/>
                <w:szCs w:val="20"/>
                <w:lang w:val="en-GB"/>
              </w:rPr>
              <w:t>(8</w:t>
            </w:r>
            <w:r>
              <w:rPr>
                <w:bCs/>
                <w:szCs w:val="20"/>
                <w:lang w:val="en-GB"/>
              </w:rPr>
              <w:t>.</w:t>
            </w:r>
            <w:r w:rsidRPr="00882EC3">
              <w:rPr>
                <w:bCs/>
                <w:szCs w:val="20"/>
                <w:lang w:val="en-GB"/>
              </w:rPr>
              <w:t>0%)</w:t>
            </w:r>
            <w:r>
              <w:rPr>
                <w:bCs/>
                <w:szCs w:val="20"/>
                <w:lang w:val="en-GB"/>
              </w:rPr>
              <w:t xml:space="preserve"> and central Bohemia </w:t>
            </w:r>
            <w:r w:rsidRPr="00882EC3">
              <w:rPr>
                <w:bCs/>
                <w:szCs w:val="20"/>
                <w:lang w:val="en-GB"/>
              </w:rPr>
              <w:t>(9</w:t>
            </w:r>
            <w:r>
              <w:rPr>
                <w:bCs/>
                <w:szCs w:val="20"/>
                <w:lang w:val="en-GB"/>
              </w:rPr>
              <w:t>.</w:t>
            </w:r>
            <w:r w:rsidRPr="00882EC3">
              <w:rPr>
                <w:bCs/>
                <w:szCs w:val="20"/>
                <w:lang w:val="en-GB"/>
              </w:rPr>
              <w:t>6%)</w:t>
            </w:r>
            <w:r>
              <w:rPr>
                <w:bCs/>
                <w:szCs w:val="20"/>
                <w:lang w:val="en-GB"/>
              </w:rPr>
              <w:t xml:space="preserve"> year-on-year in Q2</w:t>
            </w:r>
            <w:r w:rsidRPr="00882EC3">
              <w:rPr>
                <w:bCs/>
                <w:szCs w:val="20"/>
                <w:lang w:val="en-GB"/>
              </w:rPr>
              <w:t>,</w:t>
            </w:r>
            <w:r>
              <w:rPr>
                <w:bCs/>
                <w:szCs w:val="20"/>
                <w:lang w:val="en-GB"/>
              </w:rPr>
              <w:t xml:space="preserve"> i.e. in regions, which simultaneously experienced the relative highest increase of employees for the same time period. </w:t>
            </w:r>
            <w:r>
              <w:rPr>
                <w:bCs/>
                <w:szCs w:val="20"/>
                <w:lang w:val="en-US"/>
              </w:rPr>
              <w:t xml:space="preserve">Lower relative wage growth in Prague </w:t>
            </w:r>
            <w:r w:rsidRPr="006A5D24">
              <w:rPr>
                <w:bCs/>
                <w:szCs w:val="20"/>
                <w:lang w:val="en-GB"/>
              </w:rPr>
              <w:t>offset by higher creation of job positions was also typical in the boom period before the pandemics. Larger regional</w:t>
            </w:r>
            <w:r>
              <w:rPr>
                <w:bCs/>
                <w:szCs w:val="20"/>
                <w:lang w:val="en-GB"/>
              </w:rPr>
              <w:t xml:space="preserve"> inequalities </w:t>
            </w:r>
            <w:r w:rsidRPr="006A5D24">
              <w:rPr>
                <w:bCs/>
                <w:szCs w:val="20"/>
                <w:lang w:val="en-GB"/>
              </w:rPr>
              <w:t>in the w</w:t>
            </w:r>
            <w:r>
              <w:rPr>
                <w:bCs/>
                <w:szCs w:val="20"/>
                <w:lang w:val="en-GB"/>
              </w:rPr>
              <w:t>a</w:t>
            </w:r>
            <w:r w:rsidRPr="006A5D24">
              <w:rPr>
                <w:bCs/>
                <w:szCs w:val="20"/>
                <w:lang w:val="en-GB"/>
              </w:rPr>
              <w:t xml:space="preserve">ge rates of growth could have been affected </w:t>
            </w:r>
            <w:r>
              <w:rPr>
                <w:bCs/>
                <w:szCs w:val="20"/>
                <w:lang w:val="en-GB"/>
              </w:rPr>
              <w:t>by the layout of the health facilities (payment of extraordinary bonuses</w:t>
            </w:r>
            <w:r w:rsidRPr="006A5D24">
              <w:rPr>
                <w:bCs/>
                <w:szCs w:val="20"/>
                <w:lang w:val="en-GB"/>
              </w:rPr>
              <w:t>) this year,</w:t>
            </w:r>
            <w:r>
              <w:rPr>
                <w:bCs/>
                <w:szCs w:val="20"/>
                <w:lang w:val="en-GB"/>
              </w:rPr>
              <w:t xml:space="preserve"> variations in the employment dynamics and then by the representation of mining industry and associated fields of activity as well, which is </w:t>
            </w:r>
            <w:r>
              <w:rPr>
                <w:bCs/>
                <w:szCs w:val="20"/>
                <w:lang w:val="en-GB"/>
              </w:rPr>
              <w:lastRenderedPageBreak/>
              <w:t xml:space="preserve">signalled by the fact, that the number of employees decreased compared to Q2 </w:t>
            </w:r>
            <w:r w:rsidRPr="006A5D24">
              <w:rPr>
                <w:bCs/>
                <w:szCs w:val="20"/>
                <w:lang w:val="en-GB"/>
              </w:rPr>
              <w:t>2020</w:t>
            </w:r>
            <w:r>
              <w:rPr>
                <w:bCs/>
                <w:szCs w:val="20"/>
                <w:lang w:val="en-GB"/>
              </w:rPr>
              <w:t xml:space="preserve"> only in Karlovarsky, Ustecky and Moravian-Silesian regions. </w:t>
            </w:r>
          </w:p>
        </w:tc>
      </w:tr>
      <w:tr w:rsidR="009732DF" w:rsidRPr="00191C35" w14:paraId="71F67E17" w14:textId="77777777" w:rsidTr="001144FB">
        <w:trPr>
          <w:trHeight w:val="145"/>
        </w:trPr>
        <w:tc>
          <w:tcPr>
            <w:tcW w:w="1792" w:type="dxa"/>
            <w:shd w:val="clear" w:color="auto" w:fill="auto"/>
            <w:tcMar>
              <w:left w:w="0" w:type="dxa"/>
            </w:tcMar>
          </w:tcPr>
          <w:p w14:paraId="352389F5" w14:textId="77777777" w:rsidR="009732DF" w:rsidRDefault="009732DF" w:rsidP="001144FB">
            <w:pPr>
              <w:pStyle w:val="Marginlie"/>
              <w:spacing w:after="120"/>
            </w:pPr>
          </w:p>
        </w:tc>
        <w:tc>
          <w:tcPr>
            <w:tcW w:w="216" w:type="dxa"/>
            <w:shd w:val="clear" w:color="auto" w:fill="auto"/>
            <w:tcMar>
              <w:left w:w="0" w:type="dxa"/>
            </w:tcMar>
          </w:tcPr>
          <w:p w14:paraId="2F70540C"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03551440" w14:textId="77777777" w:rsidR="009732DF" w:rsidRPr="00716203" w:rsidRDefault="009732DF" w:rsidP="001144FB">
            <w:pPr>
              <w:spacing w:after="0"/>
              <w:rPr>
                <w:spacing w:val="-4"/>
              </w:rPr>
            </w:pPr>
            <w:r>
              <w:rPr>
                <w:b/>
                <w:spacing w:val="-4"/>
              </w:rPr>
              <w:t>Chart 14</w:t>
            </w:r>
            <w:r w:rsidRPr="003E01D3">
              <w:rPr>
                <w:b/>
                <w:spacing w:val="-4"/>
              </w:rPr>
              <w:t xml:space="preserve">  </w:t>
            </w:r>
            <w:r w:rsidRPr="002D7496">
              <w:rPr>
                <w:b/>
                <w:spacing w:val="-2"/>
                <w:lang w:val="en-GB"/>
              </w:rPr>
              <w:t>Average nominal and real wage</w:t>
            </w:r>
            <w:r>
              <w:rPr>
                <w:b/>
                <w:spacing w:val="-2"/>
                <w:lang w:val="en-GB"/>
              </w:rPr>
              <w:t xml:space="preserve"> and wage median </w:t>
            </w:r>
            <w:r w:rsidRPr="002D7496">
              <w:rPr>
                <w:spacing w:val="-2"/>
                <w:lang w:val="en-GB"/>
              </w:rPr>
              <w:t>(year-on-year, in %)</w:t>
            </w:r>
          </w:p>
        </w:tc>
      </w:tr>
      <w:tr w:rsidR="009732DF" w:rsidRPr="00191C35" w14:paraId="6F884CF4" w14:textId="77777777" w:rsidTr="001144FB">
        <w:tblPrEx>
          <w:tblCellMar>
            <w:left w:w="70" w:type="dxa"/>
            <w:right w:w="70" w:type="dxa"/>
          </w:tblCellMar>
        </w:tblPrEx>
        <w:trPr>
          <w:trHeight w:val="145"/>
        </w:trPr>
        <w:tc>
          <w:tcPr>
            <w:tcW w:w="1792" w:type="dxa"/>
            <w:shd w:val="clear" w:color="auto" w:fill="auto"/>
          </w:tcPr>
          <w:p w14:paraId="185023F5" w14:textId="77777777" w:rsidR="009732DF" w:rsidRDefault="009732DF" w:rsidP="001144FB">
            <w:pPr>
              <w:pStyle w:val="Marginlie"/>
              <w:spacing w:after="120"/>
            </w:pPr>
          </w:p>
        </w:tc>
        <w:tc>
          <w:tcPr>
            <w:tcW w:w="216" w:type="dxa"/>
            <w:shd w:val="clear" w:color="auto" w:fill="auto"/>
          </w:tcPr>
          <w:p w14:paraId="55803243" w14:textId="77777777" w:rsidR="009732DF" w:rsidRPr="00B43216" w:rsidRDefault="009732DF" w:rsidP="001144FB">
            <w:pPr>
              <w:pStyle w:val="Textpoznpodarou"/>
              <w:spacing w:after="120"/>
              <w:jc w:val="both"/>
              <w:rPr>
                <w:spacing w:val="-4"/>
              </w:rPr>
            </w:pPr>
          </w:p>
        </w:tc>
        <w:tc>
          <w:tcPr>
            <w:tcW w:w="7656" w:type="dxa"/>
            <w:shd w:val="clear" w:color="auto" w:fill="auto"/>
          </w:tcPr>
          <w:p w14:paraId="32152063" w14:textId="77777777" w:rsidR="009732DF" w:rsidRPr="003E01D3" w:rsidRDefault="009732DF" w:rsidP="001144FB">
            <w:pPr>
              <w:spacing w:after="0"/>
              <w:rPr>
                <w:b/>
                <w:spacing w:val="-4"/>
              </w:rPr>
            </w:pPr>
            <w:r>
              <w:rPr>
                <w:noProof/>
              </w:rPr>
              <w:drawing>
                <wp:inline distT="0" distB="0" distL="0" distR="0" wp14:anchorId="59AC02C3" wp14:editId="36F2DC7D">
                  <wp:extent cx="4737600" cy="3566100"/>
                  <wp:effectExtent l="0" t="0" r="635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732DF" w:rsidRPr="00191C35" w14:paraId="05FF305A" w14:textId="77777777" w:rsidTr="001144FB">
        <w:trPr>
          <w:trHeight w:val="145"/>
        </w:trPr>
        <w:tc>
          <w:tcPr>
            <w:tcW w:w="1792" w:type="dxa"/>
            <w:shd w:val="clear" w:color="auto" w:fill="auto"/>
            <w:tcMar>
              <w:left w:w="0" w:type="dxa"/>
            </w:tcMar>
          </w:tcPr>
          <w:p w14:paraId="5AFD286C" w14:textId="77777777" w:rsidR="009732DF" w:rsidRDefault="009732DF" w:rsidP="001144FB">
            <w:pPr>
              <w:pStyle w:val="Marginlie"/>
              <w:spacing w:after="120"/>
            </w:pPr>
          </w:p>
        </w:tc>
        <w:tc>
          <w:tcPr>
            <w:tcW w:w="216" w:type="dxa"/>
            <w:shd w:val="clear" w:color="auto" w:fill="auto"/>
            <w:tcMar>
              <w:left w:w="0" w:type="dxa"/>
            </w:tcMar>
          </w:tcPr>
          <w:p w14:paraId="3D0493C5"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73A5D2EA" w14:textId="77777777" w:rsidR="009732DF" w:rsidRDefault="009732DF" w:rsidP="001144FB">
            <w:pPr>
              <w:tabs>
                <w:tab w:val="right" w:pos="7683"/>
              </w:tabs>
              <w:spacing w:after="0"/>
              <w:rPr>
                <w:bCs/>
                <w:sz w:val="14"/>
                <w:szCs w:val="14"/>
              </w:rPr>
            </w:pPr>
            <w:r w:rsidRPr="00F6560A">
              <w:rPr>
                <w:bCs/>
                <w:sz w:val="14"/>
                <w:szCs w:val="14"/>
              </w:rPr>
              <w:t>*</w:t>
            </w:r>
            <w:r>
              <w:rPr>
                <w:spacing w:val="-3"/>
                <w:sz w:val="14"/>
                <w:szCs w:val="14"/>
              </w:rPr>
              <w:t>*</w:t>
            </w:r>
            <w:r w:rsidRPr="00AB5C0C">
              <w:rPr>
                <w:rFonts w:cs="Arial"/>
                <w:spacing w:val="-3"/>
                <w:sz w:val="14"/>
                <w:szCs w:val="14"/>
              </w:rPr>
              <w:t xml:space="preserve"> </w:t>
            </w:r>
            <w:r w:rsidRPr="002D7496">
              <w:rPr>
                <w:rFonts w:cs="Arial"/>
                <w:spacing w:val="-3"/>
                <w:sz w:val="14"/>
                <w:szCs w:val="14"/>
                <w:lang w:val="en-GB"/>
              </w:rPr>
              <w:t>Includes branches</w:t>
            </w:r>
            <w:r>
              <w:rPr>
                <w:rFonts w:cs="Arial"/>
                <w:spacing w:val="-3"/>
                <w:sz w:val="14"/>
                <w:szCs w:val="14"/>
                <w:lang w:val="en-GB"/>
              </w:rPr>
              <w:t xml:space="preserve"> with a significant state involvement</w:t>
            </w:r>
            <w:r w:rsidRPr="002D7496">
              <w:rPr>
                <w:rFonts w:cs="Arial"/>
                <w:spacing w:val="-3"/>
                <w:sz w:val="14"/>
                <w:szCs w:val="14"/>
                <w:lang w:val="en-GB"/>
              </w:rPr>
              <w:t>: Public administration, defence, social security; Education Hu</w:t>
            </w:r>
            <w:r>
              <w:rPr>
                <w:rFonts w:cs="Arial"/>
                <w:spacing w:val="-3"/>
                <w:sz w:val="14"/>
                <w:szCs w:val="14"/>
                <w:lang w:val="en-GB"/>
              </w:rPr>
              <w:t>m</w:t>
            </w:r>
            <w:r w:rsidRPr="002D7496">
              <w:rPr>
                <w:rFonts w:cs="Arial"/>
                <w:spacing w:val="-3"/>
                <w:sz w:val="14"/>
                <w:szCs w:val="14"/>
                <w:lang w:val="en-GB"/>
              </w:rPr>
              <w:t>an health and social work activities</w:t>
            </w:r>
            <w:r>
              <w:rPr>
                <w:rFonts w:cs="Arial"/>
                <w:spacing w:val="-3"/>
                <w:sz w:val="14"/>
                <w:szCs w:val="14"/>
                <w:lang w:val="en-GB"/>
              </w:rPr>
              <w:t>; Cultural, amusement and recreational activities</w:t>
            </w:r>
            <w:r>
              <w:rPr>
                <w:bCs/>
                <w:sz w:val="14"/>
                <w:szCs w:val="14"/>
              </w:rPr>
              <w:t xml:space="preserve"> (NACE O, P, Q, ,R)</w:t>
            </w:r>
          </w:p>
          <w:p w14:paraId="3B995FDB" w14:textId="77777777" w:rsidR="009732DF" w:rsidRPr="00BF1F3E" w:rsidRDefault="009732DF" w:rsidP="001144FB">
            <w:pPr>
              <w:tabs>
                <w:tab w:val="right" w:pos="7683"/>
              </w:tabs>
              <w:rPr>
                <w:rFonts w:cs="Arial"/>
                <w:color w:val="0D0D0D" w:themeColor="text1" w:themeTint="F2"/>
                <w:spacing w:val="-2"/>
                <w:sz w:val="14"/>
                <w:szCs w:val="14"/>
              </w:rPr>
            </w:pPr>
            <w:r>
              <w:rPr>
                <w:bCs/>
                <w:sz w:val="14"/>
                <w:szCs w:val="14"/>
              </w:rPr>
              <w:t>Source</w:t>
            </w:r>
            <w:r w:rsidRPr="00F6560A">
              <w:rPr>
                <w:rFonts w:cs="Arial"/>
                <w:color w:val="0D0D0D" w:themeColor="text1" w:themeTint="F2"/>
                <w:spacing w:val="-2"/>
                <w:sz w:val="14"/>
                <w:szCs w:val="14"/>
              </w:rPr>
              <w:t>:</w:t>
            </w:r>
            <w:r>
              <w:rPr>
                <w:rFonts w:cs="Arial"/>
                <w:color w:val="0D0D0D" w:themeColor="text1" w:themeTint="F2"/>
                <w:spacing w:val="-2"/>
                <w:sz w:val="14"/>
                <w:szCs w:val="14"/>
              </w:rPr>
              <w:t xml:space="preserve"> CZSO</w:t>
            </w:r>
          </w:p>
        </w:tc>
      </w:tr>
      <w:tr w:rsidR="009732DF" w:rsidRPr="00376E4D" w14:paraId="6D6A1990" w14:textId="77777777" w:rsidTr="001144FB">
        <w:trPr>
          <w:trHeight w:val="145"/>
        </w:trPr>
        <w:tc>
          <w:tcPr>
            <w:tcW w:w="1792" w:type="dxa"/>
            <w:shd w:val="clear" w:color="auto" w:fill="auto"/>
            <w:tcMar>
              <w:left w:w="0" w:type="dxa"/>
            </w:tcMar>
          </w:tcPr>
          <w:p w14:paraId="29EE8D5E" w14:textId="77777777" w:rsidR="009732DF" w:rsidRPr="00882EC3" w:rsidRDefault="009732DF" w:rsidP="001144FB">
            <w:pPr>
              <w:pStyle w:val="Marginlie"/>
              <w:spacing w:after="120"/>
              <w:rPr>
                <w:lang w:val="en-GB"/>
              </w:rPr>
            </w:pPr>
            <w:r>
              <w:rPr>
                <w:lang w:val="en-GB"/>
              </w:rPr>
              <w:t xml:space="preserve">Wages of females continued rising faster than wages of males. </w:t>
            </w:r>
          </w:p>
        </w:tc>
        <w:tc>
          <w:tcPr>
            <w:tcW w:w="216" w:type="dxa"/>
            <w:shd w:val="clear" w:color="auto" w:fill="auto"/>
            <w:tcMar>
              <w:left w:w="0" w:type="dxa"/>
            </w:tcMar>
          </w:tcPr>
          <w:p w14:paraId="3FB20A1E" w14:textId="77777777" w:rsidR="009732DF" w:rsidRPr="00882EC3" w:rsidRDefault="009732DF" w:rsidP="001144FB">
            <w:pPr>
              <w:pStyle w:val="Textpoznpodarou"/>
              <w:spacing w:after="120"/>
              <w:jc w:val="both"/>
              <w:rPr>
                <w:spacing w:val="-4"/>
                <w:lang w:val="en-GB"/>
              </w:rPr>
            </w:pPr>
          </w:p>
        </w:tc>
        <w:tc>
          <w:tcPr>
            <w:tcW w:w="7656" w:type="dxa"/>
            <w:shd w:val="clear" w:color="auto" w:fill="auto"/>
            <w:tcMar>
              <w:left w:w="0" w:type="dxa"/>
            </w:tcMar>
          </w:tcPr>
          <w:p w14:paraId="2C3AF8DE" w14:textId="77777777" w:rsidR="009732DF" w:rsidRPr="00882EC3" w:rsidRDefault="009732DF" w:rsidP="001144FB">
            <w:pPr>
              <w:tabs>
                <w:tab w:val="right" w:pos="7683"/>
              </w:tabs>
              <w:spacing w:after="0"/>
              <w:rPr>
                <w:bCs/>
                <w:szCs w:val="20"/>
                <w:lang w:val="en-GB"/>
              </w:rPr>
            </w:pPr>
            <w:r>
              <w:rPr>
                <w:bCs/>
                <w:szCs w:val="20"/>
                <w:lang w:val="en-GB"/>
              </w:rPr>
              <w:t xml:space="preserve">Wage median comprised of </w:t>
            </w:r>
            <w:r w:rsidRPr="00882EC3">
              <w:rPr>
                <w:bCs/>
                <w:szCs w:val="20"/>
                <w:lang w:val="en-GB"/>
              </w:rPr>
              <w:t>34</w:t>
            </w:r>
            <w:r>
              <w:rPr>
                <w:bCs/>
                <w:szCs w:val="20"/>
                <w:lang w:val="en-GB"/>
              </w:rPr>
              <w:t>.</w:t>
            </w:r>
            <w:r w:rsidRPr="00882EC3">
              <w:rPr>
                <w:bCs/>
                <w:szCs w:val="20"/>
                <w:lang w:val="en-GB"/>
              </w:rPr>
              <w:t>5 </w:t>
            </w:r>
            <w:r>
              <w:rPr>
                <w:bCs/>
                <w:szCs w:val="20"/>
                <w:lang w:val="en-GB"/>
              </w:rPr>
              <w:t>CZK thousand for males</w:t>
            </w:r>
            <w:r w:rsidRPr="00882EC3">
              <w:rPr>
                <w:bCs/>
                <w:szCs w:val="20"/>
                <w:lang w:val="en-GB"/>
              </w:rPr>
              <w:t>, 30</w:t>
            </w:r>
            <w:r>
              <w:rPr>
                <w:bCs/>
                <w:szCs w:val="20"/>
                <w:lang w:val="en-GB"/>
              </w:rPr>
              <w:t>.</w:t>
            </w:r>
            <w:r w:rsidRPr="00882EC3">
              <w:rPr>
                <w:bCs/>
                <w:szCs w:val="20"/>
                <w:lang w:val="en-GB"/>
              </w:rPr>
              <w:t>0</w:t>
            </w:r>
            <w:r>
              <w:rPr>
                <w:bCs/>
                <w:szCs w:val="20"/>
                <w:lang w:val="en-GB"/>
              </w:rPr>
              <w:t xml:space="preserve"> CZK thousand for females in Q2</w:t>
            </w:r>
            <w:r w:rsidRPr="00882EC3">
              <w:rPr>
                <w:bCs/>
                <w:szCs w:val="20"/>
                <w:lang w:val="en-GB"/>
              </w:rPr>
              <w:t xml:space="preserve">. </w:t>
            </w:r>
            <w:r>
              <w:rPr>
                <w:bCs/>
                <w:szCs w:val="20"/>
                <w:lang w:val="en-GB"/>
              </w:rPr>
              <w:t xml:space="preserve">Earnings of females were strengthening more year-on-year </w:t>
            </w:r>
            <w:r w:rsidRPr="00882EC3">
              <w:rPr>
                <w:bCs/>
                <w:szCs w:val="20"/>
                <w:lang w:val="en-GB"/>
              </w:rPr>
              <w:t>(13</w:t>
            </w:r>
            <w:r>
              <w:rPr>
                <w:bCs/>
                <w:szCs w:val="20"/>
                <w:lang w:val="en-GB"/>
              </w:rPr>
              <w:t>.</w:t>
            </w:r>
            <w:r w:rsidRPr="00882EC3">
              <w:rPr>
                <w:bCs/>
                <w:szCs w:val="20"/>
                <w:lang w:val="en-GB"/>
              </w:rPr>
              <w:t>2%)</w:t>
            </w:r>
            <w:r>
              <w:rPr>
                <w:bCs/>
                <w:szCs w:val="20"/>
                <w:lang w:val="en-GB"/>
              </w:rPr>
              <w:t xml:space="preserve"> than earnings of males </w:t>
            </w:r>
            <w:r w:rsidRPr="00882EC3">
              <w:rPr>
                <w:bCs/>
                <w:szCs w:val="20"/>
                <w:lang w:val="en-GB"/>
              </w:rPr>
              <w:t>(10</w:t>
            </w:r>
            <w:r>
              <w:rPr>
                <w:bCs/>
                <w:szCs w:val="20"/>
                <w:lang w:val="en-GB"/>
              </w:rPr>
              <w:t>.</w:t>
            </w:r>
            <w:r w:rsidRPr="00882EC3">
              <w:rPr>
                <w:bCs/>
                <w:szCs w:val="20"/>
                <w:lang w:val="en-GB"/>
              </w:rPr>
              <w:t>1%),</w:t>
            </w:r>
            <w:r>
              <w:rPr>
                <w:bCs/>
                <w:szCs w:val="20"/>
                <w:lang w:val="en-GB"/>
              </w:rPr>
              <w:t xml:space="preserve"> mainly due to the fast growth in the area of education, health and social care. Earnings of high income employees grew relatively faster than incomes of low income employees similarly to the preceding two quarters. Total wage differentiation thus somewhat further deepened. </w:t>
            </w:r>
          </w:p>
        </w:tc>
      </w:tr>
    </w:tbl>
    <w:p w14:paraId="188A10F3" w14:textId="77777777" w:rsidR="009732DF" w:rsidRPr="000F45E7" w:rsidRDefault="009732DF" w:rsidP="009732DF">
      <w:pPr>
        <w:pStyle w:val="Nadpis11"/>
        <w:spacing w:after="0"/>
        <w:rPr>
          <w:b w:val="0"/>
          <w:sz w:val="2"/>
          <w:szCs w:val="2"/>
        </w:rPr>
      </w:pPr>
      <w:bookmarkStart w:id="4" w:name="_GoBack"/>
      <w:bookmarkEnd w:id="4"/>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254D60">
      <w:headerReference w:type="even" r:id="rId12"/>
      <w:headerReference w:type="default" r:id="rId13"/>
      <w:footerReference w:type="even" r:id="rId14"/>
      <w:footerReference w:type="default" r:id="rId15"/>
      <w:pgSz w:w="11906" w:h="16838" w:code="9"/>
      <w:pgMar w:top="1134" w:right="1134" w:bottom="1418" w:left="1134" w:header="680" w:footer="73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B321" w14:textId="77777777" w:rsidR="00405241" w:rsidRDefault="00405241" w:rsidP="00E71A58">
      <w:r>
        <w:separator/>
      </w:r>
    </w:p>
  </w:endnote>
  <w:endnote w:type="continuationSeparator" w:id="0">
    <w:p w14:paraId="33F2E92C" w14:textId="77777777" w:rsidR="00405241" w:rsidRDefault="0040524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93A6298"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54D60">
      <w:rPr>
        <w:szCs w:val="16"/>
      </w:rPr>
      <w:t>28</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99EBEE4"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254D60">
      <w:rPr>
        <w:rStyle w:val="ZpatChar"/>
        <w:szCs w:val="16"/>
      </w:rPr>
      <w:t>27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4886" w14:textId="77777777" w:rsidR="00405241" w:rsidRDefault="00405241" w:rsidP="00A21B4D">
      <w:pPr>
        <w:spacing w:after="0"/>
      </w:pPr>
      <w:r>
        <w:separator/>
      </w:r>
    </w:p>
  </w:footnote>
  <w:footnote w:type="continuationSeparator" w:id="0">
    <w:p w14:paraId="77AED5E5" w14:textId="77777777" w:rsidR="00405241" w:rsidRDefault="00405241" w:rsidP="00E71A58">
      <w:r>
        <w:continuationSeparator/>
      </w:r>
    </w:p>
  </w:footnote>
  <w:footnote w:id="1">
    <w:p w14:paraId="1E018599" w14:textId="77777777" w:rsidR="009732DF" w:rsidRPr="00A25E62" w:rsidRDefault="009732DF" w:rsidP="009732DF">
      <w:pPr>
        <w:pStyle w:val="Textpoznpodarou"/>
        <w:jc w:val="both"/>
        <w:rPr>
          <w:spacing w:val="-2"/>
          <w:sz w:val="16"/>
          <w:szCs w:val="16"/>
          <w:lang w:val="en-GB"/>
        </w:rPr>
      </w:pPr>
      <w:r w:rsidRPr="00A25E62">
        <w:rPr>
          <w:rStyle w:val="Znakapoznpodarou"/>
          <w:spacing w:val="-2"/>
          <w:sz w:val="16"/>
          <w:szCs w:val="16"/>
          <w:lang w:val="en-GB"/>
        </w:rPr>
        <w:footnoteRef/>
      </w:r>
      <w:r w:rsidRPr="00A25E62">
        <w:rPr>
          <w:spacing w:val="-2"/>
          <w:sz w:val="16"/>
          <w:szCs w:val="16"/>
          <w:lang w:val="en-GB"/>
        </w:rPr>
        <w:t xml:space="preserve"> </w:t>
      </w:r>
      <w:r w:rsidRPr="00A25E62">
        <w:rPr>
          <w:spacing w:val="-4"/>
          <w:sz w:val="16"/>
          <w:szCs w:val="16"/>
          <w:lang w:val="en-GB"/>
        </w:rPr>
        <w:t xml:space="preserve">Unless stated otherwise, data regarding employment are given in the national accounts’ conception after adjustment for seasonal effects in this chapter. </w:t>
      </w:r>
    </w:p>
  </w:footnote>
  <w:footnote w:id="2">
    <w:p w14:paraId="3B6EFE6C" w14:textId="77777777" w:rsidR="009732DF" w:rsidRPr="001C0D8B" w:rsidRDefault="009732DF" w:rsidP="009732DF">
      <w:pPr>
        <w:pStyle w:val="Textpoznpodarou"/>
        <w:jc w:val="both"/>
        <w:rPr>
          <w:sz w:val="16"/>
          <w:szCs w:val="16"/>
        </w:rPr>
      </w:pPr>
      <w:r w:rsidRPr="00A25E62">
        <w:rPr>
          <w:rStyle w:val="Znakapoznpodarou"/>
          <w:sz w:val="16"/>
          <w:szCs w:val="16"/>
          <w:lang w:val="en-GB"/>
        </w:rPr>
        <w:footnoteRef/>
      </w:r>
      <w:r w:rsidRPr="00A25E62">
        <w:rPr>
          <w:sz w:val="16"/>
          <w:szCs w:val="16"/>
          <w:lang w:val="en-GB"/>
        </w:rPr>
        <w:t xml:space="preserve"> </w:t>
      </w:r>
      <w:r>
        <w:rPr>
          <w:sz w:val="16"/>
          <w:szCs w:val="16"/>
          <w:lang w:val="en-GB"/>
        </w:rPr>
        <w:t>Compared to the so far record level of employment from Q</w:t>
      </w:r>
      <w:r w:rsidRPr="00A25E62">
        <w:rPr>
          <w:sz w:val="16"/>
          <w:szCs w:val="16"/>
          <w:lang w:val="en-GB"/>
        </w:rPr>
        <w:t>2</w:t>
      </w:r>
      <w:r>
        <w:rPr>
          <w:sz w:val="16"/>
          <w:szCs w:val="16"/>
          <w:lang w:val="en-GB"/>
        </w:rPr>
        <w:t xml:space="preserve"> </w:t>
      </w:r>
      <w:r w:rsidRPr="00A25E62">
        <w:rPr>
          <w:sz w:val="16"/>
          <w:szCs w:val="16"/>
          <w:lang w:val="en-GB"/>
        </w:rPr>
        <w:t>2019 (5</w:t>
      </w:r>
      <w:r>
        <w:rPr>
          <w:sz w:val="16"/>
          <w:szCs w:val="16"/>
          <w:lang w:val="en-GB"/>
        </w:rPr>
        <w:t>.</w:t>
      </w:r>
      <w:r w:rsidRPr="00A25E62">
        <w:rPr>
          <w:sz w:val="16"/>
          <w:szCs w:val="16"/>
          <w:lang w:val="en-GB"/>
        </w:rPr>
        <w:t>45 mil</w:t>
      </w:r>
      <w:r>
        <w:rPr>
          <w:sz w:val="16"/>
          <w:szCs w:val="16"/>
          <w:lang w:val="en-GB"/>
        </w:rPr>
        <w:t xml:space="preserve"> person</w:t>
      </w:r>
      <w:r w:rsidRPr="00A25E62">
        <w:rPr>
          <w:sz w:val="16"/>
          <w:szCs w:val="16"/>
          <w:lang w:val="en-GB"/>
        </w:rPr>
        <w:t xml:space="preserve">) </w:t>
      </w:r>
      <w:r>
        <w:rPr>
          <w:sz w:val="16"/>
          <w:szCs w:val="16"/>
          <w:lang w:val="en-GB"/>
        </w:rPr>
        <w:t xml:space="preserve">it was still by nearly </w:t>
      </w:r>
      <w:r w:rsidRPr="00A25E62">
        <w:rPr>
          <w:sz w:val="16"/>
          <w:szCs w:val="16"/>
          <w:lang w:val="en-GB"/>
        </w:rPr>
        <w:t>2%</w:t>
      </w:r>
      <w:r>
        <w:rPr>
          <w:sz w:val="16"/>
          <w:szCs w:val="16"/>
          <w:lang w:val="en-GB"/>
        </w:rPr>
        <w:t xml:space="preserve"> less. Among the main branches, manufacturing </w:t>
      </w:r>
      <w:r w:rsidRPr="00A25E62">
        <w:rPr>
          <w:sz w:val="16"/>
          <w:szCs w:val="16"/>
          <w:lang w:val="en-GB"/>
        </w:rPr>
        <w:t>(5</w:t>
      </w:r>
      <w:r>
        <w:rPr>
          <w:sz w:val="16"/>
          <w:szCs w:val="16"/>
          <w:lang w:val="en-GB"/>
        </w:rPr>
        <w:t>.</w:t>
      </w:r>
      <w:r w:rsidRPr="00A25E62">
        <w:rPr>
          <w:sz w:val="16"/>
          <w:szCs w:val="16"/>
          <w:lang w:val="en-GB"/>
        </w:rPr>
        <w:t>2%) a</w:t>
      </w:r>
      <w:r>
        <w:rPr>
          <w:sz w:val="16"/>
          <w:szCs w:val="16"/>
          <w:lang w:val="en-GB"/>
        </w:rPr>
        <w:t xml:space="preserve">nd group trade, transportation, accommodation and restaurants </w:t>
      </w:r>
      <w:r w:rsidRPr="00A25E62">
        <w:rPr>
          <w:sz w:val="16"/>
          <w:szCs w:val="16"/>
          <w:lang w:val="en-GB"/>
        </w:rPr>
        <w:t>(6</w:t>
      </w:r>
      <w:r>
        <w:rPr>
          <w:sz w:val="16"/>
          <w:szCs w:val="16"/>
          <w:lang w:val="en-GB"/>
        </w:rPr>
        <w:t>.</w:t>
      </w:r>
      <w:r w:rsidRPr="00A25E62">
        <w:rPr>
          <w:sz w:val="16"/>
          <w:szCs w:val="16"/>
          <w:lang w:val="en-GB"/>
        </w:rPr>
        <w:t>2%)</w:t>
      </w:r>
      <w:r>
        <w:rPr>
          <w:sz w:val="16"/>
          <w:szCs w:val="16"/>
          <w:lang w:val="en-GB"/>
        </w:rPr>
        <w:t xml:space="preserve"> held the deepest two year decrease</w:t>
      </w:r>
      <w:r w:rsidRPr="00A25E62">
        <w:rPr>
          <w:sz w:val="16"/>
          <w:szCs w:val="16"/>
          <w:lang w:val="en-GB"/>
        </w:rPr>
        <w:t xml:space="preserve">. </w:t>
      </w:r>
      <w:r>
        <w:rPr>
          <w:sz w:val="16"/>
          <w:szCs w:val="16"/>
          <w:lang w:val="en-GB"/>
        </w:rPr>
        <w:t xml:space="preserve">On the contrary, the number of workers in information of communication enlarged by more than one tenth compared to the pre pandemic level. </w:t>
      </w:r>
    </w:p>
  </w:footnote>
  <w:footnote w:id="3">
    <w:p w14:paraId="2C2345C9" w14:textId="77777777" w:rsidR="009732DF" w:rsidRPr="003F7645" w:rsidRDefault="009732DF" w:rsidP="009732DF">
      <w:pPr>
        <w:pStyle w:val="Textpoznpodarou"/>
        <w:jc w:val="both"/>
        <w:rPr>
          <w:spacing w:val="-2"/>
          <w:sz w:val="16"/>
          <w:szCs w:val="16"/>
          <w:lang w:val="en-GB"/>
        </w:rPr>
      </w:pPr>
      <w:r w:rsidRPr="003A1DD6">
        <w:rPr>
          <w:rStyle w:val="Znakapoznpodarou"/>
          <w:spacing w:val="-2"/>
          <w:sz w:val="16"/>
          <w:szCs w:val="16"/>
        </w:rPr>
        <w:footnoteRef/>
      </w:r>
      <w:r w:rsidRPr="003A1DD6">
        <w:rPr>
          <w:spacing w:val="-2"/>
          <w:sz w:val="16"/>
          <w:szCs w:val="16"/>
        </w:rPr>
        <w:t xml:space="preserve"> </w:t>
      </w:r>
      <w:r w:rsidRPr="003F7645">
        <w:rPr>
          <w:spacing w:val="-2"/>
          <w:sz w:val="16"/>
          <w:szCs w:val="16"/>
          <w:lang w:val="en-GB"/>
        </w:rPr>
        <w:t>The average weekly number of hours worked in the main employment was</w:t>
      </w:r>
      <w:r>
        <w:rPr>
          <w:spacing w:val="-2"/>
          <w:sz w:val="16"/>
          <w:szCs w:val="16"/>
          <w:lang w:val="en-GB"/>
        </w:rPr>
        <w:t xml:space="preserve"> similarly for both entrepreneurs and employees by 1% higher according to the data of the Labour Force Sample Survey this year in June</w:t>
      </w:r>
      <w:r w:rsidRPr="003F7645">
        <w:rPr>
          <w:spacing w:val="-2"/>
          <w:sz w:val="16"/>
          <w:szCs w:val="16"/>
          <w:lang w:val="en-GB"/>
        </w:rPr>
        <w:t xml:space="preserve">, however compared to June 2019, entrepreneurs worked by 5% less, while for employees the time spent in the main employment remained practically unchanged. </w:t>
      </w:r>
    </w:p>
  </w:footnote>
  <w:footnote w:id="4">
    <w:p w14:paraId="6038ED9C" w14:textId="77777777" w:rsidR="009732DF" w:rsidRPr="00512510" w:rsidRDefault="009732DF" w:rsidP="009732DF">
      <w:pPr>
        <w:pStyle w:val="Textpoznpodarou"/>
        <w:jc w:val="both"/>
        <w:rPr>
          <w:spacing w:val="-2"/>
          <w:sz w:val="16"/>
          <w:szCs w:val="16"/>
          <w:lang w:val="en-US"/>
        </w:rPr>
      </w:pPr>
      <w:r w:rsidRPr="003F7645">
        <w:rPr>
          <w:rStyle w:val="Znakapoznpodarou"/>
          <w:spacing w:val="-2"/>
          <w:sz w:val="16"/>
          <w:szCs w:val="16"/>
          <w:lang w:val="en-GB"/>
        </w:rPr>
        <w:footnoteRef/>
      </w:r>
      <w:r w:rsidRPr="003F7645">
        <w:rPr>
          <w:spacing w:val="-2"/>
          <w:sz w:val="16"/>
          <w:szCs w:val="16"/>
          <w:lang w:val="en-GB"/>
        </w:rPr>
        <w:t xml:space="preserve"> </w:t>
      </w:r>
      <w:r w:rsidRPr="00512510">
        <w:rPr>
          <w:spacing w:val="-2"/>
          <w:sz w:val="16"/>
          <w:szCs w:val="16"/>
          <w:lang w:val="en-US"/>
        </w:rPr>
        <w:t>Number of registered workers from Ukraine thus increased from 133.1 thousand to 191.6 thousand, mainly thank</w:t>
      </w:r>
      <w:r>
        <w:rPr>
          <w:spacing w:val="-2"/>
          <w:sz w:val="16"/>
          <w:szCs w:val="16"/>
          <w:lang w:val="en-US"/>
        </w:rPr>
        <w:t>s</w:t>
      </w:r>
      <w:r w:rsidRPr="00512510">
        <w:rPr>
          <w:spacing w:val="-2"/>
          <w:sz w:val="16"/>
          <w:szCs w:val="16"/>
          <w:lang w:val="en-US"/>
        </w:rPr>
        <w:t xml:space="preserve"> to higher number of persons with the work permit (+43.7 thousand) a</w:t>
      </w:r>
      <w:r>
        <w:rPr>
          <w:spacing w:val="-2"/>
          <w:sz w:val="16"/>
          <w:szCs w:val="16"/>
          <w:lang w:val="en-US"/>
        </w:rPr>
        <w:t xml:space="preserve">nd holders of the employee cards </w:t>
      </w:r>
      <w:r w:rsidRPr="00512510">
        <w:rPr>
          <w:spacing w:val="-2"/>
          <w:sz w:val="16"/>
          <w:szCs w:val="16"/>
          <w:lang w:val="en-US"/>
        </w:rPr>
        <w:t>(+10</w:t>
      </w:r>
      <w:r>
        <w:rPr>
          <w:spacing w:val="-2"/>
          <w:sz w:val="16"/>
          <w:szCs w:val="16"/>
          <w:lang w:val="en-US"/>
        </w:rPr>
        <w:t>.</w:t>
      </w:r>
      <w:r w:rsidRPr="00512510">
        <w:rPr>
          <w:spacing w:val="-2"/>
          <w:sz w:val="16"/>
          <w:szCs w:val="16"/>
          <w:lang w:val="en-US"/>
        </w:rPr>
        <w:t>7 t</w:t>
      </w:r>
      <w:r>
        <w:rPr>
          <w:spacing w:val="-2"/>
          <w:sz w:val="16"/>
          <w:szCs w:val="16"/>
          <w:lang w:val="en-US"/>
        </w:rPr>
        <w:t>housand</w:t>
      </w:r>
      <w:r w:rsidRPr="00512510">
        <w:rPr>
          <w:spacing w:val="-2"/>
          <w:sz w:val="16"/>
          <w:szCs w:val="16"/>
          <w:lang w:val="en-US"/>
        </w:rPr>
        <w:t xml:space="preserve">). </w:t>
      </w:r>
      <w:r>
        <w:rPr>
          <w:spacing w:val="-2"/>
          <w:sz w:val="16"/>
          <w:szCs w:val="16"/>
          <w:lang w:val="en-US"/>
        </w:rPr>
        <w:t xml:space="preserve">However, Slovakians remain the most significant employee group of foreigners in the CR </w:t>
      </w:r>
      <w:r w:rsidRPr="00512510">
        <w:rPr>
          <w:spacing w:val="-2"/>
          <w:sz w:val="16"/>
          <w:szCs w:val="16"/>
          <w:lang w:val="en-US"/>
        </w:rPr>
        <w:t>(204</w:t>
      </w:r>
      <w:r>
        <w:rPr>
          <w:spacing w:val="-2"/>
          <w:sz w:val="16"/>
          <w:szCs w:val="16"/>
          <w:lang w:val="en-US"/>
        </w:rPr>
        <w:t>.</w:t>
      </w:r>
      <w:r w:rsidRPr="00512510">
        <w:rPr>
          <w:spacing w:val="-2"/>
          <w:sz w:val="16"/>
          <w:szCs w:val="16"/>
          <w:lang w:val="en-US"/>
        </w:rPr>
        <w:t>5 t</w:t>
      </w:r>
      <w:r>
        <w:rPr>
          <w:spacing w:val="-2"/>
          <w:sz w:val="16"/>
          <w:szCs w:val="16"/>
          <w:lang w:val="en-US"/>
        </w:rPr>
        <w:t>housand</w:t>
      </w:r>
      <w:r w:rsidRPr="00512510">
        <w:rPr>
          <w:spacing w:val="-2"/>
          <w:sz w:val="16"/>
          <w:szCs w:val="16"/>
          <w:lang w:val="en-US"/>
        </w:rPr>
        <w:t xml:space="preserve">), </w:t>
      </w:r>
      <w:r>
        <w:rPr>
          <w:spacing w:val="-2"/>
          <w:sz w:val="16"/>
          <w:szCs w:val="16"/>
          <w:lang w:val="en-US"/>
        </w:rPr>
        <w:t>despite the fact, that their number expanded by only slightly over 5 thousand compared to last year’</w:t>
      </w:r>
      <w:r>
        <w:rPr>
          <w:spacing w:val="-2"/>
          <w:sz w:val="16"/>
          <w:szCs w:val="16"/>
        </w:rPr>
        <w:t xml:space="preserve">s June. </w:t>
      </w:r>
    </w:p>
  </w:footnote>
  <w:footnote w:id="5">
    <w:p w14:paraId="03005F5B" w14:textId="77777777" w:rsidR="009732DF" w:rsidRPr="00512510" w:rsidRDefault="009732DF" w:rsidP="009732DF">
      <w:pPr>
        <w:pStyle w:val="Textpoznpodarou"/>
        <w:jc w:val="both"/>
        <w:rPr>
          <w:sz w:val="16"/>
          <w:szCs w:val="16"/>
          <w:lang w:val="en-US"/>
        </w:rPr>
      </w:pPr>
      <w:r w:rsidRPr="00512510">
        <w:rPr>
          <w:rStyle w:val="Znakapoznpodarou"/>
          <w:sz w:val="16"/>
          <w:szCs w:val="16"/>
          <w:lang w:val="en-US"/>
        </w:rPr>
        <w:footnoteRef/>
      </w:r>
      <w:r w:rsidRPr="00512510">
        <w:rPr>
          <w:sz w:val="16"/>
          <w:szCs w:val="16"/>
          <w:lang w:val="en-US"/>
        </w:rPr>
        <w:t xml:space="preserve"> </w:t>
      </w:r>
      <w:r>
        <w:rPr>
          <w:sz w:val="16"/>
          <w:szCs w:val="16"/>
          <w:lang w:val="en-US"/>
        </w:rPr>
        <w:t xml:space="preserve">Mainly activities tightly associated with tourism pull the whole group down. On the contrary, the number of employees in trade itself increased by 1.5% based on the data of the business statistics compared to Q2 </w:t>
      </w:r>
      <w:r w:rsidRPr="00512510">
        <w:rPr>
          <w:sz w:val="16"/>
          <w:szCs w:val="16"/>
          <w:lang w:val="en-US"/>
        </w:rPr>
        <w:t>2020.</w:t>
      </w:r>
    </w:p>
  </w:footnote>
  <w:footnote w:id="6">
    <w:p w14:paraId="4056C5D4" w14:textId="77777777" w:rsidR="009732DF" w:rsidRPr="00512510" w:rsidRDefault="009732DF" w:rsidP="009732DF">
      <w:pPr>
        <w:pStyle w:val="Textpoznpodarou"/>
        <w:jc w:val="both"/>
        <w:rPr>
          <w:sz w:val="16"/>
          <w:szCs w:val="16"/>
          <w:lang w:val="en-US"/>
        </w:rPr>
      </w:pPr>
      <w:r w:rsidRPr="00512510">
        <w:rPr>
          <w:rStyle w:val="Znakapoznpodarou"/>
          <w:sz w:val="16"/>
          <w:szCs w:val="16"/>
          <w:lang w:val="en-US"/>
        </w:rPr>
        <w:footnoteRef/>
      </w:r>
      <w:r w:rsidRPr="00512510">
        <w:rPr>
          <w:sz w:val="16"/>
          <w:szCs w:val="16"/>
          <w:lang w:val="en-US"/>
        </w:rPr>
        <w:t xml:space="preserve"> </w:t>
      </w:r>
      <w:r>
        <w:rPr>
          <w:sz w:val="16"/>
          <w:szCs w:val="16"/>
          <w:lang w:val="en-US"/>
        </w:rPr>
        <w:t xml:space="preserve">More than one quarter of industrial businesses mentioned the shortage of workers as one of the main limited factors </w:t>
      </w:r>
      <w:r>
        <w:rPr>
          <w:spacing w:val="-3"/>
          <w:sz w:val="16"/>
          <w:szCs w:val="16"/>
          <w:lang w:val="en-US"/>
        </w:rPr>
        <w:t>at the beginning of July 2021</w:t>
      </w:r>
      <w:r w:rsidRPr="00512510">
        <w:rPr>
          <w:spacing w:val="-3"/>
          <w:sz w:val="16"/>
          <w:szCs w:val="16"/>
          <w:lang w:val="en-US"/>
        </w:rPr>
        <w:t xml:space="preserve">. </w:t>
      </w:r>
      <w:r>
        <w:rPr>
          <w:spacing w:val="-3"/>
          <w:sz w:val="16"/>
          <w:szCs w:val="16"/>
          <w:lang w:val="en-US"/>
        </w:rPr>
        <w:t xml:space="preserve">It was the most pressing in rubber industry, plastic industry, electrical engineering, machinery, manufacturing of transport equipment </w:t>
      </w:r>
      <w:r w:rsidRPr="00512510">
        <w:rPr>
          <w:spacing w:val="-3"/>
          <w:sz w:val="16"/>
          <w:szCs w:val="16"/>
          <w:lang w:val="en-US"/>
        </w:rPr>
        <w:t>(</w:t>
      </w:r>
      <w:r>
        <w:rPr>
          <w:spacing w:val="-3"/>
          <w:sz w:val="16"/>
          <w:szCs w:val="16"/>
          <w:lang w:val="en-US"/>
        </w:rPr>
        <w:t>excluding the motor vehicle industry</w:t>
      </w:r>
      <w:r w:rsidRPr="00512510">
        <w:rPr>
          <w:spacing w:val="-3"/>
          <w:sz w:val="16"/>
          <w:szCs w:val="16"/>
          <w:lang w:val="en-US"/>
        </w:rPr>
        <w:t xml:space="preserve">), </w:t>
      </w:r>
      <w:r>
        <w:rPr>
          <w:spacing w:val="-3"/>
          <w:sz w:val="16"/>
          <w:szCs w:val="16"/>
          <w:lang w:val="en-US"/>
        </w:rPr>
        <w:t>manufacturing of construction materials and also in some small activities with lower wage level (textile and leather working industry</w:t>
      </w:r>
      <w:r w:rsidRPr="00512510">
        <w:rPr>
          <w:spacing w:val="-3"/>
          <w:sz w:val="16"/>
          <w:szCs w:val="16"/>
          <w:lang w:val="en-US"/>
        </w:rPr>
        <w:t>).</w:t>
      </w:r>
    </w:p>
  </w:footnote>
  <w:footnote w:id="7">
    <w:p w14:paraId="5BF03074" w14:textId="77777777" w:rsidR="009732DF" w:rsidRPr="004F58D4" w:rsidRDefault="009732DF" w:rsidP="009732DF">
      <w:pPr>
        <w:pStyle w:val="Textpoznpodarou"/>
        <w:rPr>
          <w:spacing w:val="-3"/>
          <w:sz w:val="16"/>
          <w:szCs w:val="16"/>
          <w:lang w:val="en-GB"/>
        </w:rPr>
      </w:pPr>
      <w:r w:rsidRPr="004E68B1">
        <w:rPr>
          <w:rStyle w:val="Znakapoznpodarou"/>
          <w:spacing w:val="-3"/>
          <w:sz w:val="16"/>
          <w:szCs w:val="16"/>
        </w:rPr>
        <w:footnoteRef/>
      </w:r>
      <w:r>
        <w:rPr>
          <w:spacing w:val="-3"/>
          <w:sz w:val="16"/>
          <w:szCs w:val="16"/>
        </w:rPr>
        <w:t xml:space="preserve"> </w:t>
      </w:r>
      <w:r w:rsidRPr="004F58D4">
        <w:rPr>
          <w:spacing w:val="-3"/>
          <w:sz w:val="16"/>
          <w:szCs w:val="16"/>
          <w:lang w:val="en-GB"/>
        </w:rPr>
        <w:t xml:space="preserve">Unless stated otherwise, all data regarding the unemployment rates are sourced from the LFSS and are adjusted for seasonal effects. </w:t>
      </w:r>
    </w:p>
  </w:footnote>
  <w:footnote w:id="8">
    <w:p w14:paraId="287FCC33" w14:textId="77777777" w:rsidR="009732DF" w:rsidRPr="006E35C5" w:rsidRDefault="009732DF" w:rsidP="009732DF">
      <w:pPr>
        <w:pStyle w:val="Textpoznpodarou"/>
        <w:jc w:val="both"/>
        <w:rPr>
          <w:sz w:val="16"/>
          <w:szCs w:val="16"/>
          <w:lang w:val="en-GB"/>
        </w:rPr>
      </w:pPr>
      <w:r w:rsidRPr="00C420DC">
        <w:rPr>
          <w:rStyle w:val="Znakapoznpodarou"/>
          <w:color w:val="0D0D0D" w:themeColor="text1" w:themeTint="F2"/>
          <w:sz w:val="16"/>
          <w:szCs w:val="16"/>
        </w:rPr>
        <w:footnoteRef/>
      </w:r>
      <w:r w:rsidRPr="00C420DC">
        <w:rPr>
          <w:color w:val="0D0D0D" w:themeColor="text1" w:themeTint="F2"/>
          <w:sz w:val="16"/>
          <w:szCs w:val="16"/>
        </w:rPr>
        <w:t xml:space="preserve"> </w:t>
      </w:r>
      <w:r w:rsidRPr="006E35C5">
        <w:rPr>
          <w:color w:val="0D0D0D" w:themeColor="text1" w:themeTint="F2"/>
          <w:sz w:val="16"/>
          <w:szCs w:val="16"/>
          <w:lang w:val="en-GB"/>
        </w:rPr>
        <w:t>It ranked the CR to the forefron</w:t>
      </w:r>
      <w:r>
        <w:rPr>
          <w:color w:val="0D0D0D" w:themeColor="text1" w:themeTint="F2"/>
          <w:sz w:val="16"/>
          <w:szCs w:val="16"/>
          <w:lang w:val="en-GB"/>
        </w:rPr>
        <w:t>t</w:t>
      </w:r>
      <w:r w:rsidRPr="006E35C5">
        <w:rPr>
          <w:color w:val="0D0D0D" w:themeColor="text1" w:themeTint="F2"/>
          <w:sz w:val="16"/>
          <w:szCs w:val="16"/>
          <w:lang w:val="en-GB"/>
        </w:rPr>
        <w:t xml:space="preserve"> of the EU states with the lowest unemployment.</w:t>
      </w:r>
      <w:r>
        <w:rPr>
          <w:color w:val="0D0D0D" w:themeColor="text1" w:themeTint="F2"/>
          <w:sz w:val="16"/>
          <w:szCs w:val="16"/>
          <w:lang w:val="en-GB"/>
        </w:rPr>
        <w:t xml:space="preserve"> It was lower than in the CR only for females in Germany and the Netherlands </w:t>
      </w:r>
      <w:r w:rsidRPr="006E35C5">
        <w:rPr>
          <w:color w:val="0D0D0D" w:themeColor="text1" w:themeTint="F2"/>
          <w:sz w:val="16"/>
          <w:szCs w:val="16"/>
          <w:lang w:val="en-GB"/>
        </w:rPr>
        <w:t>(s</w:t>
      </w:r>
      <w:r>
        <w:rPr>
          <w:color w:val="0D0D0D" w:themeColor="text1" w:themeTint="F2"/>
          <w:sz w:val="16"/>
          <w:szCs w:val="16"/>
          <w:lang w:val="en-GB"/>
        </w:rPr>
        <w:t xml:space="preserve">imilarly </w:t>
      </w:r>
      <w:r w:rsidRPr="006E35C5">
        <w:rPr>
          <w:color w:val="0D0D0D" w:themeColor="text1" w:themeTint="F2"/>
          <w:sz w:val="16"/>
          <w:szCs w:val="16"/>
          <w:lang w:val="en-GB"/>
        </w:rPr>
        <w:t>3</w:t>
      </w:r>
      <w:r>
        <w:rPr>
          <w:color w:val="0D0D0D" w:themeColor="text1" w:themeTint="F2"/>
          <w:sz w:val="16"/>
          <w:szCs w:val="16"/>
          <w:lang w:val="en-GB"/>
        </w:rPr>
        <w:t>.</w:t>
      </w:r>
      <w:r w:rsidRPr="006E35C5">
        <w:rPr>
          <w:color w:val="0D0D0D" w:themeColor="text1" w:themeTint="F2"/>
          <w:sz w:val="16"/>
          <w:szCs w:val="16"/>
          <w:lang w:val="en-GB"/>
        </w:rPr>
        <w:t xml:space="preserve">3%, </w:t>
      </w:r>
      <w:r>
        <w:rPr>
          <w:color w:val="0D0D0D" w:themeColor="text1" w:themeTint="F2"/>
          <w:sz w:val="16"/>
          <w:szCs w:val="16"/>
          <w:lang w:val="en-GB"/>
        </w:rPr>
        <w:t xml:space="preserve">in wider age group </w:t>
      </w:r>
      <w:r w:rsidRPr="006E35C5">
        <w:rPr>
          <w:color w:val="0D0D0D" w:themeColor="text1" w:themeTint="F2"/>
          <w:sz w:val="16"/>
          <w:szCs w:val="16"/>
          <w:lang w:val="en-GB"/>
        </w:rPr>
        <w:t>15 </w:t>
      </w:r>
      <w:r>
        <w:rPr>
          <w:color w:val="0D0D0D" w:themeColor="text1" w:themeTint="F2"/>
          <w:sz w:val="16"/>
          <w:szCs w:val="16"/>
          <w:lang w:val="en-GB"/>
        </w:rPr>
        <w:t xml:space="preserve">to </w:t>
      </w:r>
      <w:r w:rsidRPr="006E35C5">
        <w:rPr>
          <w:color w:val="0D0D0D" w:themeColor="text1" w:themeTint="F2"/>
          <w:sz w:val="16"/>
          <w:szCs w:val="16"/>
          <w:lang w:val="en-GB"/>
        </w:rPr>
        <w:t>74 </w:t>
      </w:r>
      <w:r>
        <w:rPr>
          <w:color w:val="0D0D0D" w:themeColor="text1" w:themeTint="F2"/>
          <w:sz w:val="16"/>
          <w:szCs w:val="16"/>
          <w:lang w:val="en-GB"/>
        </w:rPr>
        <w:t>years</w:t>
      </w:r>
      <w:r w:rsidRPr="006E35C5">
        <w:rPr>
          <w:color w:val="0D0D0D" w:themeColor="text1" w:themeTint="F2"/>
          <w:sz w:val="16"/>
          <w:szCs w:val="16"/>
          <w:lang w:val="en-GB"/>
        </w:rPr>
        <w:t xml:space="preserve">). </w:t>
      </w:r>
      <w:r>
        <w:rPr>
          <w:color w:val="0D0D0D" w:themeColor="text1" w:themeTint="F2"/>
          <w:sz w:val="16"/>
          <w:szCs w:val="16"/>
          <w:lang w:val="en-GB"/>
        </w:rPr>
        <w:t xml:space="preserve">The unemployment rate was </w:t>
      </w:r>
      <w:r w:rsidRPr="006E35C5">
        <w:rPr>
          <w:color w:val="0D0D0D" w:themeColor="text1" w:themeTint="F2"/>
          <w:sz w:val="16"/>
          <w:szCs w:val="16"/>
          <w:lang w:val="en-GB"/>
        </w:rPr>
        <w:t>7</w:t>
      </w:r>
      <w:r>
        <w:rPr>
          <w:color w:val="0D0D0D" w:themeColor="text1" w:themeTint="F2"/>
          <w:sz w:val="16"/>
          <w:szCs w:val="16"/>
          <w:lang w:val="en-GB"/>
        </w:rPr>
        <w:t>.</w:t>
      </w:r>
      <w:r w:rsidRPr="006E35C5">
        <w:rPr>
          <w:color w:val="0D0D0D" w:themeColor="text1" w:themeTint="F2"/>
          <w:sz w:val="16"/>
          <w:szCs w:val="16"/>
          <w:lang w:val="en-GB"/>
        </w:rPr>
        <w:t>5%</w:t>
      </w:r>
      <w:r>
        <w:rPr>
          <w:color w:val="0D0D0D" w:themeColor="text1" w:themeTint="F2"/>
          <w:sz w:val="16"/>
          <w:szCs w:val="16"/>
          <w:lang w:val="en-GB"/>
        </w:rPr>
        <w:t xml:space="preserve"> for females</w:t>
      </w:r>
      <w:r w:rsidRPr="006E35C5">
        <w:rPr>
          <w:color w:val="0D0D0D" w:themeColor="text1" w:themeTint="F2"/>
          <w:sz w:val="16"/>
          <w:szCs w:val="16"/>
          <w:lang w:val="en-GB"/>
        </w:rPr>
        <w:t>, 6</w:t>
      </w:r>
      <w:r>
        <w:rPr>
          <w:color w:val="0D0D0D" w:themeColor="text1" w:themeTint="F2"/>
          <w:sz w:val="16"/>
          <w:szCs w:val="16"/>
          <w:lang w:val="en-GB"/>
        </w:rPr>
        <w:t>.</w:t>
      </w:r>
      <w:r w:rsidRPr="006E35C5">
        <w:rPr>
          <w:color w:val="0D0D0D" w:themeColor="text1" w:themeTint="F2"/>
          <w:sz w:val="16"/>
          <w:szCs w:val="16"/>
          <w:lang w:val="en-GB"/>
        </w:rPr>
        <w:t>7%</w:t>
      </w:r>
      <w:r>
        <w:rPr>
          <w:color w:val="0D0D0D" w:themeColor="text1" w:themeTint="F2"/>
          <w:sz w:val="16"/>
          <w:szCs w:val="16"/>
          <w:lang w:val="en-GB"/>
        </w:rPr>
        <w:t xml:space="preserve"> for males in the whole Union</w:t>
      </w:r>
      <w:r w:rsidRPr="006E35C5">
        <w:rPr>
          <w:color w:val="0D0D0D" w:themeColor="text1" w:themeTint="F2"/>
          <w:sz w:val="16"/>
          <w:szCs w:val="16"/>
          <w:lang w:val="en-GB"/>
        </w:rPr>
        <w:t xml:space="preserve">. </w:t>
      </w:r>
      <w:r>
        <w:rPr>
          <w:color w:val="0D0D0D" w:themeColor="text1" w:themeTint="F2"/>
          <w:sz w:val="16"/>
          <w:szCs w:val="16"/>
          <w:lang w:val="en-GB"/>
        </w:rPr>
        <w:t xml:space="preserve">During May and June in connection to the gradual loosening of the counter pandemic measures and general revival of economic activity, the unemployment decreased in the majority of the Union states month-on-month. </w:t>
      </w:r>
    </w:p>
  </w:footnote>
  <w:footnote w:id="9">
    <w:p w14:paraId="49C9963F" w14:textId="77777777" w:rsidR="009732DF" w:rsidRPr="006E35C5" w:rsidRDefault="009732DF" w:rsidP="009732DF">
      <w:pPr>
        <w:pStyle w:val="Textpoznpodarou"/>
        <w:jc w:val="both"/>
        <w:rPr>
          <w:sz w:val="16"/>
          <w:szCs w:val="16"/>
          <w:lang w:val="en-GB"/>
        </w:rPr>
      </w:pPr>
      <w:r w:rsidRPr="006E35C5">
        <w:rPr>
          <w:rStyle w:val="Znakapoznpodarou"/>
          <w:sz w:val="16"/>
          <w:szCs w:val="16"/>
          <w:lang w:val="en-GB"/>
        </w:rPr>
        <w:footnoteRef/>
      </w:r>
      <w:r w:rsidRPr="006E35C5">
        <w:rPr>
          <w:sz w:val="16"/>
          <w:szCs w:val="16"/>
          <w:lang w:val="en-GB"/>
        </w:rPr>
        <w:t xml:space="preserve"> </w:t>
      </w:r>
      <w:r>
        <w:rPr>
          <w:sz w:val="16"/>
          <w:szCs w:val="16"/>
          <w:lang w:val="en-GB"/>
        </w:rPr>
        <w:t xml:space="preserve">E.g. the programme Antivirus was practically ended towards the end of May </w:t>
      </w:r>
      <w:r w:rsidRPr="006E35C5">
        <w:rPr>
          <w:sz w:val="16"/>
          <w:szCs w:val="16"/>
          <w:lang w:val="en-GB"/>
        </w:rPr>
        <w:t>2021</w:t>
      </w:r>
      <w:r>
        <w:rPr>
          <w:sz w:val="16"/>
          <w:szCs w:val="16"/>
          <w:lang w:val="en-GB"/>
        </w:rPr>
        <w:t xml:space="preserve">. The programme was finishing in a limited regime in June, when the contribution to employers on the compensation of the wage costs was provided only for the reasons of mandatory employee quarantine or isolation. Also the drawing of care benefits </w:t>
      </w:r>
      <w:r w:rsidRPr="006E35C5">
        <w:rPr>
          <w:sz w:val="16"/>
          <w:szCs w:val="16"/>
          <w:lang w:val="en-GB"/>
        </w:rPr>
        <w:t>(</w:t>
      </w:r>
      <w:r>
        <w:rPr>
          <w:sz w:val="16"/>
          <w:szCs w:val="16"/>
          <w:lang w:val="en-GB"/>
        </w:rPr>
        <w:t>on the childcare for the reason of extraordinary closure of schools</w:t>
      </w:r>
      <w:r w:rsidRPr="006E35C5">
        <w:rPr>
          <w:sz w:val="16"/>
          <w:szCs w:val="16"/>
          <w:lang w:val="en-GB"/>
        </w:rPr>
        <w:t>)</w:t>
      </w:r>
      <w:r>
        <w:rPr>
          <w:sz w:val="16"/>
          <w:szCs w:val="16"/>
          <w:lang w:val="en-GB"/>
        </w:rPr>
        <w:t xml:space="preserve"> had a declining tendency during Q</w:t>
      </w:r>
      <w:r w:rsidRPr="006E35C5">
        <w:rPr>
          <w:sz w:val="16"/>
          <w:szCs w:val="16"/>
          <w:lang w:val="en-GB"/>
        </w:rPr>
        <w:t>2.</w:t>
      </w:r>
    </w:p>
  </w:footnote>
  <w:footnote w:id="10">
    <w:p w14:paraId="5595C0EF" w14:textId="77777777" w:rsidR="009732DF" w:rsidRPr="006E35C5" w:rsidRDefault="009732DF" w:rsidP="009732DF">
      <w:pPr>
        <w:pStyle w:val="Textpoznpodarou"/>
        <w:jc w:val="both"/>
        <w:rPr>
          <w:sz w:val="16"/>
          <w:szCs w:val="16"/>
          <w:lang w:val="en-GB"/>
        </w:rPr>
      </w:pPr>
      <w:r w:rsidRPr="006E35C5">
        <w:rPr>
          <w:rStyle w:val="Znakapoznpodarou"/>
          <w:sz w:val="16"/>
          <w:szCs w:val="16"/>
          <w:lang w:val="en-GB"/>
        </w:rPr>
        <w:footnoteRef/>
      </w:r>
      <w:r w:rsidRPr="006E35C5">
        <w:rPr>
          <w:sz w:val="16"/>
          <w:szCs w:val="16"/>
          <w:lang w:val="en-GB"/>
        </w:rPr>
        <w:t xml:space="preserve"> </w:t>
      </w:r>
      <w:r>
        <w:rPr>
          <w:sz w:val="16"/>
          <w:szCs w:val="16"/>
          <w:lang w:val="en-GB"/>
        </w:rPr>
        <w:t>While in Q</w:t>
      </w:r>
      <w:r w:rsidRPr="006E35C5">
        <w:rPr>
          <w:sz w:val="16"/>
          <w:szCs w:val="16"/>
          <w:lang w:val="en-GB"/>
        </w:rPr>
        <w:t>1</w:t>
      </w:r>
      <w:r>
        <w:rPr>
          <w:sz w:val="16"/>
          <w:szCs w:val="16"/>
          <w:lang w:val="en-GB"/>
        </w:rPr>
        <w:t xml:space="preserve"> </w:t>
      </w:r>
      <w:r w:rsidRPr="006E35C5">
        <w:rPr>
          <w:sz w:val="16"/>
          <w:szCs w:val="16"/>
          <w:lang w:val="en-GB"/>
        </w:rPr>
        <w:t>2019</w:t>
      </w:r>
      <w:r>
        <w:rPr>
          <w:sz w:val="16"/>
          <w:szCs w:val="16"/>
          <w:lang w:val="en-GB"/>
        </w:rPr>
        <w:t xml:space="preserve">, </w:t>
      </w:r>
      <w:r w:rsidRPr="006E35C5">
        <w:rPr>
          <w:sz w:val="16"/>
          <w:szCs w:val="16"/>
          <w:lang w:val="en-GB"/>
        </w:rPr>
        <w:t>12</w:t>
      </w:r>
      <w:r>
        <w:rPr>
          <w:sz w:val="16"/>
          <w:szCs w:val="16"/>
          <w:lang w:val="en-GB"/>
        </w:rPr>
        <w:t>.</w:t>
      </w:r>
      <w:r w:rsidRPr="006E35C5">
        <w:rPr>
          <w:sz w:val="16"/>
          <w:szCs w:val="16"/>
          <w:lang w:val="en-GB"/>
        </w:rPr>
        <w:t>3%</w:t>
      </w:r>
      <w:r>
        <w:rPr>
          <w:sz w:val="16"/>
          <w:szCs w:val="16"/>
          <w:lang w:val="en-GB"/>
        </w:rPr>
        <w:t xml:space="preserve"> of females aged </w:t>
      </w:r>
      <w:r w:rsidRPr="006E35C5">
        <w:rPr>
          <w:sz w:val="16"/>
          <w:szCs w:val="16"/>
          <w:lang w:val="en-GB"/>
        </w:rPr>
        <w:t>15</w:t>
      </w:r>
      <w:r>
        <w:rPr>
          <w:sz w:val="16"/>
          <w:szCs w:val="16"/>
          <w:lang w:val="en-GB"/>
        </w:rPr>
        <w:t xml:space="preserve"> and more worked on part time contracts</w:t>
      </w:r>
      <w:r w:rsidRPr="006E35C5">
        <w:rPr>
          <w:sz w:val="16"/>
          <w:szCs w:val="16"/>
          <w:lang w:val="en-GB"/>
        </w:rPr>
        <w:t xml:space="preserve">, </w:t>
      </w:r>
      <w:r>
        <w:rPr>
          <w:sz w:val="16"/>
          <w:szCs w:val="16"/>
          <w:lang w:val="en-GB"/>
        </w:rPr>
        <w:t xml:space="preserve">only </w:t>
      </w:r>
      <w:r w:rsidRPr="006E35C5">
        <w:rPr>
          <w:sz w:val="16"/>
          <w:szCs w:val="16"/>
          <w:lang w:val="en-GB"/>
        </w:rPr>
        <w:t>10</w:t>
      </w:r>
      <w:r>
        <w:rPr>
          <w:sz w:val="16"/>
          <w:szCs w:val="16"/>
          <w:lang w:val="en-GB"/>
        </w:rPr>
        <w:t>.</w:t>
      </w:r>
      <w:r w:rsidRPr="006E35C5">
        <w:rPr>
          <w:sz w:val="16"/>
          <w:szCs w:val="16"/>
          <w:lang w:val="en-GB"/>
        </w:rPr>
        <w:t>8%</w:t>
      </w:r>
      <w:r>
        <w:rPr>
          <w:sz w:val="16"/>
          <w:szCs w:val="16"/>
          <w:lang w:val="en-GB"/>
        </w:rPr>
        <w:t xml:space="preserve"> two years later</w:t>
      </w:r>
      <w:r w:rsidRPr="006E35C5">
        <w:rPr>
          <w:sz w:val="16"/>
          <w:szCs w:val="16"/>
          <w:lang w:val="en-GB"/>
        </w:rPr>
        <w:t xml:space="preserve">. </w:t>
      </w:r>
      <w:r>
        <w:rPr>
          <w:sz w:val="16"/>
          <w:szCs w:val="16"/>
          <w:lang w:val="en-GB"/>
        </w:rPr>
        <w:t xml:space="preserve">Among females in the age group </w:t>
      </w:r>
      <w:r w:rsidRPr="006E35C5">
        <w:rPr>
          <w:sz w:val="16"/>
          <w:szCs w:val="16"/>
          <w:lang w:val="en-GB"/>
        </w:rPr>
        <w:t>15 </w:t>
      </w:r>
      <w:r>
        <w:rPr>
          <w:sz w:val="16"/>
          <w:szCs w:val="16"/>
          <w:lang w:val="en-GB"/>
        </w:rPr>
        <w:t xml:space="preserve">to </w:t>
      </w:r>
      <w:r w:rsidRPr="006E35C5">
        <w:rPr>
          <w:sz w:val="16"/>
          <w:szCs w:val="16"/>
          <w:lang w:val="en-GB"/>
        </w:rPr>
        <w:t>29</w:t>
      </w:r>
      <w:r>
        <w:rPr>
          <w:sz w:val="16"/>
          <w:szCs w:val="16"/>
          <w:lang w:val="en-GB"/>
        </w:rPr>
        <w:t xml:space="preserve"> years, the decrease was even more pronounced in this time period </w:t>
      </w:r>
      <w:r w:rsidRPr="006E35C5">
        <w:rPr>
          <w:sz w:val="16"/>
          <w:szCs w:val="16"/>
          <w:lang w:val="en-GB"/>
        </w:rPr>
        <w:t>(</w:t>
      </w:r>
      <w:r>
        <w:rPr>
          <w:sz w:val="16"/>
          <w:szCs w:val="16"/>
          <w:lang w:val="en-GB"/>
        </w:rPr>
        <w:t xml:space="preserve">from </w:t>
      </w:r>
      <w:r w:rsidRPr="006E35C5">
        <w:rPr>
          <w:sz w:val="16"/>
          <w:szCs w:val="16"/>
          <w:lang w:val="en-GB"/>
        </w:rPr>
        <w:t>15</w:t>
      </w:r>
      <w:r>
        <w:rPr>
          <w:sz w:val="16"/>
          <w:szCs w:val="16"/>
          <w:lang w:val="en-GB"/>
        </w:rPr>
        <w:t>.</w:t>
      </w:r>
      <w:r w:rsidRPr="006E35C5">
        <w:rPr>
          <w:sz w:val="16"/>
          <w:szCs w:val="16"/>
          <w:lang w:val="en-GB"/>
        </w:rPr>
        <w:t>0</w:t>
      </w:r>
      <w:r>
        <w:rPr>
          <w:sz w:val="16"/>
          <w:szCs w:val="16"/>
          <w:lang w:val="en-GB"/>
        </w:rPr>
        <w:t xml:space="preserve"> to </w:t>
      </w:r>
      <w:r w:rsidRPr="006E35C5">
        <w:rPr>
          <w:sz w:val="16"/>
          <w:szCs w:val="16"/>
          <w:lang w:val="en-GB"/>
        </w:rPr>
        <w:t>11</w:t>
      </w:r>
      <w:r>
        <w:rPr>
          <w:sz w:val="16"/>
          <w:szCs w:val="16"/>
          <w:lang w:val="en-GB"/>
        </w:rPr>
        <w:t>.</w:t>
      </w:r>
      <w:r w:rsidRPr="006E35C5">
        <w:rPr>
          <w:sz w:val="16"/>
          <w:szCs w:val="16"/>
          <w:lang w:val="en-GB"/>
        </w:rPr>
        <w:t>0%).</w:t>
      </w:r>
    </w:p>
  </w:footnote>
  <w:footnote w:id="11">
    <w:p w14:paraId="6D1766B1" w14:textId="77777777" w:rsidR="009732DF" w:rsidRPr="00A61ED1" w:rsidRDefault="009732DF" w:rsidP="009732DF">
      <w:pPr>
        <w:pStyle w:val="Textpoznpodarou"/>
        <w:jc w:val="both"/>
        <w:rPr>
          <w:sz w:val="16"/>
          <w:szCs w:val="16"/>
          <w:lang w:val="en-GB"/>
        </w:rPr>
      </w:pPr>
      <w:r w:rsidRPr="00131F99">
        <w:rPr>
          <w:rStyle w:val="Znakapoznpodarou"/>
          <w:sz w:val="16"/>
          <w:szCs w:val="16"/>
        </w:rPr>
        <w:footnoteRef/>
      </w:r>
      <w:r w:rsidRPr="00131F99">
        <w:rPr>
          <w:sz w:val="16"/>
          <w:szCs w:val="16"/>
        </w:rPr>
        <w:t xml:space="preserve"> </w:t>
      </w:r>
      <w:r w:rsidRPr="00A61ED1">
        <w:rPr>
          <w:sz w:val="16"/>
          <w:szCs w:val="16"/>
          <w:lang w:val="en-GB"/>
        </w:rPr>
        <w:t xml:space="preserve">The addition was driven especially by Prague (+22 thousand) and the Central Bohemia (+9 thousand), on the contrary </w:t>
      </w:r>
      <w:r>
        <w:rPr>
          <w:sz w:val="16"/>
          <w:szCs w:val="16"/>
          <w:lang w:val="en-GB"/>
        </w:rPr>
        <w:t xml:space="preserve">Plzensky and Pardubicky regions were losing the positions the most </w:t>
      </w:r>
      <w:r w:rsidRPr="00A61ED1">
        <w:rPr>
          <w:sz w:val="16"/>
          <w:szCs w:val="16"/>
          <w:lang w:val="en-GB"/>
        </w:rPr>
        <w:t>(</w:t>
      </w:r>
      <w:r>
        <w:rPr>
          <w:sz w:val="16"/>
          <w:szCs w:val="16"/>
          <w:lang w:val="en-GB"/>
        </w:rPr>
        <w:t xml:space="preserve">both similarly by </w:t>
      </w:r>
      <w:r w:rsidRPr="00A61ED1">
        <w:rPr>
          <w:sz w:val="16"/>
          <w:szCs w:val="16"/>
          <w:lang w:val="en-GB"/>
        </w:rPr>
        <w:t>6 t</w:t>
      </w:r>
      <w:r>
        <w:rPr>
          <w:sz w:val="16"/>
          <w:szCs w:val="16"/>
          <w:lang w:val="en-GB"/>
        </w:rPr>
        <w:t>housand</w:t>
      </w:r>
      <w:r w:rsidRPr="00A61ED1">
        <w:rPr>
          <w:sz w:val="16"/>
          <w:szCs w:val="16"/>
          <w:lang w:val="en-GB"/>
        </w:rPr>
        <w:t xml:space="preserve">) </w:t>
      </w:r>
      <w:r>
        <w:rPr>
          <w:sz w:val="16"/>
          <w:szCs w:val="16"/>
          <w:lang w:val="en-GB"/>
        </w:rPr>
        <w:t xml:space="preserve">for the last two years </w:t>
      </w:r>
      <w:r w:rsidRPr="00A61ED1">
        <w:rPr>
          <w:sz w:val="16"/>
          <w:szCs w:val="16"/>
          <w:lang w:val="en-GB"/>
        </w:rPr>
        <w:t xml:space="preserve">and also the majority of Moravian regions to a lesser extent. </w:t>
      </w:r>
    </w:p>
  </w:footnote>
  <w:footnote w:id="12">
    <w:p w14:paraId="35CB7449" w14:textId="77777777" w:rsidR="009732DF" w:rsidRPr="00A61ED1" w:rsidRDefault="009732DF" w:rsidP="009732DF">
      <w:pPr>
        <w:pStyle w:val="Textpoznpodarou"/>
        <w:jc w:val="both"/>
        <w:rPr>
          <w:sz w:val="16"/>
          <w:szCs w:val="16"/>
          <w:lang w:val="en-GB"/>
        </w:rPr>
      </w:pPr>
      <w:r w:rsidRPr="00A61ED1">
        <w:rPr>
          <w:rStyle w:val="Znakapoznpodarou"/>
          <w:sz w:val="16"/>
          <w:szCs w:val="16"/>
          <w:lang w:val="en-GB"/>
        </w:rPr>
        <w:footnoteRef/>
      </w:r>
      <w:r w:rsidRPr="00A61ED1">
        <w:rPr>
          <w:sz w:val="16"/>
          <w:szCs w:val="16"/>
          <w:lang w:val="en-GB"/>
        </w:rPr>
        <w:t xml:space="preserve"> 43% </w:t>
      </w:r>
      <w:r>
        <w:rPr>
          <w:sz w:val="16"/>
          <w:szCs w:val="16"/>
          <w:lang w:val="en-GB"/>
        </w:rPr>
        <w:t xml:space="preserve">of all offered job positions in the CR were vacant for more than six months </w:t>
      </w:r>
      <w:r w:rsidRPr="00A61ED1">
        <w:rPr>
          <w:sz w:val="16"/>
          <w:szCs w:val="16"/>
          <w:lang w:val="en-GB"/>
        </w:rPr>
        <w:t>(</w:t>
      </w:r>
      <w:r>
        <w:rPr>
          <w:sz w:val="16"/>
          <w:szCs w:val="16"/>
          <w:lang w:val="en-GB"/>
        </w:rPr>
        <w:t>the most in the Central Bohemia and Kralovehradecky region, the least in Prague</w:t>
      </w:r>
      <w:r w:rsidRPr="00A61ED1">
        <w:rPr>
          <w:sz w:val="16"/>
          <w:szCs w:val="16"/>
          <w:lang w:val="en-GB"/>
        </w:rPr>
        <w:t>)</w:t>
      </w:r>
      <w:r>
        <w:rPr>
          <w:sz w:val="16"/>
          <w:szCs w:val="16"/>
          <w:lang w:val="en-GB"/>
        </w:rPr>
        <w:t xml:space="preserve"> at the end of Q2 2021</w:t>
      </w:r>
      <w:r w:rsidRPr="00A61ED1">
        <w:rPr>
          <w:sz w:val="16"/>
          <w:szCs w:val="16"/>
          <w:lang w:val="en-GB"/>
        </w:rPr>
        <w:t xml:space="preserve">. </w:t>
      </w:r>
      <w:r>
        <w:rPr>
          <w:sz w:val="16"/>
          <w:szCs w:val="16"/>
          <w:lang w:val="en-GB"/>
        </w:rPr>
        <w:t xml:space="preserve">It was even nearly one half of vacancies at the turn of years </w:t>
      </w:r>
      <w:r w:rsidRPr="00A61ED1">
        <w:rPr>
          <w:sz w:val="16"/>
          <w:szCs w:val="16"/>
          <w:lang w:val="en-GB"/>
        </w:rPr>
        <w:t>2019 a</w:t>
      </w:r>
      <w:r>
        <w:rPr>
          <w:sz w:val="16"/>
          <w:szCs w:val="16"/>
          <w:lang w:val="en-GB"/>
        </w:rPr>
        <w:t>nd</w:t>
      </w:r>
      <w:r w:rsidRPr="00A61ED1">
        <w:rPr>
          <w:sz w:val="16"/>
          <w:szCs w:val="16"/>
          <w:lang w:val="en-GB"/>
        </w:rPr>
        <w:t> 2020</w:t>
      </w:r>
      <w:r>
        <w:rPr>
          <w:sz w:val="16"/>
          <w:szCs w:val="16"/>
          <w:lang w:val="en-GB"/>
        </w:rPr>
        <w:t xml:space="preserve">. </w:t>
      </w:r>
    </w:p>
  </w:footnote>
  <w:footnote w:id="13">
    <w:p w14:paraId="5938E238" w14:textId="77777777" w:rsidR="009732DF" w:rsidRPr="00A61ED1" w:rsidRDefault="009732DF" w:rsidP="009732DF">
      <w:pPr>
        <w:pStyle w:val="Textpoznpodarou"/>
        <w:jc w:val="both"/>
        <w:rPr>
          <w:spacing w:val="-2"/>
          <w:sz w:val="16"/>
          <w:szCs w:val="16"/>
          <w:lang w:val="en-GB"/>
        </w:rPr>
      </w:pPr>
      <w:r w:rsidRPr="00A61ED1">
        <w:rPr>
          <w:rStyle w:val="Znakapoznpodarou"/>
          <w:spacing w:val="-2"/>
          <w:sz w:val="16"/>
          <w:szCs w:val="16"/>
          <w:lang w:val="en-GB"/>
        </w:rPr>
        <w:footnoteRef/>
      </w:r>
      <w:r w:rsidRPr="00A61ED1">
        <w:rPr>
          <w:spacing w:val="-2"/>
          <w:sz w:val="16"/>
          <w:szCs w:val="16"/>
          <w:lang w:val="en-GB"/>
        </w:rPr>
        <w:t xml:space="preserve"> </w:t>
      </w:r>
      <w:r>
        <w:rPr>
          <w:spacing w:val="-2"/>
          <w:sz w:val="16"/>
          <w:szCs w:val="16"/>
          <w:lang w:val="en-GB"/>
        </w:rPr>
        <w:t xml:space="preserve">Only </w:t>
      </w:r>
      <w:r w:rsidRPr="00A61ED1">
        <w:rPr>
          <w:spacing w:val="-2"/>
          <w:sz w:val="16"/>
          <w:szCs w:val="16"/>
          <w:lang w:val="en-GB"/>
        </w:rPr>
        <w:t>Moravskoslezsk</w:t>
      </w:r>
      <w:r>
        <w:rPr>
          <w:spacing w:val="-2"/>
          <w:sz w:val="16"/>
          <w:szCs w:val="16"/>
          <w:lang w:val="en-GB"/>
        </w:rPr>
        <w:t xml:space="preserve">y and </w:t>
      </w:r>
      <w:r w:rsidRPr="00A61ED1">
        <w:rPr>
          <w:spacing w:val="-2"/>
          <w:sz w:val="16"/>
          <w:szCs w:val="16"/>
          <w:lang w:val="en-GB"/>
        </w:rPr>
        <w:t>Olomouck</w:t>
      </w:r>
      <w:r>
        <w:rPr>
          <w:spacing w:val="-2"/>
          <w:sz w:val="16"/>
          <w:szCs w:val="16"/>
          <w:lang w:val="en-GB"/>
        </w:rPr>
        <w:t xml:space="preserve">y region </w:t>
      </w:r>
      <w:r w:rsidRPr="00A61ED1">
        <w:rPr>
          <w:spacing w:val="-2"/>
          <w:sz w:val="16"/>
          <w:szCs w:val="16"/>
          <w:lang w:val="en-GB"/>
        </w:rPr>
        <w:t>(s</w:t>
      </w:r>
      <w:r>
        <w:rPr>
          <w:spacing w:val="-2"/>
          <w:sz w:val="16"/>
          <w:szCs w:val="16"/>
          <w:lang w:val="en-GB"/>
        </w:rPr>
        <w:t xml:space="preserve">imilarly </w:t>
      </w:r>
      <w:r w:rsidRPr="00A61ED1">
        <w:rPr>
          <w:spacing w:val="-2"/>
          <w:sz w:val="16"/>
          <w:szCs w:val="16"/>
          <w:lang w:val="en-GB"/>
        </w:rPr>
        <w:t>54%) a</w:t>
      </w:r>
      <w:r>
        <w:rPr>
          <w:spacing w:val="-2"/>
          <w:sz w:val="16"/>
          <w:szCs w:val="16"/>
          <w:lang w:val="en-GB"/>
        </w:rPr>
        <w:t xml:space="preserve">nd also </w:t>
      </w:r>
      <w:r w:rsidRPr="00A61ED1">
        <w:rPr>
          <w:spacing w:val="-2"/>
          <w:sz w:val="16"/>
          <w:szCs w:val="16"/>
          <w:lang w:val="en-GB"/>
        </w:rPr>
        <w:t>Karlovarsk</w:t>
      </w:r>
      <w:r>
        <w:rPr>
          <w:spacing w:val="-2"/>
          <w:sz w:val="16"/>
          <w:szCs w:val="16"/>
          <w:lang w:val="en-GB"/>
        </w:rPr>
        <w:t xml:space="preserve">y region </w:t>
      </w:r>
      <w:r w:rsidRPr="00A61ED1">
        <w:rPr>
          <w:spacing w:val="-2"/>
          <w:sz w:val="16"/>
          <w:szCs w:val="16"/>
          <w:lang w:val="en-GB"/>
        </w:rPr>
        <w:t>(63%)</w:t>
      </w:r>
      <w:r>
        <w:rPr>
          <w:spacing w:val="-2"/>
          <w:sz w:val="16"/>
          <w:szCs w:val="16"/>
          <w:lang w:val="en-GB"/>
        </w:rPr>
        <w:t xml:space="preserve"> reported notably lower representation of these positions</w:t>
      </w:r>
      <w:r w:rsidRPr="00A61ED1">
        <w:rPr>
          <w:spacing w:val="-2"/>
          <w:sz w:val="16"/>
          <w:szCs w:val="16"/>
          <w:lang w:val="en-GB"/>
        </w:rPr>
        <w:t>.</w:t>
      </w:r>
    </w:p>
  </w:footnote>
  <w:footnote w:id="14">
    <w:p w14:paraId="764B660B" w14:textId="77777777" w:rsidR="009732DF" w:rsidRPr="00A61ED1" w:rsidRDefault="009732DF" w:rsidP="009732DF">
      <w:pPr>
        <w:pStyle w:val="Textpoznpodarou"/>
        <w:jc w:val="both"/>
        <w:rPr>
          <w:sz w:val="16"/>
          <w:szCs w:val="16"/>
          <w:lang w:val="en-GB"/>
        </w:rPr>
      </w:pPr>
      <w:r w:rsidRPr="00A61ED1">
        <w:rPr>
          <w:rStyle w:val="Znakapoznpodarou"/>
          <w:sz w:val="16"/>
          <w:szCs w:val="16"/>
          <w:lang w:val="en-GB"/>
        </w:rPr>
        <w:footnoteRef/>
      </w:r>
      <w:r w:rsidRPr="00A61ED1">
        <w:rPr>
          <w:sz w:val="16"/>
          <w:szCs w:val="16"/>
          <w:lang w:val="en-GB"/>
        </w:rPr>
        <w:t xml:space="preserve"> </w:t>
      </w:r>
      <w:r>
        <w:rPr>
          <w:sz w:val="16"/>
          <w:szCs w:val="16"/>
          <w:lang w:val="en-GB"/>
        </w:rPr>
        <w:t>The job offer increased the most in the category of servicing machinery and equipment</w:t>
      </w:r>
      <w:r w:rsidRPr="00A61ED1">
        <w:rPr>
          <w:sz w:val="16"/>
          <w:szCs w:val="16"/>
          <w:lang w:val="en-GB"/>
        </w:rPr>
        <w:t xml:space="preserve">, </w:t>
      </w:r>
      <w:r>
        <w:rPr>
          <w:sz w:val="16"/>
          <w:szCs w:val="16"/>
          <w:lang w:val="en-GB"/>
        </w:rPr>
        <w:t xml:space="preserve">assemblers </w:t>
      </w:r>
      <w:r w:rsidRPr="00A61ED1">
        <w:rPr>
          <w:sz w:val="16"/>
          <w:szCs w:val="16"/>
          <w:lang w:val="en-GB"/>
        </w:rPr>
        <w:t>(+14</w:t>
      </w:r>
      <w:r>
        <w:rPr>
          <w:sz w:val="16"/>
          <w:szCs w:val="16"/>
          <w:lang w:val="en-GB"/>
        </w:rPr>
        <w:t>.</w:t>
      </w:r>
      <w:r w:rsidRPr="00A61ED1">
        <w:rPr>
          <w:sz w:val="16"/>
          <w:szCs w:val="16"/>
          <w:lang w:val="en-GB"/>
        </w:rPr>
        <w:t>5 t</w:t>
      </w:r>
      <w:r>
        <w:rPr>
          <w:sz w:val="16"/>
          <w:szCs w:val="16"/>
          <w:lang w:val="en-GB"/>
        </w:rPr>
        <w:t>housand</w:t>
      </w:r>
      <w:r w:rsidRPr="00A61ED1">
        <w:rPr>
          <w:sz w:val="16"/>
          <w:szCs w:val="16"/>
          <w:lang w:val="en-GB"/>
        </w:rPr>
        <w:t xml:space="preserve">, </w:t>
      </w:r>
      <w:r>
        <w:rPr>
          <w:sz w:val="16"/>
          <w:szCs w:val="16"/>
          <w:lang w:val="en-GB"/>
        </w:rPr>
        <w:t xml:space="preserve">to </w:t>
      </w:r>
      <w:r w:rsidRPr="00A61ED1">
        <w:rPr>
          <w:sz w:val="16"/>
          <w:szCs w:val="16"/>
          <w:lang w:val="en-GB"/>
        </w:rPr>
        <w:t>115</w:t>
      </w:r>
      <w:r>
        <w:rPr>
          <w:sz w:val="16"/>
          <w:szCs w:val="16"/>
          <w:lang w:val="en-GB"/>
        </w:rPr>
        <w:t>.</w:t>
      </w:r>
      <w:r w:rsidRPr="00A61ED1">
        <w:rPr>
          <w:sz w:val="16"/>
          <w:szCs w:val="16"/>
          <w:lang w:val="en-GB"/>
        </w:rPr>
        <w:t>2 t</w:t>
      </w:r>
      <w:r>
        <w:rPr>
          <w:sz w:val="16"/>
          <w:szCs w:val="16"/>
          <w:lang w:val="en-GB"/>
        </w:rPr>
        <w:t>housand</w:t>
      </w:r>
      <w:r w:rsidRPr="00A61ED1">
        <w:rPr>
          <w:sz w:val="16"/>
          <w:szCs w:val="16"/>
          <w:lang w:val="en-GB"/>
        </w:rPr>
        <w:t>)</w:t>
      </w:r>
      <w:r>
        <w:rPr>
          <w:sz w:val="16"/>
          <w:szCs w:val="16"/>
          <w:lang w:val="en-GB"/>
        </w:rPr>
        <w:t xml:space="preserve"> year-on-year</w:t>
      </w:r>
      <w:r w:rsidRPr="00A61ED1">
        <w:rPr>
          <w:sz w:val="16"/>
          <w:szCs w:val="16"/>
          <w:lang w:val="en-GB"/>
        </w:rPr>
        <w:t xml:space="preserve">, </w:t>
      </w:r>
      <w:r>
        <w:rPr>
          <w:sz w:val="16"/>
          <w:szCs w:val="16"/>
          <w:lang w:val="en-GB"/>
        </w:rPr>
        <w:t xml:space="preserve">compared to July </w:t>
      </w:r>
      <w:r w:rsidRPr="00A61ED1">
        <w:rPr>
          <w:sz w:val="16"/>
          <w:szCs w:val="16"/>
          <w:lang w:val="en-GB"/>
        </w:rPr>
        <w:t>2019</w:t>
      </w:r>
      <w:r>
        <w:rPr>
          <w:sz w:val="16"/>
          <w:szCs w:val="16"/>
          <w:lang w:val="en-GB"/>
        </w:rPr>
        <w:t xml:space="preserve"> then for craftsmen and repairmen </w:t>
      </w:r>
      <w:r w:rsidRPr="00A61ED1">
        <w:rPr>
          <w:sz w:val="16"/>
          <w:szCs w:val="16"/>
          <w:lang w:val="en-GB"/>
        </w:rPr>
        <w:t>(</w:t>
      </w:r>
      <w:r>
        <w:rPr>
          <w:sz w:val="16"/>
          <w:szCs w:val="16"/>
          <w:lang w:val="en-GB"/>
        </w:rPr>
        <w:t xml:space="preserve">by </w:t>
      </w:r>
      <w:r w:rsidRPr="00A61ED1">
        <w:rPr>
          <w:sz w:val="16"/>
          <w:szCs w:val="16"/>
          <w:lang w:val="en-GB"/>
        </w:rPr>
        <w:t>5</w:t>
      </w:r>
      <w:r>
        <w:rPr>
          <w:sz w:val="16"/>
          <w:szCs w:val="16"/>
          <w:lang w:val="en-GB"/>
        </w:rPr>
        <w:t>.</w:t>
      </w:r>
      <w:r w:rsidRPr="00A61ED1">
        <w:rPr>
          <w:sz w:val="16"/>
          <w:szCs w:val="16"/>
          <w:lang w:val="en-GB"/>
        </w:rPr>
        <w:t>2 t</w:t>
      </w:r>
      <w:r>
        <w:rPr>
          <w:sz w:val="16"/>
          <w:szCs w:val="16"/>
          <w:lang w:val="en-GB"/>
        </w:rPr>
        <w:t>housand</w:t>
      </w:r>
      <w:r w:rsidRPr="00A61ED1">
        <w:rPr>
          <w:sz w:val="16"/>
          <w:szCs w:val="16"/>
          <w:lang w:val="en-GB"/>
        </w:rPr>
        <w:t xml:space="preserve">, </w:t>
      </w:r>
      <w:r>
        <w:rPr>
          <w:sz w:val="16"/>
          <w:szCs w:val="16"/>
          <w:lang w:val="en-GB"/>
        </w:rPr>
        <w:t xml:space="preserve">to </w:t>
      </w:r>
      <w:r w:rsidRPr="00A61ED1">
        <w:rPr>
          <w:sz w:val="16"/>
          <w:szCs w:val="16"/>
          <w:lang w:val="en-GB"/>
        </w:rPr>
        <w:t>75</w:t>
      </w:r>
      <w:r>
        <w:rPr>
          <w:sz w:val="16"/>
          <w:szCs w:val="16"/>
          <w:lang w:val="en-GB"/>
        </w:rPr>
        <w:t>.</w:t>
      </w:r>
      <w:r w:rsidRPr="00A61ED1">
        <w:rPr>
          <w:sz w:val="16"/>
          <w:szCs w:val="16"/>
          <w:lang w:val="en-GB"/>
        </w:rPr>
        <w:t>0 t</w:t>
      </w:r>
      <w:r>
        <w:rPr>
          <w:sz w:val="16"/>
          <w:szCs w:val="16"/>
          <w:lang w:val="en-GB"/>
        </w:rPr>
        <w:t>housand</w:t>
      </w:r>
      <w:r w:rsidRPr="00A61ED1">
        <w:rPr>
          <w:sz w:val="16"/>
          <w:szCs w:val="16"/>
          <w:lang w:val="en-GB"/>
        </w:rPr>
        <w:t>).</w:t>
      </w:r>
    </w:p>
  </w:footnote>
  <w:footnote w:id="15">
    <w:p w14:paraId="45969CD2" w14:textId="77777777" w:rsidR="009732DF" w:rsidRPr="00A61ED1" w:rsidRDefault="009732DF" w:rsidP="009732DF">
      <w:pPr>
        <w:pStyle w:val="Textpoznpodarou"/>
        <w:jc w:val="both"/>
        <w:rPr>
          <w:spacing w:val="-2"/>
          <w:sz w:val="16"/>
          <w:szCs w:val="16"/>
          <w:lang w:val="en-GB"/>
        </w:rPr>
      </w:pPr>
      <w:r w:rsidRPr="00A61ED1">
        <w:rPr>
          <w:rStyle w:val="Znakapoznpodarou"/>
          <w:spacing w:val="-2"/>
          <w:sz w:val="16"/>
          <w:szCs w:val="16"/>
          <w:lang w:val="en-GB"/>
        </w:rPr>
        <w:footnoteRef/>
      </w:r>
      <w:r w:rsidRPr="00A61ED1">
        <w:rPr>
          <w:spacing w:val="-2"/>
          <w:sz w:val="16"/>
          <w:szCs w:val="16"/>
          <w:lang w:val="en-GB"/>
        </w:rPr>
        <w:t xml:space="preserve"> </w:t>
      </w:r>
      <w:r>
        <w:rPr>
          <w:spacing w:val="-2"/>
          <w:sz w:val="16"/>
          <w:szCs w:val="16"/>
          <w:lang w:val="en-GB"/>
        </w:rPr>
        <w:t xml:space="preserve">More than 10 applicants accounted for 1 vacancy in the Karvina district this year. Higher excess pressure was here last time in the first half of year </w:t>
      </w:r>
      <w:r w:rsidRPr="00A61ED1">
        <w:rPr>
          <w:spacing w:val="-2"/>
          <w:sz w:val="16"/>
          <w:szCs w:val="16"/>
          <w:lang w:val="en-GB"/>
        </w:rPr>
        <w:t>2017.</w:t>
      </w:r>
    </w:p>
  </w:footnote>
  <w:footnote w:id="16">
    <w:p w14:paraId="3E0B02A0" w14:textId="77777777" w:rsidR="009732DF" w:rsidRPr="00A61ED1" w:rsidRDefault="009732DF" w:rsidP="009732DF">
      <w:pPr>
        <w:pStyle w:val="Textpoznpodarou"/>
        <w:jc w:val="both"/>
        <w:rPr>
          <w:spacing w:val="-2"/>
          <w:sz w:val="16"/>
          <w:szCs w:val="16"/>
          <w:lang w:val="en-GB"/>
        </w:rPr>
      </w:pPr>
      <w:r w:rsidRPr="00A61ED1">
        <w:rPr>
          <w:rStyle w:val="Znakapoznpodarou"/>
          <w:spacing w:val="-2"/>
          <w:sz w:val="16"/>
          <w:szCs w:val="16"/>
          <w:lang w:val="en-GB"/>
        </w:rPr>
        <w:footnoteRef/>
      </w:r>
      <w:r w:rsidRPr="00A61ED1">
        <w:rPr>
          <w:spacing w:val="-2"/>
          <w:sz w:val="16"/>
          <w:szCs w:val="16"/>
          <w:lang w:val="en-GB"/>
        </w:rPr>
        <w:t xml:space="preserve"> </w:t>
      </w:r>
      <w:r>
        <w:rPr>
          <w:spacing w:val="-2"/>
          <w:sz w:val="16"/>
          <w:szCs w:val="16"/>
          <w:lang w:val="en-GB"/>
        </w:rPr>
        <w:t xml:space="preserve">The number of inactive expanded by </w:t>
      </w:r>
      <w:r w:rsidRPr="00A61ED1">
        <w:rPr>
          <w:spacing w:val="-2"/>
          <w:sz w:val="16"/>
          <w:szCs w:val="16"/>
          <w:lang w:val="en-GB"/>
        </w:rPr>
        <w:t>1</w:t>
      </w:r>
      <w:r>
        <w:rPr>
          <w:spacing w:val="-2"/>
          <w:sz w:val="16"/>
          <w:szCs w:val="16"/>
          <w:lang w:val="en-GB"/>
        </w:rPr>
        <w:t>.</w:t>
      </w:r>
      <w:r w:rsidRPr="00A61ED1">
        <w:rPr>
          <w:spacing w:val="-2"/>
          <w:sz w:val="16"/>
          <w:szCs w:val="16"/>
          <w:lang w:val="en-GB"/>
        </w:rPr>
        <w:t>7%</w:t>
      </w:r>
      <w:r>
        <w:rPr>
          <w:spacing w:val="-2"/>
          <w:sz w:val="16"/>
          <w:szCs w:val="16"/>
          <w:lang w:val="en-GB"/>
        </w:rPr>
        <w:t xml:space="preserve"> for the whole year 2020</w:t>
      </w:r>
      <w:r w:rsidRPr="00A61ED1">
        <w:rPr>
          <w:spacing w:val="-2"/>
          <w:sz w:val="16"/>
          <w:szCs w:val="16"/>
          <w:lang w:val="en-GB"/>
        </w:rPr>
        <w:t xml:space="preserve"> (</w:t>
      </w:r>
      <w:r>
        <w:rPr>
          <w:spacing w:val="-2"/>
          <w:sz w:val="16"/>
          <w:szCs w:val="16"/>
          <w:lang w:val="en-GB"/>
        </w:rPr>
        <w:t>by similar pace for both males and females</w:t>
      </w:r>
      <w:r w:rsidRPr="00A61ED1">
        <w:rPr>
          <w:spacing w:val="-2"/>
          <w:sz w:val="16"/>
          <w:szCs w:val="16"/>
          <w:lang w:val="en-GB"/>
        </w:rPr>
        <w:t>),</w:t>
      </w:r>
      <w:r>
        <w:rPr>
          <w:spacing w:val="-2"/>
          <w:sz w:val="16"/>
          <w:szCs w:val="16"/>
          <w:lang w:val="en-GB"/>
        </w:rPr>
        <w:t xml:space="preserve"> which was the most in the last twelve years</w:t>
      </w:r>
      <w:r w:rsidRPr="00A61ED1">
        <w:rPr>
          <w:spacing w:val="-2"/>
          <w:sz w:val="16"/>
          <w:szCs w:val="16"/>
          <w:lang w:val="en-GB"/>
        </w:rPr>
        <w:t>.</w:t>
      </w:r>
    </w:p>
  </w:footnote>
  <w:footnote w:id="17">
    <w:p w14:paraId="477081E7" w14:textId="77777777" w:rsidR="009732DF" w:rsidRPr="00A61ED1" w:rsidRDefault="009732DF" w:rsidP="009732DF">
      <w:pPr>
        <w:pStyle w:val="Textpoznpodarou"/>
        <w:jc w:val="both"/>
        <w:rPr>
          <w:sz w:val="16"/>
          <w:szCs w:val="16"/>
          <w:lang w:val="en-GB"/>
        </w:rPr>
      </w:pPr>
      <w:r w:rsidRPr="00A61ED1">
        <w:rPr>
          <w:rStyle w:val="Znakapoznpodarou"/>
          <w:sz w:val="16"/>
          <w:szCs w:val="16"/>
          <w:lang w:val="en-GB"/>
        </w:rPr>
        <w:footnoteRef/>
      </w:r>
      <w:r w:rsidRPr="00A61ED1">
        <w:rPr>
          <w:sz w:val="16"/>
          <w:szCs w:val="16"/>
          <w:lang w:val="en-GB"/>
        </w:rPr>
        <w:t xml:space="preserve"> </w:t>
      </w:r>
      <w:r>
        <w:rPr>
          <w:sz w:val="16"/>
          <w:szCs w:val="16"/>
          <w:lang w:val="en-GB"/>
        </w:rPr>
        <w:t>However only less than one half was able to join employment no later than within two weeks.</w:t>
      </w:r>
    </w:p>
  </w:footnote>
  <w:footnote w:id="18">
    <w:p w14:paraId="42344339" w14:textId="77777777" w:rsidR="009732DF" w:rsidRPr="0053284B" w:rsidRDefault="009732DF" w:rsidP="009732DF">
      <w:pPr>
        <w:pStyle w:val="Textpoznpodarou"/>
        <w:jc w:val="both"/>
        <w:rPr>
          <w:sz w:val="16"/>
          <w:szCs w:val="16"/>
          <w:lang w:val="en-GB"/>
        </w:rPr>
      </w:pPr>
      <w:r w:rsidRPr="00186827">
        <w:rPr>
          <w:rStyle w:val="Znakapoznpodarou"/>
          <w:sz w:val="16"/>
          <w:szCs w:val="16"/>
        </w:rPr>
        <w:footnoteRef/>
      </w:r>
      <w:r w:rsidRPr="00186827">
        <w:rPr>
          <w:sz w:val="16"/>
          <w:szCs w:val="16"/>
        </w:rPr>
        <w:t xml:space="preserve"> </w:t>
      </w:r>
      <w:r w:rsidRPr="0053284B">
        <w:rPr>
          <w:sz w:val="16"/>
          <w:szCs w:val="16"/>
          <w:lang w:val="en-GB"/>
        </w:rPr>
        <w:t>Lower given figures regarding the hours worked stem from</w:t>
      </w:r>
      <w:r>
        <w:rPr>
          <w:sz w:val="16"/>
          <w:szCs w:val="16"/>
          <w:lang w:val="en-GB"/>
        </w:rPr>
        <w:t xml:space="preserve"> </w:t>
      </w:r>
      <w:r w:rsidRPr="0053284B">
        <w:rPr>
          <w:sz w:val="16"/>
          <w:szCs w:val="16"/>
          <w:lang w:val="en-GB"/>
        </w:rPr>
        <w:t>the national accounts and are adjusted for seasonal and calendar effects</w:t>
      </w:r>
      <w:r w:rsidRPr="0053284B">
        <w:rPr>
          <w:rFonts w:cs="Arial"/>
          <w:color w:val="0D0D0D" w:themeColor="text1" w:themeTint="F2"/>
          <w:spacing w:val="-2"/>
          <w:sz w:val="16"/>
          <w:szCs w:val="16"/>
          <w:lang w:val="en-GB"/>
        </w:rPr>
        <w:t>.</w:t>
      </w:r>
    </w:p>
  </w:footnote>
  <w:footnote w:id="19">
    <w:p w14:paraId="6A03C669" w14:textId="77777777" w:rsidR="009732DF" w:rsidRPr="0053284B" w:rsidRDefault="009732DF" w:rsidP="009732DF">
      <w:pPr>
        <w:pStyle w:val="Textpoznpodarou"/>
        <w:jc w:val="both"/>
        <w:rPr>
          <w:sz w:val="16"/>
          <w:szCs w:val="16"/>
          <w:lang w:val="en-GB"/>
        </w:rPr>
      </w:pPr>
      <w:r w:rsidRPr="0053284B">
        <w:rPr>
          <w:rStyle w:val="Znakapoznpodarou"/>
          <w:sz w:val="16"/>
          <w:szCs w:val="16"/>
          <w:lang w:val="en-GB"/>
        </w:rPr>
        <w:footnoteRef/>
      </w:r>
      <w:r w:rsidRPr="0053284B">
        <w:rPr>
          <w:sz w:val="16"/>
          <w:szCs w:val="16"/>
          <w:lang w:val="en-GB"/>
        </w:rPr>
        <w:t xml:space="preserve"> </w:t>
      </w:r>
      <w:r>
        <w:rPr>
          <w:sz w:val="16"/>
          <w:szCs w:val="16"/>
          <w:lang w:val="en-GB"/>
        </w:rPr>
        <w:t>Compared to Q</w:t>
      </w:r>
      <w:r w:rsidRPr="0053284B">
        <w:rPr>
          <w:sz w:val="16"/>
          <w:szCs w:val="16"/>
          <w:lang w:val="en-GB"/>
        </w:rPr>
        <w:t>2</w:t>
      </w:r>
      <w:r>
        <w:rPr>
          <w:sz w:val="16"/>
          <w:szCs w:val="16"/>
          <w:lang w:val="en-GB"/>
        </w:rPr>
        <w:t xml:space="preserve"> </w:t>
      </w:r>
      <w:r w:rsidRPr="0053284B">
        <w:rPr>
          <w:sz w:val="16"/>
          <w:szCs w:val="16"/>
          <w:lang w:val="en-GB"/>
        </w:rPr>
        <w:t>2019</w:t>
      </w:r>
      <w:r>
        <w:rPr>
          <w:sz w:val="16"/>
          <w:szCs w:val="16"/>
          <w:lang w:val="en-GB"/>
        </w:rPr>
        <w:t xml:space="preserve">, the growth of average wages in accommodation, food service and restaurants was only </w:t>
      </w:r>
      <w:r w:rsidRPr="0053284B">
        <w:rPr>
          <w:sz w:val="16"/>
          <w:szCs w:val="16"/>
          <w:lang w:val="en-GB"/>
        </w:rPr>
        <w:t>0</w:t>
      </w:r>
      <w:r>
        <w:rPr>
          <w:sz w:val="16"/>
          <w:szCs w:val="16"/>
          <w:lang w:val="en-GB"/>
        </w:rPr>
        <w:t>.</w:t>
      </w:r>
      <w:r w:rsidRPr="0053284B">
        <w:rPr>
          <w:sz w:val="16"/>
          <w:szCs w:val="16"/>
          <w:lang w:val="en-GB"/>
        </w:rPr>
        <w:t xml:space="preserve">9%. </w:t>
      </w:r>
      <w:r>
        <w:rPr>
          <w:sz w:val="16"/>
          <w:szCs w:val="16"/>
          <w:lang w:val="en-GB"/>
        </w:rPr>
        <w:t xml:space="preserve">Not even one half of the pace against the whole economy </w:t>
      </w:r>
      <w:r w:rsidRPr="0053284B">
        <w:rPr>
          <w:sz w:val="16"/>
          <w:szCs w:val="16"/>
          <w:lang w:val="en-GB"/>
        </w:rPr>
        <w:t>(10</w:t>
      </w:r>
      <w:r>
        <w:rPr>
          <w:sz w:val="16"/>
          <w:szCs w:val="16"/>
          <w:lang w:val="en-GB"/>
        </w:rPr>
        <w:t>.</w:t>
      </w:r>
      <w:r w:rsidRPr="0053284B">
        <w:rPr>
          <w:sz w:val="16"/>
          <w:szCs w:val="16"/>
          <w:lang w:val="en-GB"/>
        </w:rPr>
        <w:t xml:space="preserve">7%) </w:t>
      </w:r>
      <w:r>
        <w:rPr>
          <w:sz w:val="16"/>
          <w:szCs w:val="16"/>
          <w:lang w:val="en-GB"/>
        </w:rPr>
        <w:t xml:space="preserve">was reported by manufacturing or transportation and storage.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4D60"/>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241"/>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trh%20pr&#225;ce-2021-1.p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trh%20pr&#225;ce-2021-1.p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trh%20pr&#225;ce-2021-1.p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3420125451377358"/>
          <c:h val="0.66642820303791572"/>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1-SNÚ'!$AC$28:$AC$54</c:f>
              <c:numCache>
                <c:formatCode>#\ ##0.0</c:formatCode>
                <c:ptCount val="27"/>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-0.11113022567347482</c:v>
                </c:pt>
                <c:pt idx="21">
                  <c:v>-3.5074130368155279E-2</c:v>
                </c:pt>
                <c:pt idx="22">
                  <c:v>5.2773986790109355E-2</c:v>
                </c:pt>
                <c:pt idx="23">
                  <c:v>4.443918031608541E-2</c:v>
                </c:pt>
                <c:pt idx="24">
                  <c:v>1.2047216935347455E-2</c:v>
                </c:pt>
                <c:pt idx="25">
                  <c:v>-5.8656540063489492E-2</c:v>
                </c:pt>
              </c:numCache>
            </c:numRef>
          </c:val>
          <c:extLst>
            <c:ext xmlns:c16="http://schemas.microsoft.com/office/drawing/2014/chart" uri="{C3380CC4-5D6E-409C-BE32-E72D297353CC}">
              <c16:uniqueId val="{00000000-5616-4F80-8633-7E20D64EA5C5}"/>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1-SNÚ'!$AD$28:$AD$54</c:f>
              <c:numCache>
                <c:formatCode>#\ ##0.0</c:formatCode>
                <c:ptCount val="27"/>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-0.94324538896959609</c:v>
                </c:pt>
                <c:pt idx="21">
                  <c:v>-1.2295778121418541</c:v>
                </c:pt>
                <c:pt idx="22">
                  <c:v>-1.2343771039367566</c:v>
                </c:pt>
                <c:pt idx="23">
                  <c:v>-1.0657457809109596</c:v>
                </c:pt>
                <c:pt idx="24">
                  <c:v>-0.57050059151835375</c:v>
                </c:pt>
                <c:pt idx="25">
                  <c:v>-0.16123981086550393</c:v>
                </c:pt>
              </c:numCache>
            </c:numRef>
          </c:val>
          <c:extLst>
            <c:ext xmlns:c16="http://schemas.microsoft.com/office/drawing/2014/chart" uri="{C3380CC4-5D6E-409C-BE32-E72D297353CC}">
              <c16:uniqueId val="{00000001-5616-4F80-8633-7E20D64EA5C5}"/>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1-SNÚ'!$AE$28:$AE$54</c:f>
              <c:numCache>
                <c:formatCode>#\ ##0.0</c:formatCode>
                <c:ptCount val="27"/>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0.21637275727153377</c:v>
                </c:pt>
                <c:pt idx="21">
                  <c:v>-8.4471727588227383E-3</c:v>
                </c:pt>
                <c:pt idx="22">
                  <c:v>7.7604469929050846E-2</c:v>
                </c:pt>
                <c:pt idx="23">
                  <c:v>0.12629596568001819</c:v>
                </c:pt>
                <c:pt idx="24">
                  <c:v>-5.7659833670562981E-2</c:v>
                </c:pt>
                <c:pt idx="25">
                  <c:v>0.15465361586797199</c:v>
                </c:pt>
              </c:numCache>
            </c:numRef>
          </c:val>
          <c:extLst>
            <c:ext xmlns:c16="http://schemas.microsoft.com/office/drawing/2014/chart" uri="{C3380CC4-5D6E-409C-BE32-E72D297353CC}">
              <c16:uniqueId val="{00000002-5616-4F80-8633-7E20D64EA5C5}"/>
            </c:ext>
          </c:extLst>
        </c:ser>
        <c:ser>
          <c:idx val="3"/>
          <c:order val="3"/>
          <c:tx>
            <c:strRef>
              <c:f>'Trh práce 1-SNÚ'!$AF$7</c:f>
              <c:strCache>
                <c:ptCount val="1"/>
                <c:pt idx="0">
                  <c:v>Trade, transport., accommod., food service</c:v>
                </c:pt>
              </c:strCache>
            </c:strRef>
          </c:tx>
          <c:spPr>
            <a:solidFill>
              <a:srgbClr val="FDDEB3"/>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1-SNÚ'!$AF$28:$AF$54</c:f>
              <c:numCache>
                <c:formatCode>#\ ##0.0</c:formatCode>
                <c:ptCount val="27"/>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-0.41094264742004311</c:v>
                </c:pt>
                <c:pt idx="21">
                  <c:v>-0.95188618940507708</c:v>
                </c:pt>
                <c:pt idx="22">
                  <c:v>-0.76136376823580798</c:v>
                </c:pt>
                <c:pt idx="23">
                  <c:v>-1.2617401200430671</c:v>
                </c:pt>
                <c:pt idx="24">
                  <c:v>-1.1431696820850703</c:v>
                </c:pt>
                <c:pt idx="25">
                  <c:v>-0.49946250269032738</c:v>
                </c:pt>
              </c:numCache>
            </c:numRef>
          </c:val>
          <c:extLst>
            <c:ext xmlns:c16="http://schemas.microsoft.com/office/drawing/2014/chart" uri="{C3380CC4-5D6E-409C-BE32-E72D297353CC}">
              <c16:uniqueId val="{00000003-5616-4F80-8633-7E20D64EA5C5}"/>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1-SNÚ'!$AG$28:$AG$54</c:f>
              <c:numCache>
                <c:formatCode>#\ ##0.0</c:formatCode>
                <c:ptCount val="27"/>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0.19847048747347235</c:v>
                </c:pt>
                <c:pt idx="21">
                  <c:v>0.15449144439125151</c:v>
                </c:pt>
                <c:pt idx="22">
                  <c:v>0.16384803228552275</c:v>
                </c:pt>
                <c:pt idx="23">
                  <c:v>0.13435229940883867</c:v>
                </c:pt>
                <c:pt idx="24">
                  <c:v>0.11113094268360513</c:v>
                </c:pt>
                <c:pt idx="25">
                  <c:v>0.16767589315653939</c:v>
                </c:pt>
              </c:numCache>
            </c:numRef>
          </c:val>
          <c:extLst>
            <c:ext xmlns:c16="http://schemas.microsoft.com/office/drawing/2014/chart" uri="{C3380CC4-5D6E-409C-BE32-E72D297353CC}">
              <c16:uniqueId val="{00000004-5616-4F80-8633-7E20D64EA5C5}"/>
            </c:ext>
          </c:extLst>
        </c:ser>
        <c:ser>
          <c:idx val="5"/>
          <c:order val="5"/>
          <c:tx>
            <c:strRef>
              <c:f>'Trh práce 1-SNÚ'!$AH$7</c:f>
              <c:strCache>
                <c:ptCount val="1"/>
                <c:pt idx="0">
                  <c:v>Professional, scientific, technic., admin. act.</c:v>
                </c:pt>
              </c:strCache>
            </c:strRef>
          </c:tx>
          <c:spPr>
            <a:solidFill>
              <a:srgbClr val="E8C0BE"/>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1-SNÚ'!$AH$28:$AH$54</c:f>
              <c:numCache>
                <c:formatCode>#\ ##0.0</c:formatCode>
                <c:ptCount val="27"/>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-0.16110202913856714</c:v>
                </c:pt>
                <c:pt idx="21">
                  <c:v>-0.27232950437682868</c:v>
                </c:pt>
                <c:pt idx="22">
                  <c:v>-0.38977227241839929</c:v>
                </c:pt>
                <c:pt idx="23">
                  <c:v>-0.21911010402833297</c:v>
                </c:pt>
                <c:pt idx="24">
                  <c:v>-0.23000917256563372</c:v>
                </c:pt>
                <c:pt idx="25">
                  <c:v>0.11656251659449672</c:v>
                </c:pt>
              </c:numCache>
            </c:numRef>
          </c:val>
          <c:extLst>
            <c:ext xmlns:c16="http://schemas.microsoft.com/office/drawing/2014/chart" uri="{C3380CC4-5D6E-409C-BE32-E72D297353CC}">
              <c16:uniqueId val="{00000005-5616-4F80-8633-7E20D64EA5C5}"/>
            </c:ext>
          </c:extLst>
        </c:ser>
        <c:ser>
          <c:idx val="6"/>
          <c:order val="6"/>
          <c:tx>
            <c:strRef>
              <c:f>'Trh práce 1-SNÚ'!$AI$7</c:f>
              <c:strCache>
                <c:ptCount val="1"/>
                <c:pt idx="0">
                  <c:v>Public admin, education, health, soc. work</c:v>
                </c:pt>
              </c:strCache>
            </c:strRef>
          </c:tx>
          <c:spPr>
            <a:solidFill>
              <a:srgbClr val="D58D8B"/>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1-SNÚ'!$AI$28:$AI$54</c:f>
              <c:numCache>
                <c:formatCode>#\ ##0.0</c:formatCode>
                <c:ptCount val="27"/>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0.3994248458850107</c:v>
                </c:pt>
                <c:pt idx="21">
                  <c:v>0.35002513033895699</c:v>
                </c:pt>
                <c:pt idx="22">
                  <c:v>0.49047572295296393</c:v>
                </c:pt>
                <c:pt idx="23">
                  <c:v>0.42689329847921881</c:v>
                </c:pt>
                <c:pt idx="24">
                  <c:v>0.43987169157938644</c:v>
                </c:pt>
                <c:pt idx="25">
                  <c:v>0.55749982783951901</c:v>
                </c:pt>
              </c:numCache>
            </c:numRef>
          </c:val>
          <c:extLst>
            <c:ext xmlns:c16="http://schemas.microsoft.com/office/drawing/2014/chart" uri="{C3380CC4-5D6E-409C-BE32-E72D297353CC}">
              <c16:uniqueId val="{00000006-5616-4F80-8633-7E20D64EA5C5}"/>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1-SNÚ'!$AJ$28:$AJ$54</c:f>
              <c:numCache>
                <c:formatCode>#\ ##0.0</c:formatCode>
                <c:ptCount val="27"/>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8.3034885507349665E-2</c:v>
                </c:pt>
                <c:pt idx="21">
                  <c:v>-0.1425001317575314</c:v>
                </c:pt>
                <c:pt idx="22">
                  <c:v>-0.13695448229824189</c:v>
                </c:pt>
                <c:pt idx="23">
                  <c:v>-0.22635341325241007</c:v>
                </c:pt>
                <c:pt idx="24">
                  <c:v>-0.19247745826705126</c:v>
                </c:pt>
                <c:pt idx="25">
                  <c:v>9.4946286859007335E-3</c:v>
                </c:pt>
              </c:numCache>
            </c:numRef>
          </c:val>
          <c:extLst>
            <c:ext xmlns:c16="http://schemas.microsoft.com/office/drawing/2014/chart" uri="{C3380CC4-5D6E-409C-BE32-E72D297353CC}">
              <c16:uniqueId val="{00000007-5616-4F80-8633-7E20D64EA5C5}"/>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c:v>
                </c:pt>
              </c:strCache>
            </c:strRef>
          </c:tx>
          <c:spPr>
            <a:ln w="22225">
              <a:solidFill>
                <a:schemeClr val="tx1">
                  <a:lumMod val="95000"/>
                  <a:lumOff val="5000"/>
                </a:schemeClr>
              </a:solidFill>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1-SNÚ'!$AK$28:$AK$54</c:f>
              <c:numCache>
                <c:formatCode>#\ ##0.0</c:formatCode>
                <c:ptCount val="27"/>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-0.72911731506431465</c:v>
                </c:pt>
                <c:pt idx="21">
                  <c:v>-2.1352983660780609</c:v>
                </c:pt>
                <c:pt idx="22">
                  <c:v>-1.7377654149315589</c:v>
                </c:pt>
                <c:pt idx="23">
                  <c:v>-2.0409686743506086</c:v>
                </c:pt>
                <c:pt idx="24">
                  <c:v>-1.6307668869083329</c:v>
                </c:pt>
                <c:pt idx="25">
                  <c:v>0.28652762852510705</c:v>
                </c:pt>
              </c:numCache>
            </c:numRef>
          </c:val>
          <c:smooth val="0"/>
          <c:extLst>
            <c:ext xmlns:c16="http://schemas.microsoft.com/office/drawing/2014/chart" uri="{C3380CC4-5D6E-409C-BE32-E72D297353CC}">
              <c16:uniqueId val="{00000008-5616-4F80-8633-7E20D64EA5C5}"/>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1-SNÚ'!$AL$28:$AL$54</c:f>
              <c:numCache>
                <c:formatCode>General</c:formatCode>
                <c:ptCount val="27"/>
              </c:numCache>
            </c:numRef>
          </c:val>
          <c:smooth val="0"/>
          <c:extLst>
            <c:ext xmlns:c16="http://schemas.microsoft.com/office/drawing/2014/chart" uri="{C3380CC4-5D6E-409C-BE32-E72D297353CC}">
              <c16:uniqueId val="{00000009-5616-4F80-8633-7E20D64EA5C5}"/>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1-SNÚ'!$AM$28:$AM$54</c:f>
              <c:numCache>
                <c:formatCode>General</c:formatCode>
                <c:ptCount val="27"/>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pt idx="26" formatCode="#\ ##0.0">
                  <c:v>6.4</c:v>
                </c:pt>
              </c:numCache>
            </c:numRef>
          </c:val>
          <c:smooth val="0"/>
          <c:extLst>
            <c:ext xmlns:c16="http://schemas.microsoft.com/office/drawing/2014/chart" uri="{C3380CC4-5D6E-409C-BE32-E72D297353CC}">
              <c16:uniqueId val="{0000000A-5616-4F80-8633-7E20D64EA5C5}"/>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1-SNÚ'!$AN$28:$AN$54</c:f>
              <c:numCache>
                <c:formatCode>General</c:formatCode>
                <c:ptCount val="27"/>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pt idx="26" formatCode="#\ ##0.0">
                  <c:v>3</c:v>
                </c:pt>
              </c:numCache>
            </c:numRef>
          </c:val>
          <c:smooth val="0"/>
          <c:extLst>
            <c:ext xmlns:c16="http://schemas.microsoft.com/office/drawing/2014/chart" uri="{C3380CC4-5D6E-409C-BE32-E72D297353CC}">
              <c16:uniqueId val="{0000000B-5616-4F80-8633-7E20D64EA5C5}"/>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1-SNÚ'!$AO$28:$AO$54</c:f>
              <c:numCache>
                <c:formatCode>General</c:formatCode>
                <c:ptCount val="27"/>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pt idx="26" formatCode="#\ ##0.0">
                  <c:v>10.199999999999999</c:v>
                </c:pt>
              </c:numCache>
            </c:numRef>
          </c:val>
          <c:smooth val="0"/>
          <c:extLst>
            <c:ext xmlns:c16="http://schemas.microsoft.com/office/drawing/2014/chart" uri="{C3380CC4-5D6E-409C-BE32-E72D297353CC}">
              <c16:uniqueId val="{0000000C-5616-4F80-8633-7E20D64EA5C5}"/>
            </c:ext>
          </c:extLst>
        </c:ser>
        <c:ser>
          <c:idx val="13"/>
          <c:order val="13"/>
          <c:tx>
            <c:strRef>
              <c:f>'Trh práce 1-SNÚ'!$AP$7</c:f>
              <c:strCache>
                <c:ptCount val="1"/>
                <c:pt idx="0">
                  <c:v>Employment expectations (selected services)</c:v>
                </c:pt>
              </c:strCache>
            </c:strRef>
          </c:tx>
          <c:spPr>
            <a:ln w="15875">
              <a:solidFill>
                <a:srgbClr val="C00000"/>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1-SNÚ'!$AP$28:$AP$54</c:f>
              <c:numCache>
                <c:formatCode>General</c:formatCode>
                <c:ptCount val="27"/>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pt idx="26" formatCode="#\ ##0.0">
                  <c:v>-16.899999999999999</c:v>
                </c:pt>
              </c:numCache>
            </c:numRef>
          </c:val>
          <c:smooth val="0"/>
          <c:extLst>
            <c:ext xmlns:c16="http://schemas.microsoft.com/office/drawing/2014/chart" uri="{C3380CC4-5D6E-409C-BE32-E72D297353CC}">
              <c16:uniqueId val="{0000000D-5616-4F80-8633-7E20D64EA5C5}"/>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753710637266457E-3"/>
          <c:y val="0.77697798200383883"/>
          <c:w val="0.98705885354543654"/>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1447051208887511"/>
          <c:h val="0.75393509070294773"/>
        </c:manualLayout>
      </c:layout>
      <c:barChart>
        <c:barDir val="col"/>
        <c:grouping val="clustered"/>
        <c:varyColors val="0"/>
        <c:ser>
          <c:idx val="0"/>
          <c:order val="0"/>
          <c:tx>
            <c:strRef>
              <c:f>'Trh práce-2b'!$A$29</c:f>
              <c:strCache>
                <c:ptCount val="1"/>
                <c:pt idx="0">
                  <c:v>Male unemployment rate (left axis)</c:v>
                </c:pt>
              </c:strCache>
            </c:strRef>
          </c:tx>
          <c:spPr>
            <a:solidFill>
              <a:srgbClr val="BCBCBC"/>
            </a:solidFill>
          </c:spPr>
          <c:invertIfNegative val="0"/>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práce-2b'!$B$29:$AB$29</c:f>
              <c:numCache>
                <c:formatCode>0.0</c:formatCode>
                <c:ptCount val="27"/>
                <c:pt idx="0">
                  <c:v>5.0279442811649515</c:v>
                </c:pt>
                <c:pt idx="1">
                  <c:v>4.3132022848917435</c:v>
                </c:pt>
                <c:pt idx="2">
                  <c:v>4.0493220315169971</c:v>
                </c:pt>
                <c:pt idx="3">
                  <c:v>3.796297064946359</c:v>
                </c:pt>
                <c:pt idx="4">
                  <c:v>3.6579593231451923</c:v>
                </c:pt>
                <c:pt idx="5">
                  <c:v>3.5625192464593023</c:v>
                </c:pt>
                <c:pt idx="6">
                  <c:v>3.3812822208883007</c:v>
                </c:pt>
                <c:pt idx="7">
                  <c:v>3.1604955590050579</c:v>
                </c:pt>
                <c:pt idx="8">
                  <c:v>2.7018943335334851</c:v>
                </c:pt>
                <c:pt idx="9">
                  <c:v>2.4843960569492856</c:v>
                </c:pt>
                <c:pt idx="10">
                  <c:v>2.2430057716347727</c:v>
                </c:pt>
                <c:pt idx="11">
                  <c:v>2.086614723505777</c:v>
                </c:pt>
                <c:pt idx="12">
                  <c:v>1.900186791646451</c:v>
                </c:pt>
                <c:pt idx="13">
                  <c:v>1.8247057320577735</c:v>
                </c:pt>
                <c:pt idx="14">
                  <c:v>1.8814809605942038</c:v>
                </c:pt>
                <c:pt idx="15">
                  <c:v>1.6838644007455752</c:v>
                </c:pt>
                <c:pt idx="16">
                  <c:v>1.8091345291598684</c:v>
                </c:pt>
                <c:pt idx="17">
                  <c:v>1.6718639728590583</c:v>
                </c:pt>
                <c:pt idx="18">
                  <c:v>1.7587593615374626</c:v>
                </c:pt>
                <c:pt idx="19">
                  <c:v>1.8616281034094877</c:v>
                </c:pt>
                <c:pt idx="20">
                  <c:v>1.8410741776178936</c:v>
                </c:pt>
                <c:pt idx="21">
                  <c:v>2.2754756502617295</c:v>
                </c:pt>
                <c:pt idx="22">
                  <c:v>2.5091675379318219</c:v>
                </c:pt>
                <c:pt idx="23">
                  <c:v>2.5723824172069443</c:v>
                </c:pt>
                <c:pt idx="24">
                  <c:v>2.651781005746761</c:v>
                </c:pt>
                <c:pt idx="25">
                  <c:v>2.5404279199666977</c:v>
                </c:pt>
              </c:numCache>
            </c:numRef>
          </c:val>
          <c:extLst>
            <c:ext xmlns:c16="http://schemas.microsoft.com/office/drawing/2014/chart" uri="{C3380CC4-5D6E-409C-BE32-E72D297353CC}">
              <c16:uniqueId val="{00000000-E996-415E-B5C6-E776E2721046}"/>
            </c:ext>
          </c:extLst>
        </c:ser>
        <c:ser>
          <c:idx val="1"/>
          <c:order val="1"/>
          <c:tx>
            <c:strRef>
              <c:f>'Trh práce-2b'!$A$30</c:f>
              <c:strCache>
                <c:ptCount val="1"/>
                <c:pt idx="0">
                  <c:v>Female unemployment rate (left axis)</c:v>
                </c:pt>
              </c:strCache>
            </c:strRef>
          </c:tx>
          <c:spPr>
            <a:solidFill>
              <a:schemeClr val="bg1">
                <a:lumMod val="95000"/>
              </a:schemeClr>
            </a:solidFill>
            <a:ln>
              <a:solidFill>
                <a:schemeClr val="bg1">
                  <a:lumMod val="65000"/>
                </a:schemeClr>
              </a:solidFill>
            </a:ln>
          </c:spPr>
          <c:invertIfNegative val="0"/>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práce-2b'!$B$30:$AB$30</c:f>
              <c:numCache>
                <c:formatCode>0.0</c:formatCode>
                <c:ptCount val="27"/>
                <c:pt idx="0">
                  <c:v>6.9457408606984989</c:v>
                </c:pt>
                <c:pt idx="1">
                  <c:v>6.177648448786127</c:v>
                </c:pt>
                <c:pt idx="2">
                  <c:v>5.9674466507578154</c:v>
                </c:pt>
                <c:pt idx="3">
                  <c:v>5.6521751054305609</c:v>
                </c:pt>
                <c:pt idx="4">
                  <c:v>5.0891718315980876</c:v>
                </c:pt>
                <c:pt idx="5">
                  <c:v>4.8062266995652889</c:v>
                </c:pt>
                <c:pt idx="6">
                  <c:v>4.7750484852108821</c:v>
                </c:pt>
                <c:pt idx="7">
                  <c:v>4.3473349153216212</c:v>
                </c:pt>
                <c:pt idx="8">
                  <c:v>4.2801462931522218</c:v>
                </c:pt>
                <c:pt idx="9">
                  <c:v>3.9213812677822548</c:v>
                </c:pt>
                <c:pt idx="10">
                  <c:v>3.3888114698518668</c:v>
                </c:pt>
                <c:pt idx="11">
                  <c:v>2.9905820242198646</c:v>
                </c:pt>
                <c:pt idx="12">
                  <c:v>2.9402559950808258</c:v>
                </c:pt>
                <c:pt idx="13">
                  <c:v>2.9353227379584781</c:v>
                </c:pt>
                <c:pt idx="14">
                  <c:v>2.8604233097151144</c:v>
                </c:pt>
                <c:pt idx="15">
                  <c:v>2.6486774454254731</c:v>
                </c:pt>
                <c:pt idx="16">
                  <c:v>2.2492984850555064</c:v>
                </c:pt>
                <c:pt idx="17">
                  <c:v>2.5011272609131612</c:v>
                </c:pt>
                <c:pt idx="18">
                  <c:v>2.5456393371021431</c:v>
                </c:pt>
                <c:pt idx="19">
                  <c:v>2.4415807173650577</c:v>
                </c:pt>
                <c:pt idx="20">
                  <c:v>2.0566841853223692</c:v>
                </c:pt>
                <c:pt idx="21">
                  <c:v>2.82816978795117</c:v>
                </c:pt>
                <c:pt idx="22">
                  <c:v>3.3522399552982236</c:v>
                </c:pt>
                <c:pt idx="23">
                  <c:v>3.8729626098048868</c:v>
                </c:pt>
                <c:pt idx="24">
                  <c:v>4.1616383855050296</c:v>
                </c:pt>
                <c:pt idx="25">
                  <c:v>3.9284936184524777</c:v>
                </c:pt>
              </c:numCache>
            </c:numRef>
          </c:val>
          <c:extLst>
            <c:ext xmlns:c16="http://schemas.microsoft.com/office/drawing/2014/chart" uri="{C3380CC4-5D6E-409C-BE32-E72D297353CC}">
              <c16:uniqueId val="{00000001-E996-415E-B5C6-E776E2721046}"/>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Ratio of long-term unemployed  (right axis)</c:v>
                </c:pt>
              </c:strCache>
            </c:strRef>
          </c:tx>
          <c:spPr>
            <a:ln w="19050">
              <a:solidFill>
                <a:srgbClr val="66330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práce-2b'!$B$31:$AB$31</c:f>
              <c:numCache>
                <c:formatCode>0.0</c:formatCode>
                <c:ptCount val="27"/>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pt idx="25">
                  <c:v>28.499369482976043</c:v>
                </c:pt>
              </c:numCache>
            </c:numRef>
          </c:val>
          <c:smooth val="0"/>
          <c:extLst>
            <c:ext xmlns:c16="http://schemas.microsoft.com/office/drawing/2014/chart" uri="{C3380CC4-5D6E-409C-BE32-E72D297353CC}">
              <c16:uniqueId val="{00000002-E996-415E-B5C6-E776E2721046}"/>
            </c:ext>
          </c:extLst>
        </c:ser>
        <c:ser>
          <c:idx val="3"/>
          <c:order val="3"/>
          <c:tx>
            <c:strRef>
              <c:f>'Trh práce-2b'!$A$32</c:f>
              <c:strCache>
                <c:ptCount val="1"/>
                <c:pt idx="0">
                  <c:v>Ratio of unemployed aged 15-24 (right axis)</c:v>
                </c:pt>
              </c:strCache>
            </c:strRef>
          </c:tx>
          <c:spPr>
            <a:ln w="19050">
              <a:solidFill>
                <a:srgbClr val="00B05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práce-2b'!$B$32:$AB$32</c:f>
              <c:numCache>
                <c:formatCode>0.0</c:formatCode>
                <c:ptCount val="27"/>
                <c:pt idx="0">
                  <c:v>15.528146742567998</c:v>
                </c:pt>
                <c:pt idx="1">
                  <c:v>15.699006875477464</c:v>
                </c:pt>
                <c:pt idx="2">
                  <c:v>17.548638132295721</c:v>
                </c:pt>
                <c:pt idx="3">
                  <c:v>16.603295310519645</c:v>
                </c:pt>
                <c:pt idx="4">
                  <c:v>13.711072664359861</c:v>
                </c:pt>
                <c:pt idx="5">
                  <c:v>15.450643776824036</c:v>
                </c:pt>
                <c:pt idx="6">
                  <c:v>18.122065727699532</c:v>
                </c:pt>
                <c:pt idx="7">
                  <c:v>18.684759916492691</c:v>
                </c:pt>
                <c:pt idx="8">
                  <c:v>14.75054229934924</c:v>
                </c:pt>
                <c:pt idx="9">
                  <c:v>16.320100819155638</c:v>
                </c:pt>
                <c:pt idx="10">
                  <c:v>18.837675350701407</c:v>
                </c:pt>
                <c:pt idx="11">
                  <c:v>14.996114996114999</c:v>
                </c:pt>
                <c:pt idx="12">
                  <c:v>14.560862865947611</c:v>
                </c:pt>
                <c:pt idx="13">
                  <c:v>17.00507614213198</c:v>
                </c:pt>
                <c:pt idx="14">
                  <c:v>18.09598741148702</c:v>
                </c:pt>
                <c:pt idx="15">
                  <c:v>16.15523465703971</c:v>
                </c:pt>
                <c:pt idx="16">
                  <c:v>14.311759343664537</c:v>
                </c:pt>
                <c:pt idx="17">
                  <c:v>15.52734375</c:v>
                </c:pt>
                <c:pt idx="18">
                  <c:v>15.491731940818102</c:v>
                </c:pt>
                <c:pt idx="19">
                  <c:v>13.761467889908257</c:v>
                </c:pt>
                <c:pt idx="20">
                  <c:v>13.477851083883131</c:v>
                </c:pt>
                <c:pt idx="21">
                  <c:v>14.251781472684085</c:v>
                </c:pt>
                <c:pt idx="22">
                  <c:v>16.829109811565949</c:v>
                </c:pt>
                <c:pt idx="23">
                  <c:v>15.779702970297031</c:v>
                </c:pt>
                <c:pt idx="24">
                  <c:v>14.166201896263244</c:v>
                </c:pt>
                <c:pt idx="25">
                  <c:v>11.368421052631577</c:v>
                </c:pt>
              </c:numCache>
            </c:numRef>
          </c:val>
          <c:smooth val="0"/>
          <c:extLst>
            <c:ext xmlns:c16="http://schemas.microsoft.com/office/drawing/2014/chart" uri="{C3380CC4-5D6E-409C-BE32-E72D297353CC}">
              <c16:uniqueId val="{00000003-E996-415E-B5C6-E776E2721046}"/>
            </c:ext>
          </c:extLst>
        </c:ser>
        <c:ser>
          <c:idx val="6"/>
          <c:order val="4"/>
          <c:tx>
            <c:strRef>
              <c:f>'Trh práce-2b'!$A$33</c:f>
              <c:strCache>
                <c:ptCount val="1"/>
                <c:pt idx="0">
                  <c:v>Ratio of unemployed aged 50+ (right axis)</c:v>
                </c:pt>
              </c:strCache>
            </c:strRef>
          </c:tx>
          <c:spPr>
            <a:ln w="19050">
              <a:solidFill>
                <a:srgbClr val="0070C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práce-2b'!$B$33:$AB$33</c:f>
              <c:numCache>
                <c:formatCode>0.0</c:formatCode>
                <c:ptCount val="27"/>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20.544554455445546</c:v>
                </c:pt>
                <c:pt idx="24">
                  <c:v>23.145566090351366</c:v>
                </c:pt>
              </c:numCache>
            </c:numRef>
          </c:val>
          <c:smooth val="0"/>
          <c:extLst>
            <c:ext xmlns:c16="http://schemas.microsoft.com/office/drawing/2014/chart" uri="{C3380CC4-5D6E-409C-BE32-E72D297353CC}">
              <c16:uniqueId val="{00000004-E996-415E-B5C6-E776E2721046}"/>
            </c:ext>
          </c:extLst>
        </c:ser>
        <c:ser>
          <c:idx val="7"/>
          <c:order val="5"/>
          <c:tx>
            <c:strRef>
              <c:f>'Trh práce-2b'!$A$34</c:f>
              <c:strCache>
                <c:ptCount val="1"/>
                <c:pt idx="0">
                  <c:v>Economic. inactive seeking empl. (right axis)</c:v>
                </c:pt>
              </c:strCache>
            </c:strRef>
          </c:tx>
          <c:spPr>
            <a:ln w="19050">
              <a:solidFill>
                <a:schemeClr val="accent2">
                  <a:lumMod val="60000"/>
                  <a:lumOff val="40000"/>
                </a:schemeClr>
              </a:solidFill>
              <a:prstDash val="solid"/>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práce-2b'!$B$34:$AB$34</c:f>
              <c:numCache>
                <c:formatCode>General</c:formatCode>
                <c:ptCount val="27"/>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pt idx="25" formatCode="0.0">
                  <c:v>113.5</c:v>
                </c:pt>
              </c:numCache>
            </c:numRef>
          </c:val>
          <c:smooth val="0"/>
          <c:extLst>
            <c:ext xmlns:c16="http://schemas.microsoft.com/office/drawing/2014/chart" uri="{C3380CC4-5D6E-409C-BE32-E72D297353CC}">
              <c16:uniqueId val="{00000005-E996-415E-B5C6-E776E2721046}"/>
            </c:ext>
          </c:extLst>
        </c:ser>
        <c:ser>
          <c:idx val="4"/>
          <c:order val="6"/>
          <c:tx>
            <c:strRef>
              <c:f>'Trh práce-2b'!$A$35</c:f>
              <c:strCache>
                <c:ptCount val="1"/>
                <c:pt idx="0">
                  <c:v>Unemployment expectations (right axis)</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práce-2b'!$B$35:$AB$35</c:f>
              <c:numCache>
                <c:formatCode>#\ ##0.0</c:formatCode>
                <c:ptCount val="27"/>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pt idx="26">
                  <c:v>14.2</c:v>
                </c:pt>
              </c:numCache>
            </c:numRef>
          </c:val>
          <c:smooth val="0"/>
          <c:extLst>
            <c:ext xmlns:c16="http://schemas.microsoft.com/office/drawing/2014/chart" uri="{C3380CC4-5D6E-409C-BE32-E72D297353CC}">
              <c16:uniqueId val="{00000006-E996-415E-B5C6-E776E2721046}"/>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Number of economically inactive, Selected groups of unemployed, Unemployment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Wage (real)</c:v>
                </c:pt>
              </c:strCache>
            </c:strRef>
          </c:tx>
          <c:spPr>
            <a:solidFill>
              <a:srgbClr val="DBDBDB"/>
            </a:solidFill>
            <a:ln w="19050">
              <a:noFill/>
            </a:ln>
          </c:spPr>
          <c:invertIfNegative val="0"/>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3'!$D$29:$D$54</c:f>
              <c:numCache>
                <c:formatCode>#\ ##0.0</c:formatCode>
                <c:ptCount val="26"/>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1.0999999999999943</c:v>
                </c:pt>
                <c:pt idx="25">
                  <c:v>8.2000000000000028</c:v>
                </c:pt>
              </c:numCache>
            </c:numRef>
          </c:val>
          <c:extLst>
            <c:ext xmlns:c16="http://schemas.microsoft.com/office/drawing/2014/chart" uri="{C3380CC4-5D6E-409C-BE32-E72D297353CC}">
              <c16:uniqueId val="{00000000-94DA-42DB-9389-F422387FA04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Wage (nominal)</c:v>
                </c:pt>
              </c:strCache>
            </c:strRef>
          </c:tx>
          <c:spPr>
            <a:ln w="19050">
              <a:solidFill>
                <a:schemeClr val="tx1">
                  <a:lumMod val="95000"/>
                  <a:lumOff val="5000"/>
                </a:schemeClr>
              </a:solidFill>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3'!$C$29:$C$54</c:f>
              <c:numCache>
                <c:formatCode>0.0</c:formatCode>
                <c:ptCount val="26"/>
                <c:pt idx="0">
                  <c:v>2.2702659339777824</c:v>
                </c:pt>
                <c:pt idx="1">
                  <c:v>3.2813172200711875</c:v>
                </c:pt>
                <c:pt idx="2">
                  <c:v>3.4969737726967054</c:v>
                </c:pt>
                <c:pt idx="3">
                  <c:v>3.657239279556876</c:v>
                </c:pt>
                <c:pt idx="4">
                  <c:v>4.6515276307016507</c:v>
                </c:pt>
                <c:pt idx="5">
                  <c:v>3.9533474704634983</c:v>
                </c:pt>
                <c:pt idx="6">
                  <c:v>4.7127622979016053</c:v>
                </c:pt>
                <c:pt idx="7">
                  <c:v>4.3633661264066887</c:v>
                </c:pt>
                <c:pt idx="8">
                  <c:v>5.0631488213469282</c:v>
                </c:pt>
                <c:pt idx="9">
                  <c:v>7.2125892466851269</c:v>
                </c:pt>
                <c:pt idx="10">
                  <c:v>6.7090086143962679</c:v>
                </c:pt>
                <c:pt idx="11">
                  <c:v>7.8362890373334153</c:v>
                </c:pt>
                <c:pt idx="12">
                  <c:v>8.5360633516444295</c:v>
                </c:pt>
                <c:pt idx="13">
                  <c:v>8.7353900516444725</c:v>
                </c:pt>
                <c:pt idx="14">
                  <c:v>8.3840733392624998</c:v>
                </c:pt>
                <c:pt idx="15">
                  <c:v>7.090749009496264</c:v>
                </c:pt>
                <c:pt idx="16">
                  <c:v>8.2952640746705129</c:v>
                </c:pt>
                <c:pt idx="17">
                  <c:v>8.0398712620691697</c:v>
                </c:pt>
                <c:pt idx="18">
                  <c:v>7.7071169323023554</c:v>
                </c:pt>
                <c:pt idx="19">
                  <c:v>7.5667263704965109</c:v>
                </c:pt>
                <c:pt idx="20">
                  <c:v>3.7813723407483764</c:v>
                </c:pt>
                <c:pt idx="21">
                  <c:v>-0.56108283202220832</c:v>
                </c:pt>
                <c:pt idx="22">
                  <c:v>3.985114425528181</c:v>
                </c:pt>
                <c:pt idx="23">
                  <c:v>5.3229240596167386</c:v>
                </c:pt>
                <c:pt idx="24">
                  <c:v>3.3394742228850589</c:v>
                </c:pt>
                <c:pt idx="25">
                  <c:v>11.322785178290971</c:v>
                </c:pt>
              </c:numCache>
            </c:numRef>
          </c:val>
          <c:smooth val="0"/>
          <c:extLst>
            <c:ext xmlns:c16="http://schemas.microsoft.com/office/drawing/2014/chart" uri="{C3380CC4-5D6E-409C-BE32-E72D297353CC}">
              <c16:uniqueId val="{00000001-94DA-42DB-9389-F422387FA04A}"/>
            </c:ext>
          </c:extLst>
        </c:ser>
        <c:ser>
          <c:idx val="5"/>
          <c:order val="2"/>
          <c:tx>
            <c:strRef>
              <c:f>'Trh práce 3'!$E$8</c:f>
              <c:strCache>
                <c:ptCount val="1"/>
                <c:pt idx="0">
                  <c:v>Wage in industry (nominal)</c:v>
                </c:pt>
              </c:strCache>
            </c:strRef>
          </c:tx>
          <c:spPr>
            <a:ln w="9525">
              <a:solidFill>
                <a:srgbClr val="C00000"/>
              </a:solidFill>
              <a:prstDash val="solid"/>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3'!$E$29:$E$54</c:f>
              <c:numCache>
                <c:formatCode>0.0</c:formatCode>
                <c:ptCount val="26"/>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2.3606421420532087</c:v>
                </c:pt>
                <c:pt idx="25">
                  <c:v>10.679232824083812</c:v>
                </c:pt>
              </c:numCache>
            </c:numRef>
          </c:val>
          <c:smooth val="0"/>
          <c:extLst>
            <c:ext xmlns:c16="http://schemas.microsoft.com/office/drawing/2014/chart" uri="{C3380CC4-5D6E-409C-BE32-E72D297353CC}">
              <c16:uniqueId val="{00000002-94DA-42DB-9389-F422387FA04A}"/>
            </c:ext>
          </c:extLst>
        </c:ser>
        <c:ser>
          <c:idx val="1"/>
          <c:order val="3"/>
          <c:tx>
            <c:strRef>
              <c:f>'Trh práce 3'!$F$8</c:f>
              <c:strCache>
                <c:ptCount val="1"/>
                <c:pt idx="0">
                  <c:v>Wage in trade (nominal)</c:v>
                </c:pt>
              </c:strCache>
            </c:strRef>
          </c:tx>
          <c:spPr>
            <a:ln w="9525">
              <a:solidFill>
                <a:srgbClr val="0070C0"/>
              </a:solidFill>
              <a:prstDash val="solid"/>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3'!$F$29:$F$54</c:f>
              <c:numCache>
                <c:formatCode>0.0</c:formatCode>
                <c:ptCount val="26"/>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2.1085453198320607</c:v>
                </c:pt>
                <c:pt idx="25">
                  <c:v>9.4433399602385606</c:v>
                </c:pt>
              </c:numCache>
            </c:numRef>
          </c:val>
          <c:smooth val="0"/>
          <c:extLst>
            <c:ext xmlns:c16="http://schemas.microsoft.com/office/drawing/2014/chart" uri="{C3380CC4-5D6E-409C-BE32-E72D297353CC}">
              <c16:uniqueId val="{00000003-94DA-42DB-9389-F422387FA04A}"/>
            </c:ext>
          </c:extLst>
        </c:ser>
        <c:ser>
          <c:idx val="2"/>
          <c:order val="4"/>
          <c:tx>
            <c:strRef>
              <c:f>'Trh práce 3'!$G$8</c:f>
              <c:strCache>
                <c:ptCount val="1"/>
                <c:pt idx="0">
                  <c:v>Wage in public services* (nominal)</c:v>
                </c:pt>
              </c:strCache>
            </c:strRef>
          </c:tx>
          <c:spPr>
            <a:ln w="9525">
              <a:solidFill>
                <a:srgbClr val="00B050"/>
              </a:solidFill>
              <a:prstDash val="solid"/>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3'!$G$29:$G$54</c:f>
              <c:numCache>
                <c:formatCode>0.0</c:formatCode>
                <c:ptCount val="26"/>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4.9345963778913102</c:v>
                </c:pt>
                <c:pt idx="25">
                  <c:v>17.753622086318074</c:v>
                </c:pt>
              </c:numCache>
            </c:numRef>
          </c:val>
          <c:smooth val="0"/>
          <c:extLst>
            <c:ext xmlns:c16="http://schemas.microsoft.com/office/drawing/2014/chart" uri="{C3380CC4-5D6E-409C-BE32-E72D297353CC}">
              <c16:uniqueId val="{00000004-94DA-42DB-9389-F422387FA04A}"/>
            </c:ext>
          </c:extLst>
        </c:ser>
        <c:ser>
          <c:idx val="3"/>
          <c:order val="5"/>
          <c:tx>
            <c:strRef>
              <c:f>'Trh práce 3'!$H$8</c:f>
              <c:strCache>
                <c:ptCount val="1"/>
                <c:pt idx="0">
                  <c:v>Total median wage (nomina</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3'!$H$29:$H$54</c:f>
              <c:numCache>
                <c:formatCode>0.0</c:formatCode>
                <c:ptCount val="26"/>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8.7000000000000028</c:v>
                </c:pt>
                <c:pt idx="17">
                  <c:v>8</c:v>
                </c:pt>
                <c:pt idx="18">
                  <c:v>8.5999999999999943</c:v>
                </c:pt>
                <c:pt idx="19">
                  <c:v>8</c:v>
                </c:pt>
                <c:pt idx="20">
                  <c:v>3.5</c:v>
                </c:pt>
                <c:pt idx="21">
                  <c:v>-1.7999999999999972</c:v>
                </c:pt>
                <c:pt idx="22">
                  <c:v>4</c:v>
                </c:pt>
                <c:pt idx="23">
                  <c:v>4.0999999999999943</c:v>
                </c:pt>
                <c:pt idx="24">
                  <c:v>2.5999999999999943</c:v>
                </c:pt>
                <c:pt idx="25">
                  <c:v>11.5</c:v>
                </c:pt>
              </c:numCache>
            </c:numRef>
          </c:val>
          <c:smooth val="0"/>
          <c:extLst>
            <c:ext xmlns:c16="http://schemas.microsoft.com/office/drawing/2014/chart" uri="{C3380CC4-5D6E-409C-BE32-E72D297353CC}">
              <c16:uniqueId val="{00000005-94DA-42DB-9389-F422387FA04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4.4541751097602167E-2"/>
          <c:y val="0.87578174603174608"/>
          <c:w val="0.94203183046268157"/>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26D6-6F5A-490C-9FFF-4AB49273039B}">
  <ds:schemaRefs>
    <ds:schemaRef ds:uri="http://schemas.openxmlformats.org/officeDocument/2006/bibliography"/>
  </ds:schemaRefs>
</ds:datastoreItem>
</file>

<file path=customXml/itemProps2.xml><?xml version="1.0" encoding="utf-8"?>
<ds:datastoreItem xmlns:ds="http://schemas.openxmlformats.org/officeDocument/2006/customXml" ds:itemID="{0C9ED100-D508-47DE-8F6B-CAE2E3C3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6</Pages>
  <Words>2539</Words>
  <Characters>14981</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17486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13</cp:revision>
  <cp:lastPrinted>2019-04-08T10:52:00Z</cp:lastPrinted>
  <dcterms:created xsi:type="dcterms:W3CDTF">2021-10-13T08:35:00Z</dcterms:created>
  <dcterms:modified xsi:type="dcterms:W3CDTF">2021-10-14T10:38:00Z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