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A287" w14:textId="52B1ED66" w:rsidR="00FD7D3B" w:rsidRPr="00134FFF" w:rsidRDefault="008E51EB" w:rsidP="00134FFF">
      <w:pPr>
        <w:pStyle w:val="Nadpis11"/>
        <w:rPr>
          <w:sz w:val="2"/>
          <w:szCs w:val="2"/>
        </w:rPr>
      </w:pPr>
      <w:bookmarkStart w:id="0" w:name="_Toc58605374"/>
      <w:bookmarkStart w:id="1" w:name="_Toc66719930"/>
      <w:bookmarkStart w:id="2" w:name="_Toc532558287"/>
      <w:bookmarkStart w:id="3" w:name="_Toc58605375"/>
      <w:bookmarkStart w:id="4" w:name="_Toc90395912"/>
      <w:r>
        <w:t>4</w:t>
      </w:r>
      <w:bookmarkStart w:id="5" w:name="_Toc511215218"/>
      <w:bookmarkStart w:id="6" w:name="_Toc19090679"/>
      <w:bookmarkStart w:id="7" w:name="_Toc74643856"/>
      <w:bookmarkStart w:id="8" w:name="_Toc42852411"/>
      <w:bookmarkStart w:id="9" w:name="_Toc74643857"/>
      <w:bookmarkStart w:id="10" w:name="_Toc50712130"/>
      <w:bookmarkStart w:id="11" w:name="_Toc58605377"/>
      <w:bookmarkStart w:id="12" w:name="_Toc26865023"/>
      <w:bookmarkStart w:id="13" w:name="_Toc74246554"/>
      <w:bookmarkStart w:id="14" w:name="_Toc66719933"/>
      <w:bookmarkStart w:id="15" w:name="_Toc50712132"/>
      <w:bookmarkEnd w:id="0"/>
      <w:bookmarkEnd w:id="1"/>
      <w:bookmarkEnd w:id="2"/>
      <w:bookmarkEnd w:id="3"/>
      <w:bookmarkEnd w:id="5"/>
      <w:bookmarkEnd w:id="6"/>
      <w:r w:rsidR="00FD7D3B" w:rsidRPr="009110F7">
        <w:t>.</w:t>
      </w:r>
      <w:r w:rsidR="00FD7D3B">
        <w:t> </w:t>
      </w:r>
      <w:r w:rsidR="00FD7D3B" w:rsidRPr="009110F7">
        <w:t>Vnější vztahy</w:t>
      </w:r>
      <w:bookmarkEnd w:id="4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FD7D3B" w:rsidRPr="009110F7" w14:paraId="160BF270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2297E848" w14:textId="77777777" w:rsidR="00FD7D3B" w:rsidRDefault="00FD7D3B" w:rsidP="00B86EB1">
            <w:pPr>
              <w:pStyle w:val="Marginlie"/>
            </w:pPr>
            <w:r>
              <w:t>Výrazný meziroční nárůst hodnoty vývozu v kumulaci od začátku roku byl ovlivněn zejména vývojem ve 2. čtvrtletí. Ve 3. čtvrtletí export rostl jen mírně.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8B6D525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91BAEC0" w14:textId="77777777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vývozu zboží v 1. až 3. čtvrtletí 2021 dosáhla 2 904,7 mld. korun. To je meziročně o 424,1 mld. (17,1 %) více než ve stejném období loňského roku. Z velké části se na výrazném růstu podílely hlavně výsledky za 2. čtvrtletí – vývoz byl letos výrazně vyšší ve srovnání s loňským 2. kvartálem, ovlivněným prvním nástupem pandemie. V samotném 3. čtvrtletí 2021 se část výrobců navázaných na export potýkala s nedostatkem komponent, což také ovlivnilo výrazné zpomalení růstu vývozu. Celková hodnota vývozu ve 3. čtvrtletí dosáhla 906,5 mld. korun a meziročně se zvýšila o 30,9 mld. (3,5 %).</w:t>
            </w:r>
          </w:p>
        </w:tc>
      </w:tr>
      <w:tr w:rsidR="00FD7D3B" w:rsidRPr="009110F7" w14:paraId="0131550B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36081BC" w14:textId="77777777" w:rsidR="00FD7D3B" w:rsidRDefault="00FD7D3B" w:rsidP="00B86EB1">
            <w:pPr>
              <w:pStyle w:val="Marginlie"/>
            </w:pPr>
            <w:r>
              <w:t>Růst vývozu ve 3. čtvrtletí podpořil hlavně export do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85DFB57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87FFD9E" w14:textId="77777777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Od počátku roku rostl silněji vývoz do EU (meziročně za 1. až 3. čtvrtletí +366,8 mld. korun, 18,6 %). Export mimo EU byl vyšší o 57,1 mld. korun (11,2 %). V samotném 3. čtvrtletí dál meziročně rostl vývoz do zemí EU (+35,6 mld. korun, 5,1 %), zatímco hodnota exportu mimo Unii klesla o 4,9 mld. (–2,7 %). Nejvíce ve 3. čtvrtletí meziročně rostl vývoz do Rakouska (+8,5 mld. korun, 23,8 %) a na Slovensko (+8,1 mld., 9,7 %). Silnější byly také přírůstky v případě Německa (+7,2 mld. korun, 2,6 %), Polska (+6,0 mld., 10,0 %), Itálie (+3,8 </w:t>
            </w:r>
            <w:r w:rsidRPr="00944788">
              <w:t>mld</w:t>
            </w:r>
            <w:r>
              <w:rPr>
                <w:spacing w:val="-4"/>
              </w:rPr>
              <w:t>., 13,3 %) a Spojených států (+3,1 mld., 16,0 %). Největší meziroční pokles vykázal vývoz do Ruska (–4,1 mld. korun, –17,8 %), Turecka (–3,8 mld., –29,7 %) a Velké Británie (–3,5 mld., –9,9 %).</w:t>
            </w:r>
          </w:p>
        </w:tc>
      </w:tr>
      <w:tr w:rsidR="00FD7D3B" w:rsidRPr="009110F7" w14:paraId="779FE4C3" w14:textId="77777777" w:rsidTr="00B86EB1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5C9834C7" w14:textId="77777777" w:rsidR="00FD7D3B" w:rsidRDefault="00FD7D3B" w:rsidP="00B86EB1">
            <w:pPr>
              <w:pStyle w:val="Marginlie"/>
            </w:pPr>
            <w:r>
              <w:t>Oslabení dynamiky exportu téměř výhradně souvisí se situací v automobilovém průmyslu.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2D8F75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2CE566A7" w14:textId="00D1488C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Výrazný propad dynamiky vývozu ve 3. čtvrtletí lze z velké části přičíst na vrub exportu motorových vozidel (do oddílu patří i karoserie a díly a příslušenství). Ten byl meziročně nižší o 52,0 mld. korun (–21,8 %). Na srovnávací základně loňského roku byl přitom patrný útlum, který přetrvával po šokovém propadu zahraničního obchodu v průběhu jara. Aktuální meziroční propad vývozu motorových vozidel byl způsoben hlavně nedostatkem výrobních komponent a přerušením výroby v letních měsících. Situace exportérů v naprosté většině ostatních odvětví se naopak zlepšovala. Nejvíce se ve 3. čtvrtletí meziročně zvýšila hodnota vývozu základních kovů (+13,0 mld. korun, 43,7 %) a chemických látek a přípravků (+12,4 mld., 31,9 %) – v obou případech měl vliv cenový nárůst. Zvýšení cen stálo i za mimořádně vysokým přírůstkem hodnoty vývozu elektřiny, plynu, páry a klimatizovaného vzduchu (+9,6 mld. korun, 196,9 %). Solidně rostl export většiny významných artiklů – nejvíce elektrických zařízení (+6,6 mld. korun, 8,6 %), kovodělných výrobků (+6,5 mld., 12,1 %) a strojů a zařízení (+5,8 mld., 6,2 %). Netypicky silné přírůstky vykázal </w:t>
            </w:r>
            <w:r w:rsidR="00C95123">
              <w:rPr>
                <w:spacing w:val="-4"/>
              </w:rPr>
              <w:t xml:space="preserve">vlivem nárůstu cen </w:t>
            </w:r>
            <w:r>
              <w:rPr>
                <w:spacing w:val="-4"/>
              </w:rPr>
              <w:t>export dřeva a dřevěných výrobků (+5,2 mld. korun, 50,7 %) a produktů souvisejících s odpadem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(+5,1 mld., 75,1 %).</w:t>
            </w:r>
          </w:p>
        </w:tc>
      </w:tr>
      <w:tr w:rsidR="00FD7D3B" w:rsidRPr="009110F7" w14:paraId="066EF6DD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4C1813B6" w14:textId="77777777" w:rsidR="00FD7D3B" w:rsidRDefault="00FD7D3B" w:rsidP="00B86EB1">
            <w:pPr>
              <w:pStyle w:val="Marginlie"/>
            </w:pPr>
            <w:r>
              <w:t>Import ve 3. čtvrtletí velmi silně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2B90528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F07B9C8" w14:textId="5A905CF5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dovozu v 1. až 3. čtvrtletí dosáhla celkově 2 87</w:t>
            </w:r>
            <w:r w:rsidR="00C95123">
              <w:rPr>
                <w:spacing w:val="-4"/>
              </w:rPr>
              <w:t>6</w:t>
            </w:r>
            <w:r>
              <w:rPr>
                <w:spacing w:val="-4"/>
              </w:rPr>
              <w:t>,3 mld. korun a meziročně byla vyšší o 496,7 mld. korun (20,9 %). V samotném 3. čtvrtletí dovoz dosáhl 958,3 mld. korun a meziročně se zvýšil o 138,2 mld. (16,8 %). Velmi výraznému nárůstu pomohla i nižší srovnávací základna loňského 3. čtvrtletí, kdy se postupně rozjížděla domácí výroba a investiční i výrobní poptávka byly nižší. Silně se projevily i meziročně vyšší ceny surovin. Výrazně vyšší byl v kumulaci od začátku roku dovoz z Evropské unie (+304,6 mld. korun, 19,9 %) i ze zemí mimo ni (+188,2 mld., 22,5 %). V samotném 3. kvartálu byl dovoz z Unie vyšší o 57,4 mld. korun (10,</w:t>
            </w:r>
            <w:r w:rsidR="00C95123">
              <w:rPr>
                <w:spacing w:val="-4"/>
              </w:rPr>
              <w:t>7</w:t>
            </w:r>
            <w:r>
              <w:rPr>
                <w:spacing w:val="-4"/>
              </w:rPr>
              <w:t> %), zatímco z mimounijních zemí o 79,6 mld. (28,</w:t>
            </w:r>
            <w:r w:rsidR="00C95123">
              <w:rPr>
                <w:spacing w:val="-4"/>
              </w:rPr>
              <w:t>5</w:t>
            </w:r>
            <w:r>
              <w:rPr>
                <w:spacing w:val="-4"/>
              </w:rPr>
              <w:t> %). Zejména výrazný růst cen ropy a zemního plynu ovlivnil přírůstek hodnoty importu z Ruska (+20,2 mld. korun, 116,4 %), silný byl ale také nárůst u Německa (+16,0 mld., 7,8 %), Číny (+14,7 mld., 14,6 %), Polska (+9,6 mld., 13,1 %) a Slovenska (+9,3 mld., 22,8 %).</w:t>
            </w:r>
          </w:p>
        </w:tc>
      </w:tr>
      <w:tr w:rsidR="00FD7D3B" w:rsidRPr="009110F7" w14:paraId="64E2C276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A014184" w14:textId="77777777" w:rsidR="00FD7D3B" w:rsidRDefault="00FD7D3B" w:rsidP="00B86EB1">
            <w:pPr>
              <w:pStyle w:val="Marginlie"/>
            </w:pPr>
            <w:r>
              <w:t>Nejvíce se navyšovala hodnota dovozu surovin – kovů a ropy a zemního plynu.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D3B5EDC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9B30C10" w14:textId="77777777" w:rsidR="00FD7D3B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K silnému meziročnímu přírůstku hodnoty dovozu ve 3. čtvrtletí nejvíce přispívalo navýšení cen některých surovin. To se projevilo zejména u základních kovů (+31,2 mld. korun, 58,3 %), ropy a zemního plynu (+27,9 mld., 145,7 %) a souvislost s růstem cen ropy lze najít i ve vývoji dovozu chemických látek a přípravků (+17,6 mld., 26,5 %). Cenové vlivy se projevily také na zvýšeném dovozu koksu a rafinovaných ropných produktů (+8,0 mld. </w:t>
            </w:r>
            <w:r>
              <w:rPr>
                <w:spacing w:val="-4"/>
              </w:rPr>
              <w:lastRenderedPageBreak/>
              <w:t>korun, 69,8 %) a také u elektřiny, plynu, páry a klimatizovaného vzduchu (+4,4 mld., 148,4 %). Rostl ale dovoz naprosté většiny zboží. Vyšší byl mimo jiné import elektrických zařízení (+15,5 mld. korun, 22,1 %), strojů a zařízení (+7,7 mld., 9,8 %), počítačů, elektronických a optických přístrojů (+6,7 mld., 6,6 %) nebo pryžových a plastových výrobků (+5,7 mld., 13,0 %). Výrazně se naopak propadl dovoz motorových vozidel (–18,2 mld. korun, –14,5 %).</w:t>
            </w:r>
          </w:p>
        </w:tc>
      </w:tr>
      <w:tr w:rsidR="00FD7D3B" w:rsidRPr="009110F7" w14:paraId="0715AC62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A4B246C" w14:textId="77777777" w:rsidR="00FD7D3B" w:rsidRDefault="00FD7D3B" w:rsidP="00B86EB1">
            <w:pPr>
              <w:pStyle w:val="Marginlie"/>
            </w:pPr>
            <w:r>
              <w:lastRenderedPageBreak/>
              <w:t>Bilance zahraničního obchodu ve 3. čtvrtletí spadla do poměrně hlubokého 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FC1313A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18A70CA" w14:textId="69886DA2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Bilance zahraničního obchodu v 1. až 3. čtvrtletí dosáhla přebytku 28,4 mld. korun. To je meziročně o 72,5 mld. méně. Bilance se přitom v 1. i 2. čtvrtletí roku meziročně zlepšovala, ale problémy domácích exportérů způsobily ve 3. čtvrtletí meziroční zhoršení o 107,2 mld. korun a výsledný propad do deficitu 51,8 mld. Jde o nejhorší zaznamenaný výsledek bilance zahraničního obchodu se zbožím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. V kumulaci od počátku roku se o 62,1 mld. korun meziročně zvýšil přebytek obchodu s EU. Naopak ve stejném období došlo k rekordně silnému prohloubení deficitu obchodu se zeměmi mimo EU (–131,1 mld. korun). Pohled na samotné 3. čtvrtletí 2021 ukazuje na plošné zhoršení bilance obchodu s většinou významných obchodních partnerů. Přebytek obchodu s EU meziročně klesl o 21,9 mld. korun a deficit se zeměmi mimo EU se prohloubil o 84,6 mld. Nejvíce ve směru zhoršení bilance působil zahraniční obchod s Ruskem (zhoršení o 24,3 mld. korun), Čínou </w:t>
            </w:r>
            <w:r>
              <w:rPr>
                <w:spacing w:val="-4"/>
              </w:rPr>
              <w:br/>
              <w:t xml:space="preserve">(–15,2 mld.), Německem (–8,9 mld.), Japonskem (–7,4 mld.), Tureckem (–6,7 mld.) a Korejskou republikou (–5,2 mld.). </w:t>
            </w:r>
            <w:r w:rsidR="00C95123">
              <w:rPr>
                <w:spacing w:val="-4"/>
              </w:rPr>
              <w:t>Z</w:t>
            </w:r>
            <w:r>
              <w:rPr>
                <w:spacing w:val="-4"/>
              </w:rPr>
              <w:t>lepšila</w:t>
            </w:r>
            <w:r w:rsidR="00C95123">
              <w:rPr>
                <w:spacing w:val="-4"/>
              </w:rPr>
              <w:t xml:space="preserve"> se</w:t>
            </w:r>
            <w:r>
              <w:rPr>
                <w:spacing w:val="-4"/>
              </w:rPr>
              <w:t xml:space="preserve"> bilance obchodu s Rakouskem (+1,5 mld. korun).</w:t>
            </w:r>
          </w:p>
        </w:tc>
      </w:tr>
      <w:tr w:rsidR="00FD7D3B" w:rsidRPr="009110F7" w14:paraId="00FB38A7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582EB83" w14:textId="77777777" w:rsidR="00FD7D3B" w:rsidRDefault="00FD7D3B" w:rsidP="00B86EB1">
            <w:pPr>
              <w:pStyle w:val="Marginlie"/>
            </w:pPr>
            <w:r>
              <w:t>Ve 3. čtvrtletí se zhoršila bilance obchodu s většinou druhů zboží.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A91FE78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DDC216C" w14:textId="77777777" w:rsidR="00FD7D3B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K meziročnímu zhoršení bilance došlo ve 3. čtvrtletí u obchodu s většinou zboží. Nejvíce k tomu přispíval obchod s motorovými vozidly (–33,8 mld. korun), ropou a zemním plynem (–29,3 mld.), základními kovy (–18,2 mld.), elektrickými zařízeními (–8,9 mld.) a počítači, elektronickými a optickými přístroji (–6,4 mld.). Naopak významněji ve směru zlepšení bilance působil obchod s elektřinou, plynem, párou a klimatizovaným vzduchem (+5,3 mld. korun), produkty souvisejícími s odpady (+3,5 mld.), kovodělnými výrobky (+2,7 mld.), produkty lesnictví a těžby dřeva (+2,1 mld.) a se dřevem a dřevěnými výrobky (+2,0 mld.).</w:t>
            </w:r>
          </w:p>
        </w:tc>
      </w:tr>
      <w:tr w:rsidR="00FD7D3B" w:rsidRPr="009110F7" w14:paraId="02FE33E8" w14:textId="77777777" w:rsidTr="00B86EB1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40B9216E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9444CBC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C408A15" w14:textId="77777777" w:rsidR="00FD7D3B" w:rsidRPr="00D75AC1" w:rsidRDefault="00FD7D3B" w:rsidP="00B86EB1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8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1.–3. 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FD7D3B" w:rsidRPr="009110F7" w14:paraId="619586CF" w14:textId="77777777" w:rsidTr="00B86EB1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6D19EA86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6470D12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3ECD35CB" w14:textId="77777777" w:rsidR="00FD7D3B" w:rsidRPr="00AF6F98" w:rsidRDefault="00FD7D3B" w:rsidP="00B86EB1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537D8C2" wp14:editId="3A836165">
                  <wp:extent cx="4771467" cy="3348000"/>
                  <wp:effectExtent l="0" t="0" r="0" b="508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D7D3B" w:rsidRPr="009110F7" w14:paraId="36300F57" w14:textId="77777777" w:rsidTr="00B86EB1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406199C7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B553451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EC4FD24" w14:textId="77777777" w:rsidR="00FD7D3B" w:rsidRPr="00AF6F98" w:rsidRDefault="00FD7D3B" w:rsidP="00B86EB1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39E9959F" w14:textId="7916E8DF" w:rsidR="000663F0" w:rsidRPr="00E42054" w:rsidRDefault="000663F0" w:rsidP="00134FFF">
      <w:pPr>
        <w:pStyle w:val="Nadpis11"/>
        <w:rPr>
          <w:b w:val="0"/>
          <w:sz w:val="2"/>
          <w:szCs w:val="2"/>
        </w:rPr>
      </w:pPr>
      <w:bookmarkStart w:id="16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0663F0" w:rsidRPr="00E42054" w:rsidSect="00134FF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9746F82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34FFF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71409D5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34FFF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5D3C2E24" w14:textId="77777777" w:rsidR="009112E3" w:rsidRPr="003A7B9C" w:rsidRDefault="009112E3" w:rsidP="00FD7D3B">
      <w:pPr>
        <w:pStyle w:val="Textpoznpodarou"/>
        <w:rPr>
          <w:sz w:val="16"/>
          <w:szCs w:val="16"/>
        </w:rPr>
      </w:pPr>
      <w:r w:rsidRPr="003A7B9C">
        <w:rPr>
          <w:rStyle w:val="Znakapoznpodarou"/>
          <w:sz w:val="16"/>
          <w:szCs w:val="16"/>
        </w:rPr>
        <w:footnoteRef/>
      </w:r>
      <w:r w:rsidRPr="003A7B9C">
        <w:rPr>
          <w:sz w:val="16"/>
          <w:szCs w:val="16"/>
        </w:rPr>
        <w:t xml:space="preserve"> Projevilo se </w:t>
      </w:r>
      <w:r>
        <w:rPr>
          <w:sz w:val="16"/>
          <w:szCs w:val="16"/>
        </w:rPr>
        <w:t xml:space="preserve">zejména </w:t>
      </w:r>
      <w:r w:rsidRPr="003A7B9C">
        <w:rPr>
          <w:sz w:val="16"/>
          <w:szCs w:val="16"/>
        </w:rPr>
        <w:t>navýšení hodnoty vývozu kovového odpadu.</w:t>
      </w:r>
    </w:p>
  </w:footnote>
  <w:footnote w:id="2">
    <w:p w14:paraId="68C2FBBC" w14:textId="77777777" w:rsidR="009112E3" w:rsidRPr="009A4676" w:rsidRDefault="009112E3" w:rsidP="00FD7D3B">
      <w:pPr>
        <w:pStyle w:val="Textpoznpodarou"/>
        <w:rPr>
          <w:sz w:val="16"/>
          <w:szCs w:val="16"/>
        </w:rPr>
      </w:pPr>
      <w:r w:rsidRPr="009A4676">
        <w:rPr>
          <w:rStyle w:val="Znakapoznpodarou"/>
          <w:sz w:val="16"/>
          <w:szCs w:val="16"/>
        </w:rPr>
        <w:footnoteRef/>
      </w:r>
      <w:r w:rsidRPr="009A4676">
        <w:rPr>
          <w:sz w:val="16"/>
          <w:szCs w:val="16"/>
        </w:rPr>
        <w:t xml:space="preserve"> V rámci 3.</w:t>
      </w:r>
      <w:r>
        <w:rPr>
          <w:sz w:val="16"/>
          <w:szCs w:val="16"/>
        </w:rPr>
        <w:t> čtvrtlet</w:t>
      </w:r>
      <w:r w:rsidRPr="009A4676">
        <w:rPr>
          <w:sz w:val="16"/>
          <w:szCs w:val="16"/>
        </w:rPr>
        <w:t>í roku skončil zahraniční obchod se zbožím v deficitu v letech 2005–2008, 2010, 2011 a</w:t>
      </w:r>
      <w:r>
        <w:rPr>
          <w:sz w:val="16"/>
          <w:szCs w:val="16"/>
        </w:rPr>
        <w:t> </w:t>
      </w:r>
      <w:r w:rsidRPr="009A4676">
        <w:rPr>
          <w:sz w:val="16"/>
          <w:szCs w:val="16"/>
        </w:rPr>
        <w:t>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4FFF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05405268490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-93.004999999999995</c:v>
                </c:pt>
                <c:pt idx="1">
                  <c:v>-31.91</c:v>
                </c:pt>
                <c:pt idx="2">
                  <c:v>-24.768000000000001</c:v>
                </c:pt>
                <c:pt idx="3">
                  <c:v>-16.138999999999999</c:v>
                </c:pt>
                <c:pt idx="4">
                  <c:v>-83.789000000000001</c:v>
                </c:pt>
                <c:pt idx="5">
                  <c:v>-40.218000000000004</c:v>
                </c:pt>
                <c:pt idx="6">
                  <c:v>17.417999999999999</c:v>
                </c:pt>
                <c:pt idx="7">
                  <c:v>-93.156999999999996</c:v>
                </c:pt>
                <c:pt idx="8">
                  <c:v>44.210999999999999</c:v>
                </c:pt>
                <c:pt idx="9">
                  <c:v>-8.2789999999999999</c:v>
                </c:pt>
                <c:pt idx="10">
                  <c:v>32.54</c:v>
                </c:pt>
                <c:pt idx="11">
                  <c:v>46.786999999999999</c:v>
                </c:pt>
                <c:pt idx="12">
                  <c:v>352.59300000000002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F-4CBF-85B8-EB5C6A8D592E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-51.194000000000003</c:v>
                </c:pt>
                <c:pt idx="1">
                  <c:v>-31.603000000000002</c:v>
                </c:pt>
                <c:pt idx="2">
                  <c:v>-22.991</c:v>
                </c:pt>
                <c:pt idx="3">
                  <c:v>-16.54</c:v>
                </c:pt>
                <c:pt idx="4">
                  <c:v>-77.95</c:v>
                </c:pt>
                <c:pt idx="5">
                  <c:v>-46.048000000000002</c:v>
                </c:pt>
                <c:pt idx="6">
                  <c:v>17.992999999999999</c:v>
                </c:pt>
                <c:pt idx="7">
                  <c:v>-72.378</c:v>
                </c:pt>
                <c:pt idx="8">
                  <c:v>40.231000000000002</c:v>
                </c:pt>
                <c:pt idx="9">
                  <c:v>-25.565999999999999</c:v>
                </c:pt>
                <c:pt idx="10">
                  <c:v>15.53</c:v>
                </c:pt>
                <c:pt idx="11">
                  <c:v>43.491</c:v>
                </c:pt>
                <c:pt idx="12">
                  <c:v>290.91500000000002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4F-4CBF-85B8-EB5C6A8D592E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-99.444000000000003</c:v>
                </c:pt>
                <c:pt idx="1">
                  <c:v>-30</c:v>
                </c:pt>
                <c:pt idx="2">
                  <c:v>-23.071999999999999</c:v>
                </c:pt>
                <c:pt idx="3">
                  <c:v>-18.780999999999999</c:v>
                </c:pt>
                <c:pt idx="4">
                  <c:v>-98.867000000000004</c:v>
                </c:pt>
                <c:pt idx="5">
                  <c:v>-56.264000000000003</c:v>
                </c:pt>
                <c:pt idx="6">
                  <c:v>19.190999999999999</c:v>
                </c:pt>
                <c:pt idx="7">
                  <c:v>-113.429</c:v>
                </c:pt>
                <c:pt idx="8">
                  <c:v>50.805</c:v>
                </c:pt>
                <c:pt idx="9">
                  <c:v>-26.007000000000001</c:v>
                </c:pt>
                <c:pt idx="10">
                  <c:v>0.69299999999999995</c:v>
                </c:pt>
                <c:pt idx="11">
                  <c:v>47.094999999999999</c:v>
                </c:pt>
                <c:pt idx="12">
                  <c:v>325.01900000000001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4F-4CBF-85B8-EB5C6A8D5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360"/>
          <c:min val="-1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89870767208491664"/>
          <c:h val="4.7602442868400312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56E2-B9ED-4B68-B543-974F89B87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68EF3-0A38-4611-A761-E1026E0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65</TotalTime>
  <Pages>2</Pages>
  <Words>1009</Words>
  <Characters>5954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6950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2021-12-15T09:41:00Z</dcterms:modified>
</cp:coreProperties>
</file>