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DD71C" w14:textId="77777777" w:rsidR="00A75E40" w:rsidRPr="009110F7" w:rsidRDefault="00BF4329" w:rsidP="006C3495">
      <w:pPr>
        <w:jc w:val="center"/>
        <w:rPr>
          <w:lang w:eastAsia="ar-SA"/>
        </w:rPr>
        <w:sectPr w:rsidR="00A75E40" w:rsidRPr="009110F7" w:rsidSect="0085114D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511DD5DE" wp14:editId="00A28F14">
                <wp:simplePos x="0" y="0"/>
                <wp:positionH relativeFrom="page">
                  <wp:posOffset>571500</wp:posOffset>
                </wp:positionH>
                <wp:positionV relativeFrom="page">
                  <wp:posOffset>466725</wp:posOffset>
                </wp:positionV>
                <wp:extent cx="2249805" cy="554355"/>
                <wp:effectExtent l="0" t="0" r="0" b="0"/>
                <wp:wrapSquare wrapText="bothSides"/>
                <wp:docPr id="31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49805" cy="554355"/>
                          <a:chOff x="567" y="851"/>
                          <a:chExt cx="2714" cy="667"/>
                        </a:xfrm>
                      </wpg:grpSpPr>
                      <wps:wsp>
                        <wps:cNvPr id="32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15" y="901"/>
                            <a:ext cx="676" cy="154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7" y="1131"/>
                            <a:ext cx="1324" cy="154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88" y="1361"/>
                            <a:ext cx="603" cy="153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9" y="1311"/>
                            <a:ext cx="600" cy="207"/>
                          </a:xfrm>
                          <a:custGeom>
                            <a:avLst/>
                            <a:gdLst>
                              <a:gd name="T0" fmla="*/ 520 w 1200"/>
                              <a:gd name="T1" fmla="*/ 84 h 415"/>
                              <a:gd name="T2" fmla="*/ 537 w 1200"/>
                              <a:gd name="T3" fmla="*/ 88 h 415"/>
                              <a:gd name="T4" fmla="*/ 550 w 1200"/>
                              <a:gd name="T5" fmla="*/ 100 h 415"/>
                              <a:gd name="T6" fmla="*/ 557 w 1200"/>
                              <a:gd name="T7" fmla="*/ 114 h 415"/>
                              <a:gd name="T8" fmla="*/ 559 w 1200"/>
                              <a:gd name="T9" fmla="*/ 131 h 415"/>
                              <a:gd name="T10" fmla="*/ 554 w 1200"/>
                              <a:gd name="T11" fmla="*/ 147 h 415"/>
                              <a:gd name="T12" fmla="*/ 544 w 1200"/>
                              <a:gd name="T13" fmla="*/ 160 h 415"/>
                              <a:gd name="T14" fmla="*/ 530 w 1200"/>
                              <a:gd name="T15" fmla="*/ 168 h 415"/>
                              <a:gd name="T16" fmla="*/ 506 w 1200"/>
                              <a:gd name="T17" fmla="*/ 170 h 415"/>
                              <a:gd name="T18" fmla="*/ 540 w 1200"/>
                              <a:gd name="T19" fmla="*/ 202 h 415"/>
                              <a:gd name="T20" fmla="*/ 567 w 1200"/>
                              <a:gd name="T21" fmla="*/ 190 h 415"/>
                              <a:gd name="T22" fmla="*/ 587 w 1200"/>
                              <a:gd name="T23" fmla="*/ 169 h 415"/>
                              <a:gd name="T24" fmla="*/ 599 w 1200"/>
                              <a:gd name="T25" fmla="*/ 142 h 415"/>
                              <a:gd name="T26" fmla="*/ 599 w 1200"/>
                              <a:gd name="T27" fmla="*/ 111 h 415"/>
                              <a:gd name="T28" fmla="*/ 587 w 1200"/>
                              <a:gd name="T29" fmla="*/ 84 h 415"/>
                              <a:gd name="T30" fmla="*/ 567 w 1200"/>
                              <a:gd name="T31" fmla="*/ 63 h 415"/>
                              <a:gd name="T32" fmla="*/ 540 w 1200"/>
                              <a:gd name="T33" fmla="*/ 51 h 415"/>
                              <a:gd name="T34" fmla="*/ 466 w 1200"/>
                              <a:gd name="T35" fmla="*/ 204 h 415"/>
                              <a:gd name="T36" fmla="*/ 388 w 1200"/>
                              <a:gd name="T37" fmla="*/ 146 h 415"/>
                              <a:gd name="T38" fmla="*/ 393 w 1200"/>
                              <a:gd name="T39" fmla="*/ 50 h 415"/>
                              <a:gd name="T40" fmla="*/ 343 w 1200"/>
                              <a:gd name="T41" fmla="*/ 177 h 415"/>
                              <a:gd name="T42" fmla="*/ 257 w 1200"/>
                              <a:gd name="T43" fmla="*/ 18 h 415"/>
                              <a:gd name="T44" fmla="*/ 174 w 1200"/>
                              <a:gd name="T45" fmla="*/ 18 h 415"/>
                              <a:gd name="T46" fmla="*/ 216 w 1200"/>
                              <a:gd name="T47" fmla="*/ 81 h 415"/>
                              <a:gd name="T48" fmla="*/ 231 w 1200"/>
                              <a:gd name="T49" fmla="*/ 88 h 415"/>
                              <a:gd name="T50" fmla="*/ 235 w 1200"/>
                              <a:gd name="T51" fmla="*/ 104 h 415"/>
                              <a:gd name="T52" fmla="*/ 225 w 1200"/>
                              <a:gd name="T53" fmla="*/ 116 h 415"/>
                              <a:gd name="T54" fmla="*/ 204 w 1200"/>
                              <a:gd name="T55" fmla="*/ 119 h 415"/>
                              <a:gd name="T56" fmla="*/ 258 w 1200"/>
                              <a:gd name="T57" fmla="*/ 135 h 415"/>
                              <a:gd name="T58" fmla="*/ 271 w 1200"/>
                              <a:gd name="T59" fmla="*/ 121 h 415"/>
                              <a:gd name="T60" fmla="*/ 276 w 1200"/>
                              <a:gd name="T61" fmla="*/ 102 h 415"/>
                              <a:gd name="T62" fmla="*/ 275 w 1200"/>
                              <a:gd name="T63" fmla="*/ 83 h 415"/>
                              <a:gd name="T64" fmla="*/ 266 w 1200"/>
                              <a:gd name="T65" fmla="*/ 67 h 415"/>
                              <a:gd name="T66" fmla="*/ 252 w 1200"/>
                              <a:gd name="T67" fmla="*/ 55 h 415"/>
                              <a:gd name="T68" fmla="*/ 232 w 1200"/>
                              <a:gd name="T69" fmla="*/ 50 h 415"/>
                              <a:gd name="T70" fmla="*/ 204 w 1200"/>
                              <a:gd name="T71" fmla="*/ 204 h 415"/>
                              <a:gd name="T72" fmla="*/ 243 w 1200"/>
                              <a:gd name="T73" fmla="*/ 141 h 415"/>
                              <a:gd name="T74" fmla="*/ 67 w 1200"/>
                              <a:gd name="T75" fmla="*/ 42 h 415"/>
                              <a:gd name="T76" fmla="*/ 0 w 1200"/>
                              <a:gd name="T77" fmla="*/ 139 h 415"/>
                              <a:gd name="T78" fmla="*/ 3 w 1200"/>
                              <a:gd name="T79" fmla="*/ 166 h 415"/>
                              <a:gd name="T80" fmla="*/ 12 w 1200"/>
                              <a:gd name="T81" fmla="*/ 184 h 415"/>
                              <a:gd name="T82" fmla="*/ 34 w 1200"/>
                              <a:gd name="T83" fmla="*/ 201 h 415"/>
                              <a:gd name="T84" fmla="*/ 67 w 1200"/>
                              <a:gd name="T85" fmla="*/ 207 h 415"/>
                              <a:gd name="T86" fmla="*/ 96 w 1200"/>
                              <a:gd name="T87" fmla="*/ 202 h 415"/>
                              <a:gd name="T88" fmla="*/ 119 w 1200"/>
                              <a:gd name="T89" fmla="*/ 186 h 415"/>
                              <a:gd name="T90" fmla="*/ 131 w 1200"/>
                              <a:gd name="T91" fmla="*/ 166 h 415"/>
                              <a:gd name="T92" fmla="*/ 134 w 1200"/>
                              <a:gd name="T93" fmla="*/ 139 h 415"/>
                              <a:gd name="T94" fmla="*/ 95 w 1200"/>
                              <a:gd name="T95" fmla="*/ 143 h 415"/>
                              <a:gd name="T96" fmla="*/ 89 w 1200"/>
                              <a:gd name="T97" fmla="*/ 163 h 415"/>
                              <a:gd name="T98" fmla="*/ 78 w 1200"/>
                              <a:gd name="T99" fmla="*/ 170 h 415"/>
                              <a:gd name="T100" fmla="*/ 63 w 1200"/>
                              <a:gd name="T101" fmla="*/ 172 h 415"/>
                              <a:gd name="T102" fmla="*/ 52 w 1200"/>
                              <a:gd name="T103" fmla="*/ 168 h 415"/>
                              <a:gd name="T104" fmla="*/ 42 w 1200"/>
                              <a:gd name="T105" fmla="*/ 156 h 415"/>
                              <a:gd name="T106" fmla="*/ 40 w 1200"/>
                              <a:gd name="T107" fmla="*/ 50 h 41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0" h="415">
                                <a:moveTo>
                                  <a:pt x="1011" y="341"/>
                                </a:moveTo>
                                <a:lnTo>
                                  <a:pt x="1011" y="167"/>
                                </a:lnTo>
                                <a:lnTo>
                                  <a:pt x="1030" y="167"/>
                                </a:lnTo>
                                <a:lnTo>
                                  <a:pt x="1040" y="169"/>
                                </a:lnTo>
                                <a:lnTo>
                                  <a:pt x="1049" y="170"/>
                                </a:lnTo>
                                <a:lnTo>
                                  <a:pt x="1059" y="171"/>
                                </a:lnTo>
                                <a:lnTo>
                                  <a:pt x="1067" y="174"/>
                                </a:lnTo>
                                <a:lnTo>
                                  <a:pt x="1074" y="177"/>
                                </a:lnTo>
                                <a:lnTo>
                                  <a:pt x="1082" y="182"/>
                                </a:lnTo>
                                <a:lnTo>
                                  <a:pt x="1088" y="187"/>
                                </a:lnTo>
                                <a:lnTo>
                                  <a:pt x="1094" y="194"/>
                                </a:lnTo>
                                <a:lnTo>
                                  <a:pt x="1099" y="200"/>
                                </a:lnTo>
                                <a:lnTo>
                                  <a:pt x="1104" y="206"/>
                                </a:lnTo>
                                <a:lnTo>
                                  <a:pt x="1108" y="213"/>
                                </a:lnTo>
                                <a:lnTo>
                                  <a:pt x="1112" y="221"/>
                                </a:lnTo>
                                <a:lnTo>
                                  <a:pt x="1114" y="228"/>
                                </a:lnTo>
                                <a:lnTo>
                                  <a:pt x="1116" y="237"/>
                                </a:lnTo>
                                <a:lnTo>
                                  <a:pt x="1117" y="245"/>
                                </a:lnTo>
                                <a:lnTo>
                                  <a:pt x="1117" y="253"/>
                                </a:lnTo>
                                <a:lnTo>
                                  <a:pt x="1117" y="262"/>
                                </a:lnTo>
                                <a:lnTo>
                                  <a:pt x="1116" y="271"/>
                                </a:lnTo>
                                <a:lnTo>
                                  <a:pt x="1114" y="278"/>
                                </a:lnTo>
                                <a:lnTo>
                                  <a:pt x="1112" y="287"/>
                                </a:lnTo>
                                <a:lnTo>
                                  <a:pt x="1108" y="294"/>
                                </a:lnTo>
                                <a:lnTo>
                                  <a:pt x="1104" y="301"/>
                                </a:lnTo>
                                <a:lnTo>
                                  <a:pt x="1099" y="308"/>
                                </a:lnTo>
                                <a:lnTo>
                                  <a:pt x="1094" y="314"/>
                                </a:lnTo>
                                <a:lnTo>
                                  <a:pt x="1088" y="321"/>
                                </a:lnTo>
                                <a:lnTo>
                                  <a:pt x="1082" y="326"/>
                                </a:lnTo>
                                <a:lnTo>
                                  <a:pt x="1074" y="331"/>
                                </a:lnTo>
                                <a:lnTo>
                                  <a:pt x="1067" y="334"/>
                                </a:lnTo>
                                <a:lnTo>
                                  <a:pt x="1059" y="337"/>
                                </a:lnTo>
                                <a:lnTo>
                                  <a:pt x="1049" y="338"/>
                                </a:lnTo>
                                <a:lnTo>
                                  <a:pt x="1040" y="339"/>
                                </a:lnTo>
                                <a:lnTo>
                                  <a:pt x="1030" y="341"/>
                                </a:lnTo>
                                <a:lnTo>
                                  <a:pt x="1011" y="341"/>
                                </a:lnTo>
                                <a:close/>
                                <a:moveTo>
                                  <a:pt x="931" y="408"/>
                                </a:moveTo>
                                <a:lnTo>
                                  <a:pt x="1049" y="408"/>
                                </a:lnTo>
                                <a:lnTo>
                                  <a:pt x="1064" y="407"/>
                                </a:lnTo>
                                <a:lnTo>
                                  <a:pt x="1079" y="404"/>
                                </a:lnTo>
                                <a:lnTo>
                                  <a:pt x="1093" y="400"/>
                                </a:lnTo>
                                <a:lnTo>
                                  <a:pt x="1107" y="395"/>
                                </a:lnTo>
                                <a:lnTo>
                                  <a:pt x="1121" y="389"/>
                                </a:lnTo>
                                <a:lnTo>
                                  <a:pt x="1133" y="380"/>
                                </a:lnTo>
                                <a:lnTo>
                                  <a:pt x="1144" y="372"/>
                                </a:lnTo>
                                <a:lnTo>
                                  <a:pt x="1155" y="362"/>
                                </a:lnTo>
                                <a:lnTo>
                                  <a:pt x="1165" y="351"/>
                                </a:lnTo>
                                <a:lnTo>
                                  <a:pt x="1174" y="339"/>
                                </a:lnTo>
                                <a:lnTo>
                                  <a:pt x="1182" y="326"/>
                                </a:lnTo>
                                <a:lnTo>
                                  <a:pt x="1188" y="313"/>
                                </a:lnTo>
                                <a:lnTo>
                                  <a:pt x="1194" y="298"/>
                                </a:lnTo>
                                <a:lnTo>
                                  <a:pt x="1198" y="284"/>
                                </a:lnTo>
                                <a:lnTo>
                                  <a:pt x="1200" y="270"/>
                                </a:lnTo>
                                <a:lnTo>
                                  <a:pt x="1200" y="253"/>
                                </a:lnTo>
                                <a:lnTo>
                                  <a:pt x="1200" y="238"/>
                                </a:lnTo>
                                <a:lnTo>
                                  <a:pt x="1198" y="223"/>
                                </a:lnTo>
                                <a:lnTo>
                                  <a:pt x="1194" y="208"/>
                                </a:lnTo>
                                <a:lnTo>
                                  <a:pt x="1188" y="195"/>
                                </a:lnTo>
                                <a:lnTo>
                                  <a:pt x="1182" y="181"/>
                                </a:lnTo>
                                <a:lnTo>
                                  <a:pt x="1174" y="169"/>
                                </a:lnTo>
                                <a:lnTo>
                                  <a:pt x="1165" y="157"/>
                                </a:lnTo>
                                <a:lnTo>
                                  <a:pt x="1155" y="146"/>
                                </a:lnTo>
                                <a:lnTo>
                                  <a:pt x="1144" y="136"/>
                                </a:lnTo>
                                <a:lnTo>
                                  <a:pt x="1133" y="126"/>
                                </a:lnTo>
                                <a:lnTo>
                                  <a:pt x="1121" y="119"/>
                                </a:lnTo>
                                <a:lnTo>
                                  <a:pt x="1107" y="113"/>
                                </a:lnTo>
                                <a:lnTo>
                                  <a:pt x="1093" y="108"/>
                                </a:lnTo>
                                <a:lnTo>
                                  <a:pt x="1079" y="103"/>
                                </a:lnTo>
                                <a:lnTo>
                                  <a:pt x="1064" y="101"/>
                                </a:lnTo>
                                <a:lnTo>
                                  <a:pt x="1049" y="100"/>
                                </a:lnTo>
                                <a:lnTo>
                                  <a:pt x="931" y="100"/>
                                </a:lnTo>
                                <a:lnTo>
                                  <a:pt x="931" y="408"/>
                                </a:lnTo>
                                <a:close/>
                                <a:moveTo>
                                  <a:pt x="775" y="293"/>
                                </a:moveTo>
                                <a:lnTo>
                                  <a:pt x="708" y="293"/>
                                </a:lnTo>
                                <a:lnTo>
                                  <a:pt x="742" y="195"/>
                                </a:lnTo>
                                <a:lnTo>
                                  <a:pt x="775" y="293"/>
                                </a:lnTo>
                                <a:close/>
                                <a:moveTo>
                                  <a:pt x="797" y="354"/>
                                </a:moveTo>
                                <a:lnTo>
                                  <a:pt x="817" y="408"/>
                                </a:lnTo>
                                <a:lnTo>
                                  <a:pt x="901" y="408"/>
                                </a:lnTo>
                                <a:lnTo>
                                  <a:pt x="785" y="100"/>
                                </a:lnTo>
                                <a:lnTo>
                                  <a:pt x="698" y="100"/>
                                </a:lnTo>
                                <a:lnTo>
                                  <a:pt x="581" y="408"/>
                                </a:lnTo>
                                <a:lnTo>
                                  <a:pt x="665" y="408"/>
                                </a:lnTo>
                                <a:lnTo>
                                  <a:pt x="686" y="354"/>
                                </a:lnTo>
                                <a:lnTo>
                                  <a:pt x="797" y="354"/>
                                </a:lnTo>
                                <a:close/>
                                <a:moveTo>
                                  <a:pt x="347" y="37"/>
                                </a:moveTo>
                                <a:lnTo>
                                  <a:pt x="430" y="83"/>
                                </a:lnTo>
                                <a:lnTo>
                                  <a:pt x="513" y="37"/>
                                </a:lnTo>
                                <a:lnTo>
                                  <a:pt x="491" y="3"/>
                                </a:lnTo>
                                <a:lnTo>
                                  <a:pt x="430" y="34"/>
                                </a:lnTo>
                                <a:lnTo>
                                  <a:pt x="369" y="3"/>
                                </a:lnTo>
                                <a:lnTo>
                                  <a:pt x="347" y="37"/>
                                </a:lnTo>
                                <a:close/>
                                <a:moveTo>
                                  <a:pt x="407" y="238"/>
                                </a:moveTo>
                                <a:lnTo>
                                  <a:pt x="407" y="161"/>
                                </a:lnTo>
                                <a:lnTo>
                                  <a:pt x="422" y="161"/>
                                </a:lnTo>
                                <a:lnTo>
                                  <a:pt x="432" y="162"/>
                                </a:lnTo>
                                <a:lnTo>
                                  <a:pt x="442" y="164"/>
                                </a:lnTo>
                                <a:lnTo>
                                  <a:pt x="449" y="166"/>
                                </a:lnTo>
                                <a:lnTo>
                                  <a:pt x="455" y="170"/>
                                </a:lnTo>
                                <a:lnTo>
                                  <a:pt x="461" y="176"/>
                                </a:lnTo>
                                <a:lnTo>
                                  <a:pt x="466" y="182"/>
                                </a:lnTo>
                                <a:lnTo>
                                  <a:pt x="469" y="191"/>
                                </a:lnTo>
                                <a:lnTo>
                                  <a:pt x="470" y="200"/>
                                </a:lnTo>
                                <a:lnTo>
                                  <a:pt x="469" y="208"/>
                                </a:lnTo>
                                <a:lnTo>
                                  <a:pt x="466" y="216"/>
                                </a:lnTo>
                                <a:lnTo>
                                  <a:pt x="461" y="223"/>
                                </a:lnTo>
                                <a:lnTo>
                                  <a:pt x="455" y="230"/>
                                </a:lnTo>
                                <a:lnTo>
                                  <a:pt x="449" y="233"/>
                                </a:lnTo>
                                <a:lnTo>
                                  <a:pt x="442" y="236"/>
                                </a:lnTo>
                                <a:lnTo>
                                  <a:pt x="432" y="237"/>
                                </a:lnTo>
                                <a:lnTo>
                                  <a:pt x="422" y="238"/>
                                </a:lnTo>
                                <a:lnTo>
                                  <a:pt x="407" y="238"/>
                                </a:lnTo>
                                <a:close/>
                                <a:moveTo>
                                  <a:pt x="485" y="282"/>
                                </a:moveTo>
                                <a:lnTo>
                                  <a:pt x="498" y="278"/>
                                </a:lnTo>
                                <a:lnTo>
                                  <a:pt x="508" y="275"/>
                                </a:lnTo>
                                <a:lnTo>
                                  <a:pt x="516" y="270"/>
                                </a:lnTo>
                                <a:lnTo>
                                  <a:pt x="525" y="263"/>
                                </a:lnTo>
                                <a:lnTo>
                                  <a:pt x="531" y="257"/>
                                </a:lnTo>
                                <a:lnTo>
                                  <a:pt x="536" y="250"/>
                                </a:lnTo>
                                <a:lnTo>
                                  <a:pt x="541" y="242"/>
                                </a:lnTo>
                                <a:lnTo>
                                  <a:pt x="545" y="233"/>
                                </a:lnTo>
                                <a:lnTo>
                                  <a:pt x="549" y="225"/>
                                </a:lnTo>
                                <a:lnTo>
                                  <a:pt x="551" y="215"/>
                                </a:lnTo>
                                <a:lnTo>
                                  <a:pt x="552" y="205"/>
                                </a:lnTo>
                                <a:lnTo>
                                  <a:pt x="552" y="195"/>
                                </a:lnTo>
                                <a:lnTo>
                                  <a:pt x="552" y="186"/>
                                </a:lnTo>
                                <a:lnTo>
                                  <a:pt x="551" y="176"/>
                                </a:lnTo>
                                <a:lnTo>
                                  <a:pt x="549" y="167"/>
                                </a:lnTo>
                                <a:lnTo>
                                  <a:pt x="546" y="159"/>
                                </a:lnTo>
                                <a:lnTo>
                                  <a:pt x="542" y="150"/>
                                </a:lnTo>
                                <a:lnTo>
                                  <a:pt x="537" y="141"/>
                                </a:lnTo>
                                <a:lnTo>
                                  <a:pt x="532" y="134"/>
                                </a:lnTo>
                                <a:lnTo>
                                  <a:pt x="526" y="128"/>
                                </a:lnTo>
                                <a:lnTo>
                                  <a:pt x="519" y="120"/>
                                </a:lnTo>
                                <a:lnTo>
                                  <a:pt x="511" y="115"/>
                                </a:lnTo>
                                <a:lnTo>
                                  <a:pt x="504" y="110"/>
                                </a:lnTo>
                                <a:lnTo>
                                  <a:pt x="495" y="106"/>
                                </a:lnTo>
                                <a:lnTo>
                                  <a:pt x="485" y="104"/>
                                </a:lnTo>
                                <a:lnTo>
                                  <a:pt x="475" y="101"/>
                                </a:lnTo>
                                <a:lnTo>
                                  <a:pt x="463" y="100"/>
                                </a:lnTo>
                                <a:lnTo>
                                  <a:pt x="450" y="100"/>
                                </a:lnTo>
                                <a:lnTo>
                                  <a:pt x="327" y="100"/>
                                </a:lnTo>
                                <a:lnTo>
                                  <a:pt x="327" y="408"/>
                                </a:lnTo>
                                <a:lnTo>
                                  <a:pt x="407" y="408"/>
                                </a:lnTo>
                                <a:lnTo>
                                  <a:pt x="407" y="289"/>
                                </a:lnTo>
                                <a:lnTo>
                                  <a:pt x="483" y="408"/>
                                </a:lnTo>
                                <a:lnTo>
                                  <a:pt x="582" y="408"/>
                                </a:lnTo>
                                <a:lnTo>
                                  <a:pt x="485" y="282"/>
                                </a:lnTo>
                                <a:close/>
                                <a:moveTo>
                                  <a:pt x="210" y="35"/>
                                </a:moveTo>
                                <a:lnTo>
                                  <a:pt x="171" y="0"/>
                                </a:lnTo>
                                <a:lnTo>
                                  <a:pt x="105" y="56"/>
                                </a:lnTo>
                                <a:lnTo>
                                  <a:pt x="133" y="85"/>
                                </a:lnTo>
                                <a:lnTo>
                                  <a:pt x="210" y="35"/>
                                </a:lnTo>
                                <a:close/>
                                <a:moveTo>
                                  <a:pt x="8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278"/>
                                </a:lnTo>
                                <a:lnTo>
                                  <a:pt x="0" y="293"/>
                                </a:lnTo>
                                <a:lnTo>
                                  <a:pt x="2" y="308"/>
                                </a:lnTo>
                                <a:lnTo>
                                  <a:pt x="3" y="321"/>
                                </a:lnTo>
                                <a:lnTo>
                                  <a:pt x="5" y="333"/>
                                </a:lnTo>
                                <a:lnTo>
                                  <a:pt x="9" y="343"/>
                                </a:lnTo>
                                <a:lnTo>
                                  <a:pt x="13" y="353"/>
                                </a:lnTo>
                                <a:lnTo>
                                  <a:pt x="17" y="362"/>
                                </a:lnTo>
                                <a:lnTo>
                                  <a:pt x="23" y="369"/>
                                </a:lnTo>
                                <a:lnTo>
                                  <a:pt x="32" y="379"/>
                                </a:lnTo>
                                <a:lnTo>
                                  <a:pt x="43" y="389"/>
                                </a:lnTo>
                                <a:lnTo>
                                  <a:pt x="54" y="397"/>
                                </a:lnTo>
                                <a:lnTo>
                                  <a:pt x="68" y="403"/>
                                </a:lnTo>
                                <a:lnTo>
                                  <a:pt x="83" y="409"/>
                                </a:lnTo>
                                <a:lnTo>
                                  <a:pt x="99" y="413"/>
                                </a:lnTo>
                                <a:lnTo>
                                  <a:pt x="115" y="415"/>
                                </a:lnTo>
                                <a:lnTo>
                                  <a:pt x="133" y="415"/>
                                </a:lnTo>
                                <a:lnTo>
                                  <a:pt x="149" y="415"/>
                                </a:lnTo>
                                <a:lnTo>
                                  <a:pt x="165" y="413"/>
                                </a:lnTo>
                                <a:lnTo>
                                  <a:pt x="179" y="409"/>
                                </a:lnTo>
                                <a:lnTo>
                                  <a:pt x="192" y="404"/>
                                </a:lnTo>
                                <a:lnTo>
                                  <a:pt x="206" y="399"/>
                                </a:lnTo>
                                <a:lnTo>
                                  <a:pt x="217" y="392"/>
                                </a:lnTo>
                                <a:lnTo>
                                  <a:pt x="228" y="383"/>
                                </a:lnTo>
                                <a:lnTo>
                                  <a:pt x="238" y="372"/>
                                </a:lnTo>
                                <a:lnTo>
                                  <a:pt x="246" y="363"/>
                                </a:lnTo>
                                <a:lnTo>
                                  <a:pt x="253" y="353"/>
                                </a:lnTo>
                                <a:lnTo>
                                  <a:pt x="258" y="343"/>
                                </a:lnTo>
                                <a:lnTo>
                                  <a:pt x="262" y="333"/>
                                </a:lnTo>
                                <a:lnTo>
                                  <a:pt x="265" y="321"/>
                                </a:lnTo>
                                <a:lnTo>
                                  <a:pt x="267" y="308"/>
                                </a:lnTo>
                                <a:lnTo>
                                  <a:pt x="268" y="293"/>
                                </a:lnTo>
                                <a:lnTo>
                                  <a:pt x="268" y="278"/>
                                </a:lnTo>
                                <a:lnTo>
                                  <a:pt x="268" y="100"/>
                                </a:lnTo>
                                <a:lnTo>
                                  <a:pt x="189" y="100"/>
                                </a:lnTo>
                                <a:lnTo>
                                  <a:pt x="189" y="267"/>
                                </a:lnTo>
                                <a:lnTo>
                                  <a:pt x="189" y="287"/>
                                </a:lnTo>
                                <a:lnTo>
                                  <a:pt x="187" y="301"/>
                                </a:lnTo>
                                <a:lnTo>
                                  <a:pt x="185" y="311"/>
                                </a:lnTo>
                                <a:lnTo>
                                  <a:pt x="181" y="321"/>
                                </a:lnTo>
                                <a:lnTo>
                                  <a:pt x="177" y="326"/>
                                </a:lnTo>
                                <a:lnTo>
                                  <a:pt x="172" y="331"/>
                                </a:lnTo>
                                <a:lnTo>
                                  <a:pt x="167" y="334"/>
                                </a:lnTo>
                                <a:lnTo>
                                  <a:pt x="161" y="338"/>
                                </a:lnTo>
                                <a:lnTo>
                                  <a:pt x="155" y="341"/>
                                </a:lnTo>
                                <a:lnTo>
                                  <a:pt x="149" y="343"/>
                                </a:lnTo>
                                <a:lnTo>
                                  <a:pt x="141" y="344"/>
                                </a:lnTo>
                                <a:lnTo>
                                  <a:pt x="134" y="346"/>
                                </a:lnTo>
                                <a:lnTo>
                                  <a:pt x="126" y="344"/>
                                </a:lnTo>
                                <a:lnTo>
                                  <a:pt x="120" y="343"/>
                                </a:lnTo>
                                <a:lnTo>
                                  <a:pt x="114" y="342"/>
                                </a:lnTo>
                                <a:lnTo>
                                  <a:pt x="108" y="339"/>
                                </a:lnTo>
                                <a:lnTo>
                                  <a:pt x="103" y="336"/>
                                </a:lnTo>
                                <a:lnTo>
                                  <a:pt x="98" y="332"/>
                                </a:lnTo>
                                <a:lnTo>
                                  <a:pt x="93" y="327"/>
                                </a:lnTo>
                                <a:lnTo>
                                  <a:pt x="89" y="322"/>
                                </a:lnTo>
                                <a:lnTo>
                                  <a:pt x="84" y="312"/>
                                </a:lnTo>
                                <a:lnTo>
                                  <a:pt x="81" y="302"/>
                                </a:lnTo>
                                <a:lnTo>
                                  <a:pt x="80" y="288"/>
                                </a:lnTo>
                                <a:lnTo>
                                  <a:pt x="80" y="267"/>
                                </a:lnTo>
                                <a:lnTo>
                                  <a:pt x="8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2" y="1081"/>
                            <a:ext cx="1319" cy="208"/>
                          </a:xfrm>
                          <a:custGeom>
                            <a:avLst/>
                            <a:gdLst>
                              <a:gd name="T0" fmla="*/ 1221 w 2637"/>
                              <a:gd name="T1" fmla="*/ 204 h 416"/>
                              <a:gd name="T2" fmla="*/ 1166 w 2637"/>
                              <a:gd name="T3" fmla="*/ 50 h 416"/>
                              <a:gd name="T4" fmla="*/ 1072 w 2637"/>
                              <a:gd name="T5" fmla="*/ 137 h 416"/>
                              <a:gd name="T6" fmla="*/ 1004 w 2637"/>
                              <a:gd name="T7" fmla="*/ 54 h 416"/>
                              <a:gd name="T8" fmla="*/ 943 w 2637"/>
                              <a:gd name="T9" fmla="*/ 51 h 416"/>
                              <a:gd name="T10" fmla="*/ 900 w 2637"/>
                              <a:gd name="T11" fmla="*/ 82 h 416"/>
                              <a:gd name="T12" fmla="*/ 887 w 2637"/>
                              <a:gd name="T13" fmla="*/ 136 h 416"/>
                              <a:gd name="T14" fmla="*/ 907 w 2637"/>
                              <a:gd name="T15" fmla="*/ 181 h 416"/>
                              <a:gd name="T16" fmla="*/ 959 w 2637"/>
                              <a:gd name="T17" fmla="*/ 208 h 416"/>
                              <a:gd name="T18" fmla="*/ 1000 w 2637"/>
                              <a:gd name="T19" fmla="*/ 157 h 416"/>
                              <a:gd name="T20" fmla="*/ 969 w 2637"/>
                              <a:gd name="T21" fmla="*/ 169 h 416"/>
                              <a:gd name="T22" fmla="*/ 945 w 2637"/>
                              <a:gd name="T23" fmla="*/ 161 h 416"/>
                              <a:gd name="T24" fmla="*/ 929 w 2637"/>
                              <a:gd name="T25" fmla="*/ 137 h 416"/>
                              <a:gd name="T26" fmla="*/ 933 w 2637"/>
                              <a:gd name="T27" fmla="*/ 107 h 416"/>
                              <a:gd name="T28" fmla="*/ 953 w 2637"/>
                              <a:gd name="T29" fmla="*/ 89 h 416"/>
                              <a:gd name="T30" fmla="*/ 984 w 2637"/>
                              <a:gd name="T31" fmla="*/ 88 h 416"/>
                              <a:gd name="T32" fmla="*/ 864 w 2637"/>
                              <a:gd name="T33" fmla="*/ 50 h 416"/>
                              <a:gd name="T34" fmla="*/ 802 w 2637"/>
                              <a:gd name="T35" fmla="*/ 50 h 416"/>
                              <a:gd name="T36" fmla="*/ 680 w 2637"/>
                              <a:gd name="T37" fmla="*/ 59 h 416"/>
                              <a:gd name="T38" fmla="*/ 638 w 2637"/>
                              <a:gd name="T39" fmla="*/ 46 h 416"/>
                              <a:gd name="T40" fmla="*/ 602 w 2637"/>
                              <a:gd name="T41" fmla="*/ 54 h 416"/>
                              <a:gd name="T42" fmla="*/ 581 w 2637"/>
                              <a:gd name="T43" fmla="*/ 82 h 416"/>
                              <a:gd name="T44" fmla="*/ 583 w 2637"/>
                              <a:gd name="T45" fmla="*/ 116 h 416"/>
                              <a:gd name="T46" fmla="*/ 610 w 2637"/>
                              <a:gd name="T47" fmla="*/ 138 h 416"/>
                              <a:gd name="T48" fmla="*/ 644 w 2637"/>
                              <a:gd name="T49" fmla="*/ 153 h 416"/>
                              <a:gd name="T50" fmla="*/ 637 w 2637"/>
                              <a:gd name="T51" fmla="*/ 171 h 416"/>
                              <a:gd name="T52" fmla="*/ 608 w 2637"/>
                              <a:gd name="T53" fmla="*/ 170 h 416"/>
                              <a:gd name="T54" fmla="*/ 586 w 2637"/>
                              <a:gd name="T55" fmla="*/ 198 h 416"/>
                              <a:gd name="T56" fmla="*/ 633 w 2637"/>
                              <a:gd name="T57" fmla="*/ 208 h 416"/>
                              <a:gd name="T58" fmla="*/ 671 w 2637"/>
                              <a:gd name="T59" fmla="*/ 193 h 416"/>
                              <a:gd name="T60" fmla="*/ 687 w 2637"/>
                              <a:gd name="T61" fmla="*/ 160 h 416"/>
                              <a:gd name="T62" fmla="*/ 678 w 2637"/>
                              <a:gd name="T63" fmla="*/ 126 h 416"/>
                              <a:gd name="T64" fmla="*/ 638 w 2637"/>
                              <a:gd name="T65" fmla="*/ 107 h 416"/>
                              <a:gd name="T66" fmla="*/ 621 w 2637"/>
                              <a:gd name="T67" fmla="*/ 93 h 416"/>
                              <a:gd name="T68" fmla="*/ 635 w 2637"/>
                              <a:gd name="T69" fmla="*/ 80 h 416"/>
                              <a:gd name="T70" fmla="*/ 665 w 2637"/>
                              <a:gd name="T71" fmla="*/ 90 h 416"/>
                              <a:gd name="T72" fmla="*/ 452 w 2637"/>
                              <a:gd name="T73" fmla="*/ 84 h 416"/>
                              <a:gd name="T74" fmla="*/ 452 w 2637"/>
                              <a:gd name="T75" fmla="*/ 204 h 416"/>
                              <a:gd name="T76" fmla="*/ 343 w 2637"/>
                              <a:gd name="T77" fmla="*/ 204 h 416"/>
                              <a:gd name="T78" fmla="*/ 333 w 2637"/>
                              <a:gd name="T79" fmla="*/ 177 h 416"/>
                              <a:gd name="T80" fmla="*/ 158 w 2637"/>
                              <a:gd name="T81" fmla="*/ 204 h 416"/>
                              <a:gd name="T82" fmla="*/ 84 w 2637"/>
                              <a:gd name="T83" fmla="*/ 49 h 416"/>
                              <a:gd name="T84" fmla="*/ 42 w 2637"/>
                              <a:gd name="T85" fmla="*/ 48 h 416"/>
                              <a:gd name="T86" fmla="*/ 14 w 2637"/>
                              <a:gd name="T87" fmla="*/ 68 h 416"/>
                              <a:gd name="T88" fmla="*/ 6 w 2637"/>
                              <a:gd name="T89" fmla="*/ 103 h 416"/>
                              <a:gd name="T90" fmla="*/ 19 w 2637"/>
                              <a:gd name="T91" fmla="*/ 128 h 416"/>
                              <a:gd name="T92" fmla="*/ 64 w 2637"/>
                              <a:gd name="T93" fmla="*/ 147 h 416"/>
                              <a:gd name="T94" fmla="*/ 71 w 2637"/>
                              <a:gd name="T95" fmla="*/ 165 h 416"/>
                              <a:gd name="T96" fmla="*/ 48 w 2637"/>
                              <a:gd name="T97" fmla="*/ 174 h 416"/>
                              <a:gd name="T98" fmla="*/ 17 w 2637"/>
                              <a:gd name="T99" fmla="*/ 158 h 416"/>
                              <a:gd name="T100" fmla="*/ 40 w 2637"/>
                              <a:gd name="T101" fmla="*/ 207 h 416"/>
                              <a:gd name="T102" fmla="*/ 84 w 2637"/>
                              <a:gd name="T103" fmla="*/ 202 h 416"/>
                              <a:gd name="T104" fmla="*/ 110 w 2637"/>
                              <a:gd name="T105" fmla="*/ 176 h 416"/>
                              <a:gd name="T106" fmla="*/ 110 w 2637"/>
                              <a:gd name="T107" fmla="*/ 135 h 416"/>
                              <a:gd name="T108" fmla="*/ 93 w 2637"/>
                              <a:gd name="T109" fmla="*/ 117 h 416"/>
                              <a:gd name="T110" fmla="*/ 50 w 2637"/>
                              <a:gd name="T111" fmla="*/ 99 h 416"/>
                              <a:gd name="T112" fmla="*/ 53 w 2637"/>
                              <a:gd name="T113" fmla="*/ 84 h 416"/>
                              <a:gd name="T114" fmla="*/ 76 w 2637"/>
                              <a:gd name="T115" fmla="*/ 81 h 41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637" h="416">
                                <a:moveTo>
                                  <a:pt x="2561" y="35"/>
                                </a:moveTo>
                                <a:lnTo>
                                  <a:pt x="2524" y="0"/>
                                </a:lnTo>
                                <a:lnTo>
                                  <a:pt x="2458" y="56"/>
                                </a:lnTo>
                                <a:lnTo>
                                  <a:pt x="2485" y="84"/>
                                </a:lnTo>
                                <a:lnTo>
                                  <a:pt x="2561" y="35"/>
                                </a:lnTo>
                                <a:close/>
                                <a:moveTo>
                                  <a:pt x="2442" y="260"/>
                                </a:moveTo>
                                <a:lnTo>
                                  <a:pt x="2442" y="407"/>
                                </a:lnTo>
                                <a:lnTo>
                                  <a:pt x="2521" y="407"/>
                                </a:lnTo>
                                <a:lnTo>
                                  <a:pt x="2521" y="260"/>
                                </a:lnTo>
                                <a:lnTo>
                                  <a:pt x="2637" y="99"/>
                                </a:lnTo>
                                <a:lnTo>
                                  <a:pt x="2540" y="99"/>
                                </a:lnTo>
                                <a:lnTo>
                                  <a:pt x="2484" y="183"/>
                                </a:lnTo>
                                <a:lnTo>
                                  <a:pt x="2427" y="99"/>
                                </a:lnTo>
                                <a:lnTo>
                                  <a:pt x="2331" y="99"/>
                                </a:lnTo>
                                <a:lnTo>
                                  <a:pt x="2442" y="260"/>
                                </a:lnTo>
                                <a:close/>
                                <a:moveTo>
                                  <a:pt x="2143" y="226"/>
                                </a:moveTo>
                                <a:lnTo>
                                  <a:pt x="2143" y="99"/>
                                </a:lnTo>
                                <a:lnTo>
                                  <a:pt x="2063" y="99"/>
                                </a:lnTo>
                                <a:lnTo>
                                  <a:pt x="2063" y="407"/>
                                </a:lnTo>
                                <a:lnTo>
                                  <a:pt x="2143" y="407"/>
                                </a:lnTo>
                                <a:lnTo>
                                  <a:pt x="2143" y="274"/>
                                </a:lnTo>
                                <a:lnTo>
                                  <a:pt x="2247" y="407"/>
                                </a:lnTo>
                                <a:lnTo>
                                  <a:pt x="2351" y="407"/>
                                </a:lnTo>
                                <a:lnTo>
                                  <a:pt x="2217" y="245"/>
                                </a:lnTo>
                                <a:lnTo>
                                  <a:pt x="2340" y="99"/>
                                </a:lnTo>
                                <a:lnTo>
                                  <a:pt x="2240" y="99"/>
                                </a:lnTo>
                                <a:lnTo>
                                  <a:pt x="2143" y="226"/>
                                </a:lnTo>
                                <a:close/>
                                <a:moveTo>
                                  <a:pt x="2008" y="108"/>
                                </a:moveTo>
                                <a:lnTo>
                                  <a:pt x="1987" y="102"/>
                                </a:lnTo>
                                <a:lnTo>
                                  <a:pt x="1969" y="97"/>
                                </a:lnTo>
                                <a:lnTo>
                                  <a:pt x="1952" y="93"/>
                                </a:lnTo>
                                <a:lnTo>
                                  <a:pt x="1936" y="93"/>
                                </a:lnTo>
                                <a:lnTo>
                                  <a:pt x="1918" y="93"/>
                                </a:lnTo>
                                <a:lnTo>
                                  <a:pt x="1902" y="96"/>
                                </a:lnTo>
                                <a:lnTo>
                                  <a:pt x="1886" y="101"/>
                                </a:lnTo>
                                <a:lnTo>
                                  <a:pt x="1871" y="106"/>
                                </a:lnTo>
                                <a:lnTo>
                                  <a:pt x="1857" y="112"/>
                                </a:lnTo>
                                <a:lnTo>
                                  <a:pt x="1844" y="121"/>
                                </a:lnTo>
                                <a:lnTo>
                                  <a:pt x="1831" y="129"/>
                                </a:lnTo>
                                <a:lnTo>
                                  <a:pt x="1820" y="140"/>
                                </a:lnTo>
                                <a:lnTo>
                                  <a:pt x="1809" y="152"/>
                                </a:lnTo>
                                <a:lnTo>
                                  <a:pt x="1800" y="164"/>
                                </a:lnTo>
                                <a:lnTo>
                                  <a:pt x="1791" y="178"/>
                                </a:lnTo>
                                <a:lnTo>
                                  <a:pt x="1785" y="192"/>
                                </a:lnTo>
                                <a:lnTo>
                                  <a:pt x="1780" y="207"/>
                                </a:lnTo>
                                <a:lnTo>
                                  <a:pt x="1775" y="223"/>
                                </a:lnTo>
                                <a:lnTo>
                                  <a:pt x="1773" y="239"/>
                                </a:lnTo>
                                <a:lnTo>
                                  <a:pt x="1773" y="256"/>
                                </a:lnTo>
                                <a:lnTo>
                                  <a:pt x="1773" y="271"/>
                                </a:lnTo>
                                <a:lnTo>
                                  <a:pt x="1775" y="286"/>
                                </a:lnTo>
                                <a:lnTo>
                                  <a:pt x="1778" y="300"/>
                                </a:lnTo>
                                <a:lnTo>
                                  <a:pt x="1783" y="314"/>
                                </a:lnTo>
                                <a:lnTo>
                                  <a:pt x="1789" y="327"/>
                                </a:lnTo>
                                <a:lnTo>
                                  <a:pt x="1795" y="340"/>
                                </a:lnTo>
                                <a:lnTo>
                                  <a:pt x="1804" y="351"/>
                                </a:lnTo>
                                <a:lnTo>
                                  <a:pt x="1813" y="362"/>
                                </a:lnTo>
                                <a:lnTo>
                                  <a:pt x="1825" y="373"/>
                                </a:lnTo>
                                <a:lnTo>
                                  <a:pt x="1839" y="385"/>
                                </a:lnTo>
                                <a:lnTo>
                                  <a:pt x="1854" y="393"/>
                                </a:lnTo>
                                <a:lnTo>
                                  <a:pt x="1869" y="401"/>
                                </a:lnTo>
                                <a:lnTo>
                                  <a:pt x="1885" y="407"/>
                                </a:lnTo>
                                <a:lnTo>
                                  <a:pt x="1902" y="412"/>
                                </a:lnTo>
                                <a:lnTo>
                                  <a:pt x="1918" y="415"/>
                                </a:lnTo>
                                <a:lnTo>
                                  <a:pt x="1936" y="416"/>
                                </a:lnTo>
                                <a:lnTo>
                                  <a:pt x="1951" y="415"/>
                                </a:lnTo>
                                <a:lnTo>
                                  <a:pt x="1966" y="413"/>
                                </a:lnTo>
                                <a:lnTo>
                                  <a:pt x="1983" y="408"/>
                                </a:lnTo>
                                <a:lnTo>
                                  <a:pt x="2008" y="401"/>
                                </a:lnTo>
                                <a:lnTo>
                                  <a:pt x="2008" y="306"/>
                                </a:lnTo>
                                <a:lnTo>
                                  <a:pt x="1999" y="314"/>
                                </a:lnTo>
                                <a:lnTo>
                                  <a:pt x="1992" y="320"/>
                                </a:lnTo>
                                <a:lnTo>
                                  <a:pt x="1983" y="326"/>
                                </a:lnTo>
                                <a:lnTo>
                                  <a:pt x="1976" y="330"/>
                                </a:lnTo>
                                <a:lnTo>
                                  <a:pt x="1967" y="334"/>
                                </a:lnTo>
                                <a:lnTo>
                                  <a:pt x="1957" y="336"/>
                                </a:lnTo>
                                <a:lnTo>
                                  <a:pt x="1948" y="337"/>
                                </a:lnTo>
                                <a:lnTo>
                                  <a:pt x="1938" y="337"/>
                                </a:lnTo>
                                <a:lnTo>
                                  <a:pt x="1931" y="337"/>
                                </a:lnTo>
                                <a:lnTo>
                                  <a:pt x="1923" y="336"/>
                                </a:lnTo>
                                <a:lnTo>
                                  <a:pt x="1916" y="335"/>
                                </a:lnTo>
                                <a:lnTo>
                                  <a:pt x="1908" y="332"/>
                                </a:lnTo>
                                <a:lnTo>
                                  <a:pt x="1902" y="330"/>
                                </a:lnTo>
                                <a:lnTo>
                                  <a:pt x="1896" y="326"/>
                                </a:lnTo>
                                <a:lnTo>
                                  <a:pt x="1889" y="322"/>
                                </a:lnTo>
                                <a:lnTo>
                                  <a:pt x="1884" y="317"/>
                                </a:lnTo>
                                <a:lnTo>
                                  <a:pt x="1876" y="311"/>
                                </a:lnTo>
                                <a:lnTo>
                                  <a:pt x="1871" y="305"/>
                                </a:lnTo>
                                <a:lnTo>
                                  <a:pt x="1866" y="299"/>
                                </a:lnTo>
                                <a:lnTo>
                                  <a:pt x="1862" y="291"/>
                                </a:lnTo>
                                <a:lnTo>
                                  <a:pt x="1860" y="283"/>
                                </a:lnTo>
                                <a:lnTo>
                                  <a:pt x="1857" y="274"/>
                                </a:lnTo>
                                <a:lnTo>
                                  <a:pt x="1856" y="265"/>
                                </a:lnTo>
                                <a:lnTo>
                                  <a:pt x="1856" y="255"/>
                                </a:lnTo>
                                <a:lnTo>
                                  <a:pt x="1856" y="246"/>
                                </a:lnTo>
                                <a:lnTo>
                                  <a:pt x="1857" y="238"/>
                                </a:lnTo>
                                <a:lnTo>
                                  <a:pt x="1860" y="229"/>
                                </a:lnTo>
                                <a:lnTo>
                                  <a:pt x="1862" y="221"/>
                                </a:lnTo>
                                <a:lnTo>
                                  <a:pt x="1865" y="214"/>
                                </a:lnTo>
                                <a:lnTo>
                                  <a:pt x="1870" y="207"/>
                                </a:lnTo>
                                <a:lnTo>
                                  <a:pt x="1874" y="200"/>
                                </a:lnTo>
                                <a:lnTo>
                                  <a:pt x="1879" y="194"/>
                                </a:lnTo>
                                <a:lnTo>
                                  <a:pt x="1885" y="189"/>
                                </a:lnTo>
                                <a:lnTo>
                                  <a:pt x="1891" y="184"/>
                                </a:lnTo>
                                <a:lnTo>
                                  <a:pt x="1898" y="180"/>
                                </a:lnTo>
                                <a:lnTo>
                                  <a:pt x="1905" y="177"/>
                                </a:lnTo>
                                <a:lnTo>
                                  <a:pt x="1913" y="174"/>
                                </a:lnTo>
                                <a:lnTo>
                                  <a:pt x="1921" y="172"/>
                                </a:lnTo>
                                <a:lnTo>
                                  <a:pt x="1930" y="170"/>
                                </a:lnTo>
                                <a:lnTo>
                                  <a:pt x="1938" y="170"/>
                                </a:lnTo>
                                <a:lnTo>
                                  <a:pt x="1948" y="170"/>
                                </a:lnTo>
                                <a:lnTo>
                                  <a:pt x="1958" y="173"/>
                                </a:lnTo>
                                <a:lnTo>
                                  <a:pt x="1967" y="175"/>
                                </a:lnTo>
                                <a:lnTo>
                                  <a:pt x="1977" y="179"/>
                                </a:lnTo>
                                <a:lnTo>
                                  <a:pt x="1984" y="184"/>
                                </a:lnTo>
                                <a:lnTo>
                                  <a:pt x="1993" y="189"/>
                                </a:lnTo>
                                <a:lnTo>
                                  <a:pt x="2001" y="197"/>
                                </a:lnTo>
                                <a:lnTo>
                                  <a:pt x="2008" y="204"/>
                                </a:lnTo>
                                <a:lnTo>
                                  <a:pt x="2008" y="108"/>
                                </a:lnTo>
                                <a:close/>
                                <a:moveTo>
                                  <a:pt x="1727" y="99"/>
                                </a:moveTo>
                                <a:lnTo>
                                  <a:pt x="1647" y="99"/>
                                </a:lnTo>
                                <a:lnTo>
                                  <a:pt x="1647" y="407"/>
                                </a:lnTo>
                                <a:lnTo>
                                  <a:pt x="1727" y="407"/>
                                </a:lnTo>
                                <a:lnTo>
                                  <a:pt x="1727" y="99"/>
                                </a:lnTo>
                                <a:close/>
                                <a:moveTo>
                                  <a:pt x="1538" y="167"/>
                                </a:moveTo>
                                <a:lnTo>
                                  <a:pt x="1604" y="167"/>
                                </a:lnTo>
                                <a:lnTo>
                                  <a:pt x="1604" y="99"/>
                                </a:lnTo>
                                <a:lnTo>
                                  <a:pt x="1394" y="99"/>
                                </a:lnTo>
                                <a:lnTo>
                                  <a:pt x="1394" y="167"/>
                                </a:lnTo>
                                <a:lnTo>
                                  <a:pt x="1459" y="167"/>
                                </a:lnTo>
                                <a:lnTo>
                                  <a:pt x="1459" y="407"/>
                                </a:lnTo>
                                <a:lnTo>
                                  <a:pt x="1538" y="407"/>
                                </a:lnTo>
                                <a:lnTo>
                                  <a:pt x="1538" y="167"/>
                                </a:lnTo>
                                <a:close/>
                                <a:moveTo>
                                  <a:pt x="1360" y="117"/>
                                </a:moveTo>
                                <a:lnTo>
                                  <a:pt x="1349" y="111"/>
                                </a:lnTo>
                                <a:lnTo>
                                  <a:pt x="1337" y="106"/>
                                </a:lnTo>
                                <a:lnTo>
                                  <a:pt x="1324" y="102"/>
                                </a:lnTo>
                                <a:lnTo>
                                  <a:pt x="1313" y="98"/>
                                </a:lnTo>
                                <a:lnTo>
                                  <a:pt x="1300" y="96"/>
                                </a:lnTo>
                                <a:lnTo>
                                  <a:pt x="1288" y="93"/>
                                </a:lnTo>
                                <a:lnTo>
                                  <a:pt x="1276" y="92"/>
                                </a:lnTo>
                                <a:lnTo>
                                  <a:pt x="1263" y="92"/>
                                </a:lnTo>
                                <a:lnTo>
                                  <a:pt x="1252" y="92"/>
                                </a:lnTo>
                                <a:lnTo>
                                  <a:pt x="1241" y="94"/>
                                </a:lnTo>
                                <a:lnTo>
                                  <a:pt x="1231" y="96"/>
                                </a:lnTo>
                                <a:lnTo>
                                  <a:pt x="1221" y="99"/>
                                </a:lnTo>
                                <a:lnTo>
                                  <a:pt x="1211" y="103"/>
                                </a:lnTo>
                                <a:lnTo>
                                  <a:pt x="1203" y="108"/>
                                </a:lnTo>
                                <a:lnTo>
                                  <a:pt x="1195" y="114"/>
                                </a:lnTo>
                                <a:lnTo>
                                  <a:pt x="1187" y="121"/>
                                </a:lnTo>
                                <a:lnTo>
                                  <a:pt x="1181" y="128"/>
                                </a:lnTo>
                                <a:lnTo>
                                  <a:pt x="1175" y="136"/>
                                </a:lnTo>
                                <a:lnTo>
                                  <a:pt x="1170" y="144"/>
                                </a:lnTo>
                                <a:lnTo>
                                  <a:pt x="1166" y="153"/>
                                </a:lnTo>
                                <a:lnTo>
                                  <a:pt x="1162" y="163"/>
                                </a:lnTo>
                                <a:lnTo>
                                  <a:pt x="1161" y="174"/>
                                </a:lnTo>
                                <a:lnTo>
                                  <a:pt x="1158" y="184"/>
                                </a:lnTo>
                                <a:lnTo>
                                  <a:pt x="1158" y="195"/>
                                </a:lnTo>
                                <a:lnTo>
                                  <a:pt x="1158" y="205"/>
                                </a:lnTo>
                                <a:lnTo>
                                  <a:pt x="1160" y="215"/>
                                </a:lnTo>
                                <a:lnTo>
                                  <a:pt x="1162" y="224"/>
                                </a:lnTo>
                                <a:lnTo>
                                  <a:pt x="1165" y="231"/>
                                </a:lnTo>
                                <a:lnTo>
                                  <a:pt x="1168" y="239"/>
                                </a:lnTo>
                                <a:lnTo>
                                  <a:pt x="1172" y="245"/>
                                </a:lnTo>
                                <a:lnTo>
                                  <a:pt x="1177" y="251"/>
                                </a:lnTo>
                                <a:lnTo>
                                  <a:pt x="1183" y="256"/>
                                </a:lnTo>
                                <a:lnTo>
                                  <a:pt x="1192" y="263"/>
                                </a:lnTo>
                                <a:lnTo>
                                  <a:pt x="1203" y="269"/>
                                </a:lnTo>
                                <a:lnTo>
                                  <a:pt x="1219" y="275"/>
                                </a:lnTo>
                                <a:lnTo>
                                  <a:pt x="1242" y="281"/>
                                </a:lnTo>
                                <a:lnTo>
                                  <a:pt x="1254" y="286"/>
                                </a:lnTo>
                                <a:lnTo>
                                  <a:pt x="1264" y="290"/>
                                </a:lnTo>
                                <a:lnTo>
                                  <a:pt x="1273" y="294"/>
                                </a:lnTo>
                                <a:lnTo>
                                  <a:pt x="1279" y="297"/>
                                </a:lnTo>
                                <a:lnTo>
                                  <a:pt x="1284" y="301"/>
                                </a:lnTo>
                                <a:lnTo>
                                  <a:pt x="1287" y="306"/>
                                </a:lnTo>
                                <a:lnTo>
                                  <a:pt x="1289" y="311"/>
                                </a:lnTo>
                                <a:lnTo>
                                  <a:pt x="1289" y="317"/>
                                </a:lnTo>
                                <a:lnTo>
                                  <a:pt x="1289" y="324"/>
                                </a:lnTo>
                                <a:lnTo>
                                  <a:pt x="1287" y="330"/>
                                </a:lnTo>
                                <a:lnTo>
                                  <a:pt x="1283" y="335"/>
                                </a:lnTo>
                                <a:lnTo>
                                  <a:pt x="1279" y="339"/>
                                </a:lnTo>
                                <a:lnTo>
                                  <a:pt x="1273" y="342"/>
                                </a:lnTo>
                                <a:lnTo>
                                  <a:pt x="1267" y="345"/>
                                </a:lnTo>
                                <a:lnTo>
                                  <a:pt x="1259" y="346"/>
                                </a:lnTo>
                                <a:lnTo>
                                  <a:pt x="1251" y="347"/>
                                </a:lnTo>
                                <a:lnTo>
                                  <a:pt x="1242" y="347"/>
                                </a:lnTo>
                                <a:lnTo>
                                  <a:pt x="1233" y="345"/>
                                </a:lnTo>
                                <a:lnTo>
                                  <a:pt x="1224" y="344"/>
                                </a:lnTo>
                                <a:lnTo>
                                  <a:pt x="1216" y="340"/>
                                </a:lnTo>
                                <a:lnTo>
                                  <a:pt x="1207" y="335"/>
                                </a:lnTo>
                                <a:lnTo>
                                  <a:pt x="1198" y="330"/>
                                </a:lnTo>
                                <a:lnTo>
                                  <a:pt x="1190" y="324"/>
                                </a:lnTo>
                                <a:lnTo>
                                  <a:pt x="1180" y="316"/>
                                </a:lnTo>
                                <a:lnTo>
                                  <a:pt x="1146" y="381"/>
                                </a:lnTo>
                                <a:lnTo>
                                  <a:pt x="1158" y="388"/>
                                </a:lnTo>
                                <a:lnTo>
                                  <a:pt x="1171" y="396"/>
                                </a:lnTo>
                                <a:lnTo>
                                  <a:pt x="1185" y="401"/>
                                </a:lnTo>
                                <a:lnTo>
                                  <a:pt x="1198" y="406"/>
                                </a:lnTo>
                                <a:lnTo>
                                  <a:pt x="1212" y="410"/>
                                </a:lnTo>
                                <a:lnTo>
                                  <a:pt x="1226" y="413"/>
                                </a:lnTo>
                                <a:lnTo>
                                  <a:pt x="1239" y="415"/>
                                </a:lnTo>
                                <a:lnTo>
                                  <a:pt x="1253" y="415"/>
                                </a:lnTo>
                                <a:lnTo>
                                  <a:pt x="1266" y="415"/>
                                </a:lnTo>
                                <a:lnTo>
                                  <a:pt x="1278" y="413"/>
                                </a:lnTo>
                                <a:lnTo>
                                  <a:pt x="1290" y="411"/>
                                </a:lnTo>
                                <a:lnTo>
                                  <a:pt x="1302" y="407"/>
                                </a:lnTo>
                                <a:lnTo>
                                  <a:pt x="1313" y="403"/>
                                </a:lnTo>
                                <a:lnTo>
                                  <a:pt x="1323" y="398"/>
                                </a:lnTo>
                                <a:lnTo>
                                  <a:pt x="1333" y="392"/>
                                </a:lnTo>
                                <a:lnTo>
                                  <a:pt x="1342" y="386"/>
                                </a:lnTo>
                                <a:lnTo>
                                  <a:pt x="1349" y="378"/>
                                </a:lnTo>
                                <a:lnTo>
                                  <a:pt x="1355" y="371"/>
                                </a:lnTo>
                                <a:lnTo>
                                  <a:pt x="1360" y="362"/>
                                </a:lnTo>
                                <a:lnTo>
                                  <a:pt x="1365" y="352"/>
                                </a:lnTo>
                                <a:lnTo>
                                  <a:pt x="1369" y="342"/>
                                </a:lnTo>
                                <a:lnTo>
                                  <a:pt x="1371" y="331"/>
                                </a:lnTo>
                                <a:lnTo>
                                  <a:pt x="1373" y="319"/>
                                </a:lnTo>
                                <a:lnTo>
                                  <a:pt x="1373" y="306"/>
                                </a:lnTo>
                                <a:lnTo>
                                  <a:pt x="1371" y="290"/>
                                </a:lnTo>
                                <a:lnTo>
                                  <a:pt x="1369" y="275"/>
                                </a:lnTo>
                                <a:lnTo>
                                  <a:pt x="1366" y="269"/>
                                </a:lnTo>
                                <a:lnTo>
                                  <a:pt x="1363" y="263"/>
                                </a:lnTo>
                                <a:lnTo>
                                  <a:pt x="1359" y="258"/>
                                </a:lnTo>
                                <a:lnTo>
                                  <a:pt x="1355" y="251"/>
                                </a:lnTo>
                                <a:lnTo>
                                  <a:pt x="1350" y="246"/>
                                </a:lnTo>
                                <a:lnTo>
                                  <a:pt x="1345" y="241"/>
                                </a:lnTo>
                                <a:lnTo>
                                  <a:pt x="1339" y="238"/>
                                </a:lnTo>
                                <a:lnTo>
                                  <a:pt x="1332" y="234"/>
                                </a:lnTo>
                                <a:lnTo>
                                  <a:pt x="1315" y="226"/>
                                </a:lnTo>
                                <a:lnTo>
                                  <a:pt x="1298" y="220"/>
                                </a:lnTo>
                                <a:lnTo>
                                  <a:pt x="1276" y="213"/>
                                </a:lnTo>
                                <a:lnTo>
                                  <a:pt x="1263" y="209"/>
                                </a:lnTo>
                                <a:lnTo>
                                  <a:pt x="1256" y="205"/>
                                </a:lnTo>
                                <a:lnTo>
                                  <a:pt x="1249" y="200"/>
                                </a:lnTo>
                                <a:lnTo>
                                  <a:pt x="1247" y="198"/>
                                </a:lnTo>
                                <a:lnTo>
                                  <a:pt x="1244" y="194"/>
                                </a:lnTo>
                                <a:lnTo>
                                  <a:pt x="1242" y="189"/>
                                </a:lnTo>
                                <a:lnTo>
                                  <a:pt x="1242" y="185"/>
                                </a:lnTo>
                                <a:lnTo>
                                  <a:pt x="1243" y="179"/>
                                </a:lnTo>
                                <a:lnTo>
                                  <a:pt x="1244" y="174"/>
                                </a:lnTo>
                                <a:lnTo>
                                  <a:pt x="1248" y="170"/>
                                </a:lnTo>
                                <a:lnTo>
                                  <a:pt x="1252" y="167"/>
                                </a:lnTo>
                                <a:lnTo>
                                  <a:pt x="1257" y="163"/>
                                </a:lnTo>
                                <a:lnTo>
                                  <a:pt x="1263" y="160"/>
                                </a:lnTo>
                                <a:lnTo>
                                  <a:pt x="1269" y="159"/>
                                </a:lnTo>
                                <a:lnTo>
                                  <a:pt x="1277" y="158"/>
                                </a:lnTo>
                                <a:lnTo>
                                  <a:pt x="1283" y="159"/>
                                </a:lnTo>
                                <a:lnTo>
                                  <a:pt x="1289" y="159"/>
                                </a:lnTo>
                                <a:lnTo>
                                  <a:pt x="1297" y="162"/>
                                </a:lnTo>
                                <a:lnTo>
                                  <a:pt x="1303" y="163"/>
                                </a:lnTo>
                                <a:lnTo>
                                  <a:pt x="1315" y="170"/>
                                </a:lnTo>
                                <a:lnTo>
                                  <a:pt x="1329" y="179"/>
                                </a:lnTo>
                                <a:lnTo>
                                  <a:pt x="1360" y="117"/>
                                </a:lnTo>
                                <a:close/>
                                <a:moveTo>
                                  <a:pt x="1091" y="99"/>
                                </a:moveTo>
                                <a:lnTo>
                                  <a:pt x="1011" y="99"/>
                                </a:lnTo>
                                <a:lnTo>
                                  <a:pt x="1011" y="407"/>
                                </a:lnTo>
                                <a:lnTo>
                                  <a:pt x="1091" y="407"/>
                                </a:lnTo>
                                <a:lnTo>
                                  <a:pt x="1091" y="99"/>
                                </a:lnTo>
                                <a:close/>
                                <a:moveTo>
                                  <a:pt x="904" y="167"/>
                                </a:moveTo>
                                <a:lnTo>
                                  <a:pt x="970" y="167"/>
                                </a:lnTo>
                                <a:lnTo>
                                  <a:pt x="970" y="99"/>
                                </a:lnTo>
                                <a:lnTo>
                                  <a:pt x="758" y="99"/>
                                </a:lnTo>
                                <a:lnTo>
                                  <a:pt x="758" y="167"/>
                                </a:lnTo>
                                <a:lnTo>
                                  <a:pt x="825" y="167"/>
                                </a:lnTo>
                                <a:lnTo>
                                  <a:pt x="825" y="407"/>
                                </a:lnTo>
                                <a:lnTo>
                                  <a:pt x="904" y="407"/>
                                </a:lnTo>
                                <a:lnTo>
                                  <a:pt x="904" y="167"/>
                                </a:lnTo>
                                <a:close/>
                                <a:moveTo>
                                  <a:pt x="644" y="292"/>
                                </a:moveTo>
                                <a:lnTo>
                                  <a:pt x="578" y="292"/>
                                </a:lnTo>
                                <a:lnTo>
                                  <a:pt x="611" y="194"/>
                                </a:lnTo>
                                <a:lnTo>
                                  <a:pt x="644" y="292"/>
                                </a:lnTo>
                                <a:close/>
                                <a:moveTo>
                                  <a:pt x="666" y="354"/>
                                </a:moveTo>
                                <a:lnTo>
                                  <a:pt x="686" y="407"/>
                                </a:lnTo>
                                <a:lnTo>
                                  <a:pt x="771" y="407"/>
                                </a:lnTo>
                                <a:lnTo>
                                  <a:pt x="655" y="99"/>
                                </a:lnTo>
                                <a:lnTo>
                                  <a:pt x="568" y="99"/>
                                </a:lnTo>
                                <a:lnTo>
                                  <a:pt x="450" y="407"/>
                                </a:lnTo>
                                <a:lnTo>
                                  <a:pt x="534" y="407"/>
                                </a:lnTo>
                                <a:lnTo>
                                  <a:pt x="555" y="354"/>
                                </a:lnTo>
                                <a:lnTo>
                                  <a:pt x="666" y="354"/>
                                </a:lnTo>
                                <a:close/>
                                <a:moveTo>
                                  <a:pt x="395" y="167"/>
                                </a:moveTo>
                                <a:lnTo>
                                  <a:pt x="461" y="167"/>
                                </a:lnTo>
                                <a:lnTo>
                                  <a:pt x="461" y="99"/>
                                </a:lnTo>
                                <a:lnTo>
                                  <a:pt x="249" y="99"/>
                                </a:lnTo>
                                <a:lnTo>
                                  <a:pt x="249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407"/>
                                </a:lnTo>
                                <a:lnTo>
                                  <a:pt x="395" y="407"/>
                                </a:lnTo>
                                <a:lnTo>
                                  <a:pt x="395" y="167"/>
                                </a:lnTo>
                                <a:close/>
                                <a:moveTo>
                                  <a:pt x="214" y="117"/>
                                </a:moveTo>
                                <a:lnTo>
                                  <a:pt x="203" y="111"/>
                                </a:lnTo>
                                <a:lnTo>
                                  <a:pt x="190" y="106"/>
                                </a:lnTo>
                                <a:lnTo>
                                  <a:pt x="178" y="102"/>
                                </a:lnTo>
                                <a:lnTo>
                                  <a:pt x="167" y="98"/>
                                </a:lnTo>
                                <a:lnTo>
                                  <a:pt x="154" y="96"/>
                                </a:lnTo>
                                <a:lnTo>
                                  <a:pt x="142" y="93"/>
                                </a:lnTo>
                                <a:lnTo>
                                  <a:pt x="129" y="92"/>
                                </a:lnTo>
                                <a:lnTo>
                                  <a:pt x="117" y="92"/>
                                </a:lnTo>
                                <a:lnTo>
                                  <a:pt x="106" y="92"/>
                                </a:lnTo>
                                <a:lnTo>
                                  <a:pt x="94" y="94"/>
                                </a:lnTo>
                                <a:lnTo>
                                  <a:pt x="84" y="96"/>
                                </a:lnTo>
                                <a:lnTo>
                                  <a:pt x="75" y="99"/>
                                </a:lnTo>
                                <a:lnTo>
                                  <a:pt x="65" y="103"/>
                                </a:lnTo>
                                <a:lnTo>
                                  <a:pt x="56" y="108"/>
                                </a:lnTo>
                                <a:lnTo>
                                  <a:pt x="48" y="114"/>
                                </a:lnTo>
                                <a:lnTo>
                                  <a:pt x="41" y="121"/>
                                </a:lnTo>
                                <a:lnTo>
                                  <a:pt x="35" y="128"/>
                                </a:lnTo>
                                <a:lnTo>
                                  <a:pt x="28" y="136"/>
                                </a:lnTo>
                                <a:lnTo>
                                  <a:pt x="23" y="144"/>
                                </a:lnTo>
                                <a:lnTo>
                                  <a:pt x="20" y="153"/>
                                </a:lnTo>
                                <a:lnTo>
                                  <a:pt x="16" y="163"/>
                                </a:lnTo>
                                <a:lnTo>
                                  <a:pt x="15" y="174"/>
                                </a:lnTo>
                                <a:lnTo>
                                  <a:pt x="12" y="184"/>
                                </a:lnTo>
                                <a:lnTo>
                                  <a:pt x="12" y="195"/>
                                </a:lnTo>
                                <a:lnTo>
                                  <a:pt x="12" y="205"/>
                                </a:lnTo>
                                <a:lnTo>
                                  <a:pt x="13" y="215"/>
                                </a:lnTo>
                                <a:lnTo>
                                  <a:pt x="16" y="224"/>
                                </a:lnTo>
                                <a:lnTo>
                                  <a:pt x="18" y="231"/>
                                </a:lnTo>
                                <a:lnTo>
                                  <a:pt x="22" y="239"/>
                                </a:lnTo>
                                <a:lnTo>
                                  <a:pt x="26" y="245"/>
                                </a:lnTo>
                                <a:lnTo>
                                  <a:pt x="31" y="251"/>
                                </a:lnTo>
                                <a:lnTo>
                                  <a:pt x="37" y="256"/>
                                </a:lnTo>
                                <a:lnTo>
                                  <a:pt x="46" y="263"/>
                                </a:lnTo>
                                <a:lnTo>
                                  <a:pt x="57" y="269"/>
                                </a:lnTo>
                                <a:lnTo>
                                  <a:pt x="73" y="275"/>
                                </a:lnTo>
                                <a:lnTo>
                                  <a:pt x="96" y="281"/>
                                </a:lnTo>
                                <a:lnTo>
                                  <a:pt x="108" y="286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94"/>
                                </a:lnTo>
                                <a:lnTo>
                                  <a:pt x="133" y="297"/>
                                </a:lnTo>
                                <a:lnTo>
                                  <a:pt x="138" y="301"/>
                                </a:lnTo>
                                <a:lnTo>
                                  <a:pt x="141" y="306"/>
                                </a:lnTo>
                                <a:lnTo>
                                  <a:pt x="143" y="311"/>
                                </a:lnTo>
                                <a:lnTo>
                                  <a:pt x="143" y="317"/>
                                </a:lnTo>
                                <a:lnTo>
                                  <a:pt x="143" y="324"/>
                                </a:lnTo>
                                <a:lnTo>
                                  <a:pt x="141" y="330"/>
                                </a:lnTo>
                                <a:lnTo>
                                  <a:pt x="137" y="335"/>
                                </a:lnTo>
                                <a:lnTo>
                                  <a:pt x="133" y="339"/>
                                </a:lnTo>
                                <a:lnTo>
                                  <a:pt x="127" y="342"/>
                                </a:lnTo>
                                <a:lnTo>
                                  <a:pt x="121" y="345"/>
                                </a:lnTo>
                                <a:lnTo>
                                  <a:pt x="113" y="346"/>
                                </a:lnTo>
                                <a:lnTo>
                                  <a:pt x="104" y="347"/>
                                </a:lnTo>
                                <a:lnTo>
                                  <a:pt x="96" y="347"/>
                                </a:lnTo>
                                <a:lnTo>
                                  <a:pt x="87" y="345"/>
                                </a:lnTo>
                                <a:lnTo>
                                  <a:pt x="78" y="344"/>
                                </a:lnTo>
                                <a:lnTo>
                                  <a:pt x="70" y="340"/>
                                </a:lnTo>
                                <a:lnTo>
                                  <a:pt x="61" y="335"/>
                                </a:lnTo>
                                <a:lnTo>
                                  <a:pt x="52" y="330"/>
                                </a:lnTo>
                                <a:lnTo>
                                  <a:pt x="43" y="324"/>
                                </a:lnTo>
                                <a:lnTo>
                                  <a:pt x="33" y="316"/>
                                </a:lnTo>
                                <a:lnTo>
                                  <a:pt x="0" y="381"/>
                                </a:lnTo>
                                <a:lnTo>
                                  <a:pt x="12" y="388"/>
                                </a:lnTo>
                                <a:lnTo>
                                  <a:pt x="25" y="396"/>
                                </a:lnTo>
                                <a:lnTo>
                                  <a:pt x="38" y="401"/>
                                </a:lnTo>
                                <a:lnTo>
                                  <a:pt x="52" y="406"/>
                                </a:lnTo>
                                <a:lnTo>
                                  <a:pt x="66" y="410"/>
                                </a:lnTo>
                                <a:lnTo>
                                  <a:pt x="79" y="413"/>
                                </a:lnTo>
                                <a:lnTo>
                                  <a:pt x="93" y="415"/>
                                </a:lnTo>
                                <a:lnTo>
                                  <a:pt x="107" y="415"/>
                                </a:lnTo>
                                <a:lnTo>
                                  <a:pt x="119" y="415"/>
                                </a:lnTo>
                                <a:lnTo>
                                  <a:pt x="132" y="413"/>
                                </a:lnTo>
                                <a:lnTo>
                                  <a:pt x="144" y="411"/>
                                </a:lnTo>
                                <a:lnTo>
                                  <a:pt x="155" y="407"/>
                                </a:lnTo>
                                <a:lnTo>
                                  <a:pt x="167" y="403"/>
                                </a:lnTo>
                                <a:lnTo>
                                  <a:pt x="177" y="398"/>
                                </a:lnTo>
                                <a:lnTo>
                                  <a:pt x="187" y="392"/>
                                </a:lnTo>
                                <a:lnTo>
                                  <a:pt x="195" y="386"/>
                                </a:lnTo>
                                <a:lnTo>
                                  <a:pt x="203" y="378"/>
                                </a:lnTo>
                                <a:lnTo>
                                  <a:pt x="209" y="371"/>
                                </a:lnTo>
                                <a:lnTo>
                                  <a:pt x="214" y="362"/>
                                </a:lnTo>
                                <a:lnTo>
                                  <a:pt x="219" y="352"/>
                                </a:lnTo>
                                <a:lnTo>
                                  <a:pt x="223" y="342"/>
                                </a:lnTo>
                                <a:lnTo>
                                  <a:pt x="225" y="331"/>
                                </a:lnTo>
                                <a:lnTo>
                                  <a:pt x="227" y="319"/>
                                </a:lnTo>
                                <a:lnTo>
                                  <a:pt x="227" y="306"/>
                                </a:lnTo>
                                <a:lnTo>
                                  <a:pt x="225" y="290"/>
                                </a:lnTo>
                                <a:lnTo>
                                  <a:pt x="223" y="275"/>
                                </a:lnTo>
                                <a:lnTo>
                                  <a:pt x="220" y="269"/>
                                </a:lnTo>
                                <a:lnTo>
                                  <a:pt x="217" y="263"/>
                                </a:lnTo>
                                <a:lnTo>
                                  <a:pt x="213" y="258"/>
                                </a:lnTo>
                                <a:lnTo>
                                  <a:pt x="209" y="251"/>
                                </a:lnTo>
                                <a:lnTo>
                                  <a:pt x="204" y="246"/>
                                </a:lnTo>
                                <a:lnTo>
                                  <a:pt x="199" y="241"/>
                                </a:lnTo>
                                <a:lnTo>
                                  <a:pt x="193" y="238"/>
                                </a:lnTo>
                                <a:lnTo>
                                  <a:pt x="185" y="234"/>
                                </a:lnTo>
                                <a:lnTo>
                                  <a:pt x="169" y="226"/>
                                </a:lnTo>
                                <a:lnTo>
                                  <a:pt x="151" y="220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09"/>
                                </a:lnTo>
                                <a:lnTo>
                                  <a:pt x="109" y="205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8"/>
                                </a:lnTo>
                                <a:lnTo>
                                  <a:pt x="98" y="194"/>
                                </a:lnTo>
                                <a:lnTo>
                                  <a:pt x="96" y="189"/>
                                </a:lnTo>
                                <a:lnTo>
                                  <a:pt x="96" y="185"/>
                                </a:lnTo>
                                <a:lnTo>
                                  <a:pt x="97" y="179"/>
                                </a:lnTo>
                                <a:lnTo>
                                  <a:pt x="98" y="174"/>
                                </a:lnTo>
                                <a:lnTo>
                                  <a:pt x="102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3"/>
                                </a:lnTo>
                                <a:lnTo>
                                  <a:pt x="117" y="160"/>
                                </a:lnTo>
                                <a:lnTo>
                                  <a:pt x="123" y="159"/>
                                </a:lnTo>
                                <a:lnTo>
                                  <a:pt x="129" y="158"/>
                                </a:lnTo>
                                <a:lnTo>
                                  <a:pt x="137" y="159"/>
                                </a:lnTo>
                                <a:lnTo>
                                  <a:pt x="143" y="159"/>
                                </a:lnTo>
                                <a:lnTo>
                                  <a:pt x="151" y="162"/>
                                </a:lnTo>
                                <a:lnTo>
                                  <a:pt x="157" y="163"/>
                                </a:lnTo>
                                <a:lnTo>
                                  <a:pt x="169" y="170"/>
                                </a:lnTo>
                                <a:lnTo>
                                  <a:pt x="183" y="179"/>
                                </a:lnTo>
                                <a:lnTo>
                                  <a:pt x="21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2" y="851"/>
                            <a:ext cx="679" cy="208"/>
                          </a:xfrm>
                          <a:custGeom>
                            <a:avLst/>
                            <a:gdLst>
                              <a:gd name="T0" fmla="*/ 641 w 1358"/>
                              <a:gd name="T1" fmla="*/ 18 h 416"/>
                              <a:gd name="T2" fmla="*/ 679 w 1358"/>
                              <a:gd name="T3" fmla="*/ 50 h 416"/>
                              <a:gd name="T4" fmla="*/ 581 w 1358"/>
                              <a:gd name="T5" fmla="*/ 130 h 416"/>
                              <a:gd name="T6" fmla="*/ 432 w 1358"/>
                              <a:gd name="T7" fmla="*/ 204 h 416"/>
                              <a:gd name="T8" fmla="*/ 530 w 1358"/>
                              <a:gd name="T9" fmla="*/ 50 h 416"/>
                              <a:gd name="T10" fmla="*/ 349 w 1358"/>
                              <a:gd name="T11" fmla="*/ 54 h 416"/>
                              <a:gd name="T12" fmla="*/ 318 w 1358"/>
                              <a:gd name="T13" fmla="*/ 46 h 416"/>
                              <a:gd name="T14" fmla="*/ 290 w 1358"/>
                              <a:gd name="T15" fmla="*/ 50 h 416"/>
                              <a:gd name="T16" fmla="*/ 271 w 1358"/>
                              <a:gd name="T17" fmla="*/ 64 h 416"/>
                              <a:gd name="T18" fmla="*/ 261 w 1358"/>
                              <a:gd name="T19" fmla="*/ 87 h 416"/>
                              <a:gd name="T20" fmla="*/ 261 w 1358"/>
                              <a:gd name="T21" fmla="*/ 112 h 416"/>
                              <a:gd name="T22" fmla="*/ 272 w 1358"/>
                              <a:gd name="T23" fmla="*/ 129 h 416"/>
                              <a:gd name="T24" fmla="*/ 307 w 1358"/>
                              <a:gd name="T25" fmla="*/ 144 h 416"/>
                              <a:gd name="T26" fmla="*/ 324 w 1358"/>
                              <a:gd name="T27" fmla="*/ 153 h 416"/>
                              <a:gd name="T28" fmla="*/ 322 w 1358"/>
                              <a:gd name="T29" fmla="*/ 168 h 416"/>
                              <a:gd name="T30" fmla="*/ 306 w 1358"/>
                              <a:gd name="T31" fmla="*/ 174 h 416"/>
                              <a:gd name="T32" fmla="*/ 284 w 1358"/>
                              <a:gd name="T33" fmla="*/ 168 h 416"/>
                              <a:gd name="T34" fmla="*/ 260 w 1358"/>
                              <a:gd name="T35" fmla="*/ 195 h 416"/>
                              <a:gd name="T36" fmla="*/ 293 w 1358"/>
                              <a:gd name="T37" fmla="*/ 207 h 416"/>
                              <a:gd name="T38" fmla="*/ 326 w 1358"/>
                              <a:gd name="T39" fmla="*/ 206 h 416"/>
                              <a:gd name="T40" fmla="*/ 351 w 1358"/>
                              <a:gd name="T41" fmla="*/ 193 h 416"/>
                              <a:gd name="T42" fmla="*/ 365 w 1358"/>
                              <a:gd name="T43" fmla="*/ 172 h 416"/>
                              <a:gd name="T44" fmla="*/ 365 w 1358"/>
                              <a:gd name="T45" fmla="*/ 138 h 416"/>
                              <a:gd name="T46" fmla="*/ 356 w 1358"/>
                              <a:gd name="T47" fmla="*/ 124 h 416"/>
                              <a:gd name="T48" fmla="*/ 329 w 1358"/>
                              <a:gd name="T49" fmla="*/ 111 h 416"/>
                              <a:gd name="T50" fmla="*/ 304 w 1358"/>
                              <a:gd name="T51" fmla="*/ 99 h 416"/>
                              <a:gd name="T52" fmla="*/ 303 w 1358"/>
                              <a:gd name="T53" fmla="*/ 87 h 416"/>
                              <a:gd name="T54" fmla="*/ 315 w 1358"/>
                              <a:gd name="T55" fmla="*/ 80 h 416"/>
                              <a:gd name="T56" fmla="*/ 332 w 1358"/>
                              <a:gd name="T57" fmla="*/ 82 h 416"/>
                              <a:gd name="T58" fmla="*/ 232 w 1358"/>
                              <a:gd name="T59" fmla="*/ 50 h 416"/>
                              <a:gd name="T60" fmla="*/ 185 w 1358"/>
                              <a:gd name="T61" fmla="*/ 170 h 416"/>
                              <a:gd name="T62" fmla="*/ 185 w 1358"/>
                              <a:gd name="T63" fmla="*/ 84 h 416"/>
                              <a:gd name="T64" fmla="*/ 105 w 1358"/>
                              <a:gd name="T65" fmla="*/ 1 h 416"/>
                              <a:gd name="T66" fmla="*/ 108 w 1358"/>
                              <a:gd name="T67" fmla="*/ 51 h 416"/>
                              <a:gd name="T68" fmla="*/ 65 w 1358"/>
                              <a:gd name="T69" fmla="*/ 48 h 416"/>
                              <a:gd name="T70" fmla="*/ 29 w 1358"/>
                              <a:gd name="T71" fmla="*/ 65 h 416"/>
                              <a:gd name="T72" fmla="*/ 6 w 1358"/>
                              <a:gd name="T73" fmla="*/ 96 h 416"/>
                              <a:gd name="T74" fmla="*/ 0 w 1358"/>
                              <a:gd name="T75" fmla="*/ 136 h 416"/>
                              <a:gd name="T76" fmla="*/ 11 w 1358"/>
                              <a:gd name="T77" fmla="*/ 170 h 416"/>
                              <a:gd name="T78" fmla="*/ 41 w 1358"/>
                              <a:gd name="T79" fmla="*/ 197 h 416"/>
                              <a:gd name="T80" fmla="*/ 82 w 1358"/>
                              <a:gd name="T81" fmla="*/ 208 h 416"/>
                              <a:gd name="T82" fmla="*/ 118 w 1358"/>
                              <a:gd name="T83" fmla="*/ 153 h 416"/>
                              <a:gd name="T84" fmla="*/ 97 w 1358"/>
                              <a:gd name="T85" fmla="*/ 167 h 416"/>
                              <a:gd name="T86" fmla="*/ 76 w 1358"/>
                              <a:gd name="T87" fmla="*/ 168 h 416"/>
                              <a:gd name="T88" fmla="*/ 59 w 1358"/>
                              <a:gd name="T89" fmla="*/ 162 h 416"/>
                              <a:gd name="T90" fmla="*/ 45 w 1358"/>
                              <a:gd name="T91" fmla="*/ 146 h 416"/>
                              <a:gd name="T92" fmla="*/ 42 w 1358"/>
                              <a:gd name="T93" fmla="*/ 124 h 416"/>
                              <a:gd name="T94" fmla="*/ 49 w 1358"/>
                              <a:gd name="T95" fmla="*/ 104 h 416"/>
                              <a:gd name="T96" fmla="*/ 63 w 1358"/>
                              <a:gd name="T97" fmla="*/ 91 h 416"/>
                              <a:gd name="T98" fmla="*/ 83 w 1358"/>
                              <a:gd name="T99" fmla="*/ 86 h 416"/>
                              <a:gd name="T100" fmla="*/ 107 w 1358"/>
                              <a:gd name="T101" fmla="*/ 92 h 41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58" h="416">
                                <a:moveTo>
                                  <a:pt x="1282" y="36"/>
                                </a:moveTo>
                                <a:lnTo>
                                  <a:pt x="1243" y="0"/>
                                </a:lnTo>
                                <a:lnTo>
                                  <a:pt x="1178" y="56"/>
                                </a:lnTo>
                                <a:lnTo>
                                  <a:pt x="1205" y="85"/>
                                </a:lnTo>
                                <a:lnTo>
                                  <a:pt x="1282" y="36"/>
                                </a:lnTo>
                                <a:close/>
                                <a:moveTo>
                                  <a:pt x="1162" y="260"/>
                                </a:moveTo>
                                <a:lnTo>
                                  <a:pt x="1162" y="407"/>
                                </a:lnTo>
                                <a:lnTo>
                                  <a:pt x="1242" y="407"/>
                                </a:lnTo>
                                <a:lnTo>
                                  <a:pt x="1242" y="260"/>
                                </a:lnTo>
                                <a:lnTo>
                                  <a:pt x="1358" y="100"/>
                                </a:lnTo>
                                <a:lnTo>
                                  <a:pt x="1261" y="100"/>
                                </a:lnTo>
                                <a:lnTo>
                                  <a:pt x="1205" y="183"/>
                                </a:lnTo>
                                <a:lnTo>
                                  <a:pt x="1146" y="100"/>
                                </a:lnTo>
                                <a:lnTo>
                                  <a:pt x="1051" y="100"/>
                                </a:lnTo>
                                <a:lnTo>
                                  <a:pt x="1162" y="260"/>
                                </a:lnTo>
                                <a:close/>
                                <a:moveTo>
                                  <a:pt x="863" y="227"/>
                                </a:moveTo>
                                <a:lnTo>
                                  <a:pt x="863" y="100"/>
                                </a:lnTo>
                                <a:lnTo>
                                  <a:pt x="783" y="100"/>
                                </a:lnTo>
                                <a:lnTo>
                                  <a:pt x="783" y="407"/>
                                </a:lnTo>
                                <a:lnTo>
                                  <a:pt x="863" y="407"/>
                                </a:lnTo>
                                <a:lnTo>
                                  <a:pt x="863" y="274"/>
                                </a:lnTo>
                                <a:lnTo>
                                  <a:pt x="967" y="407"/>
                                </a:lnTo>
                                <a:lnTo>
                                  <a:pt x="1071" y="407"/>
                                </a:lnTo>
                                <a:lnTo>
                                  <a:pt x="938" y="245"/>
                                </a:lnTo>
                                <a:lnTo>
                                  <a:pt x="1059" y="100"/>
                                </a:lnTo>
                                <a:lnTo>
                                  <a:pt x="960" y="100"/>
                                </a:lnTo>
                                <a:lnTo>
                                  <a:pt x="863" y="227"/>
                                </a:lnTo>
                                <a:close/>
                                <a:moveTo>
                                  <a:pt x="721" y="117"/>
                                </a:moveTo>
                                <a:lnTo>
                                  <a:pt x="709" y="112"/>
                                </a:lnTo>
                                <a:lnTo>
                                  <a:pt x="697" y="107"/>
                                </a:lnTo>
                                <a:lnTo>
                                  <a:pt x="685" y="102"/>
                                </a:lnTo>
                                <a:lnTo>
                                  <a:pt x="673" y="98"/>
                                </a:lnTo>
                                <a:lnTo>
                                  <a:pt x="660" y="96"/>
                                </a:lnTo>
                                <a:lnTo>
                                  <a:pt x="648" y="93"/>
                                </a:lnTo>
                                <a:lnTo>
                                  <a:pt x="635" y="92"/>
                                </a:lnTo>
                                <a:lnTo>
                                  <a:pt x="624" y="92"/>
                                </a:lnTo>
                                <a:lnTo>
                                  <a:pt x="611" y="92"/>
                                </a:lnTo>
                                <a:lnTo>
                                  <a:pt x="602" y="95"/>
                                </a:lnTo>
                                <a:lnTo>
                                  <a:pt x="590" y="97"/>
                                </a:lnTo>
                                <a:lnTo>
                                  <a:pt x="580" y="100"/>
                                </a:lnTo>
                                <a:lnTo>
                                  <a:pt x="572" y="103"/>
                                </a:lnTo>
                                <a:lnTo>
                                  <a:pt x="563" y="108"/>
                                </a:lnTo>
                                <a:lnTo>
                                  <a:pt x="555" y="115"/>
                                </a:lnTo>
                                <a:lnTo>
                                  <a:pt x="548" y="121"/>
                                </a:lnTo>
                                <a:lnTo>
                                  <a:pt x="542" y="128"/>
                                </a:lnTo>
                                <a:lnTo>
                                  <a:pt x="535" y="136"/>
                                </a:lnTo>
                                <a:lnTo>
                                  <a:pt x="531" y="145"/>
                                </a:lnTo>
                                <a:lnTo>
                                  <a:pt x="527" y="153"/>
                                </a:lnTo>
                                <a:lnTo>
                                  <a:pt x="523" y="163"/>
                                </a:lnTo>
                                <a:lnTo>
                                  <a:pt x="521" y="174"/>
                                </a:lnTo>
                                <a:lnTo>
                                  <a:pt x="519" y="184"/>
                                </a:lnTo>
                                <a:lnTo>
                                  <a:pt x="519" y="196"/>
                                </a:lnTo>
                                <a:lnTo>
                                  <a:pt x="519" y="206"/>
                                </a:lnTo>
                                <a:lnTo>
                                  <a:pt x="521" y="216"/>
                                </a:lnTo>
                                <a:lnTo>
                                  <a:pt x="522" y="224"/>
                                </a:lnTo>
                                <a:lnTo>
                                  <a:pt x="524" y="232"/>
                                </a:lnTo>
                                <a:lnTo>
                                  <a:pt x="528" y="239"/>
                                </a:lnTo>
                                <a:lnTo>
                                  <a:pt x="533" y="245"/>
                                </a:lnTo>
                                <a:lnTo>
                                  <a:pt x="538" y="252"/>
                                </a:lnTo>
                                <a:lnTo>
                                  <a:pt x="543" y="257"/>
                                </a:lnTo>
                                <a:lnTo>
                                  <a:pt x="552" y="263"/>
                                </a:lnTo>
                                <a:lnTo>
                                  <a:pt x="564" y="269"/>
                                </a:lnTo>
                                <a:lnTo>
                                  <a:pt x="580" y="275"/>
                                </a:lnTo>
                                <a:lnTo>
                                  <a:pt x="602" y="282"/>
                                </a:lnTo>
                                <a:lnTo>
                                  <a:pt x="614" y="287"/>
                                </a:lnTo>
                                <a:lnTo>
                                  <a:pt x="625" y="290"/>
                                </a:lnTo>
                                <a:lnTo>
                                  <a:pt x="634" y="294"/>
                                </a:lnTo>
                                <a:lnTo>
                                  <a:pt x="640" y="298"/>
                                </a:lnTo>
                                <a:lnTo>
                                  <a:pt x="644" y="301"/>
                                </a:lnTo>
                                <a:lnTo>
                                  <a:pt x="648" y="306"/>
                                </a:lnTo>
                                <a:lnTo>
                                  <a:pt x="649" y="311"/>
                                </a:lnTo>
                                <a:lnTo>
                                  <a:pt x="650" y="318"/>
                                </a:lnTo>
                                <a:lnTo>
                                  <a:pt x="649" y="324"/>
                                </a:lnTo>
                                <a:lnTo>
                                  <a:pt x="648" y="330"/>
                                </a:lnTo>
                                <a:lnTo>
                                  <a:pt x="644" y="335"/>
                                </a:lnTo>
                                <a:lnTo>
                                  <a:pt x="639" y="339"/>
                                </a:lnTo>
                                <a:lnTo>
                                  <a:pt x="634" y="343"/>
                                </a:lnTo>
                                <a:lnTo>
                                  <a:pt x="626" y="345"/>
                                </a:lnTo>
                                <a:lnTo>
                                  <a:pt x="619" y="348"/>
                                </a:lnTo>
                                <a:lnTo>
                                  <a:pt x="611" y="348"/>
                                </a:lnTo>
                                <a:lnTo>
                                  <a:pt x="603" y="348"/>
                                </a:lnTo>
                                <a:lnTo>
                                  <a:pt x="594" y="345"/>
                                </a:lnTo>
                                <a:lnTo>
                                  <a:pt x="585" y="344"/>
                                </a:lnTo>
                                <a:lnTo>
                                  <a:pt x="577" y="340"/>
                                </a:lnTo>
                                <a:lnTo>
                                  <a:pt x="568" y="335"/>
                                </a:lnTo>
                                <a:lnTo>
                                  <a:pt x="559" y="330"/>
                                </a:lnTo>
                                <a:lnTo>
                                  <a:pt x="549" y="324"/>
                                </a:lnTo>
                                <a:lnTo>
                                  <a:pt x="540" y="316"/>
                                </a:lnTo>
                                <a:lnTo>
                                  <a:pt x="507" y="381"/>
                                </a:lnTo>
                                <a:lnTo>
                                  <a:pt x="519" y="389"/>
                                </a:lnTo>
                                <a:lnTo>
                                  <a:pt x="532" y="396"/>
                                </a:lnTo>
                                <a:lnTo>
                                  <a:pt x="544" y="401"/>
                                </a:lnTo>
                                <a:lnTo>
                                  <a:pt x="558" y="406"/>
                                </a:lnTo>
                                <a:lnTo>
                                  <a:pt x="572" y="410"/>
                                </a:lnTo>
                                <a:lnTo>
                                  <a:pt x="585" y="414"/>
                                </a:lnTo>
                                <a:lnTo>
                                  <a:pt x="599" y="415"/>
                                </a:lnTo>
                                <a:lnTo>
                                  <a:pt x="613" y="415"/>
                                </a:lnTo>
                                <a:lnTo>
                                  <a:pt x="626" y="415"/>
                                </a:lnTo>
                                <a:lnTo>
                                  <a:pt x="639" y="414"/>
                                </a:lnTo>
                                <a:lnTo>
                                  <a:pt x="651" y="411"/>
                                </a:lnTo>
                                <a:lnTo>
                                  <a:pt x="663" y="407"/>
                                </a:lnTo>
                                <a:lnTo>
                                  <a:pt x="674" y="404"/>
                                </a:lnTo>
                                <a:lnTo>
                                  <a:pt x="684" y="399"/>
                                </a:lnTo>
                                <a:lnTo>
                                  <a:pt x="694" y="392"/>
                                </a:lnTo>
                                <a:lnTo>
                                  <a:pt x="702" y="386"/>
                                </a:lnTo>
                                <a:lnTo>
                                  <a:pt x="709" y="379"/>
                                </a:lnTo>
                                <a:lnTo>
                                  <a:pt x="716" y="371"/>
                                </a:lnTo>
                                <a:lnTo>
                                  <a:pt x="721" y="363"/>
                                </a:lnTo>
                                <a:lnTo>
                                  <a:pt x="725" y="353"/>
                                </a:lnTo>
                                <a:lnTo>
                                  <a:pt x="729" y="343"/>
                                </a:lnTo>
                                <a:lnTo>
                                  <a:pt x="731" y="331"/>
                                </a:lnTo>
                                <a:lnTo>
                                  <a:pt x="732" y="319"/>
                                </a:lnTo>
                                <a:lnTo>
                                  <a:pt x="734" y="306"/>
                                </a:lnTo>
                                <a:lnTo>
                                  <a:pt x="732" y="290"/>
                                </a:lnTo>
                                <a:lnTo>
                                  <a:pt x="729" y="275"/>
                                </a:lnTo>
                                <a:lnTo>
                                  <a:pt x="726" y="269"/>
                                </a:lnTo>
                                <a:lnTo>
                                  <a:pt x="724" y="263"/>
                                </a:lnTo>
                                <a:lnTo>
                                  <a:pt x="720" y="258"/>
                                </a:lnTo>
                                <a:lnTo>
                                  <a:pt x="716" y="252"/>
                                </a:lnTo>
                                <a:lnTo>
                                  <a:pt x="711" y="247"/>
                                </a:lnTo>
                                <a:lnTo>
                                  <a:pt x="705" y="243"/>
                                </a:lnTo>
                                <a:lnTo>
                                  <a:pt x="699" y="238"/>
                                </a:lnTo>
                                <a:lnTo>
                                  <a:pt x="692" y="234"/>
                                </a:lnTo>
                                <a:lnTo>
                                  <a:pt x="676" y="227"/>
                                </a:lnTo>
                                <a:lnTo>
                                  <a:pt x="658" y="221"/>
                                </a:lnTo>
                                <a:lnTo>
                                  <a:pt x="636" y="214"/>
                                </a:lnTo>
                                <a:lnTo>
                                  <a:pt x="624" y="209"/>
                                </a:lnTo>
                                <a:lnTo>
                                  <a:pt x="615" y="206"/>
                                </a:lnTo>
                                <a:lnTo>
                                  <a:pt x="610" y="201"/>
                                </a:lnTo>
                                <a:lnTo>
                                  <a:pt x="607" y="198"/>
                                </a:lnTo>
                                <a:lnTo>
                                  <a:pt x="604" y="194"/>
                                </a:lnTo>
                                <a:lnTo>
                                  <a:pt x="603" y="189"/>
                                </a:lnTo>
                                <a:lnTo>
                                  <a:pt x="603" y="186"/>
                                </a:lnTo>
                                <a:lnTo>
                                  <a:pt x="603" y="181"/>
                                </a:lnTo>
                                <a:lnTo>
                                  <a:pt x="605" y="174"/>
                                </a:lnTo>
                                <a:lnTo>
                                  <a:pt x="608" y="171"/>
                                </a:lnTo>
                                <a:lnTo>
                                  <a:pt x="611" y="167"/>
                                </a:lnTo>
                                <a:lnTo>
                                  <a:pt x="618" y="163"/>
                                </a:lnTo>
                                <a:lnTo>
                                  <a:pt x="623" y="161"/>
                                </a:lnTo>
                                <a:lnTo>
                                  <a:pt x="629" y="159"/>
                                </a:lnTo>
                                <a:lnTo>
                                  <a:pt x="636" y="158"/>
                                </a:lnTo>
                                <a:lnTo>
                                  <a:pt x="643" y="159"/>
                                </a:lnTo>
                                <a:lnTo>
                                  <a:pt x="650" y="159"/>
                                </a:lnTo>
                                <a:lnTo>
                                  <a:pt x="656" y="162"/>
                                </a:lnTo>
                                <a:lnTo>
                                  <a:pt x="663" y="163"/>
                                </a:lnTo>
                                <a:lnTo>
                                  <a:pt x="676" y="171"/>
                                </a:lnTo>
                                <a:lnTo>
                                  <a:pt x="689" y="179"/>
                                </a:lnTo>
                                <a:lnTo>
                                  <a:pt x="721" y="117"/>
                                </a:lnTo>
                                <a:close/>
                                <a:moveTo>
                                  <a:pt x="463" y="167"/>
                                </a:moveTo>
                                <a:lnTo>
                                  <a:pt x="463" y="100"/>
                                </a:lnTo>
                                <a:lnTo>
                                  <a:pt x="289" y="100"/>
                                </a:lnTo>
                                <a:lnTo>
                                  <a:pt x="289" y="407"/>
                                </a:lnTo>
                                <a:lnTo>
                                  <a:pt x="463" y="407"/>
                                </a:lnTo>
                                <a:lnTo>
                                  <a:pt x="463" y="340"/>
                                </a:lnTo>
                                <a:lnTo>
                                  <a:pt x="369" y="340"/>
                                </a:lnTo>
                                <a:lnTo>
                                  <a:pt x="369" y="287"/>
                                </a:lnTo>
                                <a:lnTo>
                                  <a:pt x="458" y="287"/>
                                </a:lnTo>
                                <a:lnTo>
                                  <a:pt x="458" y="219"/>
                                </a:lnTo>
                                <a:lnTo>
                                  <a:pt x="369" y="219"/>
                                </a:lnTo>
                                <a:lnTo>
                                  <a:pt x="369" y="167"/>
                                </a:lnTo>
                                <a:lnTo>
                                  <a:pt x="463" y="167"/>
                                </a:lnTo>
                                <a:close/>
                                <a:moveTo>
                                  <a:pt x="66" y="36"/>
                                </a:moveTo>
                                <a:lnTo>
                                  <a:pt x="148" y="82"/>
                                </a:lnTo>
                                <a:lnTo>
                                  <a:pt x="231" y="36"/>
                                </a:lnTo>
                                <a:lnTo>
                                  <a:pt x="210" y="2"/>
                                </a:lnTo>
                                <a:lnTo>
                                  <a:pt x="148" y="34"/>
                                </a:lnTo>
                                <a:lnTo>
                                  <a:pt x="87" y="2"/>
                                </a:lnTo>
                                <a:lnTo>
                                  <a:pt x="66" y="36"/>
                                </a:lnTo>
                                <a:close/>
                                <a:moveTo>
                                  <a:pt x="235" y="108"/>
                                </a:moveTo>
                                <a:lnTo>
                                  <a:pt x="215" y="102"/>
                                </a:lnTo>
                                <a:lnTo>
                                  <a:pt x="197" y="97"/>
                                </a:lnTo>
                                <a:lnTo>
                                  <a:pt x="180" y="95"/>
                                </a:lnTo>
                                <a:lnTo>
                                  <a:pt x="163" y="93"/>
                                </a:lnTo>
                                <a:lnTo>
                                  <a:pt x="146" y="95"/>
                                </a:lnTo>
                                <a:lnTo>
                                  <a:pt x="129" y="96"/>
                                </a:lnTo>
                                <a:lnTo>
                                  <a:pt x="114" y="101"/>
                                </a:lnTo>
                                <a:lnTo>
                                  <a:pt x="99" y="106"/>
                                </a:lnTo>
                                <a:lnTo>
                                  <a:pt x="84" y="112"/>
                                </a:lnTo>
                                <a:lnTo>
                                  <a:pt x="71" y="121"/>
                                </a:lnTo>
                                <a:lnTo>
                                  <a:pt x="58" y="130"/>
                                </a:lnTo>
                                <a:lnTo>
                                  <a:pt x="47" y="141"/>
                                </a:lnTo>
                                <a:lnTo>
                                  <a:pt x="37" y="152"/>
                                </a:lnTo>
                                <a:lnTo>
                                  <a:pt x="27" y="164"/>
                                </a:lnTo>
                                <a:lnTo>
                                  <a:pt x="20" y="178"/>
                                </a:lnTo>
                                <a:lnTo>
                                  <a:pt x="12" y="192"/>
                                </a:lnTo>
                                <a:lnTo>
                                  <a:pt x="7" y="207"/>
                                </a:lnTo>
                                <a:lnTo>
                                  <a:pt x="3" y="223"/>
                                </a:lnTo>
                                <a:lnTo>
                                  <a:pt x="1" y="239"/>
                                </a:lnTo>
                                <a:lnTo>
                                  <a:pt x="0" y="257"/>
                                </a:lnTo>
                                <a:lnTo>
                                  <a:pt x="0" y="272"/>
                                </a:lnTo>
                                <a:lnTo>
                                  <a:pt x="2" y="287"/>
                                </a:lnTo>
                                <a:lnTo>
                                  <a:pt x="6" y="300"/>
                                </a:lnTo>
                                <a:lnTo>
                                  <a:pt x="10" y="314"/>
                                </a:lnTo>
                                <a:lnTo>
                                  <a:pt x="16" y="328"/>
                                </a:lnTo>
                                <a:lnTo>
                                  <a:pt x="22" y="340"/>
                                </a:lnTo>
                                <a:lnTo>
                                  <a:pt x="31" y="351"/>
                                </a:lnTo>
                                <a:lnTo>
                                  <a:pt x="41" y="363"/>
                                </a:lnTo>
                                <a:lnTo>
                                  <a:pt x="53" y="374"/>
                                </a:lnTo>
                                <a:lnTo>
                                  <a:pt x="66" y="385"/>
                                </a:lnTo>
                                <a:lnTo>
                                  <a:pt x="81" y="394"/>
                                </a:lnTo>
                                <a:lnTo>
                                  <a:pt x="97" y="401"/>
                                </a:lnTo>
                                <a:lnTo>
                                  <a:pt x="113" y="407"/>
                                </a:lnTo>
                                <a:lnTo>
                                  <a:pt x="129" y="412"/>
                                </a:lnTo>
                                <a:lnTo>
                                  <a:pt x="147" y="415"/>
                                </a:lnTo>
                                <a:lnTo>
                                  <a:pt x="163" y="416"/>
                                </a:lnTo>
                                <a:lnTo>
                                  <a:pt x="179" y="415"/>
                                </a:lnTo>
                                <a:lnTo>
                                  <a:pt x="193" y="414"/>
                                </a:lnTo>
                                <a:lnTo>
                                  <a:pt x="212" y="409"/>
                                </a:lnTo>
                                <a:lnTo>
                                  <a:pt x="235" y="401"/>
                                </a:lnTo>
                                <a:lnTo>
                                  <a:pt x="235" y="306"/>
                                </a:lnTo>
                                <a:lnTo>
                                  <a:pt x="228" y="314"/>
                                </a:lnTo>
                                <a:lnTo>
                                  <a:pt x="219" y="320"/>
                                </a:lnTo>
                                <a:lnTo>
                                  <a:pt x="212" y="326"/>
                                </a:lnTo>
                                <a:lnTo>
                                  <a:pt x="203" y="330"/>
                                </a:lnTo>
                                <a:lnTo>
                                  <a:pt x="194" y="334"/>
                                </a:lnTo>
                                <a:lnTo>
                                  <a:pt x="185" y="336"/>
                                </a:lnTo>
                                <a:lnTo>
                                  <a:pt x="175" y="338"/>
                                </a:lnTo>
                                <a:lnTo>
                                  <a:pt x="165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51" y="336"/>
                                </a:lnTo>
                                <a:lnTo>
                                  <a:pt x="143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29" y="330"/>
                                </a:lnTo>
                                <a:lnTo>
                                  <a:pt x="123" y="326"/>
                                </a:lnTo>
                                <a:lnTo>
                                  <a:pt x="117" y="323"/>
                                </a:lnTo>
                                <a:lnTo>
                                  <a:pt x="111" y="318"/>
                                </a:lnTo>
                                <a:lnTo>
                                  <a:pt x="104" y="311"/>
                                </a:lnTo>
                                <a:lnTo>
                                  <a:pt x="98" y="305"/>
                                </a:lnTo>
                                <a:lnTo>
                                  <a:pt x="93" y="299"/>
                                </a:lnTo>
                                <a:lnTo>
                                  <a:pt x="89" y="292"/>
                                </a:lnTo>
                                <a:lnTo>
                                  <a:pt x="87" y="283"/>
                                </a:lnTo>
                                <a:lnTo>
                                  <a:pt x="84" y="274"/>
                                </a:lnTo>
                                <a:lnTo>
                                  <a:pt x="83" y="265"/>
                                </a:lnTo>
                                <a:lnTo>
                                  <a:pt x="83" y="255"/>
                                </a:lnTo>
                                <a:lnTo>
                                  <a:pt x="83" y="247"/>
                                </a:lnTo>
                                <a:lnTo>
                                  <a:pt x="84" y="238"/>
                                </a:lnTo>
                                <a:lnTo>
                                  <a:pt x="87" y="229"/>
                                </a:lnTo>
                                <a:lnTo>
                                  <a:pt x="89" y="222"/>
                                </a:lnTo>
                                <a:lnTo>
                                  <a:pt x="93" y="214"/>
                                </a:lnTo>
                                <a:lnTo>
                                  <a:pt x="97" y="207"/>
                                </a:lnTo>
                                <a:lnTo>
                                  <a:pt x="102" y="201"/>
                                </a:lnTo>
                                <a:lnTo>
                                  <a:pt x="107" y="194"/>
                                </a:lnTo>
                                <a:lnTo>
                                  <a:pt x="112" y="189"/>
                                </a:lnTo>
                                <a:lnTo>
                                  <a:pt x="118" y="184"/>
                                </a:lnTo>
                                <a:lnTo>
                                  <a:pt x="126" y="181"/>
                                </a:lnTo>
                                <a:lnTo>
                                  <a:pt x="133" y="177"/>
                                </a:lnTo>
                                <a:lnTo>
                                  <a:pt x="141" y="174"/>
                                </a:lnTo>
                                <a:lnTo>
                                  <a:pt x="148" y="172"/>
                                </a:lnTo>
                                <a:lnTo>
                                  <a:pt x="157" y="171"/>
                                </a:lnTo>
                                <a:lnTo>
                                  <a:pt x="165" y="171"/>
                                </a:lnTo>
                                <a:lnTo>
                                  <a:pt x="175" y="171"/>
                                </a:lnTo>
                                <a:lnTo>
                                  <a:pt x="185" y="173"/>
                                </a:lnTo>
                                <a:lnTo>
                                  <a:pt x="195" y="176"/>
                                </a:lnTo>
                                <a:lnTo>
                                  <a:pt x="204" y="179"/>
                                </a:lnTo>
                                <a:lnTo>
                                  <a:pt x="213" y="184"/>
                                </a:lnTo>
                                <a:lnTo>
                                  <a:pt x="220" y="189"/>
                                </a:lnTo>
                                <a:lnTo>
                                  <a:pt x="228" y="197"/>
                                </a:lnTo>
                                <a:lnTo>
                                  <a:pt x="235" y="204"/>
                                </a:lnTo>
                                <a:lnTo>
                                  <a:pt x="2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642DE6" id="Group 24" o:spid="_x0000_s1026" style="position:absolute;margin-left:45pt;margin-top:36.75pt;width:177.15pt;height:43.65pt;z-index:251657728;mso-position-horizontal-relative:page;mso-position-vertical-relative:page" coordorigin="567,851" coordsize="2714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">
                <o:lock v:ext="edit" aspectratio="t"/>
                <v:rect id="Rectangle 9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" fillcolor="#0071bc" stroked="f">
                  <o:lock v:ext="edit" aspectratio="t"/>
                </v:rect>
                <v:rect id="Rectangle 10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" fillcolor="#0071bc" stroked="f">
                  <o:lock v:ext="edit" aspectratio="t"/>
                </v:rect>
                <v:rect id="Rectangle 11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" fillcolor="#0071bc" stroked="f">
                  <o:lock v:ext="edit" aspectratio="t"/>
                </v:rect>
                <v:shape id="Freeform 12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  <v:path arrowok="t" o:connecttype="custom" o:connectlocs="260,42;269,44;275,50;279,57;280,65;277,73;272,80;265,84;253,85;270,101;284,95;294,84;300,71;300,55;294,42;284,31;270,25;233,102;194,73;197,25;172,88;129,9;87,9;108,40;116,44;118,52;113,58;102,59;129,67;136,60;138,51;138,41;133,33;126,27;116,25;102,102;122,70;34,21;0,69;2,83;6,92;17,100;34,103;48,101;60,93;66,83;67,69;48,71;45,81;39,85;32,86;26,84;21,78;20,25" o:connectangles="0,0,0,0,0,0,0,0,0,0,0,0,0,0,0,0,0,0,0,0,0,0,0,0,0,0,0,0,0,0,0,0,0,0,0,0,0,0,0,0,0,0,0,0,0,0,0,0,0,0,0,0,0,0"/>
                  <o:lock v:ext="edit" aspectratio="t" verticies="t"/>
                </v:shape>
                <v:shape id="Freeform 13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  <v:path arrowok="t" o:connecttype="custom" o:connectlocs="611,102;583,25;536,69;502,27;472,26;450,41;444,68;454,91;480,104;500,79;485,85;473,81;465,69;467,54;477,45;492,44;432,25;401,25;340,30;319,23;301,27;291,41;292,58;305,69;322,77;319,86;304,85;293,99;317,104;336,97;344,80;339,63;319,54;311,47;318,40;333,45;226,42;226,102;172,102;167,89;79,102;42,25;21,24;7,34;3,52;10,64;32,74;36,83;24,87;9,79;20,104;42,101;55,88;55,68;47,59;25,50;27,42;38,41" o:connectangles="0,0,0,0,0,0,0,0,0,0,0,0,0,0,0,0,0,0,0,0,0,0,0,0,0,0,0,0,0,0,0,0,0,0,0,0,0,0,0,0,0,0,0,0,0,0,0,0,0,0,0,0,0,0,0,0,0,0"/>
                  <o:lock v:ext="edit" aspectratio="t" verticies="t"/>
                </v:shape>
                <v:shape id="Freeform 14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  <v:path arrowok="t" o:connecttype="custom" o:connectlocs="321,9;340,25;291,65;216,102;265,25;175,27;159,23;145,25;136,32;131,44;131,56;136,65;154,72;162,77;161,84;153,87;142,84;130,98;147,104;163,103;176,97;183,86;183,69;178,62;165,56;152,50;152,44;158,40;166,41;116,25;93,85;93,42;53,1;54,26;33,24;15,33;3,48;0,68;6,85;21,99;41,104;59,77;49,84;38,84;30,81;23,73;21,62;25,52;32,46;42,43;54,46" o:connectangles="0,0,0,0,0,0,0,0,0,0,0,0,0,0,0,0,0,0,0,0,0,0,0,0,0,0,0,0,0,0,0,0,0,0,0,0,0,0,0,0,0,0,0,0,0,0,0,0,0,0,0"/>
                  <o:lock v:ext="edit" aspectratio="t" verticies="t"/>
                </v:shape>
                <w10:wrap type="square"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757952E" wp14:editId="7602F846">
                <wp:simplePos x="0" y="0"/>
                <wp:positionH relativeFrom="page">
                  <wp:posOffset>1705610</wp:posOffset>
                </wp:positionH>
                <wp:positionV relativeFrom="page">
                  <wp:posOffset>8173085</wp:posOffset>
                </wp:positionV>
                <wp:extent cx="5130165" cy="925195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28CD8" w14:textId="77777777" w:rsidR="009112E3" w:rsidRDefault="009112E3" w:rsidP="004924DC">
                            <w:r>
                              <w:t>Z</w:t>
                            </w:r>
                            <w:r w:rsidRPr="006C5577">
                              <w:t xml:space="preserve">pracoval: </w:t>
                            </w:r>
                            <w:r>
                              <w:t>o</w:t>
                            </w:r>
                            <w:r w:rsidRPr="006C5577">
                              <w:t>dbor</w:t>
                            </w:r>
                            <w:r>
                              <w:t xml:space="preserve"> Kancelář předsedy</w:t>
                            </w:r>
                          </w:p>
                          <w:p w14:paraId="6CC24131" w14:textId="77777777" w:rsidR="009112E3" w:rsidRPr="006C5577" w:rsidRDefault="009112E3" w:rsidP="004924DC">
                            <w:r w:rsidRPr="006C5577">
                              <w:t xml:space="preserve">Ředitel odboru: </w:t>
                            </w:r>
                            <w:proofErr w:type="spellStart"/>
                            <w:r>
                              <w:t>Egor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Sidorov</w:t>
                            </w:r>
                            <w:proofErr w:type="spellEnd"/>
                            <w:r>
                              <w:t>, Ph.D.</w:t>
                            </w:r>
                          </w:p>
                          <w:p w14:paraId="734BD5FB" w14:textId="77777777" w:rsidR="009112E3" w:rsidRPr="006C5577" w:rsidRDefault="009112E3" w:rsidP="004924DC">
                            <w:r w:rsidRPr="006C5577">
                              <w:t xml:space="preserve">Kontaktní osoba: </w:t>
                            </w:r>
                            <w:r>
                              <w:t>Karolína Zábojníková</w:t>
                            </w:r>
                            <w:r w:rsidRPr="006C5577">
                              <w:t>,</w:t>
                            </w:r>
                            <w:r>
                              <w:t xml:space="preserve"> e-mail: karolina.zabojnikova@czso.cz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952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4.3pt;margin-top:643.55pt;width:403.95pt;height:72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" filled="f" stroked="f">
                <v:textbox inset="0,0,0,0">
                  <w:txbxContent>
                    <w:p w14:paraId="71628CD8" w14:textId="77777777" w:rsidR="009112E3" w:rsidRDefault="009112E3" w:rsidP="004924DC">
                      <w:r>
                        <w:t>Z</w:t>
                      </w:r>
                      <w:r w:rsidRPr="006C5577">
                        <w:t xml:space="preserve">pracoval: </w:t>
                      </w:r>
                      <w:r>
                        <w:t>o</w:t>
                      </w:r>
                      <w:r w:rsidRPr="006C5577">
                        <w:t>dbor</w:t>
                      </w:r>
                      <w:r>
                        <w:t xml:space="preserve"> Kancelář předsedy</w:t>
                      </w:r>
                    </w:p>
                    <w:p w14:paraId="6CC24131" w14:textId="77777777" w:rsidR="009112E3" w:rsidRPr="006C5577" w:rsidRDefault="009112E3" w:rsidP="004924DC">
                      <w:r w:rsidRPr="006C5577">
                        <w:t xml:space="preserve">Ředitel odboru: </w:t>
                      </w:r>
                      <w:proofErr w:type="spellStart"/>
                      <w:r>
                        <w:t>Egor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Sidorov</w:t>
                      </w:r>
                      <w:proofErr w:type="spellEnd"/>
                      <w:r>
                        <w:t>, Ph.D.</w:t>
                      </w:r>
                    </w:p>
                    <w:p w14:paraId="734BD5FB" w14:textId="77777777" w:rsidR="009112E3" w:rsidRPr="006C5577" w:rsidRDefault="009112E3" w:rsidP="004924DC">
                      <w:r w:rsidRPr="006C5577">
                        <w:t xml:space="preserve">Kontaktní osoba: </w:t>
                      </w:r>
                      <w:r>
                        <w:t>Karolína Zábojníková</w:t>
                      </w:r>
                      <w:r w:rsidRPr="006C5577">
                        <w:t>,</w:t>
                      </w:r>
                      <w:r>
                        <w:t xml:space="preserve"> e-mail: karolina.zabojnikova@czso.cz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AFB96D4" wp14:editId="50D63787">
                <wp:simplePos x="0" y="0"/>
                <wp:positionH relativeFrom="page">
                  <wp:posOffset>1710055</wp:posOffset>
                </wp:positionH>
                <wp:positionV relativeFrom="page">
                  <wp:posOffset>4680585</wp:posOffset>
                </wp:positionV>
                <wp:extent cx="5129530" cy="1686560"/>
                <wp:effectExtent l="0" t="0" r="0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C48DE" w14:textId="77777777" w:rsidR="009112E3" w:rsidRPr="004924DC" w:rsidRDefault="009112E3" w:rsidP="004924DC">
                            <w:pPr>
                              <w:pStyle w:val="TLIdentifikace-sted"/>
                            </w:pPr>
                            <w:r>
                              <w:t>souhrnná data o České republice</w:t>
                            </w:r>
                          </w:p>
                          <w:p w14:paraId="02C46271" w14:textId="782E0B60" w:rsidR="009112E3" w:rsidRPr="004924DC" w:rsidRDefault="009112E3" w:rsidP="004924DC">
                            <w:pPr>
                              <w:pStyle w:val="TLIdentifikace-sted"/>
                            </w:pPr>
                            <w:r>
                              <w:t>Praha, 16. 12. 2021</w:t>
                            </w:r>
                          </w:p>
                          <w:p w14:paraId="43012AD8" w14:textId="77777777" w:rsidR="009112E3" w:rsidRPr="00B23E6E" w:rsidRDefault="009112E3" w:rsidP="004924DC">
                            <w:pPr>
                              <w:pStyle w:val="TLIdentifikace-sted"/>
                            </w:pPr>
                            <w:r w:rsidRPr="00B23E6E">
                              <w:t>Kód publikace: 320193-2</w:t>
                            </w:r>
                            <w:r>
                              <w:t>1</w:t>
                            </w:r>
                          </w:p>
                          <w:p w14:paraId="1ED5773E" w14:textId="331BCEC4" w:rsidR="009112E3" w:rsidRPr="00474646" w:rsidRDefault="009112E3" w:rsidP="004924DC">
                            <w:pPr>
                              <w:pStyle w:val="TLIdentifikace-sted"/>
                              <w:rPr>
                                <w:rFonts w:cs="Arial"/>
                              </w:rPr>
                            </w:pPr>
                            <w:r w:rsidRPr="00474646">
                              <w:rPr>
                                <w:rFonts w:cs="Arial"/>
                              </w:rPr>
                              <w:t>Č</w:t>
                            </w:r>
                            <w:r w:rsidRPr="00730A8B">
                              <w:rPr>
                                <w:rFonts w:cs="Arial"/>
                              </w:rPr>
                              <w:t xml:space="preserve">. j.: </w:t>
                            </w:r>
                            <w:r w:rsidRPr="00730A8B">
                              <w:rPr>
                                <w:rFonts w:eastAsia="Calibri" w:cs="Arial"/>
                                <w:lang w:eastAsia="en-US"/>
                              </w:rPr>
                              <w:t>CSU</w:t>
                            </w:r>
                            <w:r>
                              <w:rPr>
                                <w:rFonts w:eastAsia="Calibri" w:cs="Arial"/>
                                <w:lang w:eastAsia="en-US"/>
                              </w:rPr>
                              <w:t>-</w:t>
                            </w:r>
                            <w:r w:rsidRPr="00821624">
                              <w:rPr>
                                <w:rFonts w:eastAsia="Calibri" w:cs="Arial"/>
                                <w:lang w:eastAsia="en-US"/>
                              </w:rPr>
                              <w:t>013204/2021-01</w:t>
                            </w:r>
                          </w:p>
                          <w:p w14:paraId="7E4C36AC" w14:textId="7657F4C0" w:rsidR="009112E3" w:rsidRPr="004924DC" w:rsidRDefault="009112E3" w:rsidP="004924DC">
                            <w:pPr>
                              <w:pStyle w:val="TLIdentifikace-sted"/>
                            </w:pPr>
                            <w:r w:rsidRPr="004924DC">
                              <w:t>Pořadové číslo v</w:t>
                            </w:r>
                            <w:r>
                              <w:t> </w:t>
                            </w:r>
                            <w:r w:rsidRPr="004924DC">
                              <w:t xml:space="preserve">roce: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B96D4" id="_x0000_s1027" type="#_x0000_t202" style="position:absolute;left:0;text-align:left;margin-left:134.65pt;margin-top:368.55pt;width:403.9pt;height:13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    <v:textbox style="mso-fit-shape-to-text:t" inset="0,0,0,0">
                  <w:txbxContent>
                    <w:p w14:paraId="6B3C48DE" w14:textId="77777777" w:rsidR="009112E3" w:rsidRPr="004924DC" w:rsidRDefault="009112E3" w:rsidP="004924DC">
                      <w:pPr>
                        <w:pStyle w:val="TLIdentifikace-sted"/>
                      </w:pPr>
                      <w:r>
                        <w:t>souhrnná data o České republice</w:t>
                      </w:r>
                    </w:p>
                    <w:p w14:paraId="02C46271" w14:textId="782E0B60" w:rsidR="009112E3" w:rsidRPr="004924DC" w:rsidRDefault="009112E3" w:rsidP="004924DC">
                      <w:pPr>
                        <w:pStyle w:val="TLIdentifikace-sted"/>
                      </w:pPr>
                      <w:r>
                        <w:t>Praha, 16. 12. 2021</w:t>
                      </w:r>
                    </w:p>
                    <w:p w14:paraId="43012AD8" w14:textId="77777777" w:rsidR="009112E3" w:rsidRPr="00B23E6E" w:rsidRDefault="009112E3" w:rsidP="004924DC">
                      <w:pPr>
                        <w:pStyle w:val="TLIdentifikace-sted"/>
                      </w:pPr>
                      <w:r w:rsidRPr="00B23E6E">
                        <w:t>Kód publikace: 320193-2</w:t>
                      </w:r>
                      <w:r>
                        <w:t>1</w:t>
                      </w:r>
                    </w:p>
                    <w:p w14:paraId="1ED5773E" w14:textId="331BCEC4" w:rsidR="009112E3" w:rsidRPr="00474646" w:rsidRDefault="009112E3" w:rsidP="004924DC">
                      <w:pPr>
                        <w:pStyle w:val="TLIdentifikace-sted"/>
                        <w:rPr>
                          <w:rFonts w:cs="Arial"/>
                        </w:rPr>
                      </w:pPr>
                      <w:r w:rsidRPr="00474646">
                        <w:rPr>
                          <w:rFonts w:cs="Arial"/>
                        </w:rPr>
                        <w:t>Č</w:t>
                      </w:r>
                      <w:r w:rsidRPr="00730A8B">
                        <w:rPr>
                          <w:rFonts w:cs="Arial"/>
                        </w:rPr>
                        <w:t xml:space="preserve">. j.: </w:t>
                      </w:r>
                      <w:r w:rsidRPr="00730A8B">
                        <w:rPr>
                          <w:rFonts w:eastAsia="Calibri" w:cs="Arial"/>
                          <w:lang w:eastAsia="en-US"/>
                        </w:rPr>
                        <w:t>CSU</w:t>
                      </w:r>
                      <w:r>
                        <w:rPr>
                          <w:rFonts w:eastAsia="Calibri" w:cs="Arial"/>
                          <w:lang w:eastAsia="en-US"/>
                        </w:rPr>
                        <w:t>-</w:t>
                      </w:r>
                      <w:r w:rsidRPr="00821624">
                        <w:rPr>
                          <w:rFonts w:eastAsia="Calibri" w:cs="Arial"/>
                          <w:lang w:eastAsia="en-US"/>
                        </w:rPr>
                        <w:t>013204/2021-01</w:t>
                      </w:r>
                    </w:p>
                    <w:p w14:paraId="7E4C36AC" w14:textId="7657F4C0" w:rsidR="009112E3" w:rsidRPr="004924DC" w:rsidRDefault="009112E3" w:rsidP="004924DC">
                      <w:pPr>
                        <w:pStyle w:val="TLIdentifikace-sted"/>
                      </w:pPr>
                      <w:r w:rsidRPr="004924DC">
                        <w:t>Pořadové číslo v</w:t>
                      </w:r>
                      <w:r>
                        <w:t> </w:t>
                      </w:r>
                      <w:r w:rsidRPr="004924DC">
                        <w:t xml:space="preserve">roce: </w:t>
                      </w:r>
                      <w:r>
                        <w:t>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451D2144" wp14:editId="099204C6">
                <wp:simplePos x="0" y="0"/>
                <wp:positionH relativeFrom="page">
                  <wp:posOffset>1710055</wp:posOffset>
                </wp:positionH>
                <wp:positionV relativeFrom="page">
                  <wp:posOffset>1476375</wp:posOffset>
                </wp:positionV>
                <wp:extent cx="5129530" cy="1471930"/>
                <wp:effectExtent l="0" t="0" r="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B7B56" w14:textId="77777777" w:rsidR="009112E3" w:rsidRPr="000E6FBD" w:rsidRDefault="009112E3" w:rsidP="000E6FBD">
                            <w:pPr>
                              <w:pStyle w:val="Nzev"/>
                            </w:pPr>
                            <w:r>
                              <w:t>Vývoj ekonomiky české republiky</w:t>
                            </w:r>
                          </w:p>
                          <w:p w14:paraId="6EF7822F" w14:textId="77777777" w:rsidR="009112E3" w:rsidRPr="0012192F" w:rsidRDefault="009112E3" w:rsidP="0012192F">
                            <w:pPr>
                              <w:pStyle w:val="Podnadpis"/>
                            </w:pPr>
                          </w:p>
                          <w:p w14:paraId="284A2D4D" w14:textId="5C0AF619" w:rsidR="009112E3" w:rsidRPr="0012192F" w:rsidRDefault="009112E3" w:rsidP="00720310">
                            <w:pPr>
                              <w:pStyle w:val="Podnadpis"/>
                            </w:pPr>
                            <w:r>
                              <w:t>1. až 3. čtvrtletí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2144" id="_x0000_s1028" type="#_x0000_t202" style="position:absolute;left:0;text-align:left;margin-left:134.65pt;margin-top:116.25pt;width:403.9pt;height:115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" filled="f" stroked="f">
                <v:textbox style="mso-fit-shape-to-text:t" inset="0,0,0,0">
                  <w:txbxContent>
                    <w:p w14:paraId="723B7B56" w14:textId="77777777" w:rsidR="009112E3" w:rsidRPr="000E6FBD" w:rsidRDefault="009112E3" w:rsidP="000E6FBD">
                      <w:pPr>
                        <w:pStyle w:val="Nzev"/>
                      </w:pPr>
                      <w:r>
                        <w:t>Vývoj ekonomiky české republiky</w:t>
                      </w:r>
                    </w:p>
                    <w:p w14:paraId="6EF7822F" w14:textId="77777777" w:rsidR="009112E3" w:rsidRPr="0012192F" w:rsidRDefault="009112E3" w:rsidP="0012192F">
                      <w:pPr>
                        <w:pStyle w:val="Podnadpis"/>
                      </w:pPr>
                    </w:p>
                    <w:p w14:paraId="284A2D4D" w14:textId="5C0AF619" w:rsidR="009112E3" w:rsidRPr="0012192F" w:rsidRDefault="009112E3" w:rsidP="00720310">
                      <w:pPr>
                        <w:pStyle w:val="Podnadpis"/>
                      </w:pPr>
                      <w:r>
                        <w:t>1. až 3. čtvrtletí 2021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1CDD5F4" wp14:editId="1095CA0F">
                <wp:simplePos x="0" y="0"/>
                <wp:positionH relativeFrom="page">
                  <wp:posOffset>1710055</wp:posOffset>
                </wp:positionH>
                <wp:positionV relativeFrom="page">
                  <wp:posOffset>9649460</wp:posOffset>
                </wp:positionV>
                <wp:extent cx="5130165" cy="179705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1DF7B" w14:textId="77777777" w:rsidR="009112E3" w:rsidRPr="004924DC" w:rsidRDefault="009112E3" w:rsidP="004924DC">
                            <w:r w:rsidRPr="004924DC">
                              <w:t xml:space="preserve">© Český statistický úřad, </w:t>
                            </w:r>
                            <w:r>
                              <w:t>Praha</w:t>
                            </w:r>
                            <w:r w:rsidRPr="004924DC">
                              <w:t xml:space="preserve">, </w:t>
                            </w:r>
                            <w:r>
                              <w:t>2021</w:t>
                            </w:r>
                          </w:p>
                          <w:p w14:paraId="622736FE" w14:textId="77777777" w:rsidR="009112E3" w:rsidRPr="005251DD" w:rsidRDefault="009112E3" w:rsidP="00665BA4"/>
                          <w:p w14:paraId="157588CA" w14:textId="77777777" w:rsidR="009112E3" w:rsidRPr="005251DD" w:rsidRDefault="009112E3" w:rsidP="00FC684B"/>
                          <w:p w14:paraId="590D710B" w14:textId="77777777" w:rsidR="009112E3" w:rsidRDefault="009112E3"/>
                          <w:p w14:paraId="73B68DA8" w14:textId="77777777" w:rsidR="009112E3" w:rsidRPr="00097407" w:rsidRDefault="009112E3" w:rsidP="00665BA4">
                            <w:r w:rsidRPr="00097407">
                              <w:t xml:space="preserve">© </w:t>
                            </w:r>
                            <w:r w:rsidRPr="005251DD">
                              <w:t>Český statistický úřad</w:t>
                            </w:r>
                            <w:r>
                              <w:t xml:space="preserve"> / </w:t>
                            </w:r>
                            <w:r w:rsidRPr="009A1902">
                              <w:rPr>
                                <w:i/>
                              </w:rPr>
                              <w:t xml:space="preserve">Czech </w:t>
                            </w:r>
                            <w:proofErr w:type="spellStart"/>
                            <w:r w:rsidRPr="009A1902">
                              <w:rPr>
                                <w:rFonts w:cs="Arial"/>
                                <w:i/>
                                <w:szCs w:val="20"/>
                              </w:rPr>
                              <w:t>Statistical</w:t>
                            </w:r>
                            <w:proofErr w:type="spellEnd"/>
                            <w:r w:rsidRPr="009A1902"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 Office</w:t>
                            </w:r>
                            <w:r w:rsidRPr="00097407">
                              <w:t>, místo, rok vydání</w:t>
                            </w:r>
                          </w:p>
                          <w:p w14:paraId="3D655DFE" w14:textId="77777777" w:rsidR="009112E3" w:rsidRPr="005251DD" w:rsidRDefault="009112E3" w:rsidP="00665BA4"/>
                          <w:p w14:paraId="74D3ABC4" w14:textId="77777777" w:rsidR="009112E3" w:rsidRPr="005251DD" w:rsidRDefault="009112E3" w:rsidP="00FC68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5F4" id="_x0000_s1029" type="#_x0000_t202" style="position:absolute;left:0;text-align:left;margin-left:134.65pt;margin-top:759.8pt;width:403.9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" filled="f" stroked="f">
                <v:textbox inset="0,0,0,0">
                  <w:txbxContent>
                    <w:p w14:paraId="0841DF7B" w14:textId="77777777" w:rsidR="009112E3" w:rsidRPr="004924DC" w:rsidRDefault="009112E3" w:rsidP="004924DC">
                      <w:r w:rsidRPr="004924DC">
                        <w:t xml:space="preserve">© Český statistický úřad, </w:t>
                      </w:r>
                      <w:r>
                        <w:t>Praha</w:t>
                      </w:r>
                      <w:r w:rsidRPr="004924DC">
                        <w:t xml:space="preserve">, </w:t>
                      </w:r>
                      <w:r>
                        <w:t>2021</w:t>
                      </w:r>
                    </w:p>
                    <w:p w14:paraId="622736FE" w14:textId="77777777" w:rsidR="009112E3" w:rsidRPr="005251DD" w:rsidRDefault="009112E3" w:rsidP="00665BA4"/>
                    <w:p w14:paraId="157588CA" w14:textId="77777777" w:rsidR="009112E3" w:rsidRPr="005251DD" w:rsidRDefault="009112E3" w:rsidP="00FC684B"/>
                    <w:p w14:paraId="590D710B" w14:textId="77777777" w:rsidR="009112E3" w:rsidRDefault="009112E3"/>
                    <w:p w14:paraId="73B68DA8" w14:textId="77777777" w:rsidR="009112E3" w:rsidRPr="00097407" w:rsidRDefault="009112E3" w:rsidP="00665BA4">
                      <w:r w:rsidRPr="00097407">
                        <w:t xml:space="preserve">© </w:t>
                      </w:r>
                      <w:r w:rsidRPr="005251DD">
                        <w:t>Český statistický úřad</w:t>
                      </w:r>
                      <w:r>
                        <w:t xml:space="preserve"> / </w:t>
                      </w:r>
                      <w:r w:rsidRPr="009A1902">
                        <w:rPr>
                          <w:i/>
                        </w:rPr>
                        <w:t xml:space="preserve">Czech </w:t>
                      </w:r>
                      <w:proofErr w:type="spellStart"/>
                      <w:r w:rsidRPr="009A1902">
                        <w:rPr>
                          <w:rFonts w:cs="Arial"/>
                          <w:i/>
                          <w:szCs w:val="20"/>
                        </w:rPr>
                        <w:t>Statistical</w:t>
                      </w:r>
                      <w:proofErr w:type="spellEnd"/>
                      <w:r w:rsidRPr="009A1902">
                        <w:rPr>
                          <w:rFonts w:cs="Arial"/>
                          <w:i/>
                          <w:szCs w:val="20"/>
                        </w:rPr>
                        <w:t xml:space="preserve"> Office</w:t>
                      </w:r>
                      <w:r w:rsidRPr="00097407">
                        <w:t>, místo, rok vydání</w:t>
                      </w:r>
                    </w:p>
                    <w:p w14:paraId="3D655DFE" w14:textId="77777777" w:rsidR="009112E3" w:rsidRPr="005251DD" w:rsidRDefault="009112E3" w:rsidP="00665BA4"/>
                    <w:p w14:paraId="74D3ABC4" w14:textId="77777777" w:rsidR="009112E3" w:rsidRPr="005251DD" w:rsidRDefault="009112E3" w:rsidP="00FC684B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3632" behindDoc="0" locked="1" layoutInCell="0" allowOverlap="1" wp14:anchorId="5D7561D0" wp14:editId="7B364386">
                <wp:simplePos x="0" y="0"/>
                <wp:positionH relativeFrom="page">
                  <wp:posOffset>1710055</wp:posOffset>
                </wp:positionH>
                <wp:positionV relativeFrom="page">
                  <wp:posOffset>9361169</wp:posOffset>
                </wp:positionV>
                <wp:extent cx="5130165" cy="0"/>
                <wp:effectExtent l="0" t="0" r="13335" b="0"/>
                <wp:wrapNone/>
                <wp:docPr id="17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01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67B4E9" id="Přímá spojnice 33" o:spid="_x0000_s1026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BwZiEp3AEAAI8DAAAOAAAAAAAAAAAAAAAAAC4CAABkcnMvZTJvRG9jLnhtbFBLAQItABQA&#10;BgAIAAAAIQCPhHZM4gAAAA4BAAAPAAAAAAAAAAAAAAAAADYEAABkcnMvZG93bnJldi54bWxQSwUG&#10;AAAAAAQABADzAAAARQUAAAAA&#10;" o:allowincell="f" strokecolor="windowText" strokeweight="1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F63FB7" w:rsidRPr="009110F7">
        <w:br w:type="page"/>
      </w:r>
      <w:r w:rsidR="00D57677" w:rsidRPr="009110F7">
        <w:lastRenderedPageBreak/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BC95926" wp14:editId="266DEF2F">
                <wp:simplePos x="0" y="0"/>
                <wp:positionH relativeFrom="page">
                  <wp:posOffset>723900</wp:posOffset>
                </wp:positionH>
                <wp:positionV relativeFrom="page">
                  <wp:posOffset>1440180</wp:posOffset>
                </wp:positionV>
                <wp:extent cx="6119495" cy="7673340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767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70E5B" w14:textId="77777777" w:rsidR="009112E3" w:rsidRPr="006F5416" w:rsidRDefault="009112E3" w:rsidP="006F5416">
                            <w:pPr>
                              <w:pStyle w:val="TLKontaktyerven"/>
                            </w:pPr>
                            <w:r w:rsidRPr="006F5416">
                              <w:t>KONTAKTY V ÚSTŘEDÍ</w:t>
                            </w:r>
                          </w:p>
                          <w:p w14:paraId="3BEEAF5F" w14:textId="77777777" w:rsidR="009112E3" w:rsidRPr="007D40DF" w:rsidRDefault="009112E3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Český statistický úřad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 xml:space="preserve"> | Na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padesátém 81, 100 82 Praha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10, 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 xml:space="preserve">tel.: 274 051 111 | </w:t>
                            </w:r>
                            <w:r w:rsidRPr="007D40DF">
                              <w:rPr>
                                <w:color w:val="auto"/>
                              </w:rPr>
                              <w:t>www.czso.cz</w:t>
                            </w:r>
                          </w:p>
                          <w:p w14:paraId="4ECAA215" w14:textId="77777777" w:rsidR="009112E3" w:rsidRPr="00D235B7" w:rsidRDefault="009112E3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Oddělení informačních služeb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>052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>304, 274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>052 451 | e-mail: infoservis@czso.cz</w:t>
                            </w:r>
                          </w:p>
                          <w:p w14:paraId="4EB8DFE9" w14:textId="77777777" w:rsidR="009112E3" w:rsidRPr="00D235B7" w:rsidRDefault="009112E3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Prodejna publikací ČSÚ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>052 361 | e-mail: prodejna@czso.cz</w:t>
                            </w:r>
                          </w:p>
                          <w:p w14:paraId="2572D725" w14:textId="77777777" w:rsidR="009112E3" w:rsidRPr="00D235B7" w:rsidRDefault="009112E3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Evropská data (ESDS), mezinárodní srovnání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>052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>347 | e-mail: esds@czso.cz</w:t>
                            </w:r>
                          </w:p>
                          <w:p w14:paraId="41B476B1" w14:textId="77777777" w:rsidR="009112E3" w:rsidRPr="00D235B7" w:rsidRDefault="009112E3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Ústřední statistická knihovna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>052 361 | e-mail: knihovna@czso.cz</w:t>
                            </w:r>
                          </w:p>
                          <w:p w14:paraId="433A2C62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color w:val="auto"/>
                              </w:rPr>
                            </w:pPr>
                          </w:p>
                          <w:p w14:paraId="29C57B67" w14:textId="77777777" w:rsidR="009112E3" w:rsidRPr="00D66223" w:rsidRDefault="009112E3" w:rsidP="00D66223">
                            <w:pPr>
                              <w:pStyle w:val="TLKontaktyerven"/>
                            </w:pPr>
                            <w:r w:rsidRPr="00D66223">
                              <w:t>INFORMAČNÍ SLUŽBY V REGIONECH</w:t>
                            </w:r>
                          </w:p>
                          <w:p w14:paraId="181BE30E" w14:textId="77777777" w:rsidR="009112E3" w:rsidRPr="00992CF3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Hl. m. Praha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 | Na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padesátém 81, 100 82 Praha 10,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>: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274 052 673,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274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054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223</w:t>
                            </w:r>
                          </w:p>
                          <w:p w14:paraId="00E25240" w14:textId="77777777" w:rsidR="009112E3" w:rsidRPr="00992CF3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e-mail: infoservispraha@czso.cz | </w:t>
                            </w:r>
                            <w:r w:rsidRPr="00992CF3">
                              <w:rPr>
                                <w:color w:val="auto"/>
                              </w:rPr>
                              <w:t>www.praha.czso.cz</w:t>
                            </w:r>
                          </w:p>
                          <w:p w14:paraId="057A23A4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39B5FB82" w14:textId="77777777" w:rsidR="009112E3" w:rsidRPr="00992CF3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Středočeský kraj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 | Na padesátém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81, 100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82 Praha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10, 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274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054 175</w:t>
                            </w:r>
                          </w:p>
                          <w:p w14:paraId="157E80A8" w14:textId="77777777" w:rsidR="009112E3" w:rsidRPr="00992CF3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e-mail: infoservisstc@czso.cz | </w:t>
                            </w:r>
                            <w:r w:rsidRPr="00992CF3">
                              <w:rPr>
                                <w:color w:val="auto"/>
                              </w:rPr>
                              <w:t>www.stredocesky.czso.cz</w:t>
                            </w:r>
                          </w:p>
                          <w:p w14:paraId="311A59C4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5AF27889" w14:textId="77777777" w:rsidR="009112E3" w:rsidRPr="00992CF3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České Budějovice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 | Žižkova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1, 370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77 České Budějovice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386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718 440</w:t>
                            </w:r>
                          </w:p>
                          <w:p w14:paraId="230712C9" w14:textId="77777777" w:rsidR="009112E3" w:rsidRPr="00992CF3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e-mail: infoserviscb@czso.cz | </w:t>
                            </w:r>
                            <w:r w:rsidRPr="00992CF3">
                              <w:rPr>
                                <w:color w:val="auto"/>
                              </w:rPr>
                              <w:t>www.cbudejovice.czso.cz</w:t>
                            </w:r>
                          </w:p>
                          <w:p w14:paraId="61687BE3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0065AFA0" w14:textId="77777777" w:rsidR="009112E3" w:rsidRPr="00BC731E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Plzeň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Slovanská alej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36, 326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64 Plzeň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377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612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108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, 377 612 145</w:t>
                            </w:r>
                          </w:p>
                          <w:p w14:paraId="580F3FC6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infoservisplzen@czso.cz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www.plzen.czso.cz</w:t>
                            </w:r>
                          </w:p>
                          <w:p w14:paraId="5C0E870A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345F7961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Karlovy Vary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</w:t>
                            </w:r>
                            <w:r w:rsidRPr="00095135">
                              <w:rPr>
                                <w:b w:val="0"/>
                                <w:color w:val="auto"/>
                              </w:rPr>
                              <w:t>Závodní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095135">
                              <w:rPr>
                                <w:b w:val="0"/>
                                <w:color w:val="auto"/>
                              </w:rPr>
                              <w:t>360/94, 360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095135">
                              <w:rPr>
                                <w:b w:val="0"/>
                                <w:color w:val="auto"/>
                              </w:rPr>
                              <w:t>06 Karlovy Vary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, 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353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114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529, 353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114 525</w:t>
                            </w:r>
                          </w:p>
                          <w:p w14:paraId="4DC0438C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infoserviskv@czso.cz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www.kvary.czso.cz</w:t>
                            </w:r>
                          </w:p>
                          <w:p w14:paraId="63EC2C5F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766F2288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Ústí nad Labem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Špálova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2684, 400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11 Ústí nad Labem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472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706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176,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472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706 121</w:t>
                            </w:r>
                          </w:p>
                          <w:p w14:paraId="208CBC6F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infoservisul@czso.cz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www.ustinadlabem.czso.cz</w:t>
                            </w:r>
                          </w:p>
                          <w:p w14:paraId="5225C012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0D4652E6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Liberec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n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ám. Dr.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Edvarda Beneše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585/26, 460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01 Liberec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1, 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485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238 811</w:t>
                            </w:r>
                          </w:p>
                          <w:p w14:paraId="5DE70BA8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infoservislbc@czso.cz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www.liberec.czso.cz</w:t>
                            </w:r>
                          </w:p>
                          <w:p w14:paraId="03B71E87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14:paraId="231AC323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Hradec Králové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Myslivečkova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914, 500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03 Hradec Králové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3,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>: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495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762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322,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495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762 317</w:t>
                            </w:r>
                          </w:p>
                          <w:p w14:paraId="54BCE1FE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infoservishk@czso.cz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www.hradeckralove.czso.cz</w:t>
                            </w:r>
                          </w:p>
                          <w:p w14:paraId="6D36A3AA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64319B27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Pardubice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V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Ráji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872, 531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53 Pardubice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: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466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743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480, 466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743 418</w:t>
                            </w:r>
                          </w:p>
                          <w:p w14:paraId="5E1A24AC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infoservispa@czso.cz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www.pardubice.czso.cz</w:t>
                            </w:r>
                          </w:p>
                          <w:p w14:paraId="2BFDBDD7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14:paraId="4068B566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Jihlava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Ke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Skalce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30,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586 01 Jihlava, tel.: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567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109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062, 567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109 073</w:t>
                            </w:r>
                          </w:p>
                          <w:p w14:paraId="0C03F129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infoservisvys@czso.cz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www.jihlava.czso.cz</w:t>
                            </w:r>
                          </w:p>
                          <w:p w14:paraId="0E4762FA" w14:textId="77777777" w:rsidR="009112E3" w:rsidRDefault="009112E3" w:rsidP="00825C4D">
                            <w:pPr>
                              <w:pStyle w:val="TLKontakty"/>
                              <w:spacing w:after="80" w:line="240" w:lineRule="auto"/>
                            </w:pPr>
                          </w:p>
                          <w:p w14:paraId="63ACC352" w14:textId="77777777" w:rsidR="009112E3" w:rsidRPr="00BC731E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Brno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Jezuitská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2, 601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59 Brno,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tel.: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542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528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115, 542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528 200</w:t>
                            </w:r>
                          </w:p>
                          <w:p w14:paraId="75CE0AF6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infoservisbrno@czso.cz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www.brno.czso.cz</w:t>
                            </w:r>
                          </w:p>
                          <w:p w14:paraId="7C8767F7" w14:textId="77777777" w:rsidR="009112E3" w:rsidRPr="004A61C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14:paraId="71AC5E72" w14:textId="77777777" w:rsidR="009112E3" w:rsidRPr="005E7C78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Olomouc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 | Jeremenkova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1142/42, 772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11 Olomouc,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tel.: 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585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731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516, 585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731 511</w:t>
                            </w:r>
                          </w:p>
                          <w:p w14:paraId="7CB03505" w14:textId="77777777" w:rsidR="009112E3" w:rsidRPr="005E7C78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e-mail: infoservisolom@czso.cz | </w:t>
                            </w:r>
                            <w:r w:rsidRPr="005E7C78">
                              <w:rPr>
                                <w:color w:val="auto"/>
                              </w:rPr>
                              <w:t>www.olomouc.czso.cz</w:t>
                            </w:r>
                          </w:p>
                          <w:p w14:paraId="0EEEF987" w14:textId="77777777" w:rsidR="009112E3" w:rsidRPr="005E7C78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14:paraId="00E77B80" w14:textId="77777777" w:rsidR="009112E3" w:rsidRPr="005E7C78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Zlín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 | tř.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Tomáše Bati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1565, 761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76 Zlín, 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tel.: 577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004 932, 5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77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004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935</w:t>
                            </w:r>
                          </w:p>
                          <w:p w14:paraId="4B798D9B" w14:textId="77777777" w:rsidR="009112E3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e-mail: infoservis-zl@czso.cz | </w:t>
                            </w:r>
                            <w:r w:rsidRPr="00227A53">
                              <w:rPr>
                                <w:color w:val="auto"/>
                              </w:rPr>
                              <w:t>www.zlin.czso.cz</w:t>
                            </w:r>
                          </w:p>
                          <w:p w14:paraId="113A3E51" w14:textId="77777777" w:rsidR="009112E3" w:rsidRPr="005E7C78" w:rsidRDefault="009112E3" w:rsidP="00095135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</w:p>
                          <w:p w14:paraId="0275618D" w14:textId="77777777" w:rsidR="009112E3" w:rsidRPr="005E7C78" w:rsidRDefault="009112E3" w:rsidP="00095135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Ostrava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 | Repinova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17, 702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03 Ostrava,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tel.: 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595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131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230, 595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131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232</w:t>
                            </w:r>
                          </w:p>
                          <w:p w14:paraId="6C2C1392" w14:textId="77777777" w:rsidR="009112E3" w:rsidRPr="00095135" w:rsidRDefault="009112E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e-mail: infoservis_ov@czso.cz | </w:t>
                            </w:r>
                            <w:r w:rsidRPr="005E7C78">
                              <w:rPr>
                                <w:color w:val="auto"/>
                              </w:rPr>
                              <w:t>www.ostrava.czso.cz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5926" id="_x0000_s1030" type="#_x0000_t202" style="position:absolute;left:0;text-align:left;margin-left:57pt;margin-top:113.4pt;width:481.85pt;height:604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" filled="f" stroked="f">
                <v:textbox style="mso-fit-shape-to-text:t" inset="0,0,0,0">
                  <w:txbxContent>
                    <w:p w14:paraId="57F70E5B" w14:textId="77777777" w:rsidR="009112E3" w:rsidRPr="006F5416" w:rsidRDefault="009112E3" w:rsidP="006F5416">
                      <w:pPr>
                        <w:pStyle w:val="TLKontaktyerven"/>
                      </w:pPr>
                      <w:r w:rsidRPr="006F5416">
                        <w:t>KONTAKTY V ÚSTŘEDÍ</w:t>
                      </w:r>
                    </w:p>
                    <w:p w14:paraId="3BEEAF5F" w14:textId="77777777" w:rsidR="009112E3" w:rsidRPr="007D40DF" w:rsidRDefault="009112E3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66223">
                        <w:t>Český statistický úřad</w:t>
                      </w:r>
                      <w:r w:rsidRPr="007D40DF">
                        <w:rPr>
                          <w:b w:val="0"/>
                          <w:color w:val="auto"/>
                        </w:rPr>
                        <w:t xml:space="preserve"> | Na</w:t>
                      </w:r>
                      <w:r>
                        <w:rPr>
                          <w:b w:val="0"/>
                          <w:color w:val="auto"/>
                        </w:rPr>
                        <w:t xml:space="preserve"> padesátém 81, 100 82 Praha</w:t>
                      </w:r>
                      <w:r w:rsidRPr="007D40DF">
                        <w:rPr>
                          <w:b w:val="0"/>
                          <w:color w:val="auto"/>
                        </w:rPr>
                        <w:t> </w:t>
                      </w:r>
                      <w:r>
                        <w:rPr>
                          <w:b w:val="0"/>
                          <w:color w:val="auto"/>
                        </w:rPr>
                        <w:t xml:space="preserve">10, </w:t>
                      </w:r>
                      <w:r w:rsidRPr="007D40DF">
                        <w:rPr>
                          <w:b w:val="0"/>
                          <w:color w:val="auto"/>
                        </w:rPr>
                        <w:t xml:space="preserve">tel.: 274 051 111 | </w:t>
                      </w:r>
                      <w:r w:rsidRPr="007D40DF">
                        <w:rPr>
                          <w:color w:val="auto"/>
                        </w:rPr>
                        <w:t>www.czso.cz</w:t>
                      </w:r>
                    </w:p>
                    <w:p w14:paraId="4ECAA215" w14:textId="77777777" w:rsidR="009112E3" w:rsidRPr="00D235B7" w:rsidRDefault="009112E3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Oddělení informačních služeb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D235B7">
                        <w:rPr>
                          <w:b w:val="0"/>
                          <w:color w:val="auto"/>
                        </w:rPr>
                        <w:t>052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D235B7">
                        <w:rPr>
                          <w:b w:val="0"/>
                          <w:color w:val="auto"/>
                        </w:rPr>
                        <w:t>304, 274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D235B7">
                        <w:rPr>
                          <w:b w:val="0"/>
                          <w:color w:val="auto"/>
                        </w:rPr>
                        <w:t>052 451 | e-mail: infoservis@czso.cz</w:t>
                      </w:r>
                    </w:p>
                    <w:p w14:paraId="4EB8DFE9" w14:textId="77777777" w:rsidR="009112E3" w:rsidRPr="00D235B7" w:rsidRDefault="009112E3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Prodejna publikací ČSÚ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D235B7">
                        <w:rPr>
                          <w:b w:val="0"/>
                          <w:color w:val="auto"/>
                        </w:rPr>
                        <w:t>052 361 | e-mail: prodejna@czso.cz</w:t>
                      </w:r>
                    </w:p>
                    <w:p w14:paraId="2572D725" w14:textId="77777777" w:rsidR="009112E3" w:rsidRPr="00D235B7" w:rsidRDefault="009112E3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Evropská data (ESDS), mezinárodní srovnání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D235B7">
                        <w:rPr>
                          <w:b w:val="0"/>
                          <w:color w:val="auto"/>
                        </w:rPr>
                        <w:t>052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D235B7">
                        <w:rPr>
                          <w:b w:val="0"/>
                          <w:color w:val="auto"/>
                        </w:rPr>
                        <w:t>347 | e-mail: esds@czso.cz</w:t>
                      </w:r>
                    </w:p>
                    <w:p w14:paraId="41B476B1" w14:textId="77777777" w:rsidR="009112E3" w:rsidRPr="00D235B7" w:rsidRDefault="009112E3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Ústřední statistická knihovna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D235B7">
                        <w:rPr>
                          <w:b w:val="0"/>
                          <w:color w:val="auto"/>
                        </w:rPr>
                        <w:t>052 361 | e-mail: knihovna@czso.cz</w:t>
                      </w:r>
                    </w:p>
                    <w:p w14:paraId="433A2C62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color w:val="auto"/>
                        </w:rPr>
                      </w:pPr>
                    </w:p>
                    <w:p w14:paraId="29C57B67" w14:textId="77777777" w:rsidR="009112E3" w:rsidRPr="00D66223" w:rsidRDefault="009112E3" w:rsidP="00D66223">
                      <w:pPr>
                        <w:pStyle w:val="TLKontaktyerven"/>
                      </w:pPr>
                      <w:r w:rsidRPr="00D66223">
                        <w:t>INFORMAČNÍ SLUŽBY V REGIONECH</w:t>
                      </w:r>
                    </w:p>
                    <w:p w14:paraId="181BE30E" w14:textId="77777777" w:rsidR="009112E3" w:rsidRPr="00992CF3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Hl. m. Praha</w:t>
                      </w:r>
                      <w:r w:rsidRPr="00992CF3">
                        <w:rPr>
                          <w:b w:val="0"/>
                          <w:color w:val="auto"/>
                        </w:rPr>
                        <w:t xml:space="preserve"> | Na</w:t>
                      </w:r>
                      <w:r>
                        <w:rPr>
                          <w:b w:val="0"/>
                          <w:color w:val="auto"/>
                        </w:rPr>
                        <w:t xml:space="preserve"> padesátém 81, 100 82 Praha 10, </w:t>
                      </w:r>
                      <w:r w:rsidRPr="00992CF3">
                        <w:rPr>
                          <w:b w:val="0"/>
                          <w:color w:val="auto"/>
                        </w:rPr>
                        <w:t>tel.</w:t>
                      </w:r>
                      <w:r w:rsidRPr="007D40DF">
                        <w:rPr>
                          <w:b w:val="0"/>
                          <w:color w:val="auto"/>
                        </w:rPr>
                        <w:t>:</w:t>
                      </w:r>
                      <w:r>
                        <w:rPr>
                          <w:b w:val="0"/>
                          <w:color w:val="auto"/>
                        </w:rPr>
                        <w:t xml:space="preserve"> 274 052 673, </w:t>
                      </w:r>
                      <w:r w:rsidRPr="00992CF3">
                        <w:rPr>
                          <w:b w:val="0"/>
                          <w:color w:val="auto"/>
                        </w:rPr>
                        <w:t>274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054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223</w:t>
                      </w:r>
                    </w:p>
                    <w:p w14:paraId="00E25240" w14:textId="77777777" w:rsidR="009112E3" w:rsidRPr="00992CF3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992CF3">
                        <w:rPr>
                          <w:b w:val="0"/>
                          <w:color w:val="auto"/>
                        </w:rPr>
                        <w:t xml:space="preserve">e-mail: infoservispraha@czso.cz | </w:t>
                      </w:r>
                      <w:r w:rsidRPr="00992CF3">
                        <w:rPr>
                          <w:color w:val="auto"/>
                        </w:rPr>
                        <w:t>www.praha.czso.cz</w:t>
                      </w:r>
                    </w:p>
                    <w:p w14:paraId="057A23A4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14:paraId="39B5FB82" w14:textId="77777777" w:rsidR="009112E3" w:rsidRPr="00992CF3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Středočeský kraj</w:t>
                      </w:r>
                      <w:r w:rsidRPr="00992CF3">
                        <w:rPr>
                          <w:b w:val="0"/>
                          <w:color w:val="auto"/>
                        </w:rPr>
                        <w:t xml:space="preserve"> | Na padesátém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81, 100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82 Praha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10, 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992CF3">
                        <w:rPr>
                          <w:b w:val="0"/>
                          <w:color w:val="auto"/>
                        </w:rPr>
                        <w:t>274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054 175</w:t>
                      </w:r>
                    </w:p>
                    <w:p w14:paraId="157E80A8" w14:textId="77777777" w:rsidR="009112E3" w:rsidRPr="00992CF3" w:rsidRDefault="009112E3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  <w:r w:rsidRPr="00992CF3">
                        <w:rPr>
                          <w:b w:val="0"/>
                          <w:color w:val="auto"/>
                        </w:rPr>
                        <w:t xml:space="preserve">e-mail: infoservisstc@czso.cz | </w:t>
                      </w:r>
                      <w:r w:rsidRPr="00992CF3">
                        <w:rPr>
                          <w:color w:val="auto"/>
                        </w:rPr>
                        <w:t>www.stredocesky.czso.cz</w:t>
                      </w:r>
                    </w:p>
                    <w:p w14:paraId="311A59C4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14:paraId="5AF27889" w14:textId="77777777" w:rsidR="009112E3" w:rsidRPr="00992CF3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České Budějovice</w:t>
                      </w:r>
                      <w:r w:rsidRPr="00992CF3">
                        <w:rPr>
                          <w:b w:val="0"/>
                          <w:color w:val="auto"/>
                        </w:rPr>
                        <w:t xml:space="preserve"> | Žižkova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1, 370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77 České Budějovice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992CF3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992CF3">
                        <w:rPr>
                          <w:b w:val="0"/>
                          <w:color w:val="auto"/>
                        </w:rPr>
                        <w:t>386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718 440</w:t>
                      </w:r>
                    </w:p>
                    <w:p w14:paraId="230712C9" w14:textId="77777777" w:rsidR="009112E3" w:rsidRPr="00992CF3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992CF3">
                        <w:rPr>
                          <w:b w:val="0"/>
                          <w:color w:val="auto"/>
                        </w:rPr>
                        <w:t xml:space="preserve">e-mail: infoserviscb@czso.cz | </w:t>
                      </w:r>
                      <w:r w:rsidRPr="00992CF3">
                        <w:rPr>
                          <w:color w:val="auto"/>
                        </w:rPr>
                        <w:t>www.cbudejovice.czso.cz</w:t>
                      </w:r>
                    </w:p>
                    <w:p w14:paraId="61687BE3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14:paraId="0065AFA0" w14:textId="77777777" w:rsidR="009112E3" w:rsidRPr="00BC731E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Plzeň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Slovanská alej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36, 326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64 Plzeň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4A61C5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377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612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108</w:t>
                      </w:r>
                      <w:r w:rsidRPr="00BC731E">
                        <w:rPr>
                          <w:b w:val="0"/>
                          <w:color w:val="auto"/>
                        </w:rPr>
                        <w:t>, 377 612 145</w:t>
                      </w:r>
                    </w:p>
                    <w:p w14:paraId="580F3FC6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infoservisplzen@czso.cz | </w:t>
                      </w:r>
                      <w:r w:rsidRPr="004A61C5">
                        <w:rPr>
                          <w:color w:val="auto"/>
                        </w:rPr>
                        <w:t>www.plzen.czso.cz</w:t>
                      </w:r>
                    </w:p>
                    <w:p w14:paraId="5C0E870A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14:paraId="345F7961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Karlovy Vary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</w:t>
                      </w:r>
                      <w:r w:rsidRPr="00095135">
                        <w:rPr>
                          <w:b w:val="0"/>
                          <w:color w:val="auto"/>
                        </w:rPr>
                        <w:t>Závodní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095135">
                        <w:rPr>
                          <w:b w:val="0"/>
                          <w:color w:val="auto"/>
                        </w:rPr>
                        <w:t>360/94, 360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095135">
                        <w:rPr>
                          <w:b w:val="0"/>
                          <w:color w:val="auto"/>
                        </w:rPr>
                        <w:t>06 Karlovy Vary</w:t>
                      </w:r>
                      <w:r w:rsidRPr="004A61C5">
                        <w:rPr>
                          <w:b w:val="0"/>
                          <w:color w:val="auto"/>
                        </w:rPr>
                        <w:t>, 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353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114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529, 353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114 525</w:t>
                      </w:r>
                    </w:p>
                    <w:p w14:paraId="4DC0438C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infoserviskv@czso.cz | </w:t>
                      </w:r>
                      <w:r w:rsidRPr="004A61C5">
                        <w:rPr>
                          <w:color w:val="auto"/>
                        </w:rPr>
                        <w:t>www.kvary.czso.cz</w:t>
                      </w:r>
                    </w:p>
                    <w:p w14:paraId="63EC2C5F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14:paraId="766F2288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Ústí nad Labem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Špálova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2684, 400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11 Ústí nad Labem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4A61C5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472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706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176,</w:t>
                      </w:r>
                      <w:r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Pr="004A61C5">
                        <w:rPr>
                          <w:b w:val="0"/>
                          <w:color w:val="auto"/>
                        </w:rPr>
                        <w:t>472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706 121</w:t>
                      </w:r>
                    </w:p>
                    <w:p w14:paraId="208CBC6F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infoservisul@czso.cz | </w:t>
                      </w:r>
                      <w:r w:rsidRPr="004A61C5">
                        <w:rPr>
                          <w:color w:val="auto"/>
                        </w:rPr>
                        <w:t>www.ustinadlabem.czso.cz</w:t>
                      </w:r>
                    </w:p>
                    <w:p w14:paraId="5225C012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14:paraId="0D4652E6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Liberec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</w:t>
                      </w:r>
                      <w:r>
                        <w:rPr>
                          <w:b w:val="0"/>
                          <w:color w:val="auto"/>
                        </w:rPr>
                        <w:t>n</w:t>
                      </w:r>
                      <w:r w:rsidRPr="004A61C5">
                        <w:rPr>
                          <w:b w:val="0"/>
                          <w:color w:val="auto"/>
                        </w:rPr>
                        <w:t>ám. Dr.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Edvarda Beneše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585/26, 460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01 Liberec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1, 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485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238 811</w:t>
                      </w:r>
                    </w:p>
                    <w:p w14:paraId="5DE70BA8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infoservislbc@czso.cz | </w:t>
                      </w:r>
                      <w:r w:rsidRPr="004A61C5">
                        <w:rPr>
                          <w:color w:val="auto"/>
                        </w:rPr>
                        <w:t>www.liberec.czso.cz</w:t>
                      </w:r>
                    </w:p>
                    <w:p w14:paraId="03B71E87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</w:p>
                    <w:p w14:paraId="231AC323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Hradec Králové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Myslivečkova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914, 500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03 Hradec Králové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3, </w:t>
                      </w:r>
                      <w:r>
                        <w:rPr>
                          <w:b w:val="0"/>
                          <w:color w:val="auto"/>
                        </w:rPr>
                        <w:t>tel.</w:t>
                      </w:r>
                      <w:r w:rsidRPr="007D40DF">
                        <w:rPr>
                          <w:b w:val="0"/>
                          <w:color w:val="auto"/>
                        </w:rPr>
                        <w:t>:</w:t>
                      </w:r>
                      <w:r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Pr="004A61C5">
                        <w:rPr>
                          <w:b w:val="0"/>
                          <w:color w:val="auto"/>
                        </w:rPr>
                        <w:t>495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762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322,</w:t>
                      </w:r>
                      <w:r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Pr="004A61C5">
                        <w:rPr>
                          <w:b w:val="0"/>
                          <w:color w:val="auto"/>
                        </w:rPr>
                        <w:t>495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762 317</w:t>
                      </w:r>
                    </w:p>
                    <w:p w14:paraId="54BCE1FE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infoservishk@czso.cz | </w:t>
                      </w:r>
                      <w:r w:rsidRPr="004A61C5">
                        <w:rPr>
                          <w:color w:val="auto"/>
                        </w:rPr>
                        <w:t>www.hradeckralove.czso.cz</w:t>
                      </w:r>
                    </w:p>
                    <w:p w14:paraId="6D36A3AA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14:paraId="64319B27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Pardubice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V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Ráji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872, 531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53 Pardubice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4A61C5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>: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466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743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480, 466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743 418</w:t>
                      </w:r>
                    </w:p>
                    <w:p w14:paraId="5E1A24AC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infoservispa@czso.cz | </w:t>
                      </w:r>
                      <w:r w:rsidRPr="004A61C5">
                        <w:rPr>
                          <w:color w:val="auto"/>
                        </w:rPr>
                        <w:t>www.pardubice.czso.cz</w:t>
                      </w:r>
                    </w:p>
                    <w:p w14:paraId="2BFDBDD7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</w:p>
                    <w:p w14:paraId="4068B566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Jihlava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Ke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Skalce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30,</w:t>
                      </w:r>
                      <w:r>
                        <w:rPr>
                          <w:b w:val="0"/>
                          <w:color w:val="auto"/>
                        </w:rPr>
                        <w:t xml:space="preserve"> 586 01 Jihlava, tel.: </w:t>
                      </w:r>
                      <w:r w:rsidRPr="004A61C5">
                        <w:rPr>
                          <w:b w:val="0"/>
                          <w:color w:val="auto"/>
                        </w:rPr>
                        <w:t>567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109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BC731E">
                        <w:rPr>
                          <w:b w:val="0"/>
                          <w:color w:val="auto"/>
                        </w:rPr>
                        <w:t>062, 567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BC731E">
                        <w:rPr>
                          <w:b w:val="0"/>
                          <w:color w:val="auto"/>
                        </w:rPr>
                        <w:t>109 073</w:t>
                      </w:r>
                    </w:p>
                    <w:p w14:paraId="0C03F129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infoservisvys@czso.cz | </w:t>
                      </w:r>
                      <w:r w:rsidRPr="004A61C5">
                        <w:rPr>
                          <w:color w:val="auto"/>
                        </w:rPr>
                        <w:t>www.jihlava.czso.cz</w:t>
                      </w:r>
                    </w:p>
                    <w:p w14:paraId="0E4762FA" w14:textId="77777777" w:rsidR="009112E3" w:rsidRDefault="009112E3" w:rsidP="00825C4D">
                      <w:pPr>
                        <w:pStyle w:val="TLKontakty"/>
                        <w:spacing w:after="80" w:line="240" w:lineRule="auto"/>
                      </w:pPr>
                    </w:p>
                    <w:p w14:paraId="63ACC352" w14:textId="77777777" w:rsidR="009112E3" w:rsidRPr="00BC731E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Brno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Jezuitská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2, 601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59 Brno, </w:t>
                      </w:r>
                      <w:r>
                        <w:rPr>
                          <w:b w:val="0"/>
                          <w:color w:val="auto"/>
                        </w:rPr>
                        <w:t xml:space="preserve">tel.: </w:t>
                      </w:r>
                      <w:r w:rsidRPr="004A61C5">
                        <w:rPr>
                          <w:b w:val="0"/>
                          <w:color w:val="auto"/>
                        </w:rPr>
                        <w:t>542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528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BC731E">
                        <w:rPr>
                          <w:b w:val="0"/>
                          <w:color w:val="auto"/>
                        </w:rPr>
                        <w:t>115, 542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BC731E">
                        <w:rPr>
                          <w:b w:val="0"/>
                          <w:color w:val="auto"/>
                        </w:rPr>
                        <w:t>528 200</w:t>
                      </w:r>
                    </w:p>
                    <w:p w14:paraId="75CE0AF6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infoservisbrno@czso.cz | </w:t>
                      </w:r>
                      <w:r w:rsidRPr="004A61C5">
                        <w:rPr>
                          <w:color w:val="auto"/>
                        </w:rPr>
                        <w:t>www.brno.czso.cz</w:t>
                      </w:r>
                    </w:p>
                    <w:p w14:paraId="7C8767F7" w14:textId="77777777" w:rsidR="009112E3" w:rsidRPr="004A61C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</w:p>
                    <w:p w14:paraId="71AC5E72" w14:textId="77777777" w:rsidR="009112E3" w:rsidRPr="005E7C78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Olomouc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 | Jeremenkova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1142/42, 772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11 Olomouc, </w:t>
                      </w:r>
                      <w:r>
                        <w:rPr>
                          <w:b w:val="0"/>
                          <w:color w:val="auto"/>
                        </w:rPr>
                        <w:t xml:space="preserve">tel.: </w:t>
                      </w:r>
                      <w:r w:rsidRPr="005E7C78">
                        <w:rPr>
                          <w:b w:val="0"/>
                          <w:color w:val="auto"/>
                        </w:rPr>
                        <w:t>585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731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BC731E">
                        <w:rPr>
                          <w:b w:val="0"/>
                          <w:color w:val="auto"/>
                        </w:rPr>
                        <w:t>516, 585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BC731E">
                        <w:rPr>
                          <w:b w:val="0"/>
                          <w:color w:val="auto"/>
                        </w:rPr>
                        <w:t>731 511</w:t>
                      </w:r>
                    </w:p>
                    <w:p w14:paraId="7CB03505" w14:textId="77777777" w:rsidR="009112E3" w:rsidRPr="005E7C78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5E7C78">
                        <w:rPr>
                          <w:b w:val="0"/>
                          <w:color w:val="auto"/>
                        </w:rPr>
                        <w:t xml:space="preserve">e-mail: infoservisolom@czso.cz | </w:t>
                      </w:r>
                      <w:r w:rsidRPr="005E7C78">
                        <w:rPr>
                          <w:color w:val="auto"/>
                        </w:rPr>
                        <w:t>www.olomouc.czso.cz</w:t>
                      </w:r>
                    </w:p>
                    <w:p w14:paraId="0EEEF987" w14:textId="77777777" w:rsidR="009112E3" w:rsidRPr="005E7C78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</w:p>
                    <w:p w14:paraId="00E77B80" w14:textId="77777777" w:rsidR="009112E3" w:rsidRPr="005E7C78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Zlín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 | tř.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Tomáše Bati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1565, 761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76 Zlín, </w:t>
                      </w:r>
                      <w:r w:rsidRPr="00BC731E">
                        <w:rPr>
                          <w:b w:val="0"/>
                          <w:color w:val="auto"/>
                        </w:rPr>
                        <w:t>tel.: 577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BC731E">
                        <w:rPr>
                          <w:b w:val="0"/>
                          <w:color w:val="auto"/>
                        </w:rPr>
                        <w:t>004 932, 5</w:t>
                      </w:r>
                      <w:r w:rsidRPr="005E7C78">
                        <w:rPr>
                          <w:b w:val="0"/>
                          <w:color w:val="auto"/>
                        </w:rPr>
                        <w:t>77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004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935</w:t>
                      </w:r>
                    </w:p>
                    <w:p w14:paraId="4B798D9B" w14:textId="77777777" w:rsidR="009112E3" w:rsidRDefault="009112E3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  <w:r w:rsidRPr="005E7C78">
                        <w:rPr>
                          <w:b w:val="0"/>
                          <w:color w:val="auto"/>
                        </w:rPr>
                        <w:t xml:space="preserve">e-mail: infoservis-zl@czso.cz | </w:t>
                      </w:r>
                      <w:r w:rsidRPr="00227A53">
                        <w:rPr>
                          <w:color w:val="auto"/>
                        </w:rPr>
                        <w:t>www.zlin.czso.cz</w:t>
                      </w:r>
                    </w:p>
                    <w:p w14:paraId="113A3E51" w14:textId="77777777" w:rsidR="009112E3" w:rsidRPr="005E7C78" w:rsidRDefault="009112E3" w:rsidP="00095135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</w:p>
                    <w:p w14:paraId="0275618D" w14:textId="77777777" w:rsidR="009112E3" w:rsidRPr="005E7C78" w:rsidRDefault="009112E3" w:rsidP="00095135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Ostrava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 | Repinova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17, 702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03 Ostrava,</w:t>
                      </w:r>
                      <w:r>
                        <w:rPr>
                          <w:b w:val="0"/>
                          <w:color w:val="auto"/>
                        </w:rPr>
                        <w:t xml:space="preserve"> tel.: </w:t>
                      </w:r>
                      <w:r w:rsidRPr="005E7C78">
                        <w:rPr>
                          <w:b w:val="0"/>
                          <w:color w:val="auto"/>
                        </w:rPr>
                        <w:t>595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131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230, 595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131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232</w:t>
                      </w:r>
                    </w:p>
                    <w:p w14:paraId="6C2C1392" w14:textId="77777777" w:rsidR="009112E3" w:rsidRPr="00095135" w:rsidRDefault="009112E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5E7C78">
                        <w:rPr>
                          <w:b w:val="0"/>
                          <w:color w:val="auto"/>
                        </w:rPr>
                        <w:t xml:space="preserve">e-mail: infoservis_ov@czso.cz | </w:t>
                      </w:r>
                      <w:r w:rsidRPr="005E7C78">
                        <w:rPr>
                          <w:color w:val="auto"/>
                        </w:rPr>
                        <w:t>www.ostrava.czso.cz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627D9299" wp14:editId="066DDE16">
                <wp:simplePos x="0" y="0"/>
                <wp:positionH relativeFrom="page">
                  <wp:posOffset>720090</wp:posOffset>
                </wp:positionH>
                <wp:positionV relativeFrom="page">
                  <wp:posOffset>9486900</wp:posOffset>
                </wp:positionV>
                <wp:extent cx="6120130" cy="360045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D07B0" w14:textId="77777777" w:rsidR="009112E3" w:rsidRPr="00321924" w:rsidRDefault="009112E3" w:rsidP="00A16E1D">
                            <w:pPr>
                              <w:jc w:val="left"/>
                            </w:pPr>
                            <w:r w:rsidRPr="00321924">
                              <w:br/>
                              <w:t xml:space="preserve">© Český statistický úřad, </w:t>
                            </w:r>
                            <w:r>
                              <w:t>Praha, 2021</w:t>
                            </w:r>
                          </w:p>
                          <w:p w14:paraId="314CB98A" w14:textId="77777777" w:rsidR="009112E3" w:rsidRDefault="009112E3"/>
                          <w:p w14:paraId="6776AB5D" w14:textId="77777777" w:rsidR="009112E3" w:rsidRPr="00841D9F" w:rsidRDefault="009112E3" w:rsidP="000A3A2C">
                            <w:r w:rsidRPr="00841D9F">
                              <w:rPr>
                                <w:szCs w:val="26"/>
                              </w:rPr>
                              <w:t>ISBN XX-XXXX-XXX-X</w:t>
                            </w:r>
                            <w:r>
                              <w:rPr>
                                <w:szCs w:val="26"/>
                              </w:rPr>
                              <w:t> </w:t>
                            </w:r>
                            <w:r w:rsidRPr="00841D9F">
                              <w:rPr>
                                <w:szCs w:val="26"/>
                              </w:rPr>
                              <w:t xml:space="preserve"> </w:t>
                            </w:r>
                            <w:r w:rsidRPr="00841D9F">
                              <w:t>(pouze u</w:t>
                            </w:r>
                            <w:r>
                              <w:t> </w:t>
                            </w:r>
                            <w:r w:rsidRPr="00841D9F">
                              <w:t>nepravidelných a</w:t>
                            </w:r>
                            <w:r>
                              <w:t> </w:t>
                            </w:r>
                            <w:r w:rsidRPr="00841D9F">
                              <w:t>ročních publikací)</w:t>
                            </w:r>
                          </w:p>
                          <w:p w14:paraId="4E98EC85" w14:textId="77777777" w:rsidR="009112E3" w:rsidRPr="00AF2852" w:rsidRDefault="009112E3" w:rsidP="000A3A2C">
                            <w:r w:rsidRPr="00841D9F">
                              <w:t>© Český sta</w:t>
                            </w:r>
                            <w:r>
                              <w:t xml:space="preserve">tistický úřad / </w:t>
                            </w:r>
                            <w:r w:rsidRPr="009A1902">
                              <w:rPr>
                                <w:i/>
                              </w:rPr>
                              <w:t xml:space="preserve">Czech </w:t>
                            </w:r>
                            <w:proofErr w:type="spellStart"/>
                            <w:r w:rsidRPr="009A1902">
                              <w:rPr>
                                <w:rFonts w:cs="Arial"/>
                                <w:i/>
                                <w:szCs w:val="20"/>
                              </w:rPr>
                              <w:t>Statistical</w:t>
                            </w:r>
                            <w:proofErr w:type="spellEnd"/>
                            <w:r w:rsidRPr="009A1902"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 Office</w:t>
                            </w:r>
                            <w:r>
                              <w:t>, místo, rok vydání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9299" id="_x0000_s1031" type="#_x0000_t202" style="position:absolute;left:0;text-align:left;margin-left:56.7pt;margin-top:747pt;width:481.9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NbuQIAALYFAAAOAAAAZHJzL2Uyb0RvYy54bWysVNuOmzAQfa/Uf7D8znIJYQN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" filled="f" stroked="f">
                <v:textbox inset="0,0,0,0">
                  <w:txbxContent>
                    <w:p w14:paraId="45ED07B0" w14:textId="77777777" w:rsidR="009112E3" w:rsidRPr="00321924" w:rsidRDefault="009112E3" w:rsidP="00A16E1D">
                      <w:pPr>
                        <w:jc w:val="left"/>
                      </w:pPr>
                      <w:r w:rsidRPr="00321924">
                        <w:br/>
                        <w:t xml:space="preserve">© Český statistický úřad, </w:t>
                      </w:r>
                      <w:r>
                        <w:t>Praha, 2021</w:t>
                      </w:r>
                    </w:p>
                    <w:p w14:paraId="314CB98A" w14:textId="77777777" w:rsidR="009112E3" w:rsidRDefault="009112E3"/>
                    <w:p w14:paraId="6776AB5D" w14:textId="77777777" w:rsidR="009112E3" w:rsidRPr="00841D9F" w:rsidRDefault="009112E3" w:rsidP="000A3A2C">
                      <w:r w:rsidRPr="00841D9F">
                        <w:rPr>
                          <w:szCs w:val="26"/>
                        </w:rPr>
                        <w:t>ISBN XX-XXXX-XXX-X</w:t>
                      </w:r>
                      <w:r>
                        <w:rPr>
                          <w:szCs w:val="26"/>
                        </w:rPr>
                        <w:t> </w:t>
                      </w:r>
                      <w:r w:rsidRPr="00841D9F">
                        <w:rPr>
                          <w:szCs w:val="26"/>
                        </w:rPr>
                        <w:t xml:space="preserve"> </w:t>
                      </w:r>
                      <w:r w:rsidRPr="00841D9F">
                        <w:t>(pouze u</w:t>
                      </w:r>
                      <w:r>
                        <w:t> </w:t>
                      </w:r>
                      <w:r w:rsidRPr="00841D9F">
                        <w:t>nepravidelných a</w:t>
                      </w:r>
                      <w:r>
                        <w:t> </w:t>
                      </w:r>
                      <w:r w:rsidRPr="00841D9F">
                        <w:t>ročních publikací)</w:t>
                      </w:r>
                    </w:p>
                    <w:p w14:paraId="4E98EC85" w14:textId="77777777" w:rsidR="009112E3" w:rsidRPr="00AF2852" w:rsidRDefault="009112E3" w:rsidP="000A3A2C">
                      <w:r w:rsidRPr="00841D9F">
                        <w:t>© Český sta</w:t>
                      </w:r>
                      <w:r>
                        <w:t xml:space="preserve">tistický úřad / </w:t>
                      </w:r>
                      <w:r w:rsidRPr="009A1902">
                        <w:rPr>
                          <w:i/>
                        </w:rPr>
                        <w:t xml:space="preserve">Czech </w:t>
                      </w:r>
                      <w:proofErr w:type="spellStart"/>
                      <w:r w:rsidRPr="009A1902">
                        <w:rPr>
                          <w:rFonts w:cs="Arial"/>
                          <w:i/>
                          <w:szCs w:val="20"/>
                        </w:rPr>
                        <w:t>Statistical</w:t>
                      </w:r>
                      <w:proofErr w:type="spellEnd"/>
                      <w:r w:rsidRPr="009A1902">
                        <w:rPr>
                          <w:rFonts w:cs="Arial"/>
                          <w:i/>
                          <w:szCs w:val="20"/>
                        </w:rPr>
                        <w:t xml:space="preserve"> Office</w:t>
                      </w:r>
                      <w:r>
                        <w:t>, místo, rok vydání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FEDB80D" wp14:editId="1DBA9E32">
                <wp:simplePos x="0" y="0"/>
                <wp:positionH relativeFrom="page">
                  <wp:posOffset>723265</wp:posOffset>
                </wp:positionH>
                <wp:positionV relativeFrom="page">
                  <wp:posOffset>723265</wp:posOffset>
                </wp:positionV>
                <wp:extent cx="6119495" cy="555625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ED4D1" w14:textId="77777777" w:rsidR="009112E3" w:rsidRPr="009A1902" w:rsidRDefault="009112E3" w:rsidP="000A3A2C">
                            <w:pPr>
                              <w:rPr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 xml:space="preserve">Zajímají </w:t>
                            </w:r>
                            <w:r>
                              <w:rPr>
                                <w:b/>
                                <w:color w:val="0071BC"/>
                                <w:sz w:val="24"/>
                              </w:rPr>
                              <w:t>v</w:t>
                            </w: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>ás nejnovější údaje o</w:t>
                            </w:r>
                            <w:r>
                              <w:rPr>
                                <w:b/>
                                <w:color w:val="0071BC"/>
                                <w:sz w:val="24"/>
                              </w:rPr>
                              <w:t> </w:t>
                            </w: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 xml:space="preserve">inflaci, HDP, obyvatelstvu, průměrných mzdách </w:t>
                            </w:r>
                            <w:r>
                              <w:rPr>
                                <w:b/>
                                <w:color w:val="0071BC"/>
                                <w:sz w:val="24"/>
                              </w:rPr>
                              <w:br/>
                            </w: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71BC"/>
                                <w:sz w:val="24"/>
                              </w:rPr>
                              <w:t> </w:t>
                            </w: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 xml:space="preserve">mnohé další? Najdete je na stránkách ČSÚ na internetu: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www.czso.cz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B80D" id="_x0000_s1032" type="#_x0000_t202" style="position:absolute;left:0;text-align:left;margin-left:56.95pt;margin-top:56.95pt;width:481.85pt;height:43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" filled="f" stroked="f">
                <v:textbox style="mso-fit-shape-to-text:t" inset="0,0,0,0">
                  <w:txbxContent>
                    <w:p w14:paraId="054ED4D1" w14:textId="77777777" w:rsidR="009112E3" w:rsidRPr="009A1902" w:rsidRDefault="009112E3" w:rsidP="000A3A2C">
                      <w:pPr>
                        <w:rPr>
                          <w:b/>
                          <w:bCs/>
                          <w:i/>
                          <w:sz w:val="24"/>
                        </w:rPr>
                      </w:pPr>
                      <w:r w:rsidRPr="00B95F50">
                        <w:rPr>
                          <w:b/>
                          <w:color w:val="0071BC"/>
                          <w:sz w:val="24"/>
                        </w:rPr>
                        <w:t xml:space="preserve">Zajímají </w:t>
                      </w:r>
                      <w:r>
                        <w:rPr>
                          <w:b/>
                          <w:color w:val="0071BC"/>
                          <w:sz w:val="24"/>
                        </w:rPr>
                        <w:t>v</w:t>
                      </w:r>
                      <w:r w:rsidRPr="00B95F50">
                        <w:rPr>
                          <w:b/>
                          <w:color w:val="0071BC"/>
                          <w:sz w:val="24"/>
                        </w:rPr>
                        <w:t>ás nejnovější údaje o</w:t>
                      </w:r>
                      <w:r>
                        <w:rPr>
                          <w:b/>
                          <w:color w:val="0071BC"/>
                          <w:sz w:val="24"/>
                        </w:rPr>
                        <w:t> </w:t>
                      </w:r>
                      <w:r w:rsidRPr="00B95F50">
                        <w:rPr>
                          <w:b/>
                          <w:color w:val="0071BC"/>
                          <w:sz w:val="24"/>
                        </w:rPr>
                        <w:t xml:space="preserve">inflaci, HDP, obyvatelstvu, průměrných mzdách </w:t>
                      </w:r>
                      <w:r>
                        <w:rPr>
                          <w:b/>
                          <w:color w:val="0071BC"/>
                          <w:sz w:val="24"/>
                        </w:rPr>
                        <w:br/>
                      </w:r>
                      <w:r w:rsidRPr="00B95F50">
                        <w:rPr>
                          <w:b/>
                          <w:color w:val="0071BC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0071BC"/>
                          <w:sz w:val="24"/>
                        </w:rPr>
                        <w:t> </w:t>
                      </w:r>
                      <w:r w:rsidRPr="00B95F50">
                        <w:rPr>
                          <w:b/>
                          <w:color w:val="0071BC"/>
                          <w:sz w:val="24"/>
                        </w:rPr>
                        <w:t xml:space="preserve">mnohé další? Najdete je na stránkách ČSÚ na internetu: </w:t>
                      </w:r>
                      <w:r>
                        <w:rPr>
                          <w:b/>
                          <w:bCs/>
                          <w:sz w:val="24"/>
                        </w:rPr>
                        <w:t>www.czso.cz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dt>
      <w:sdtPr>
        <w:rPr>
          <w:b w:val="0"/>
          <w:color w:val="auto"/>
          <w:sz w:val="20"/>
        </w:rPr>
        <w:id w:val="5357999"/>
        <w:docPartObj>
          <w:docPartGallery w:val="Table of Contents"/>
          <w:docPartUnique/>
        </w:docPartObj>
      </w:sdtPr>
      <w:sdtEndPr/>
      <w:sdtContent>
        <w:p w14:paraId="597230E6" w14:textId="77777777" w:rsidR="00867DAB" w:rsidRPr="009110F7" w:rsidRDefault="00867DAB" w:rsidP="00867DAB">
          <w:pPr>
            <w:pStyle w:val="Obsah"/>
          </w:pPr>
          <w:r w:rsidRPr="009110F7">
            <w:t>Obsah</w:t>
          </w:r>
        </w:p>
        <w:p w14:paraId="104E6035" w14:textId="717331D2" w:rsidR="00B871A7" w:rsidRDefault="007D42E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110F7">
            <w:fldChar w:fldCharType="begin"/>
          </w:r>
          <w:r w:rsidR="00867DAB" w:rsidRPr="009110F7">
            <w:instrText xml:space="preserve"> TOC \o "1-3" \h \z \u </w:instrText>
          </w:r>
          <w:r w:rsidRPr="009110F7">
            <w:fldChar w:fldCharType="separate"/>
          </w:r>
          <w:hyperlink w:anchor="_Toc90456601" w:history="1">
            <w:r w:rsidR="00B871A7" w:rsidRPr="00385286">
              <w:rPr>
                <w:rStyle w:val="Hypertextovodkaz"/>
                <w:noProof/>
              </w:rPr>
              <w:t>1. Shrnutí</w:t>
            </w:r>
            <w:r w:rsidR="00B871A7">
              <w:rPr>
                <w:noProof/>
                <w:webHidden/>
              </w:rPr>
              <w:tab/>
            </w:r>
            <w:r w:rsidR="00B871A7">
              <w:rPr>
                <w:noProof/>
                <w:webHidden/>
              </w:rPr>
              <w:fldChar w:fldCharType="begin"/>
            </w:r>
            <w:r w:rsidR="00B871A7">
              <w:rPr>
                <w:noProof/>
                <w:webHidden/>
              </w:rPr>
              <w:instrText xml:space="preserve"> PAGEREF _Toc90456601 \h </w:instrText>
            </w:r>
            <w:r w:rsidR="00B871A7">
              <w:rPr>
                <w:noProof/>
                <w:webHidden/>
              </w:rPr>
            </w:r>
            <w:r w:rsidR="00B871A7">
              <w:rPr>
                <w:noProof/>
                <w:webHidden/>
              </w:rPr>
              <w:fldChar w:fldCharType="separate"/>
            </w:r>
            <w:r w:rsidR="00B871A7">
              <w:rPr>
                <w:noProof/>
                <w:webHidden/>
              </w:rPr>
              <w:t>4</w:t>
            </w:r>
            <w:r w:rsidR="00B871A7">
              <w:rPr>
                <w:noProof/>
                <w:webHidden/>
              </w:rPr>
              <w:fldChar w:fldCharType="end"/>
            </w:r>
          </w:hyperlink>
        </w:p>
        <w:p w14:paraId="29CD8794" w14:textId="4AD0A687" w:rsidR="00B871A7" w:rsidRDefault="00B871A7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6602" w:history="1">
            <w:r w:rsidRPr="00385286">
              <w:rPr>
                <w:rStyle w:val="Hypertextovodkaz"/>
                <w:noProof/>
              </w:rPr>
              <w:t>2. Souhrnná výkonnost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_Toc90456602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706B1" w14:textId="5FB694FD" w:rsidR="00B871A7" w:rsidRDefault="00B871A7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6603" w:history="1">
            <w:r w:rsidRPr="00385286">
              <w:rPr>
                <w:rStyle w:val="Hypertextovodkaz"/>
                <w:noProof/>
              </w:rPr>
              <w:t>3. Výkonnost odvětví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_Toc90456603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88A8A" w14:textId="362663E2" w:rsidR="00B871A7" w:rsidRDefault="00B871A7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6604" w:history="1">
            <w:r w:rsidRPr="00385286">
              <w:rPr>
                <w:rStyle w:val="Hypertextovodkaz"/>
                <w:noProof/>
              </w:rPr>
              <w:t>4. Vnější vztahy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_Toc90456604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7D2F5" w14:textId="75F5513D" w:rsidR="00B871A7" w:rsidRDefault="00B871A7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6605" w:history="1">
            <w:r w:rsidRPr="00385286">
              <w:rPr>
                <w:rStyle w:val="Hypertextovodkaz"/>
                <w:noProof/>
              </w:rPr>
              <w:t>5. Ceny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_Toc90456605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4E089" w14:textId="3F5507EA" w:rsidR="00B871A7" w:rsidRDefault="00B871A7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6606" w:history="1">
            <w:r w:rsidRPr="00385286">
              <w:rPr>
                <w:rStyle w:val="Hypertextovodkaz"/>
                <w:noProof/>
              </w:rPr>
              <w:t>6. Trh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_Toc90456606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6D84F" w14:textId="3EE1BB6E" w:rsidR="00B871A7" w:rsidRDefault="00B871A7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6607" w:history="1">
            <w:r w:rsidRPr="00385286">
              <w:rPr>
                <w:rStyle w:val="Hypertextovodkaz"/>
                <w:noProof/>
              </w:rPr>
              <w:t>7. Měnové podmínky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_Toc90456607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54828" w14:textId="0A858BD2" w:rsidR="00B871A7" w:rsidRDefault="00B871A7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456608" w:history="1">
            <w:r w:rsidRPr="00385286">
              <w:rPr>
                <w:rStyle w:val="Hypertextovodkaz"/>
                <w:noProof/>
              </w:rPr>
              <w:t>8. Státní rozpočet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_Toc90456608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B97E5" w14:textId="61FD242A" w:rsidR="00867DAB" w:rsidRPr="009110F7" w:rsidRDefault="007D42E5">
          <w:r w:rsidRPr="009110F7">
            <w:fldChar w:fldCharType="end"/>
          </w:r>
        </w:p>
      </w:sdtContent>
    </w:sdt>
    <w:p w14:paraId="6CBF0906" w14:textId="77777777"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  <w:bookmarkStart w:id="0" w:name="_GoBack"/>
      <w:bookmarkEnd w:id="0"/>
    </w:p>
    <w:p w14:paraId="77CA2D67" w14:textId="77777777"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14:paraId="223CBCEF" w14:textId="77777777"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14:paraId="0F28E1B0" w14:textId="77777777"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14:paraId="2E66CDA4" w14:textId="77777777"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14:paraId="38EBE8F7" w14:textId="77777777"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</w:p>
    <w:p w14:paraId="4D552425" w14:textId="77777777" w:rsidR="00003F5C" w:rsidRPr="009110F7" w:rsidRDefault="00003F5C" w:rsidP="00003F5C">
      <w:pPr>
        <w:pStyle w:val="Textpoznpodarou"/>
        <w:jc w:val="both"/>
        <w:rPr>
          <w:rFonts w:cs="Arial"/>
          <w:color w:val="000000"/>
        </w:rPr>
      </w:pPr>
      <w:r w:rsidRPr="009110F7">
        <w:rPr>
          <w:rFonts w:cs="Arial"/>
          <w:color w:val="000000"/>
        </w:rPr>
        <w:t>Zdroje dat v celé analýze: ČSÚ, MF</w:t>
      </w:r>
      <w:r w:rsidR="00A45489" w:rsidRPr="009110F7">
        <w:rPr>
          <w:rFonts w:cs="Arial"/>
          <w:color w:val="000000"/>
        </w:rPr>
        <w:t> </w:t>
      </w:r>
      <w:r w:rsidRPr="009110F7">
        <w:rPr>
          <w:rFonts w:cs="Arial"/>
          <w:color w:val="000000"/>
        </w:rPr>
        <w:t xml:space="preserve">ČR, ČNB, MPSV, ČSSZ, </w:t>
      </w:r>
      <w:proofErr w:type="spellStart"/>
      <w:r w:rsidRPr="009110F7">
        <w:rPr>
          <w:rFonts w:cs="Arial"/>
          <w:color w:val="000000"/>
        </w:rPr>
        <w:t>Eurostat</w:t>
      </w:r>
      <w:proofErr w:type="spellEnd"/>
      <w:r w:rsidRPr="009110F7">
        <w:rPr>
          <w:rFonts w:cs="Arial"/>
          <w:color w:val="000000"/>
        </w:rPr>
        <w:t>, propočty ČSÚ.</w:t>
      </w:r>
    </w:p>
    <w:p w14:paraId="5658862B" w14:textId="26FC9643" w:rsidR="00003F5C" w:rsidRDefault="00003F5C" w:rsidP="00003F5C">
      <w:pPr>
        <w:pStyle w:val="Textpoznpodarou"/>
        <w:jc w:val="both"/>
        <w:rPr>
          <w:rFonts w:cs="Arial"/>
          <w:color w:val="000000"/>
        </w:rPr>
      </w:pPr>
      <w:r w:rsidRPr="009110F7">
        <w:rPr>
          <w:rFonts w:cs="Arial"/>
          <w:color w:val="000000"/>
        </w:rPr>
        <w:t xml:space="preserve">Poslední informace uváděné v této publikaci </w:t>
      </w:r>
      <w:r w:rsidR="00F57A76" w:rsidRPr="009110F7">
        <w:rPr>
          <w:rFonts w:cs="Arial"/>
          <w:color w:val="000000"/>
        </w:rPr>
        <w:t>pocházejí z</w:t>
      </w:r>
      <w:r w:rsidR="00F57A76">
        <w:rPr>
          <w:rFonts w:cs="Arial"/>
          <w:color w:val="000000"/>
        </w:rPr>
        <w:t>e 7. prosince</w:t>
      </w:r>
      <w:r w:rsidRPr="009110F7">
        <w:rPr>
          <w:rFonts w:cs="Arial"/>
          <w:color w:val="000000"/>
        </w:rPr>
        <w:t xml:space="preserve"> </w:t>
      </w:r>
      <w:r w:rsidR="00F37EDC">
        <w:rPr>
          <w:rFonts w:cs="Arial"/>
          <w:color w:val="000000"/>
        </w:rPr>
        <w:t>20</w:t>
      </w:r>
      <w:r w:rsidR="005C216C">
        <w:rPr>
          <w:rFonts w:cs="Arial"/>
          <w:color w:val="000000"/>
        </w:rPr>
        <w:t>2</w:t>
      </w:r>
      <w:r w:rsidR="00EA0E39">
        <w:rPr>
          <w:rFonts w:cs="Arial"/>
          <w:color w:val="000000"/>
        </w:rPr>
        <w:t>1</w:t>
      </w:r>
      <w:r w:rsidRPr="009110F7">
        <w:rPr>
          <w:rFonts w:cs="Arial"/>
          <w:color w:val="000000"/>
        </w:rPr>
        <w:t>.</w:t>
      </w:r>
    </w:p>
    <w:p w14:paraId="1D1FFA96" w14:textId="77777777" w:rsidR="002F1D56" w:rsidRDefault="002F1D56" w:rsidP="00003F5C">
      <w:pPr>
        <w:pStyle w:val="Textpoznpodarou"/>
        <w:jc w:val="both"/>
        <w:rPr>
          <w:rFonts w:cs="Arial"/>
          <w:color w:val="000000"/>
        </w:rPr>
      </w:pPr>
    </w:p>
    <w:p w14:paraId="6EDD1399" w14:textId="77777777" w:rsidR="002F1D56" w:rsidRPr="002F1D56" w:rsidRDefault="002F1D56" w:rsidP="00003F5C">
      <w:pPr>
        <w:pStyle w:val="Textpoznpodarou"/>
        <w:jc w:val="both"/>
        <w:rPr>
          <w:rFonts w:cs="Arial"/>
        </w:rPr>
      </w:pPr>
    </w:p>
    <w:p w14:paraId="1B18FD9D" w14:textId="77777777" w:rsidR="005A7ABD" w:rsidRPr="00AF7277" w:rsidRDefault="00087F2B" w:rsidP="005A7ABD">
      <w:pPr>
        <w:pStyle w:val="Nadpis1"/>
      </w:pPr>
      <w:r w:rsidRPr="002F1D56">
        <w:rPr>
          <w:color w:val="auto"/>
        </w:rPr>
        <w:br w:type="page"/>
      </w:r>
      <w:bookmarkStart w:id="1" w:name="_Toc444112494"/>
      <w:bookmarkStart w:id="2" w:name="_Toc511215208"/>
      <w:bookmarkStart w:id="3" w:name="_Toc26865017"/>
      <w:bookmarkStart w:id="4" w:name="_Toc74643854"/>
      <w:bookmarkStart w:id="5" w:name="_Toc66719928"/>
      <w:bookmarkStart w:id="6" w:name="_Toc19090676"/>
      <w:bookmarkStart w:id="7" w:name="_Toc58605372"/>
      <w:bookmarkStart w:id="8" w:name="_Toc90456601"/>
      <w:r w:rsidR="005A7ABD" w:rsidRPr="00AF7277">
        <w:lastRenderedPageBreak/>
        <w:t>1. Shrnutí</w:t>
      </w:r>
      <w:bookmarkEnd w:id="8"/>
    </w:p>
    <w:bookmarkEnd w:id="1"/>
    <w:bookmarkEnd w:id="2"/>
    <w:p w14:paraId="28C62AA1" w14:textId="0AA8DAF0" w:rsidR="005A7ABD" w:rsidRDefault="005A7ABD" w:rsidP="005A7ABD">
      <w:pPr>
        <w:pStyle w:val="Normalodrka"/>
        <w:spacing w:after="120"/>
        <w:rPr>
          <w:spacing w:val="-4"/>
        </w:rPr>
      </w:pPr>
      <w:r w:rsidRPr="00E709AF">
        <w:rPr>
          <w:spacing w:val="-4"/>
        </w:rPr>
        <w:t>Ve 3.</w:t>
      </w:r>
      <w:r>
        <w:rPr>
          <w:spacing w:val="-4"/>
        </w:rPr>
        <w:t> čtvrt</w:t>
      </w:r>
      <w:r w:rsidRPr="00E709AF">
        <w:rPr>
          <w:spacing w:val="-4"/>
        </w:rPr>
        <w:t xml:space="preserve">letí již neplatila žádná protiepidemická opatření přímo omezující ekonomiku, což přispělo k dalšímu </w:t>
      </w:r>
      <w:r w:rsidR="009112E3">
        <w:rPr>
          <w:spacing w:val="-4"/>
        </w:rPr>
        <w:t xml:space="preserve">hospodářskému </w:t>
      </w:r>
      <w:r w:rsidRPr="00E709AF">
        <w:rPr>
          <w:spacing w:val="-4"/>
        </w:rPr>
        <w:t>oživení. Hrubý domácí produkt</w:t>
      </w:r>
      <w:r>
        <w:rPr>
          <w:spacing w:val="-4"/>
        </w:rPr>
        <w:t xml:space="preserve"> (HDP)</w:t>
      </w:r>
      <w:r w:rsidRPr="00E709AF">
        <w:rPr>
          <w:spacing w:val="-4"/>
        </w:rPr>
        <w:t xml:space="preserve"> vzrostl oproti 2.</w:t>
      </w:r>
      <w:r>
        <w:rPr>
          <w:spacing w:val="-4"/>
        </w:rPr>
        <w:t> kvart</w:t>
      </w:r>
      <w:r w:rsidRPr="00E709AF">
        <w:rPr>
          <w:spacing w:val="-4"/>
        </w:rPr>
        <w:t>álu o</w:t>
      </w:r>
      <w:r>
        <w:rPr>
          <w:spacing w:val="-4"/>
        </w:rPr>
        <w:t> </w:t>
      </w:r>
      <w:r w:rsidRPr="00E709AF">
        <w:rPr>
          <w:spacing w:val="-4"/>
        </w:rPr>
        <w:t>1,5</w:t>
      </w:r>
      <w:r>
        <w:rPr>
          <w:spacing w:val="-4"/>
        </w:rPr>
        <w:t> %</w:t>
      </w:r>
      <w:r w:rsidRPr="00E709AF">
        <w:rPr>
          <w:spacing w:val="-4"/>
        </w:rPr>
        <w:t xml:space="preserve"> a</w:t>
      </w:r>
      <w:r>
        <w:rPr>
          <w:spacing w:val="-4"/>
        </w:rPr>
        <w:t> </w:t>
      </w:r>
      <w:r w:rsidRPr="00E709AF">
        <w:rPr>
          <w:spacing w:val="-4"/>
        </w:rPr>
        <w:t>meziročně byl vyšší o</w:t>
      </w:r>
      <w:r>
        <w:rPr>
          <w:spacing w:val="-4"/>
        </w:rPr>
        <w:t> </w:t>
      </w:r>
      <w:r w:rsidRPr="00E709AF">
        <w:rPr>
          <w:spacing w:val="-4"/>
        </w:rPr>
        <w:t>3,1</w:t>
      </w:r>
      <w:r>
        <w:rPr>
          <w:spacing w:val="-4"/>
        </w:rPr>
        <w:t> %</w:t>
      </w:r>
      <w:r w:rsidRPr="00E97D5B">
        <w:rPr>
          <w:rStyle w:val="Znakapoznpodarou"/>
          <w:spacing w:val="-4"/>
          <w:szCs w:val="20"/>
        </w:rPr>
        <w:footnoteReference w:id="1"/>
      </w:r>
      <w:r w:rsidRPr="00E709AF">
        <w:rPr>
          <w:spacing w:val="-4"/>
        </w:rPr>
        <w:t>. K meziročnímu i</w:t>
      </w:r>
      <w:r>
        <w:rPr>
          <w:spacing w:val="-4"/>
        </w:rPr>
        <w:t> </w:t>
      </w:r>
      <w:r w:rsidRPr="00E709AF">
        <w:rPr>
          <w:spacing w:val="-4"/>
        </w:rPr>
        <w:t>mezičtvrtletnímu růstu přispívala výhradně domácí poptávka – rostla spotřeba a</w:t>
      </w:r>
      <w:r>
        <w:rPr>
          <w:spacing w:val="-4"/>
        </w:rPr>
        <w:t> </w:t>
      </w:r>
      <w:r w:rsidRPr="00E709AF">
        <w:rPr>
          <w:spacing w:val="-4"/>
        </w:rPr>
        <w:t>silně narůstající zásoby podpořily výdaje na tvorbu hrubého kapitálu. Přetrvávaly a</w:t>
      </w:r>
      <w:r>
        <w:rPr>
          <w:spacing w:val="-4"/>
        </w:rPr>
        <w:t> </w:t>
      </w:r>
      <w:r w:rsidRPr="00E709AF">
        <w:rPr>
          <w:spacing w:val="-4"/>
        </w:rPr>
        <w:t xml:space="preserve">prohlubovaly se ale problémy s dodávkami komponent pro průmysl, což vážně narušilo domácí export, zejména motorových vozidel. Zahraniční poptávka tak růst HDP silně brzdila. </w:t>
      </w:r>
      <w:r w:rsidRPr="00E97D5B">
        <w:rPr>
          <w:spacing w:val="-4"/>
        </w:rPr>
        <w:t>V rámci evropského srovnání patřilo Česko k zemím s podprůměrným meziročním přírůstkem HDP</w:t>
      </w:r>
      <w:r>
        <w:rPr>
          <w:spacing w:val="-4"/>
        </w:rPr>
        <w:t xml:space="preserve">. </w:t>
      </w:r>
      <w:r w:rsidRPr="00E709AF">
        <w:rPr>
          <w:spacing w:val="-4"/>
        </w:rPr>
        <w:t>Celkově HDP v EU mezičtvrtletně vzrostl o </w:t>
      </w:r>
      <w:r>
        <w:rPr>
          <w:spacing w:val="-4"/>
        </w:rPr>
        <w:t>2,1</w:t>
      </w:r>
      <w:r w:rsidRPr="00E709AF">
        <w:rPr>
          <w:spacing w:val="-4"/>
        </w:rPr>
        <w:t> % a meziročně o 3,</w:t>
      </w:r>
      <w:r>
        <w:rPr>
          <w:spacing w:val="-4"/>
        </w:rPr>
        <w:t>9</w:t>
      </w:r>
      <w:r w:rsidRPr="00E709AF">
        <w:rPr>
          <w:spacing w:val="-4"/>
        </w:rPr>
        <w:t xml:space="preserve"> %. </w:t>
      </w:r>
      <w:r>
        <w:rPr>
          <w:spacing w:val="-4"/>
        </w:rPr>
        <w:t>U většiny zemí EU také HDP reálně překonal</w:t>
      </w:r>
      <w:r w:rsidRPr="00E709AF">
        <w:rPr>
          <w:spacing w:val="-4"/>
        </w:rPr>
        <w:t xml:space="preserve"> </w:t>
      </w:r>
      <w:r>
        <w:rPr>
          <w:spacing w:val="-4"/>
        </w:rPr>
        <w:t xml:space="preserve">úroveň </w:t>
      </w:r>
      <w:r w:rsidRPr="00E709AF">
        <w:rPr>
          <w:spacing w:val="-4"/>
        </w:rPr>
        <w:t>předkrizov</w:t>
      </w:r>
      <w:r>
        <w:rPr>
          <w:spacing w:val="-4"/>
        </w:rPr>
        <w:t>ého</w:t>
      </w:r>
      <w:r w:rsidRPr="00E709AF">
        <w:rPr>
          <w:spacing w:val="-4"/>
        </w:rPr>
        <w:t xml:space="preserve"> </w:t>
      </w:r>
      <w:r>
        <w:rPr>
          <w:spacing w:val="-4"/>
        </w:rPr>
        <w:t>3</w:t>
      </w:r>
      <w:r w:rsidRPr="00E709AF">
        <w:rPr>
          <w:spacing w:val="-4"/>
        </w:rPr>
        <w:t>. čtvrtlet</w:t>
      </w:r>
      <w:r>
        <w:rPr>
          <w:spacing w:val="-4"/>
        </w:rPr>
        <w:t>í</w:t>
      </w:r>
      <w:r w:rsidRPr="00E709AF">
        <w:rPr>
          <w:spacing w:val="-4"/>
        </w:rPr>
        <w:t xml:space="preserve"> 2019.</w:t>
      </w:r>
    </w:p>
    <w:p w14:paraId="555E3DFA" w14:textId="3D2544AF" w:rsidR="005A7ABD" w:rsidRDefault="005A7ABD" w:rsidP="005A7ABD">
      <w:pPr>
        <w:pStyle w:val="Normalodrka"/>
        <w:rPr>
          <w:spacing w:val="-4"/>
        </w:rPr>
      </w:pPr>
      <w:r w:rsidRPr="00720D7A">
        <w:rPr>
          <w:spacing w:val="-4"/>
        </w:rPr>
        <w:t>Hrubá přidaná hodnota (HPH)</w:t>
      </w:r>
      <w:r w:rsidRPr="00720D7A">
        <w:t xml:space="preserve"> </w:t>
      </w:r>
      <w:r w:rsidRPr="00720D7A">
        <w:rPr>
          <w:spacing w:val="-4"/>
        </w:rPr>
        <w:t>ve 3.</w:t>
      </w:r>
      <w:r>
        <w:rPr>
          <w:spacing w:val="-4"/>
        </w:rPr>
        <w:t> čtvrt</w:t>
      </w:r>
      <w:r w:rsidRPr="00720D7A">
        <w:rPr>
          <w:spacing w:val="-4"/>
        </w:rPr>
        <w:t>letí mezičtvrtletně vzrostla o</w:t>
      </w:r>
      <w:r>
        <w:rPr>
          <w:spacing w:val="-4"/>
        </w:rPr>
        <w:t> </w:t>
      </w:r>
      <w:r w:rsidRPr="00720D7A">
        <w:rPr>
          <w:spacing w:val="-4"/>
        </w:rPr>
        <w:t>1,4</w:t>
      </w:r>
      <w:r>
        <w:rPr>
          <w:spacing w:val="-4"/>
        </w:rPr>
        <w:t> %</w:t>
      </w:r>
      <w:r w:rsidRPr="00720D7A">
        <w:rPr>
          <w:spacing w:val="-4"/>
        </w:rPr>
        <w:t>.</w:t>
      </w:r>
      <w:r>
        <w:rPr>
          <w:spacing w:val="-4"/>
        </w:rPr>
        <w:t xml:space="preserve"> Meziročně byla HPH vyšší o 2,9 %. K meziročnímu i mezičtvrtletnímu nárůstu shodně nejvíce přispíval vývoj ve službách, především v </w:t>
      </w:r>
      <w:r w:rsidRPr="00720D7A">
        <w:rPr>
          <w:spacing w:val="-4"/>
        </w:rPr>
        <w:t>uskupení obchod, doprava, ubytování a</w:t>
      </w:r>
      <w:r>
        <w:rPr>
          <w:spacing w:val="-4"/>
        </w:rPr>
        <w:t> </w:t>
      </w:r>
      <w:r w:rsidRPr="00720D7A">
        <w:rPr>
          <w:spacing w:val="-4"/>
        </w:rPr>
        <w:t>pohostinství</w:t>
      </w:r>
      <w:r>
        <w:rPr>
          <w:spacing w:val="-4"/>
        </w:rPr>
        <w:t xml:space="preserve">, které maximálně těžilo z finálního uvolnění restrikcí. Rostla i veřejná správa a obrana, vzdělávání, zdravotní a sociální péče, </w:t>
      </w:r>
      <w:r w:rsidRPr="00720D7A">
        <w:rPr>
          <w:spacing w:val="-4"/>
        </w:rPr>
        <w:t>peněžnictví a</w:t>
      </w:r>
      <w:r>
        <w:rPr>
          <w:spacing w:val="-4"/>
        </w:rPr>
        <w:t> </w:t>
      </w:r>
      <w:r w:rsidRPr="00720D7A">
        <w:rPr>
          <w:spacing w:val="-4"/>
        </w:rPr>
        <w:t>pojišťovnictví</w:t>
      </w:r>
      <w:r>
        <w:rPr>
          <w:spacing w:val="-4"/>
        </w:rPr>
        <w:t xml:space="preserve">, </w:t>
      </w:r>
      <w:r w:rsidRPr="00720D7A">
        <w:rPr>
          <w:spacing w:val="-4"/>
        </w:rPr>
        <w:t>informační a</w:t>
      </w:r>
      <w:r>
        <w:rPr>
          <w:spacing w:val="-4"/>
        </w:rPr>
        <w:t> </w:t>
      </w:r>
      <w:r w:rsidRPr="00720D7A">
        <w:rPr>
          <w:spacing w:val="-4"/>
        </w:rPr>
        <w:t xml:space="preserve">komunikační činnosti </w:t>
      </w:r>
      <w:r>
        <w:rPr>
          <w:spacing w:val="-4"/>
        </w:rPr>
        <w:t xml:space="preserve">nebo </w:t>
      </w:r>
      <w:r w:rsidRPr="00720D7A">
        <w:rPr>
          <w:spacing w:val="-4"/>
        </w:rPr>
        <w:t>profesní, vědecké, technické a</w:t>
      </w:r>
      <w:r>
        <w:rPr>
          <w:spacing w:val="-4"/>
        </w:rPr>
        <w:t> </w:t>
      </w:r>
      <w:r w:rsidRPr="00720D7A">
        <w:rPr>
          <w:spacing w:val="-4"/>
        </w:rPr>
        <w:t>administrativní činnosti</w:t>
      </w:r>
      <w:r>
        <w:rPr>
          <w:spacing w:val="-4"/>
        </w:rPr>
        <w:t>. Naopak o</w:t>
      </w:r>
      <w:r w:rsidRPr="00720D7A">
        <w:rPr>
          <w:spacing w:val="-4"/>
        </w:rPr>
        <w:t>proti 2.</w:t>
      </w:r>
      <w:r>
        <w:rPr>
          <w:spacing w:val="-4"/>
        </w:rPr>
        <w:t> čtvrt</w:t>
      </w:r>
      <w:r w:rsidRPr="00720D7A">
        <w:rPr>
          <w:spacing w:val="-4"/>
        </w:rPr>
        <w:t xml:space="preserve">letí klesla </w:t>
      </w:r>
      <w:r>
        <w:rPr>
          <w:spacing w:val="-4"/>
        </w:rPr>
        <w:t xml:space="preserve">a meziročně stagnovala </w:t>
      </w:r>
      <w:r w:rsidRPr="00720D7A">
        <w:rPr>
          <w:spacing w:val="-4"/>
        </w:rPr>
        <w:t xml:space="preserve">HPH ve zpracovatelském průmyslu, který sužovalo </w:t>
      </w:r>
      <w:r w:rsidR="009112E3">
        <w:rPr>
          <w:spacing w:val="-4"/>
        </w:rPr>
        <w:t>na</w:t>
      </w:r>
      <w:r w:rsidRPr="00720D7A">
        <w:rPr>
          <w:spacing w:val="-4"/>
        </w:rPr>
        <w:t>rušení mezinárodních dodavatelských řetězců</w:t>
      </w:r>
      <w:r>
        <w:rPr>
          <w:spacing w:val="-4"/>
        </w:rPr>
        <w:t>.</w:t>
      </w:r>
    </w:p>
    <w:p w14:paraId="1B7C7158" w14:textId="77777777" w:rsidR="005A7ABD" w:rsidRPr="00D533C4" w:rsidRDefault="005A7ABD" w:rsidP="005A7ABD">
      <w:pPr>
        <w:pStyle w:val="Normalodrka"/>
        <w:spacing w:after="120"/>
        <w:rPr>
          <w:spacing w:val="-4"/>
        </w:rPr>
      </w:pPr>
      <w:r w:rsidRPr="007D0F6B">
        <w:rPr>
          <w:spacing w:val="-4"/>
        </w:rPr>
        <w:t>Vý</w:t>
      </w:r>
      <w:r w:rsidRPr="007D0F6B">
        <w:t>voz zboží a služeb ve 3. čtvrtletí reálně mezičtvrtletně klesl o</w:t>
      </w:r>
      <w:r>
        <w:t> </w:t>
      </w:r>
      <w:r w:rsidRPr="007D0F6B">
        <w:t>5,9</w:t>
      </w:r>
      <w:r>
        <w:t> %</w:t>
      </w:r>
      <w:r w:rsidRPr="007D0F6B">
        <w:t xml:space="preserve"> a meziročně byl nižší o 2,3</w:t>
      </w:r>
      <w:r>
        <w:t> %</w:t>
      </w:r>
      <w:r w:rsidRPr="007D0F6B">
        <w:rPr>
          <w:rStyle w:val="Znakapoznpodarou"/>
        </w:rPr>
        <w:footnoteReference w:id="2"/>
      </w:r>
      <w:r w:rsidRPr="007D0F6B">
        <w:t>. Dovoz mezičtvrtletně klesl o</w:t>
      </w:r>
      <w:r>
        <w:t> </w:t>
      </w:r>
      <w:r w:rsidRPr="007D0F6B">
        <w:t>3,3</w:t>
      </w:r>
      <w:r>
        <w:t> %</w:t>
      </w:r>
      <w:r w:rsidRPr="007D0F6B">
        <w:t>, ale meziročně byl vyšší o</w:t>
      </w:r>
      <w:r>
        <w:t> </w:t>
      </w:r>
      <w:r w:rsidRPr="007D0F6B">
        <w:t>8,3</w:t>
      </w:r>
      <w:r>
        <w:t> %</w:t>
      </w:r>
      <w:r w:rsidRPr="007D0F6B">
        <w:t>. Výsledkem byl rekordní propad přebytku bilance zahraničního obchodu. Ten dosáhl 15,8</w:t>
      </w:r>
      <w:r>
        <w:t> mld</w:t>
      </w:r>
      <w:r w:rsidRPr="007D0F6B">
        <w:t>. korun, byl ale meziročně o</w:t>
      </w:r>
      <w:r>
        <w:t> </w:t>
      </w:r>
      <w:r w:rsidRPr="007D0F6B">
        <w:t>102,1</w:t>
      </w:r>
      <w:r>
        <w:t> mld</w:t>
      </w:r>
      <w:r w:rsidRPr="007D0F6B">
        <w:t>. nižší.</w:t>
      </w:r>
      <w:r>
        <w:t xml:space="preserve"> Na zhoršení bilance obchodu se zbožím měl hlavní podíl propad přebytku obchodu s motorovými vozidly. Zejména vyšší ceny surovin měly vliv na prohloubení deficitu v případě ropy a zemního plynu a základních kovů.</w:t>
      </w:r>
    </w:p>
    <w:p w14:paraId="1015086D" w14:textId="77777777" w:rsidR="005A7ABD" w:rsidRDefault="005A7ABD" w:rsidP="005A7ABD">
      <w:pPr>
        <w:pStyle w:val="Normalodrka"/>
        <w:spacing w:after="120"/>
        <w:rPr>
          <w:spacing w:val="-4"/>
        </w:rPr>
      </w:pPr>
      <w:r>
        <w:rPr>
          <w:spacing w:val="-4"/>
        </w:rPr>
        <w:t>Meziroční růst celkové cenové hladiny (podle deflátoru HDP) ve 3. čtvrtletí zrychlil na 4,6 %. Ve srovnání s 2. čtvrtletím se cenová hladina zvýšila o 1,1 %. Index spotřebitelských cen se ve 3. čtvrtletí meziročně zvýšil o 4,1 %, což bylo nejvíce od 4. čtvrtletí 2008. Nejvíce ve směru růstu spotřebitelských cen působily doprava, bydlení a energie a alkoholické nápoje a tabák. Ceny bydlení a energií společně s potravinami a nealkoholickými nápoji a odíváním a obuví přispěly nejvíce také k výraznému zrychlení růstu spotřebitelských cen. Významným hybatelem růstu cen průmyslových výrobců v Česku i EU byl vývoj cen ropy a zemního plynu. Ceny průmyslových výrobců v ČR ve 3. čtvrtletí meziročně vzrostly o 9,0 %.</w:t>
      </w:r>
    </w:p>
    <w:p w14:paraId="11F0EDB4" w14:textId="77777777" w:rsidR="005A7ABD" w:rsidRDefault="005A7ABD" w:rsidP="005A7ABD">
      <w:pPr>
        <w:pStyle w:val="Normalodrka"/>
        <w:spacing w:after="120"/>
        <w:rPr>
          <w:spacing w:val="-4"/>
        </w:rPr>
      </w:pPr>
      <w:proofErr w:type="spellStart"/>
      <w:r>
        <w:rPr>
          <w:spacing w:val="-4"/>
        </w:rPr>
        <w:t>Měnověpolitické</w:t>
      </w:r>
      <w:proofErr w:type="spellEnd"/>
      <w:r>
        <w:rPr>
          <w:spacing w:val="-4"/>
        </w:rPr>
        <w:t xml:space="preserve"> sazby byly ve 3. čtvrtletí opět navýšeny. Vyšší byly také výnosy vládních dluhopisů. Na změnu </w:t>
      </w:r>
      <w:proofErr w:type="spellStart"/>
      <w:r>
        <w:rPr>
          <w:spacing w:val="-4"/>
        </w:rPr>
        <w:t>měnověpolitických</w:t>
      </w:r>
      <w:proofErr w:type="spellEnd"/>
      <w:r>
        <w:rPr>
          <w:spacing w:val="-4"/>
        </w:rPr>
        <w:t xml:space="preserve"> sazeb reagovaly především úrokové sazby na vkladech s dohodnutou splatností. Plošně se zvyšovalo také úročení úvěrů pro domácnosti i podniky. Zrychlil nárůst objemu poskytnutých úvěrů na bydlení.</w:t>
      </w:r>
    </w:p>
    <w:p w14:paraId="62DBDD64" w14:textId="77777777" w:rsidR="005A7ABD" w:rsidRPr="00B86EB1" w:rsidRDefault="005A7ABD" w:rsidP="005A7ABD">
      <w:pPr>
        <w:pStyle w:val="Normalodrka"/>
        <w:spacing w:after="100"/>
        <w:rPr>
          <w:spacing w:val="-4"/>
        </w:rPr>
      </w:pPr>
      <w:r w:rsidRPr="00B86EB1">
        <w:rPr>
          <w:spacing w:val="-4"/>
        </w:rPr>
        <w:t xml:space="preserve">Celková zaměstnanost </w:t>
      </w:r>
      <w:r>
        <w:rPr>
          <w:spacing w:val="-4"/>
        </w:rPr>
        <w:t xml:space="preserve">byla </w:t>
      </w:r>
      <w:r w:rsidRPr="00B86EB1">
        <w:rPr>
          <w:spacing w:val="-4"/>
        </w:rPr>
        <w:t xml:space="preserve">ve </w:t>
      </w:r>
      <w:r>
        <w:rPr>
          <w:spacing w:val="-4"/>
        </w:rPr>
        <w:t>3</w:t>
      </w:r>
      <w:r w:rsidRPr="00B86EB1">
        <w:rPr>
          <w:spacing w:val="-4"/>
        </w:rPr>
        <w:t xml:space="preserve">. čtvrtletí meziročně </w:t>
      </w:r>
      <w:r>
        <w:rPr>
          <w:spacing w:val="-4"/>
        </w:rPr>
        <w:t>vyšší o </w:t>
      </w:r>
      <w:r w:rsidRPr="00B86EB1">
        <w:rPr>
          <w:spacing w:val="-4"/>
        </w:rPr>
        <w:t>0,</w:t>
      </w:r>
      <w:r>
        <w:rPr>
          <w:spacing w:val="-4"/>
        </w:rPr>
        <w:t>6</w:t>
      </w:r>
      <w:r w:rsidRPr="00B86EB1">
        <w:rPr>
          <w:spacing w:val="-4"/>
        </w:rPr>
        <w:t> %</w:t>
      </w:r>
      <w:r w:rsidRPr="00B86EB1">
        <w:rPr>
          <w:rStyle w:val="Znakapoznpodarou"/>
          <w:spacing w:val="-4"/>
        </w:rPr>
        <w:footnoteReference w:id="3"/>
      </w:r>
      <w:r w:rsidRPr="00B86EB1">
        <w:rPr>
          <w:spacing w:val="-4"/>
        </w:rPr>
        <w:t xml:space="preserve">. Oproti </w:t>
      </w:r>
      <w:r>
        <w:rPr>
          <w:spacing w:val="-4"/>
        </w:rPr>
        <w:t>2</w:t>
      </w:r>
      <w:r w:rsidRPr="00B86EB1">
        <w:rPr>
          <w:spacing w:val="-4"/>
        </w:rPr>
        <w:t>. čtvrtletí zaměstnanost narostla o 0,</w:t>
      </w:r>
      <w:r>
        <w:rPr>
          <w:spacing w:val="-4"/>
        </w:rPr>
        <w:t>4</w:t>
      </w:r>
      <w:r w:rsidRPr="00B86EB1">
        <w:rPr>
          <w:spacing w:val="-4"/>
        </w:rPr>
        <w:t xml:space="preserve"> %. </w:t>
      </w:r>
      <w:r>
        <w:rPr>
          <w:spacing w:val="-4"/>
        </w:rPr>
        <w:t>Rostl přitom výhradně počet z</w:t>
      </w:r>
      <w:r w:rsidRPr="00B86EB1">
        <w:rPr>
          <w:spacing w:val="-4"/>
        </w:rPr>
        <w:t>aměstnanc</w:t>
      </w:r>
      <w:r>
        <w:rPr>
          <w:spacing w:val="-4"/>
        </w:rPr>
        <w:t xml:space="preserve">ů (meziročně o 1,7 % a mezičtvrtletně o 0,7 %), zatímco počet </w:t>
      </w:r>
      <w:proofErr w:type="spellStart"/>
      <w:r>
        <w:rPr>
          <w:spacing w:val="-4"/>
        </w:rPr>
        <w:t>sebezaměstnaných</w:t>
      </w:r>
      <w:proofErr w:type="spellEnd"/>
      <w:r>
        <w:rPr>
          <w:spacing w:val="-4"/>
        </w:rPr>
        <w:t xml:space="preserve"> klesl meziročně o 6,1 % (mezičtvrtletně o 1,6 %)</w:t>
      </w:r>
      <w:r w:rsidRPr="00B86EB1">
        <w:rPr>
          <w:spacing w:val="-4"/>
        </w:rPr>
        <w:t xml:space="preserve">. Obecná míra nezaměstnanosti </w:t>
      </w:r>
      <w:r>
        <w:rPr>
          <w:spacing w:val="-4"/>
        </w:rPr>
        <w:t>měla dál klesající tendenci a v září</w:t>
      </w:r>
      <w:r w:rsidRPr="00B86EB1">
        <w:rPr>
          <w:spacing w:val="-4"/>
        </w:rPr>
        <w:t xml:space="preserve"> činila 2,</w:t>
      </w:r>
      <w:r>
        <w:rPr>
          <w:spacing w:val="-4"/>
        </w:rPr>
        <w:t>7</w:t>
      </w:r>
      <w:r w:rsidRPr="00B86EB1">
        <w:rPr>
          <w:spacing w:val="-4"/>
        </w:rPr>
        <w:t xml:space="preserve"> %. </w:t>
      </w:r>
      <w:r>
        <w:rPr>
          <w:spacing w:val="-4"/>
        </w:rPr>
        <w:t>Výrazně klesla nezaměstnanost žen, ale oživení v odvětvích služeb se příznivě projevilo také na míře jejich ekonomické aktivity a zaměstnanosti, které v průběhu 3. čtvrtletí rostly.</w:t>
      </w:r>
      <w:r w:rsidRPr="00B86EB1">
        <w:rPr>
          <w:spacing w:val="-4"/>
        </w:rPr>
        <w:t xml:space="preserve"> Průměrná mzda se mezičtvrtletně zvýšila o </w:t>
      </w:r>
      <w:r>
        <w:rPr>
          <w:spacing w:val="-4"/>
        </w:rPr>
        <w:t>1,5</w:t>
      </w:r>
      <w:r w:rsidRPr="00B86EB1">
        <w:rPr>
          <w:spacing w:val="-4"/>
        </w:rPr>
        <w:t> % a dosáhla 3</w:t>
      </w:r>
      <w:r>
        <w:rPr>
          <w:spacing w:val="-4"/>
        </w:rPr>
        <w:t>7 499</w:t>
      </w:r>
      <w:r w:rsidRPr="00B86EB1">
        <w:rPr>
          <w:spacing w:val="-4"/>
        </w:rPr>
        <w:t> korun.</w:t>
      </w:r>
      <w:r>
        <w:rPr>
          <w:spacing w:val="-4"/>
        </w:rPr>
        <w:t xml:space="preserve"> Meziročně byla průměrná mzda nominálně vyšší o 5,7 %, reálný přírůstek ale činil jen 1,5 %.</w:t>
      </w:r>
    </w:p>
    <w:p w14:paraId="00A1E89C" w14:textId="383E10E2" w:rsidR="005A7ABD" w:rsidRPr="005A7ABD" w:rsidRDefault="005A7ABD" w:rsidP="005A7ABD">
      <w:pPr>
        <w:pStyle w:val="Normalodrka"/>
        <w:spacing w:after="100"/>
      </w:pPr>
      <w:r w:rsidRPr="00FE460E">
        <w:rPr>
          <w:spacing w:val="-4"/>
        </w:rPr>
        <w:t>Hospodaření státního rozpočtu v 1</w:t>
      </w:r>
      <w:r>
        <w:rPr>
          <w:spacing w:val="-4"/>
        </w:rPr>
        <w:t>. </w:t>
      </w:r>
      <w:r w:rsidRPr="00FE460E">
        <w:rPr>
          <w:spacing w:val="-4"/>
        </w:rPr>
        <w:t>až 3.</w:t>
      </w:r>
      <w:r>
        <w:rPr>
          <w:spacing w:val="-4"/>
        </w:rPr>
        <w:t> čtvrt</w:t>
      </w:r>
      <w:r w:rsidRPr="00FE460E">
        <w:rPr>
          <w:spacing w:val="-4"/>
        </w:rPr>
        <w:t xml:space="preserve">letí skončilo v deficitu 326 mld. korun, což je o 74 mld. horší výsledek ve srovnání s loňským deficitem. </w:t>
      </w:r>
      <w:r w:rsidRPr="00FE460E">
        <w:rPr>
          <w:spacing w:val="-2"/>
        </w:rPr>
        <w:t>V příjmech SR se negativně projevilo zejména snížení daňového zatížení práce, kapitálu i majetku a také změna rozpočtového určení daní ve prospěch územních rozpočtů. Souhrnný celostátní výběr daní převýšil úroveň 1. až 3. čtvrtletí 2020 o rovná 2</w:t>
      </w:r>
      <w:r>
        <w:rPr>
          <w:spacing w:val="-2"/>
        </w:rPr>
        <w:t> %</w:t>
      </w:r>
      <w:r w:rsidRPr="00FE460E">
        <w:rPr>
          <w:spacing w:val="-2"/>
        </w:rPr>
        <w:t xml:space="preserve">. </w:t>
      </w:r>
      <w:bookmarkEnd w:id="3"/>
      <w:r>
        <w:rPr>
          <w:spacing w:val="-2"/>
        </w:rPr>
        <w:t xml:space="preserve">K meziročnímu posílení běžných výdajů přispěly letos ze třetiny </w:t>
      </w:r>
      <w:r w:rsidRPr="00456B08">
        <w:rPr>
          <w:color w:val="0D0D0D" w:themeColor="text1" w:themeTint="F2"/>
          <w:spacing w:val="-5"/>
        </w:rPr>
        <w:t>neinvestiční trans</w:t>
      </w:r>
      <w:r>
        <w:rPr>
          <w:color w:val="0D0D0D" w:themeColor="text1" w:themeTint="F2"/>
          <w:spacing w:val="-5"/>
        </w:rPr>
        <w:t xml:space="preserve">fery podnikatelským subjektům. </w:t>
      </w:r>
      <w:r>
        <w:rPr>
          <w:spacing w:val="-5"/>
        </w:rPr>
        <w:t>Čtvrtinou pak přispěly k růstu vyšší platby za státní pojištěnce.</w:t>
      </w:r>
    </w:p>
    <w:p w14:paraId="64E48D53" w14:textId="5E6554F4" w:rsidR="00FE431E" w:rsidRPr="009110F7" w:rsidRDefault="00FE431E" w:rsidP="005A7ABD">
      <w:pPr>
        <w:pStyle w:val="Nadpis1"/>
      </w:pPr>
      <w:bookmarkStart w:id="9" w:name="_Toc90456602"/>
      <w:r w:rsidRPr="0077605B">
        <w:lastRenderedPageBreak/>
        <w:t>2</w:t>
      </w:r>
      <w:r>
        <w:t xml:space="preserve">. </w:t>
      </w:r>
      <w:r w:rsidRPr="0077605B">
        <w:t>Souhrnná výkonnost</w:t>
      </w:r>
      <w:bookmarkEnd w:id="9"/>
    </w:p>
    <w:tbl>
      <w:tblPr>
        <w:tblW w:w="963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6"/>
        <w:gridCol w:w="223"/>
        <w:gridCol w:w="7610"/>
      </w:tblGrid>
      <w:tr w:rsidR="00FE431E" w:rsidRPr="009110F7" w14:paraId="24FC2C13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2F0EA11D" w14:textId="77777777" w:rsidR="00FE431E" w:rsidRDefault="00FE431E" w:rsidP="00B86EB1">
            <w:pPr>
              <w:pStyle w:val="Marginlie"/>
            </w:pPr>
            <w:r>
              <w:t>Hrubý domácí produkt se ve 3. čtvrtletí zvýšil.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F47A7F4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B033459" w14:textId="77777777" w:rsidR="00FE431E" w:rsidRPr="00014ED0" w:rsidRDefault="00FE431E" w:rsidP="00B86EB1">
            <w:pPr>
              <w:rPr>
                <w:spacing w:val="-2"/>
              </w:rPr>
            </w:pPr>
            <w:r>
              <w:rPr>
                <w:spacing w:val="-2"/>
              </w:rPr>
              <w:t xml:space="preserve">Ve 3. čtvrtletí 2021 již českou ekonomiku neomezovala </w:t>
            </w:r>
            <w:proofErr w:type="spellStart"/>
            <w:r>
              <w:rPr>
                <w:spacing w:val="-2"/>
              </w:rPr>
              <w:t>protipandemická</w:t>
            </w:r>
            <w:proofErr w:type="spellEnd"/>
            <w:r>
              <w:rPr>
                <w:spacing w:val="-2"/>
              </w:rPr>
              <w:t xml:space="preserve"> opatření cílená na obchod a služby, na druhé straně se ale prohlubovaly problémy s dodávkami komponent v důležitých exportních odvětvích. Hrubý domácí produkt (HDP) se oproti 2. čtvrtletí reálně zvýšil o 1,5 %</w:t>
            </w:r>
            <w:r w:rsidRPr="00014ED0">
              <w:rPr>
                <w:rStyle w:val="Znakapoznpodarou"/>
                <w:rFonts w:cs="Arial"/>
                <w:spacing w:val="-2"/>
              </w:rPr>
              <w:footnoteReference w:id="4"/>
            </w:r>
            <w:r>
              <w:rPr>
                <w:spacing w:val="-2"/>
              </w:rPr>
              <w:t>. Na tom měl hlavní podíl růst spotřeby, především u domácností. Výrazně se zvýšily i zásoby, což bylo hlavní hnací silou nárůstu výdajů na tvorbu hrubého kapitálu. Prohlubující se problémy s dodávkami komponent pro automobilový průmysl negativně ovlivnily export, takže zahraniční poptávka naopak silnějšímu ekonomickému růstu výrazně bránila. Meziročně byl HDP vyšší o 3,1 %. Nejvíce přírůstek podpořily výdaje na tvorbu hrubého kapitálu posílené zvýšenou tvorbou zásob. Oproti loňskému 3. kvartálu posílila spotřeba domácností i vlády. Zatím ale hrubý domácí produkt reálně nedosáhl na předkrizovou úroveň.</w:t>
            </w:r>
          </w:p>
        </w:tc>
      </w:tr>
      <w:tr w:rsidR="00FE431E" w:rsidRPr="009110F7" w14:paraId="3C2AD954" w14:textId="77777777" w:rsidTr="00B86EB1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7933A466" w14:textId="77777777" w:rsidR="00FE431E" w:rsidRDefault="00FE431E" w:rsidP="00B86EB1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4D36D28B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B37F124" w14:textId="77777777" w:rsidR="00FE431E" w:rsidRPr="00D721B4" w:rsidRDefault="00FE431E" w:rsidP="00B86EB1">
            <w:pPr>
              <w:spacing w:after="0"/>
              <w:rPr>
                <w:b/>
                <w:szCs w:val="20"/>
              </w:rPr>
            </w:pPr>
            <w:r w:rsidRPr="00D721B4">
              <w:rPr>
                <w:rFonts w:cs="Arial"/>
                <w:b/>
                <w:bCs/>
                <w:color w:val="000000"/>
                <w:szCs w:val="20"/>
              </w:rPr>
              <w:t>Graf č. 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21B4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HDP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očištěno o sezónní a kalendářní vlivy, v %)</w:t>
            </w:r>
          </w:p>
        </w:tc>
      </w:tr>
      <w:tr w:rsidR="00FE431E" w:rsidRPr="009110F7" w14:paraId="14A6ED9C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52E050E5" w14:textId="77777777" w:rsidR="00FE431E" w:rsidRPr="009110F7" w:rsidRDefault="00FE431E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028C31D1" w14:textId="77777777" w:rsidR="00FE431E" w:rsidRPr="009110F7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575FE37C" w14:textId="77777777" w:rsidR="00FE431E" w:rsidRPr="009110F7" w:rsidRDefault="00FE431E" w:rsidP="00B86EB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0605E0A" wp14:editId="0C046699">
                  <wp:extent cx="4734425" cy="3378575"/>
                  <wp:effectExtent l="0" t="0" r="0" b="0"/>
                  <wp:docPr id="16" name="Graf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E431E" w:rsidRPr="009110F7" w14:paraId="382F2747" w14:textId="77777777" w:rsidTr="00B86EB1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62F630D1" w14:textId="77777777" w:rsidR="00FE431E" w:rsidRPr="009110F7" w:rsidRDefault="00FE431E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19BBB624" w14:textId="77777777" w:rsidR="00FE431E" w:rsidRPr="009110F7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147525A" w14:textId="77777777" w:rsidR="00FE431E" w:rsidRPr="009110F7" w:rsidRDefault="00FE431E" w:rsidP="00B86EB1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ČSÚ, </w:t>
            </w:r>
            <w:proofErr w:type="spellStart"/>
            <w:r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FE431E" w:rsidRPr="009110F7" w14:paraId="7710B4E7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402ADCE" w14:textId="77777777" w:rsidR="00FE431E" w:rsidRDefault="00FE431E" w:rsidP="00B86EB1">
            <w:pPr>
              <w:pStyle w:val="Marginlie"/>
            </w:pPr>
            <w:r>
              <w:t>Postupně se zotavují i ostatní evropské ekonomiky.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5D27799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6431887" w14:textId="5179DBC6" w:rsidR="00FE431E" w:rsidRDefault="00FE5466" w:rsidP="00B86EB1">
            <w:r>
              <w:t>Hrubý domácí produkt v Evropské unii byl ve 3. čtvrtletí mezičtvrtletně vyšší o 2,1 %</w:t>
            </w:r>
            <w:r>
              <w:rPr>
                <w:rStyle w:val="Znakapoznpodarou"/>
              </w:rPr>
              <w:footnoteReference w:id="5"/>
            </w:r>
            <w:r>
              <w:t>. S výjimkou stagnujícího hospodářství Litvy vzrostl podle dostupných dat HDP ve všech zemích EU. Největšího mezičtvrtletního přírůstku dosáhly ekonomiky Rakouska (3,3 %), Francie (3,0 %) a Portugalska (2,9 %). Jen mírně naopak rostl HDP v Rumunsku (0,3 %), na Slovensku (0,4 %) a v Lotyšsku (0,6 %). Meziročně byl HDP v EU vyšší o 3,9 %. Nejvíce vzrostl HDP v Chorvatsku (15,5 %), na Maltě (9,8 %) a v Estonsku (9,2 %). Nejmírnější byl přírůstek na Slovensku (1,3 %), v Německu (2,6 %) a ve Španělsku (2,7 %). Ve většině zemí EU (podle dostupných údajů celkem v 16) již HDP reálně</w:t>
            </w:r>
            <w:r>
              <w:rPr>
                <w:rStyle w:val="Znakapoznpodarou"/>
              </w:rPr>
              <w:footnoteReference w:id="6"/>
            </w:r>
            <w:r>
              <w:t xml:space="preserve"> vystoupal nad úroveň 3. čtvrtletí 2019. Nejvíce v Estonsku (5,6 %), Litvě (5,3 %) a Lucembursku (5,3 %). Za předkrizovou úrovní HDP nejvíce zaostával ve </w:t>
            </w:r>
            <w:proofErr w:type="gramStart"/>
            <w:r>
              <w:t>Španělsku (–6,2</w:t>
            </w:r>
            <w:proofErr w:type="gramEnd"/>
            <w:r>
              <w:t xml:space="preserve"> %), Česku (–2,5 %) a v Portugalsku (–2,4 %). Zaostávaly i velké evropské ekonomiky </w:t>
            </w:r>
            <w:proofErr w:type="gramStart"/>
            <w:r>
              <w:t>Itálie (–1,7</w:t>
            </w:r>
            <w:proofErr w:type="gramEnd"/>
            <w:r>
              <w:t xml:space="preserve"> %), Německa (–1,2 %) a Francie (–0,4 %), což ve </w:t>
            </w:r>
            <w:r>
              <w:lastRenderedPageBreak/>
              <w:t>výsledku znamenalo, že celkový HDP v Evropské unii byl ve srovnání se 3. čtvrtletím 2019 nižší o 0,2 %.</w:t>
            </w:r>
          </w:p>
        </w:tc>
      </w:tr>
      <w:tr w:rsidR="00FE431E" w:rsidRPr="009110F7" w14:paraId="683A1EE8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56F8F528" w14:textId="77777777" w:rsidR="00FE431E" w:rsidRDefault="00FE431E" w:rsidP="00B86EB1">
            <w:pPr>
              <w:pStyle w:val="Marginlie"/>
            </w:pPr>
            <w:r>
              <w:lastRenderedPageBreak/>
              <w:t>Objem vyplacených mezd a platů i zaměstnanost rostly.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7E1E775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0794ADF" w14:textId="6559FD0C" w:rsidR="00FE431E" w:rsidRPr="00014ED0" w:rsidRDefault="00FE431E" w:rsidP="00B86EB1">
            <w:pPr>
              <w:rPr>
                <w:spacing w:val="-2"/>
              </w:rPr>
            </w:pPr>
            <w:r>
              <w:rPr>
                <w:spacing w:val="-2"/>
              </w:rPr>
              <w:t>Objem vyplacených mez</w:t>
            </w:r>
            <w:r w:rsidR="009112E3">
              <w:rPr>
                <w:spacing w:val="-2"/>
              </w:rPr>
              <w:t>d</w:t>
            </w:r>
            <w:r>
              <w:rPr>
                <w:spacing w:val="-2"/>
              </w:rPr>
              <w:t xml:space="preserve"> a platů byl ve srovnání s letošním 2. kvartálem vyšší o 1,9 %. Mírně mezičtvrtletně posílila i celková zaměstnanost</w:t>
            </w:r>
            <w:r w:rsidRPr="00014ED0">
              <w:rPr>
                <w:rStyle w:val="Znakapoznpodarou"/>
                <w:spacing w:val="-2"/>
              </w:rPr>
              <w:footnoteReference w:id="7"/>
            </w:r>
            <w:r>
              <w:rPr>
                <w:spacing w:val="-2"/>
              </w:rPr>
              <w:t xml:space="preserve"> (0,4 %). Silně se oproti 2. čtvrtletí zvyšovaly výdělky v uskupení obchod, doprava, ubytování a pohostinství (12,7 %) a v ostatních činnostech (13,1 %, zahrnují například služby osobní péče), což byla odvětví služeb, která byla nejvíce omezována </w:t>
            </w:r>
            <w:proofErr w:type="spellStart"/>
            <w:r>
              <w:rPr>
                <w:spacing w:val="-2"/>
              </w:rPr>
              <w:t>protipandemickými</w:t>
            </w:r>
            <w:proofErr w:type="spellEnd"/>
            <w:r>
              <w:rPr>
                <w:spacing w:val="-2"/>
              </w:rPr>
              <w:t xml:space="preserve"> opatřeními. S výjimkou odvětví s převahou sektoru vládních </w:t>
            </w:r>
            <w:proofErr w:type="gramStart"/>
            <w:r>
              <w:rPr>
                <w:spacing w:val="-2"/>
              </w:rPr>
              <w:t>institucí</w:t>
            </w:r>
            <w:r>
              <w:rPr>
                <w:rStyle w:val="Znakapoznpodarou"/>
                <w:spacing w:val="-2"/>
              </w:rPr>
              <w:footnoteReference w:id="8"/>
            </w:r>
            <w:r>
              <w:rPr>
                <w:spacing w:val="-2"/>
              </w:rPr>
              <w:t xml:space="preserve"> (–8,7</w:t>
            </w:r>
            <w:proofErr w:type="gramEnd"/>
            <w:r>
              <w:rPr>
                <w:spacing w:val="-2"/>
              </w:rPr>
              <w:t> %</w:t>
            </w:r>
            <w:r>
              <w:rPr>
                <w:rStyle w:val="Znakapoznpodarou"/>
                <w:spacing w:val="-2"/>
              </w:rPr>
              <w:footnoteReference w:id="9"/>
            </w:r>
            <w:r>
              <w:rPr>
                <w:spacing w:val="-2"/>
              </w:rPr>
              <w:t>) pak mezičtvrtletně rostl objem vyplacených prostředků v celé ekonomice. Meziročně objem vyplacených mezd a platů ve 3. čtvrtletí vzrostl o 7,4 %. Celková zaměstnanost se zvýšila mírně (0,6 %). Do kupní síly výdělků se ale negativně promítl silný cenový růst, takže reálný meziroční růst objemu mezd a platů ve 3. čtvrtletí dosáhl 3,5 %</w:t>
            </w:r>
            <w:r>
              <w:rPr>
                <w:rStyle w:val="Znakapoznpodarou"/>
                <w:spacing w:val="-2"/>
              </w:rPr>
              <w:footnoteReference w:id="10"/>
            </w:r>
            <w:r>
              <w:rPr>
                <w:spacing w:val="-2"/>
              </w:rPr>
              <w:t>. Nejvíce objem vyplacených mzdových prostředků meziročně rostl u činností v oblasti nemovitostí (16,3 %, zaměstnanost se zde zvýšila o 1,7 %). Silné byly i přírůstky u informačních a komunikačních činností (8,9 %, zaměstnanost vzrostla o 3,5 %), profesních, vědeckých, technických a administrativních činností (8,7 %, přírůstek zaměstnanosti činil 2,3 %) a v uskupení obchod, doprava, ubytování a pohostinství (8,0 %, zaměstnanost byla nižší o 0,7 %). Okolo průměru celé ekonomiky se pohyboval přírůstek výdělků ve zpracovatelském průmyslu (7,4 %, zaměstnanost byla vyšší jen o 0,3 %) a v odvětvích s převahou vládního sektoru (7,3 % při nárůstu zaměstnanosti o 2,9 %). Mírnější, ale stále solidní nárůsty měly stavebnictví (5,8 %, pokles zaměstnanosti činil 0,6 %), peněžnictví a pojišťovnictví (5,2 %, zaměstnanost byla nižší o 2,4 %), zemědělství, lesnictví a rybářství (5,0 %, zaměstnanost klesla o 2,9 %) a ostatní činnosti (4,8 %, zaměstnanost nižší o 0,4 %).</w:t>
            </w:r>
          </w:p>
        </w:tc>
      </w:tr>
      <w:tr w:rsidR="00FE431E" w:rsidRPr="009110F7" w14:paraId="17168F90" w14:textId="77777777" w:rsidTr="00B86EB1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18C09894" w14:textId="77777777" w:rsidR="00FE431E" w:rsidRDefault="00FE431E" w:rsidP="00B86EB1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2FAA27A1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DBF185E" w14:textId="77777777" w:rsidR="00FE431E" w:rsidRPr="00D721B4" w:rsidRDefault="00FE431E" w:rsidP="00B86EB1">
            <w:pPr>
              <w:spacing w:after="0"/>
              <w:rPr>
                <w:szCs w:val="20"/>
              </w:rPr>
            </w:pPr>
            <w:r w:rsidRPr="00D721B4">
              <w:rPr>
                <w:b/>
                <w:szCs w:val="20"/>
              </w:rPr>
              <w:t>Graf č. 2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výdajových složek k reálné změně HDP*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růst, příspěvky v p. b., HDP v %)</w:t>
            </w:r>
          </w:p>
        </w:tc>
      </w:tr>
      <w:tr w:rsidR="00FE431E" w:rsidRPr="009110F7" w14:paraId="5CB7FCF4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578E50BE" w14:textId="77777777" w:rsidR="00FE431E" w:rsidRDefault="00FE431E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09BC632A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1B350971" w14:textId="77777777" w:rsidR="00FE431E" w:rsidRDefault="00FE431E" w:rsidP="00B86EB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FE0C192" wp14:editId="0C6EB28F">
                  <wp:extent cx="4743950" cy="3369050"/>
                  <wp:effectExtent l="0" t="0" r="0" b="3175"/>
                  <wp:docPr id="20" name="Graf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E431E" w:rsidRPr="009110F7" w14:paraId="48AAEFF8" w14:textId="77777777" w:rsidTr="00B86EB1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197012BB" w14:textId="77777777" w:rsidR="00FE431E" w:rsidRDefault="00FE431E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7B8B4D99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A2CD33B" w14:textId="77777777" w:rsidR="00FE431E" w:rsidRDefault="00FE431E" w:rsidP="00B86EB1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14B04099" w14:textId="77777777" w:rsidR="00FE431E" w:rsidRDefault="00FE431E" w:rsidP="00B86EB1">
            <w:r>
              <w:rPr>
                <w:sz w:val="14"/>
                <w:szCs w:val="14"/>
              </w:rPr>
              <w:t>* po vyloučení dovozu pro konečné užití</w:t>
            </w:r>
          </w:p>
        </w:tc>
      </w:tr>
      <w:tr w:rsidR="00FE431E" w:rsidRPr="009110F7" w14:paraId="6CCA7F72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60C4D462" w14:textId="77777777" w:rsidR="00FE431E" w:rsidRDefault="00FE431E" w:rsidP="00B86EB1">
            <w:pPr>
              <w:pStyle w:val="Marginlie"/>
            </w:pPr>
            <w:r>
              <w:lastRenderedPageBreak/>
              <w:t>Domácí spotřeba byla jedním z hlavních tahounů růstu.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A14A4E4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506B13F" w14:textId="77777777" w:rsidR="00FE431E" w:rsidRDefault="00FE431E" w:rsidP="00B86EB1">
            <w:r>
              <w:rPr>
                <w:spacing w:val="-2"/>
              </w:rPr>
              <w:t>Domácí spotřeba oproti letošnímu 2. čtvrtletí, do kterého ještě zasáhly restrikce obchodu a služeb, vzrostla o 3,7 %. Z toho spotřeba domácností byla vyšší o 4,3 % a vlády o 2,6 %. Mezičtvrtletně posilovala zejména spotřeba služeb (6,1 %)</w:t>
            </w:r>
            <w:r>
              <w:rPr>
                <w:rStyle w:val="Znakapoznpodarou"/>
              </w:rPr>
              <w:footnoteReference w:id="11"/>
            </w:r>
            <w:r>
              <w:rPr>
                <w:spacing w:val="-2"/>
              </w:rPr>
              <w:t xml:space="preserve"> i dlouhodobých (5,6 %) a střednědobých statků</w:t>
            </w:r>
            <w:r>
              <w:rPr>
                <w:rStyle w:val="Znakapoznpodarou"/>
                <w:spacing w:val="-2"/>
              </w:rPr>
              <w:footnoteReference w:id="12"/>
            </w:r>
            <w:r>
              <w:rPr>
                <w:spacing w:val="-2"/>
              </w:rPr>
              <w:t xml:space="preserve"> (8,8 %), u kterých se projevoval efekt odložené poptávky z předchozích čtvrtletí. Meziročně se spotřeba zvýšila o 5,9 %, přičemž u domácností vzrostla o 6,4 % a v případě vlády o 5,0 %. K meziročnímu růstu HDP spotřeba přispěla 3,4 p. b.</w:t>
            </w:r>
            <w:r w:rsidRPr="00014ED0">
              <w:rPr>
                <w:rStyle w:val="Znakapoznpodarou"/>
                <w:spacing w:val="-2"/>
              </w:rPr>
              <w:footnoteReference w:id="13"/>
            </w:r>
            <w:r>
              <w:rPr>
                <w:spacing w:val="-2"/>
              </w:rPr>
              <w:t xml:space="preserve"> Meziročně vyšší byla spotřeba všech druhů zboží podle trvanlivosti. Spotřeba služeb vzrostla o 8,0 %, předmětů dlouhodobé spotřeby o 4,9 %, střednědobé spotřeby o 3,5 % a netrvanlivého zboží o 3,9 %.</w:t>
            </w:r>
          </w:p>
        </w:tc>
      </w:tr>
      <w:tr w:rsidR="00FE431E" w:rsidRPr="009110F7" w14:paraId="320243C7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2F883625" w14:textId="77777777" w:rsidR="00FE431E" w:rsidRDefault="00FE431E" w:rsidP="00B86EB1">
            <w:pPr>
              <w:pStyle w:val="Marginlie"/>
            </w:pPr>
            <w:r>
              <w:t>Především nárůst zásob stál za masivním navýšením výdajů na hrubý kapitál.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791FB7E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669C047" w14:textId="77777777" w:rsidR="00FE431E" w:rsidRDefault="00FE431E" w:rsidP="00B86EB1">
            <w:r>
              <w:t>Výdaje na tvorbu hrubého kapitálu výrazně přispívaly k meziročnímu (+5,6 p. b.) i mezičtvrtletnímu růstu HDP. Silný mezičtvrtletní (3,4 %) i meziroční (25,2 %) přírůstek tvorby hrubého kapitálu ale ovlivnila zejména tvorba zásob</w:t>
            </w:r>
            <w:r>
              <w:rPr>
                <w:rStyle w:val="Znakapoznpodarou"/>
              </w:rPr>
              <w:footnoteReference w:id="14"/>
            </w:r>
            <w:r>
              <w:t xml:space="preserve">. Narůstaly zásoby zboží, materiálu a nedokončené výroby, což lze spojit i se situací výrobců čekajících na dodávky komponent potřebných k finalizaci výrobků určených na další prodej a export. Výdaje na tvorbu hrubého fixního kapitálu (investiční aktivita) mezičtvrtletně klesly o 3,1 %, nejvíce od 1. čtvrtletí 2020. Nižší byly přitom výdaje na všechny druhy investic. Propadly se zejména investice do produktů duševního </w:t>
            </w:r>
            <w:proofErr w:type="gramStart"/>
            <w:r>
              <w:t>vlastnictví (–4,9</w:t>
            </w:r>
            <w:proofErr w:type="gramEnd"/>
            <w:r>
              <w:t> %) a výrazný byl i pokles investic do obydlí (–3,7 %) a ostatních budov a staveb (–3,2 %). Meziročně investiční aktivita mírně rostla (0,7 %). Vyšší byly přitom investice do obydlí (6,7 %), dopravních prostředků a zařízení (5,5 %) a produktů duševního vlastnictví (5,7 %). Naopak meziroční propad ve 3. čtvrtletí vykázaly investice do ostatních budov a </w:t>
            </w:r>
            <w:proofErr w:type="gramStart"/>
            <w:r>
              <w:t>staveb (–4,6</w:t>
            </w:r>
            <w:proofErr w:type="gramEnd"/>
            <w:r>
              <w:t> %) a ICT a ostatních strojů a zařízení (–2,9 %).</w:t>
            </w:r>
          </w:p>
        </w:tc>
      </w:tr>
      <w:tr w:rsidR="00FE431E" w:rsidRPr="009110F7" w14:paraId="2FB9CA37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1BEEF6EC" w14:textId="77777777" w:rsidR="00FE431E" w:rsidRDefault="00FE431E" w:rsidP="00B86EB1">
            <w:pPr>
              <w:pStyle w:val="Marginlie"/>
            </w:pPr>
            <w:r>
              <w:t>Došlo k rekordnímu meziročnímu propadu bilance zahraničního obchodu.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983761B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356B065" w14:textId="77777777" w:rsidR="00FE431E" w:rsidRDefault="00FE431E" w:rsidP="00B86EB1">
            <w:r>
              <w:t>Vývoj bilance zahraničního obchodu růst HDP výrazně brzdil. Ve 3. čtvrtletí totiž saldo zahraničního obchodu sice dosáhlo přebytku 15,8 mld. korun</w:t>
            </w:r>
            <w:r w:rsidRPr="009110F7">
              <w:rPr>
                <w:rStyle w:val="Znakapoznpodarou"/>
              </w:rPr>
              <w:footnoteReference w:id="15"/>
            </w:r>
            <w:r>
              <w:t>, ten se ale mezičtvrtletně snížil o 38,3 mld. a meziročně klesl o rekordních 102,1 mld.</w:t>
            </w:r>
            <w:r>
              <w:rPr>
                <w:rStyle w:val="Znakapoznpodarou"/>
              </w:rPr>
              <w:footnoteReference w:id="16"/>
            </w:r>
            <w:r>
              <w:t xml:space="preserve"> Klesala zejména bilance obchodu se zbožím, která spadla do </w:t>
            </w:r>
            <w:proofErr w:type="gramStart"/>
            <w:r>
              <w:t>deficitu</w:t>
            </w:r>
            <w:proofErr w:type="gramEnd"/>
            <w:r>
              <w:t xml:space="preserve"> –</w:t>
            </w:r>
            <w:proofErr w:type="gramStart"/>
            <w:r>
              <w:t>15,1</w:t>
            </w:r>
            <w:proofErr w:type="gramEnd"/>
            <w:r>
              <w:t> mld. korun. Šlo o první deficit obchodu se zbožím od 4. čtvrtletí 2008. Přebytek zahraničního obchodu se službami dosáhl 30,9 mld. korun a mírně meziročně i mezičtvrtletně posílil. Vývoz mezičtvrtletně reálně klesl o 5,9 % a dovoz o 3,3 %. Meziročně byl export nižší o 2,3 %, ale import naopak reálně vzrostl o 8,3 %.</w:t>
            </w:r>
          </w:p>
        </w:tc>
      </w:tr>
      <w:tr w:rsidR="00FE431E" w:rsidRPr="009110F7" w14:paraId="1E87D2BB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58F6A50" w14:textId="77777777" w:rsidR="00FE431E" w:rsidRDefault="00FE431E" w:rsidP="00B86EB1">
            <w:pPr>
              <w:pStyle w:val="Marginlie"/>
            </w:pPr>
            <w:r>
              <w:t>Růst hrubé přidané hodnoty podporovala zejména odvětví služeb.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9EE39BB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3299D63" w14:textId="77777777" w:rsidR="00FE431E" w:rsidRPr="00F93F2C" w:rsidRDefault="00FE431E" w:rsidP="00B86EB1">
            <w:r>
              <w:t xml:space="preserve">Hrubá přidaná hodnota (HPH) ve 3. čtvrtletí mezičtvrtletně vzrostla o 1,4 %. Úplné zrušení omezení v obchodě a službách, která ještě zasahovala do 2. kvartálu, vedlo k tomu, že nejsilnější přírůstek HPH měly ostatní činnosti (18,4 %) a uskupení obchod, doprava, ubytování a pohostinství (7,0 %). Výrazně rostla i HPH v odvětvích s převahou vládního sektoru (1,9 %), v činnostech v oblasti nemovitostí (1,7 %) a v peněžnictví a pojišťovnictví (1,0 %). Mírný mezičtvrtletní přírůstek pak vykázalo stavebnictví (0,5 %), informační a komunikační činnosti (0,4 %) a profesní, vědecké, technické a administrativní činnosti (0,1 %). Oproti 2. čtvrtletí klesla HPH ve zpracovatelském </w:t>
            </w:r>
            <w:proofErr w:type="gramStart"/>
            <w:r>
              <w:t>průmyslu (–3,1</w:t>
            </w:r>
            <w:proofErr w:type="gramEnd"/>
            <w:r>
              <w:t xml:space="preserve"> %), který sužovalo přerušení mezinárodních dodavatelských řetězců, a nižší byla HPH také v zemědělství, lesnictví a rybářství </w:t>
            </w:r>
            <w:r>
              <w:br/>
              <w:t>(–0,7 %).</w:t>
            </w:r>
          </w:p>
        </w:tc>
      </w:tr>
      <w:tr w:rsidR="00FE431E" w:rsidRPr="009110F7" w14:paraId="71EC76D3" w14:textId="77777777" w:rsidTr="00B86EB1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5BAC1BD6" w14:textId="77777777" w:rsidR="00FE431E" w:rsidRDefault="00FE431E" w:rsidP="00B86EB1">
            <w:pPr>
              <w:pStyle w:val="Marginlie"/>
            </w:pPr>
            <w:r>
              <w:t>Zpracovatelský průmysl meziročně stagnoval.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4B4BAA7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46997AC" w14:textId="77777777" w:rsidR="00FE431E" w:rsidRDefault="00FE431E" w:rsidP="00B86EB1">
            <w:r>
              <w:t xml:space="preserve">Meziroční přírůstek HPH ve 3. čtvrtletí dosáhl 2,9 %. Úroveň loňského 3. čtvrtletí nejvíce překonala HPH v peněžnictví a pojišťovnictví (7,2 %), ale hlavní podíl na celkovém růstu HPH mělo uskupení obchod, doprava, ubytování a pohostinství (meziroční růst HPH o 6,6 %). Výrazný nárůst HPH zaznamenaly i informační </w:t>
            </w:r>
            <w:r>
              <w:lastRenderedPageBreak/>
              <w:t xml:space="preserve">a komunikační činnosti (5,5 %), profesní, vědecké, technické a administrativní činnosti (5,3 %) a odvětví s převahou vládního sektoru (3,6 %). Po tříletém období meziročních poklesů se mírný růst HPH již dvě čtvrtletí drží ve stavebnictví (1,9 %). Jen mírně nad úroveň loňského 3. kvartálu se dostala HPH činností v oblasti nemovitostí (0,3 %) a ve zpracovatelském průmyslu (0,2 %). Hrubá přidaná hodnota byla meziročně nižší v ostatních </w:t>
            </w:r>
            <w:proofErr w:type="gramStart"/>
            <w:r>
              <w:t>činnostech (–0,6</w:t>
            </w:r>
            <w:proofErr w:type="gramEnd"/>
            <w:r>
              <w:t> %) a zemědělství, lesnictví a rybářství (–0,1 %).</w:t>
            </w:r>
          </w:p>
        </w:tc>
      </w:tr>
      <w:tr w:rsidR="00FE431E" w:rsidRPr="009110F7" w14:paraId="72BDBC19" w14:textId="77777777" w:rsidTr="00B86EB1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17977896" w14:textId="77777777" w:rsidR="00FE431E" w:rsidRDefault="00FE431E" w:rsidP="00B86EB1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28F9D6C1" w14:textId="77777777" w:rsidR="00FE431E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3B06FCD" w14:textId="77777777" w:rsidR="00FE431E" w:rsidRPr="00D721B4" w:rsidRDefault="00FE431E" w:rsidP="00B86EB1">
            <w:pPr>
              <w:spacing w:after="0"/>
              <w:rPr>
                <w:szCs w:val="20"/>
              </w:rPr>
            </w:pPr>
            <w:r w:rsidRPr="00D721B4">
              <w:rPr>
                <w:b/>
                <w:szCs w:val="20"/>
              </w:rPr>
              <w:t>Graf č. 3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odvětví k reálné změně HPH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příspěvky v p. b., HPH v %)</w:t>
            </w:r>
          </w:p>
        </w:tc>
      </w:tr>
      <w:tr w:rsidR="00FE431E" w:rsidRPr="009110F7" w14:paraId="4913DFEF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73E606DC" w14:textId="77777777" w:rsidR="00FE431E" w:rsidRPr="009110F7" w:rsidRDefault="00FE431E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5AA228D2" w14:textId="77777777" w:rsidR="00FE431E" w:rsidRPr="009110F7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1A04E6B8" w14:textId="77777777" w:rsidR="00FE431E" w:rsidRPr="009110F7" w:rsidRDefault="00FE431E" w:rsidP="00B86EB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DC4C8D8" wp14:editId="5159BABB">
                  <wp:extent cx="4737600" cy="3318250"/>
                  <wp:effectExtent l="0" t="0" r="6350" b="0"/>
                  <wp:docPr id="2" name="Graf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E431E" w:rsidRPr="009110F7" w14:paraId="2A9409D7" w14:textId="77777777" w:rsidTr="00B86EB1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1A82AB6B" w14:textId="77777777" w:rsidR="00FE431E" w:rsidRPr="009110F7" w:rsidRDefault="00FE431E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21F6E850" w14:textId="77777777" w:rsidR="00FE431E" w:rsidRPr="009110F7" w:rsidRDefault="00FE431E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83B00A2" w14:textId="77777777" w:rsidR="00FE431E" w:rsidRPr="009110F7" w:rsidRDefault="00FE431E" w:rsidP="00B86EB1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</w:tc>
      </w:tr>
    </w:tbl>
    <w:p w14:paraId="0C4A3F6C" w14:textId="77777777" w:rsidR="00FE431E" w:rsidRPr="00C41D54" w:rsidRDefault="00FE431E" w:rsidP="00FE431E">
      <w:pPr>
        <w:pStyle w:val="Nadpis11"/>
        <w:rPr>
          <w:b w:val="0"/>
          <w:sz w:val="2"/>
          <w:szCs w:val="2"/>
          <w:highlight w:val="yellow"/>
        </w:rPr>
      </w:pPr>
    </w:p>
    <w:p w14:paraId="176FBC32" w14:textId="77777777" w:rsidR="00FE431E" w:rsidRPr="00DA3ADF" w:rsidRDefault="00FE431E" w:rsidP="00FE431E">
      <w:pPr>
        <w:spacing w:after="0" w:line="240" w:lineRule="auto"/>
        <w:jc w:val="left"/>
        <w:rPr>
          <w:rFonts w:eastAsia="MS Gothic"/>
          <w:bCs/>
          <w:color w:val="71818C"/>
          <w:sz w:val="2"/>
          <w:szCs w:val="2"/>
          <w:highlight w:val="yellow"/>
        </w:rPr>
      </w:pPr>
    </w:p>
    <w:p w14:paraId="34939937" w14:textId="77777777" w:rsidR="00FE431E" w:rsidRDefault="00FE431E" w:rsidP="00FE431E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1D699EA9" w14:textId="77777777" w:rsidR="00FE431E" w:rsidRPr="00E42054" w:rsidRDefault="00FE431E" w:rsidP="00FE431E">
      <w:pPr>
        <w:pStyle w:val="Nadpis11"/>
        <w:spacing w:after="0"/>
        <w:rPr>
          <w:b w:val="0"/>
          <w:sz w:val="2"/>
          <w:szCs w:val="2"/>
        </w:rPr>
      </w:pPr>
    </w:p>
    <w:p w14:paraId="77F87E67" w14:textId="77777777" w:rsidR="00FE431E" w:rsidRDefault="00FE431E" w:rsidP="00FE431E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13161A6D" w14:textId="77777777" w:rsidR="00FE431E" w:rsidRPr="000F45E7" w:rsidRDefault="00FE431E" w:rsidP="00FE431E">
      <w:pPr>
        <w:pStyle w:val="Nadpis11"/>
        <w:spacing w:after="0"/>
        <w:rPr>
          <w:b w:val="0"/>
          <w:sz w:val="2"/>
          <w:szCs w:val="2"/>
        </w:rPr>
      </w:pPr>
    </w:p>
    <w:p w14:paraId="52007561" w14:textId="77777777" w:rsidR="00FE431E" w:rsidRPr="00E42054" w:rsidRDefault="00FE431E" w:rsidP="00FE431E">
      <w:pPr>
        <w:pStyle w:val="Nadpis11"/>
        <w:rPr>
          <w:b w:val="0"/>
          <w:sz w:val="2"/>
          <w:szCs w:val="2"/>
        </w:rPr>
      </w:pPr>
    </w:p>
    <w:bookmarkEnd w:id="4"/>
    <w:p w14:paraId="76A3E366" w14:textId="77777777" w:rsidR="00FE431E" w:rsidRPr="000F45E7" w:rsidRDefault="00FE431E" w:rsidP="00FE431E">
      <w:pPr>
        <w:pStyle w:val="Nadpis11"/>
        <w:spacing w:after="0"/>
        <w:rPr>
          <w:b w:val="0"/>
          <w:sz w:val="2"/>
          <w:szCs w:val="2"/>
        </w:rPr>
      </w:pPr>
    </w:p>
    <w:p w14:paraId="0857C61B" w14:textId="77777777" w:rsidR="00FE431E" w:rsidRPr="000F45E7" w:rsidRDefault="00FE431E" w:rsidP="00FE431E">
      <w:pPr>
        <w:pStyle w:val="Nadpis11"/>
        <w:spacing w:after="0"/>
        <w:rPr>
          <w:b w:val="0"/>
          <w:sz w:val="2"/>
          <w:szCs w:val="2"/>
        </w:rPr>
      </w:pPr>
    </w:p>
    <w:p w14:paraId="2A57ABA3" w14:textId="77777777" w:rsidR="00FE431E" w:rsidRPr="00E42054" w:rsidRDefault="00FE431E" w:rsidP="00FE431E">
      <w:pPr>
        <w:pStyle w:val="Nadpis11"/>
        <w:rPr>
          <w:b w:val="0"/>
          <w:sz w:val="2"/>
          <w:szCs w:val="2"/>
        </w:rPr>
      </w:pPr>
    </w:p>
    <w:p w14:paraId="1393A138" w14:textId="77777777" w:rsidR="0039398D" w:rsidRPr="000F45E7" w:rsidRDefault="0039398D" w:rsidP="0039398D">
      <w:pPr>
        <w:pStyle w:val="Nadpis11"/>
        <w:spacing w:after="0"/>
        <w:rPr>
          <w:b w:val="0"/>
          <w:sz w:val="2"/>
          <w:szCs w:val="2"/>
        </w:rPr>
      </w:pPr>
    </w:p>
    <w:p w14:paraId="219CAD66" w14:textId="77777777" w:rsidR="0039398D" w:rsidRPr="00E42054" w:rsidRDefault="0039398D" w:rsidP="0039398D">
      <w:pPr>
        <w:pStyle w:val="Nadpis11"/>
        <w:rPr>
          <w:b w:val="0"/>
          <w:sz w:val="2"/>
          <w:szCs w:val="2"/>
        </w:rPr>
      </w:pPr>
    </w:p>
    <w:p w14:paraId="5DAC04E9" w14:textId="4EF46CB6" w:rsidR="00C867F9" w:rsidRPr="00C867F9" w:rsidRDefault="0039398D" w:rsidP="00C867F9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bookmarkStart w:id="10" w:name="_Toc58605374"/>
      <w:bookmarkStart w:id="11" w:name="_Toc66719930"/>
      <w:bookmarkStart w:id="12" w:name="_Toc532558287"/>
      <w:bookmarkStart w:id="13" w:name="_Toc58605375"/>
      <w:bookmarkEnd w:id="5"/>
      <w:bookmarkEnd w:id="6"/>
      <w:bookmarkEnd w:id="7"/>
      <w:r>
        <w:br w:type="page"/>
      </w:r>
    </w:p>
    <w:p w14:paraId="040113C5" w14:textId="77777777" w:rsidR="00700E8A" w:rsidRDefault="00700E8A" w:rsidP="00700E8A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38601C4C" w14:textId="77777777" w:rsidR="00700E8A" w:rsidRDefault="00700E8A" w:rsidP="00700E8A">
      <w:pPr>
        <w:pStyle w:val="Nadpis11"/>
      </w:pPr>
      <w:bookmarkStart w:id="14" w:name="_Toc90456603"/>
      <w:r>
        <w:t>3</w:t>
      </w:r>
      <w:r w:rsidRPr="00B43216">
        <w:t>. </w:t>
      </w:r>
      <w:r>
        <w:t>Výkonnost odvětví</w:t>
      </w:r>
      <w:bookmarkEnd w:id="14"/>
    </w:p>
    <w:tbl>
      <w:tblPr>
        <w:tblW w:w="9664" w:type="dxa"/>
        <w:tblInd w:w="-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8"/>
        <w:gridCol w:w="206"/>
        <w:gridCol w:w="7730"/>
      </w:tblGrid>
      <w:tr w:rsidR="00700E8A" w:rsidRPr="006237E6" w14:paraId="1728D43B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5A2A5E22" w14:textId="77777777" w:rsidR="00700E8A" w:rsidRDefault="00700E8A" w:rsidP="00150ECA">
            <w:pPr>
              <w:pStyle w:val="Marginlie"/>
            </w:pPr>
            <w:r>
              <w:t xml:space="preserve">Ve 3. čtvrtletí </w:t>
            </w:r>
            <w:proofErr w:type="spellStart"/>
            <w:r>
              <w:t>mezikvartální</w:t>
            </w:r>
            <w:proofErr w:type="spellEnd"/>
            <w:r>
              <w:t xml:space="preserve"> růst HPH mírně zrychlil, výhradně však díky sektoru služeb.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66A25FB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513FC9AD" w14:textId="77777777" w:rsidR="00700E8A" w:rsidRDefault="00700E8A" w:rsidP="00150ECA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Tuzemská ekonomika letos ve 3. čtvrtletí pokračovala v zotavování, jež bylo nastartováno již během jarního období, kdy se podstatně zlepšila epidemická situace a restriktivní opatření, svírající část ekonomiky, tak mohla být postupně odstraněna. H</w:t>
            </w:r>
            <w:r w:rsidRPr="001F719B">
              <w:rPr>
                <w:spacing w:val="-4"/>
              </w:rPr>
              <w:t>rubá přidaná hodnota (HPH)</w:t>
            </w:r>
            <w:r w:rsidRPr="001F719B">
              <w:rPr>
                <w:rStyle w:val="Znakapoznpodarou"/>
                <w:spacing w:val="-4"/>
              </w:rPr>
              <w:footnoteReference w:id="17"/>
            </w:r>
            <w:r>
              <w:rPr>
                <w:spacing w:val="-4"/>
              </w:rPr>
              <w:t xml:space="preserve"> vzrostla </w:t>
            </w:r>
            <w:proofErr w:type="spellStart"/>
            <w:r>
              <w:rPr>
                <w:spacing w:val="-4"/>
              </w:rPr>
              <w:t>mezikvartálně</w:t>
            </w:r>
            <w:proofErr w:type="spellEnd"/>
            <w:r>
              <w:rPr>
                <w:spacing w:val="-4"/>
              </w:rPr>
              <w:t xml:space="preserve"> o 1,4 % a zrychlila tak své tempo z 2. čtvrtletí (+1,0 %)</w:t>
            </w:r>
            <w:r>
              <w:rPr>
                <w:rStyle w:val="Znakapoznpodarou"/>
                <w:spacing w:val="-4"/>
              </w:rPr>
              <w:footnoteReference w:id="18"/>
            </w:r>
            <w:r>
              <w:rPr>
                <w:spacing w:val="-4"/>
              </w:rPr>
              <w:t>. K této akceleraci přispěl výhradně terciární sektor ekonomiky, speciálně pak aktivity provázané s cestovním ruchem, veřejné služby a také odvětví ostatních činností služeb (zahrnující kulturní, zábavní a rekreační činnosti, ale i osobní služby pro domácnost)</w:t>
            </w:r>
            <w:r>
              <w:rPr>
                <w:rStyle w:val="Znakapoznpodarou"/>
                <w:spacing w:val="-4"/>
              </w:rPr>
              <w:footnoteReference w:id="19"/>
            </w:r>
            <w:r>
              <w:rPr>
                <w:spacing w:val="-4"/>
              </w:rPr>
              <w:t>. Naopak svižné oživování zpracovatelského průmyslu se v důsledku eskalujících problémů se zahraničními dodávkami důležitých komponent, zejména pro výrobu automobilů, ve 3. čtvrtletí zastavilo</w:t>
            </w:r>
            <w:r>
              <w:rPr>
                <w:rStyle w:val="Znakapoznpodarou"/>
                <w:spacing w:val="-4"/>
              </w:rPr>
              <w:footnoteReference w:id="20"/>
            </w:r>
            <w:r>
              <w:rPr>
                <w:spacing w:val="-4"/>
              </w:rPr>
              <w:t>. I vlivem této skutečnosti tak HPH v celé ekonomice za svým předkrizovým maximem (ze 4. čtvrtletí 2019) stále významně zaostávala (o</w:t>
            </w:r>
            <w:r w:rsidRPr="001F719B">
              <w:rPr>
                <w:spacing w:val="-4"/>
              </w:rPr>
              <w:t> </w:t>
            </w:r>
            <w:r>
              <w:rPr>
                <w:spacing w:val="-4"/>
              </w:rPr>
              <w:t>3,1 %)</w:t>
            </w:r>
            <w:r>
              <w:rPr>
                <w:rStyle w:val="Znakapoznpodarou"/>
                <w:spacing w:val="-4"/>
              </w:rPr>
              <w:footnoteReference w:id="21"/>
            </w:r>
            <w:r>
              <w:rPr>
                <w:spacing w:val="-4"/>
              </w:rPr>
              <w:t>.</w:t>
            </w:r>
          </w:p>
        </w:tc>
      </w:tr>
      <w:tr w:rsidR="00700E8A" w:rsidRPr="006237E6" w14:paraId="34365174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1462A1DF" w14:textId="77777777" w:rsidR="00700E8A" w:rsidRDefault="00700E8A" w:rsidP="00150ECA">
            <w:pPr>
              <w:pStyle w:val="Marginlie"/>
            </w:pPr>
            <w:r>
              <w:t>Meziroční růst HPH ve zpracovatelském průmyslu se ve 3. čtvrtletí zastavil.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6E89199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43266D27" w14:textId="18BE8AF2" w:rsidR="00700E8A" w:rsidRPr="008E14E2" w:rsidRDefault="00700E8A" w:rsidP="00150ECA">
            <w:pPr>
              <w:spacing w:after="200"/>
              <w:rPr>
                <w:spacing w:val="-5"/>
              </w:rPr>
            </w:pPr>
            <w:r w:rsidRPr="008E14E2">
              <w:rPr>
                <w:spacing w:val="-4"/>
              </w:rPr>
              <w:t>HPH s</w:t>
            </w:r>
            <w:r>
              <w:rPr>
                <w:spacing w:val="-4"/>
              </w:rPr>
              <w:t xml:space="preserve">e ve 3. čtvrtletí 2021 </w:t>
            </w:r>
            <w:r w:rsidRPr="008E14E2">
              <w:rPr>
                <w:spacing w:val="-4"/>
              </w:rPr>
              <w:t>zvýšila o</w:t>
            </w:r>
            <w:r>
              <w:rPr>
                <w:spacing w:val="-4"/>
              </w:rPr>
              <w:t> </w:t>
            </w:r>
            <w:r w:rsidRPr="008E14E2">
              <w:rPr>
                <w:spacing w:val="-4"/>
              </w:rPr>
              <w:t>2,9</w:t>
            </w:r>
            <w:r>
              <w:rPr>
                <w:spacing w:val="-4"/>
              </w:rPr>
              <w:t> %</w:t>
            </w:r>
            <w:r w:rsidRPr="008E14E2">
              <w:rPr>
                <w:spacing w:val="-4"/>
              </w:rPr>
              <w:t xml:space="preserve">, shodným </w:t>
            </w:r>
            <w:r>
              <w:rPr>
                <w:spacing w:val="-4"/>
              </w:rPr>
              <w:t>meziročním</w:t>
            </w:r>
            <w:r w:rsidRPr="008E14E2">
              <w:rPr>
                <w:spacing w:val="-4"/>
              </w:rPr>
              <w:t xml:space="preserve"> tempem rostla rovněž v úhrnu za celé období od počátku letošního roku. Z hlavních odvětví posílil za 1.</w:t>
            </w:r>
            <w:r>
              <w:rPr>
                <w:spacing w:val="-4"/>
              </w:rPr>
              <w:t> až</w:t>
            </w:r>
            <w:r w:rsidRPr="008E14E2">
              <w:rPr>
                <w:spacing w:val="-4"/>
              </w:rPr>
              <w:t xml:space="preserve"> 3. čtvrtletí nejvíce výkon ve zpracovatelském průmyslu (o</w:t>
            </w:r>
            <w:r>
              <w:rPr>
                <w:spacing w:val="-4"/>
              </w:rPr>
              <w:t> </w:t>
            </w:r>
            <w:r w:rsidRPr="008E14E2">
              <w:rPr>
                <w:spacing w:val="-4"/>
              </w:rPr>
              <w:t>7,3</w:t>
            </w:r>
            <w:r>
              <w:rPr>
                <w:spacing w:val="-4"/>
              </w:rPr>
              <w:t> %</w:t>
            </w:r>
            <w:r w:rsidRPr="008E14E2">
              <w:rPr>
                <w:spacing w:val="-4"/>
              </w:rPr>
              <w:t xml:space="preserve">), zčásti však vlivem nízké loňské základny (dubnové přerušení výroby ve významných podnicích automobilového </w:t>
            </w:r>
            <w:r w:rsidRPr="00DC4AC4">
              <w:rPr>
                <w:spacing w:val="-6"/>
              </w:rPr>
              <w:t>průmyslu)</w:t>
            </w:r>
            <w:r w:rsidRPr="00DC4AC4">
              <w:rPr>
                <w:rStyle w:val="Znakapoznpodarou"/>
                <w:spacing w:val="-6"/>
              </w:rPr>
              <w:footnoteReference w:id="22"/>
            </w:r>
            <w:r w:rsidRPr="00DC4AC4">
              <w:rPr>
                <w:spacing w:val="-6"/>
              </w:rPr>
              <w:t>. V </w:t>
            </w:r>
            <w:r w:rsidR="00DC4AC4" w:rsidRPr="00DC4AC4">
              <w:rPr>
                <w:spacing w:val="-6"/>
              </w:rPr>
              <w:t>samotném</w:t>
            </w:r>
            <w:r w:rsidRPr="00DC4AC4">
              <w:rPr>
                <w:spacing w:val="-6"/>
              </w:rPr>
              <w:t xml:space="preserve"> 3. čtvrtletí 2021 ale výkon zpracovatelského průmyslu jen stagnoval.</w:t>
            </w:r>
          </w:p>
        </w:tc>
      </w:tr>
      <w:tr w:rsidR="00700E8A" w:rsidRPr="006237E6" w14:paraId="641DB336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22DF9247" w14:textId="77777777" w:rsidR="00700E8A" w:rsidRDefault="00700E8A" w:rsidP="00150ECA">
            <w:pPr>
              <w:pStyle w:val="Marginlie"/>
            </w:pPr>
            <w:r>
              <w:t>V rámci služeb vzrostla za tři čtvrtletí HPH meziročně nejvíce ve finančnictví a ICT, k růstu celé ekonomiky ale přispěly nejvíce veřejné služby.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75FB7E0A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4C1F3414" w14:textId="3E28419B" w:rsidR="00700E8A" w:rsidRDefault="00700E8A" w:rsidP="00150ECA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V rámci služeb se za tři čtvrtletí zvýšila HPH meziročně nejvíce v peněžnictví a pojišťovnictví (+7,0 %) a ve výrazně vytíženém odvětví informačních a komunikačních činností (+4,5 %), kde počet odpracovaných hodin narostl o 5,3 % (nejvíce z hlavních odvětví). S vyššími nároky se musela vypořádat i </w:t>
            </w:r>
            <w:r w:rsidRPr="00EA5873">
              <w:rPr>
                <w:spacing w:val="-5"/>
              </w:rPr>
              <w:t>odvětví se silnou rolí veřejného sektoru</w:t>
            </w:r>
            <w:r w:rsidRPr="00EA5873">
              <w:rPr>
                <w:rStyle w:val="Znakapoznpodarou"/>
                <w:spacing w:val="-5"/>
              </w:rPr>
              <w:footnoteReference w:id="23"/>
            </w:r>
            <w:r>
              <w:rPr>
                <w:spacing w:val="-5"/>
              </w:rPr>
              <w:t>, HPH v nich vzrostla o</w:t>
            </w:r>
            <w:r>
              <w:rPr>
                <w:spacing w:val="-4"/>
              </w:rPr>
              <w:t> </w:t>
            </w:r>
            <w:r>
              <w:rPr>
                <w:spacing w:val="-5"/>
              </w:rPr>
              <w:t>rekordní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3,2</w:t>
            </w:r>
            <w:r>
              <w:rPr>
                <w:spacing w:val="-4"/>
              </w:rPr>
              <w:t> </w:t>
            </w:r>
            <w:r>
              <w:rPr>
                <w:spacing w:val="-5"/>
              </w:rPr>
              <w:t>% a k růstu celé ekonomiky přispěla ze služeb nejvíce. Naopak ve váhově významném uskupení obchod, doprava, ubytování a pohostinství vzrostla HPH po loňském nebývalém propadu jen o 0,7 % a počet odpracovaných hodin stále klesal (o 2,5 %)</w:t>
            </w:r>
            <w:r>
              <w:rPr>
                <w:rStyle w:val="Znakapoznpodarou"/>
                <w:spacing w:val="-5"/>
              </w:rPr>
              <w:footnoteReference w:id="24"/>
            </w:r>
            <w:r>
              <w:rPr>
                <w:spacing w:val="-5"/>
              </w:rPr>
              <w:t>. V p</w:t>
            </w:r>
            <w:r w:rsidRPr="00E257EB">
              <w:rPr>
                <w:spacing w:val="-5"/>
              </w:rPr>
              <w:t>rofesní</w:t>
            </w:r>
            <w:r>
              <w:rPr>
                <w:spacing w:val="-5"/>
              </w:rPr>
              <w:t>ch, vědeckých, technických</w:t>
            </w:r>
            <w:r w:rsidRPr="00E257EB">
              <w:rPr>
                <w:spacing w:val="-5"/>
              </w:rPr>
              <w:t xml:space="preserve"> a</w:t>
            </w:r>
            <w:r>
              <w:rPr>
                <w:spacing w:val="-4"/>
              </w:rPr>
              <w:t> </w:t>
            </w:r>
            <w:r w:rsidRPr="00E257EB">
              <w:rPr>
                <w:spacing w:val="-5"/>
              </w:rPr>
              <w:t>administrativní</w:t>
            </w:r>
            <w:r>
              <w:rPr>
                <w:spacing w:val="-5"/>
              </w:rPr>
              <w:t>ch činnostech HPH stagnovala, obdobně jako v činnostech v oblasti nemovitostí, jež však nebyly recesí významněji zasaženy ani v loňském roce. To neplatilo o</w:t>
            </w:r>
            <w:r>
              <w:rPr>
                <w:spacing w:val="-4"/>
              </w:rPr>
              <w:t> </w:t>
            </w:r>
            <w:r>
              <w:rPr>
                <w:spacing w:val="-5"/>
              </w:rPr>
              <w:t xml:space="preserve">stavebnictví, jehož výkon letos klesl o 1,2 % a oproti 1. až </w:t>
            </w:r>
            <w:r w:rsidRPr="00DC4AC4">
              <w:rPr>
                <w:spacing w:val="-6"/>
              </w:rPr>
              <w:t>3. čt</w:t>
            </w:r>
            <w:r w:rsidR="00DC4AC4" w:rsidRPr="00DC4AC4">
              <w:rPr>
                <w:spacing w:val="-6"/>
              </w:rPr>
              <w:t>vrtletí 2019 ztrácel</w:t>
            </w:r>
            <w:r w:rsidRPr="00DC4AC4">
              <w:rPr>
                <w:spacing w:val="-6"/>
              </w:rPr>
              <w:t xml:space="preserve"> skoro desetin</w:t>
            </w:r>
            <w:r w:rsidR="00DC4AC4" w:rsidRPr="00DC4AC4">
              <w:rPr>
                <w:spacing w:val="-6"/>
              </w:rPr>
              <w:t>u. HPH se meziročně snížila i</w:t>
            </w:r>
            <w:r w:rsidRPr="00DC4AC4">
              <w:rPr>
                <w:spacing w:val="-6"/>
              </w:rPr>
              <w:t xml:space="preserve"> v odvětví těžby a energetiky</w:t>
            </w:r>
            <w:r>
              <w:rPr>
                <w:spacing w:val="-5"/>
              </w:rPr>
              <w:t>, ve srovnání s propady z let 2019 a 2020 se ale letošní tempo citelně zmírnilo (</w:t>
            </w:r>
            <w:proofErr w:type="gramStart"/>
            <w:r>
              <w:rPr>
                <w:spacing w:val="-5"/>
              </w:rPr>
              <w:t>na</w:t>
            </w:r>
            <w:proofErr w:type="gramEnd"/>
            <w:r>
              <w:rPr>
                <w:spacing w:val="-5"/>
              </w:rPr>
              <w:t> </w:t>
            </w:r>
            <w:r>
              <w:rPr>
                <w:spacing w:val="-4"/>
              </w:rPr>
              <w:t>–</w:t>
            </w:r>
            <w:proofErr w:type="gramStart"/>
            <w:r>
              <w:rPr>
                <w:spacing w:val="-5"/>
              </w:rPr>
              <w:t>2,5</w:t>
            </w:r>
            <w:proofErr w:type="gramEnd"/>
            <w:r>
              <w:rPr>
                <w:spacing w:val="-5"/>
              </w:rPr>
              <w:t> %).</w:t>
            </w:r>
          </w:p>
        </w:tc>
      </w:tr>
      <w:tr w:rsidR="00700E8A" w:rsidRPr="006237E6" w14:paraId="21A28209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6271178D" w14:textId="77777777" w:rsidR="00700E8A" w:rsidRDefault="00700E8A" w:rsidP="00150ECA">
            <w:pPr>
              <w:pStyle w:val="Marginlie"/>
            </w:pPr>
            <w:r>
              <w:t xml:space="preserve">V primárním sektoru HPH ve 3. čtvrtletí stagnovala. Sklizeň hlavních plodin za loňskou úrovní lehce zaostala, z pohledu celé </w:t>
            </w:r>
            <w:r>
              <w:lastRenderedPageBreak/>
              <w:t>dekády ale byla loni mírně nadprůměrná.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7A15C82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7466AA5C" w14:textId="77777777" w:rsidR="00700E8A" w:rsidRPr="00820B90" w:rsidRDefault="00700E8A" w:rsidP="00150ECA">
            <w:pPr>
              <w:spacing w:after="200"/>
              <w:rPr>
                <w:spacing w:val="-5"/>
              </w:rPr>
            </w:pPr>
            <w:r>
              <w:rPr>
                <w:spacing w:val="-5"/>
              </w:rPr>
              <w:t xml:space="preserve">V odvětví zemědělství, lesnictví a rybářství letos HPH vzrostla o 3,7 % a potvrdila tak příznivý trend z předchozích let. V samotném 3. čtvrtletí však toto odvětví jako jedno z mála nevykázalo meziroční </w:t>
            </w:r>
            <w:proofErr w:type="gramStart"/>
            <w:r>
              <w:rPr>
                <w:spacing w:val="-5"/>
              </w:rPr>
              <w:t>růst (</w:t>
            </w:r>
            <w:r>
              <w:rPr>
                <w:spacing w:val="-4"/>
              </w:rPr>
              <w:t>–</w:t>
            </w:r>
            <w:r>
              <w:rPr>
                <w:spacing w:val="-5"/>
              </w:rPr>
              <w:t>0,1</w:t>
            </w:r>
            <w:proofErr w:type="gramEnd"/>
            <w:r>
              <w:rPr>
                <w:spacing w:val="-5"/>
              </w:rPr>
              <w:t> %). Letošní sklizeň hlavních zemědělských plodin byla sice z pohledu poslední dekády lehce nadprůměrná</w:t>
            </w:r>
            <w:r>
              <w:rPr>
                <w:rStyle w:val="Znakapoznpodarou"/>
                <w:spacing w:val="-5"/>
              </w:rPr>
              <w:footnoteReference w:id="25"/>
            </w:r>
            <w:r>
              <w:rPr>
                <w:spacing w:val="-5"/>
              </w:rPr>
              <w:t>, v meziročním srovnání byl ale u většiny plodin zaznamenán zpravidla nepatrný pokles</w:t>
            </w:r>
            <w:r>
              <w:rPr>
                <w:rStyle w:val="Znakapoznpodarou"/>
                <w:spacing w:val="-5"/>
              </w:rPr>
              <w:footnoteReference w:id="26"/>
            </w:r>
            <w:r>
              <w:rPr>
                <w:spacing w:val="-5"/>
              </w:rPr>
              <w:t xml:space="preserve">. V živočišné výrobě pokračoval mírný růst </w:t>
            </w:r>
            <w:r>
              <w:rPr>
                <w:spacing w:val="-5"/>
              </w:rPr>
              <w:lastRenderedPageBreak/>
              <w:t>výroby masa (+2,6 %), přímý nákup mléka od tuzemských producentů se ale ve srovnání s rekordní loňskou výší o 2,6 % snížil. Vedle toho měla na výkon celého primárního sektoru patrně vliv i oslabující kůrovcová kalamita, jež vedla k tomu, že loňská rekordní živelní těžba dřeva se letos již neopakovala.</w:t>
            </w:r>
          </w:p>
        </w:tc>
      </w:tr>
      <w:tr w:rsidR="00700E8A" w:rsidRPr="006237E6" w14:paraId="731C0D08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72635B6C" w14:textId="77777777" w:rsidR="00700E8A" w:rsidRPr="00DF54C0" w:rsidRDefault="00700E8A" w:rsidP="00150ECA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lastRenderedPageBreak/>
              <w:t>L</w:t>
            </w:r>
            <w:r w:rsidRPr="00DF54C0">
              <w:rPr>
                <w:spacing w:val="-4"/>
              </w:rPr>
              <w:t>etos na jaře těžil průmysl z </w:t>
            </w:r>
            <w:proofErr w:type="spellStart"/>
            <w:r w:rsidRPr="00DF54C0">
              <w:rPr>
                <w:spacing w:val="-4"/>
              </w:rPr>
              <w:t>pokrizového</w:t>
            </w:r>
            <w:proofErr w:type="spellEnd"/>
            <w:r w:rsidRPr="00DF54C0">
              <w:rPr>
                <w:spacing w:val="-4"/>
              </w:rPr>
              <w:t xml:space="preserve"> oživení</w:t>
            </w:r>
            <w:r>
              <w:rPr>
                <w:spacing w:val="-4"/>
              </w:rPr>
              <w:t xml:space="preserve"> tuzemské i</w:t>
            </w:r>
            <w:r w:rsidRPr="00DF54C0">
              <w:rPr>
                <w:spacing w:val="-4"/>
              </w:rPr>
              <w:t> </w:t>
            </w:r>
            <w:r>
              <w:rPr>
                <w:spacing w:val="-4"/>
              </w:rPr>
              <w:t>zahraniční poptávky.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8B73B5D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586D45CF" w14:textId="77777777" w:rsidR="00700E8A" w:rsidRPr="00BF07B5" w:rsidRDefault="00700E8A" w:rsidP="00150ECA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BF07B5">
              <w:rPr>
                <w:color w:val="0D0D0D" w:themeColor="text1" w:themeTint="F2"/>
                <w:spacing w:val="-4"/>
              </w:rPr>
              <w:t>Slábnoucí výkon průmyslu během dosavadní části letošního roku dokládají i podrobnější údaje z podnikových statistik. Po rychlém oživení průmyslu v druhé polovině loňského roku, na kterém se vedle klíčových exportních oborů podílelo široké spektrum dílčích odvětví, výkon celého průmyslu na počátku roku 2021 dočasně poklesl. V 1.</w:t>
            </w:r>
            <w:r>
              <w:rPr>
                <w:color w:val="0D0D0D" w:themeColor="text1" w:themeTint="F2"/>
                <w:spacing w:val="-4"/>
              </w:rPr>
              <w:t> čt</w:t>
            </w:r>
            <w:r w:rsidRPr="00BF07B5">
              <w:rPr>
                <w:color w:val="0D0D0D" w:themeColor="text1" w:themeTint="F2"/>
                <w:spacing w:val="-4"/>
              </w:rPr>
              <w:t>vrtletí se průmyslová produkce</w:t>
            </w:r>
            <w:r w:rsidRPr="00BF07B5">
              <w:rPr>
                <w:color w:val="0D0D0D" w:themeColor="text1" w:themeTint="F2"/>
                <w:spacing w:val="-4"/>
                <w:vertAlign w:val="superscript"/>
              </w:rPr>
              <w:footnoteReference w:id="27"/>
            </w:r>
            <w:r w:rsidRPr="00BF07B5">
              <w:rPr>
                <w:color w:val="0D0D0D" w:themeColor="text1" w:themeTint="F2"/>
                <w:spacing w:val="-4"/>
              </w:rPr>
              <w:t xml:space="preserve"> </w:t>
            </w:r>
            <w:proofErr w:type="spellStart"/>
            <w:r w:rsidRPr="00BF07B5">
              <w:rPr>
                <w:color w:val="0D0D0D" w:themeColor="text1" w:themeTint="F2"/>
                <w:spacing w:val="-4"/>
              </w:rPr>
              <w:t>mezikvartálně</w:t>
            </w:r>
            <w:proofErr w:type="spellEnd"/>
            <w:r w:rsidRPr="00BF07B5">
              <w:rPr>
                <w:color w:val="0D0D0D" w:themeColor="text1" w:themeTint="F2"/>
                <w:spacing w:val="-4"/>
              </w:rPr>
              <w:t xml:space="preserve"> snížila o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F07B5">
              <w:rPr>
                <w:color w:val="0D0D0D" w:themeColor="text1" w:themeTint="F2"/>
                <w:spacing w:val="-4"/>
              </w:rPr>
              <w:t>1,5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BF07B5">
              <w:rPr>
                <w:color w:val="0D0D0D" w:themeColor="text1" w:themeTint="F2"/>
                <w:spacing w:val="-4"/>
              </w:rPr>
              <w:t xml:space="preserve">, neboť </w:t>
            </w:r>
            <w:proofErr w:type="spellStart"/>
            <w:r w:rsidRPr="00BF07B5">
              <w:rPr>
                <w:color w:val="0D0D0D" w:themeColor="text1" w:themeTint="F2"/>
                <w:spacing w:val="-4"/>
              </w:rPr>
              <w:t>pokrizové</w:t>
            </w:r>
            <w:proofErr w:type="spellEnd"/>
            <w:r w:rsidRPr="00BF07B5">
              <w:rPr>
                <w:color w:val="0D0D0D" w:themeColor="text1" w:themeTint="F2"/>
                <w:spacing w:val="-4"/>
              </w:rPr>
              <w:t xml:space="preserve"> zotavování u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F07B5">
              <w:rPr>
                <w:color w:val="0D0D0D" w:themeColor="text1" w:themeTint="F2"/>
                <w:spacing w:val="-4"/>
              </w:rPr>
              <w:t>výrobců automobilů (</w:t>
            </w:r>
            <w:r>
              <w:rPr>
                <w:color w:val="0D0D0D" w:themeColor="text1" w:themeTint="F2"/>
                <w:spacing w:val="-4"/>
              </w:rPr>
              <w:t>včetně</w:t>
            </w:r>
            <w:r w:rsidRPr="00BF07B5">
              <w:rPr>
                <w:color w:val="0D0D0D" w:themeColor="text1" w:themeTint="F2"/>
                <w:spacing w:val="-4"/>
              </w:rPr>
              <w:t xml:space="preserve"> jejich nejbližších tuzemských subdodavatelů)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F07B5">
              <w:rPr>
                <w:color w:val="0D0D0D" w:themeColor="text1" w:themeTint="F2"/>
                <w:spacing w:val="-4"/>
              </w:rPr>
              <w:t>též v chemickém průmyslu se zpomalilo. V následujícím čtvrtletí se růst produkce obnovil (0,7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BF07B5">
              <w:rPr>
                <w:color w:val="0D0D0D" w:themeColor="text1" w:themeTint="F2"/>
                <w:spacing w:val="-4"/>
              </w:rPr>
              <w:t xml:space="preserve">). </w:t>
            </w:r>
            <w:r>
              <w:rPr>
                <w:color w:val="0D0D0D" w:themeColor="text1" w:themeTint="F2"/>
                <w:spacing w:val="-4"/>
              </w:rPr>
              <w:t xml:space="preserve">Opětovný rozběh </w:t>
            </w:r>
            <w:r w:rsidRPr="00BF07B5">
              <w:rPr>
                <w:color w:val="0D0D0D" w:themeColor="text1" w:themeTint="F2"/>
                <w:spacing w:val="-4"/>
              </w:rPr>
              <w:t>ekonomiky po ústupu pandemické vlny navrátil v Česku i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F07B5">
              <w:rPr>
                <w:color w:val="0D0D0D" w:themeColor="text1" w:themeTint="F2"/>
                <w:spacing w:val="-4"/>
              </w:rPr>
              <w:t>EU část ztracené důvěry spotřebitelů a podnikatelů, což se projevilo v oživení spotřeby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F07B5">
              <w:rPr>
                <w:color w:val="0D0D0D" w:themeColor="text1" w:themeTint="F2"/>
                <w:spacing w:val="-4"/>
              </w:rPr>
              <w:t xml:space="preserve">investiční aktivity. </w:t>
            </w:r>
            <w:r>
              <w:rPr>
                <w:color w:val="0D0D0D" w:themeColor="text1" w:themeTint="F2"/>
                <w:spacing w:val="-4"/>
              </w:rPr>
              <w:t>Výrazně vývozně</w:t>
            </w:r>
            <w:r w:rsidRPr="00BF07B5">
              <w:rPr>
                <w:color w:val="0D0D0D" w:themeColor="text1" w:themeTint="F2"/>
                <w:spacing w:val="-4"/>
              </w:rPr>
              <w:t xml:space="preserve"> orientovaný tuzemský průmysl těžil na jaře zejména</w:t>
            </w:r>
            <w:r>
              <w:rPr>
                <w:color w:val="0D0D0D" w:themeColor="text1" w:themeTint="F2"/>
                <w:spacing w:val="-4"/>
              </w:rPr>
              <w:t xml:space="preserve"> </w:t>
            </w:r>
            <w:r w:rsidRPr="00BF07B5">
              <w:rPr>
                <w:color w:val="0D0D0D" w:themeColor="text1" w:themeTint="F2"/>
                <w:spacing w:val="-4"/>
              </w:rPr>
              <w:t>z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F07B5">
              <w:rPr>
                <w:color w:val="0D0D0D" w:themeColor="text1" w:themeTint="F2"/>
                <w:spacing w:val="-4"/>
              </w:rPr>
              <w:t>příznivého hospodářského vývoje klíčových exportních teritorií – Německa, resp. celé E</w:t>
            </w:r>
            <w:r>
              <w:rPr>
                <w:color w:val="0D0D0D" w:themeColor="text1" w:themeTint="F2"/>
                <w:spacing w:val="-4"/>
              </w:rPr>
              <w:t>vropské unie</w:t>
            </w:r>
            <w:r w:rsidRPr="00BF07B5">
              <w:rPr>
                <w:rStyle w:val="Znakapoznpodarou"/>
                <w:color w:val="0D0D0D" w:themeColor="text1" w:themeTint="F2"/>
                <w:spacing w:val="-4"/>
              </w:rPr>
              <w:footnoteReference w:id="28"/>
            </w:r>
            <w:r w:rsidRPr="00BF07B5">
              <w:rPr>
                <w:color w:val="0D0D0D" w:themeColor="text1" w:themeTint="F2"/>
                <w:spacing w:val="-4"/>
              </w:rPr>
              <w:t>.</w:t>
            </w:r>
          </w:p>
        </w:tc>
      </w:tr>
      <w:tr w:rsidR="00700E8A" w:rsidRPr="006237E6" w14:paraId="41634A8E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162CEF42" w14:textId="77777777" w:rsidR="00700E8A" w:rsidRDefault="00700E8A" w:rsidP="00150ECA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B</w:t>
            </w:r>
            <w:r w:rsidRPr="00DF54C0">
              <w:rPr>
                <w:spacing w:val="-4"/>
              </w:rPr>
              <w:t xml:space="preserve">ěhem léta byl </w:t>
            </w:r>
            <w:r>
              <w:rPr>
                <w:spacing w:val="-4"/>
              </w:rPr>
              <w:t xml:space="preserve">průmysl </w:t>
            </w:r>
            <w:r w:rsidRPr="00DF54C0">
              <w:rPr>
                <w:spacing w:val="-4"/>
              </w:rPr>
              <w:t>stále více brzděn nedostatkem výrobních komponent důležitých pro automobilový průmysl a</w:t>
            </w:r>
            <w:r>
              <w:rPr>
                <w:spacing w:val="-4"/>
              </w:rPr>
              <w:t> </w:t>
            </w:r>
            <w:r w:rsidRPr="00DF54C0">
              <w:rPr>
                <w:spacing w:val="-4"/>
              </w:rPr>
              <w:t>jeho subdodavatele.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54E37A7C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35DEDA23" w14:textId="77777777" w:rsidR="00700E8A" w:rsidRPr="00BF07B5" w:rsidRDefault="00700E8A" w:rsidP="00150ECA">
            <w:pPr>
              <w:spacing w:after="20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Rychlé oživení nejvyspělejších světových ekonomik spolu s výrobními i logistickými problémy v asijských regionech ovšem vytvářelo napětí v </w:t>
            </w:r>
            <w:r w:rsidRPr="00BF07B5">
              <w:rPr>
                <w:color w:val="0D0D0D" w:themeColor="text1" w:themeTint="F2"/>
                <w:spacing w:val="-4"/>
              </w:rPr>
              <w:t xml:space="preserve">dodavatelských řetězcích, které se přenášelo i do Česka. Nedostatek některých </w:t>
            </w:r>
            <w:r>
              <w:rPr>
                <w:color w:val="0D0D0D" w:themeColor="text1" w:themeTint="F2"/>
                <w:spacing w:val="-4"/>
              </w:rPr>
              <w:t xml:space="preserve">důležitých </w:t>
            </w:r>
            <w:r w:rsidRPr="00BF07B5">
              <w:rPr>
                <w:color w:val="0D0D0D" w:themeColor="text1" w:themeTint="F2"/>
                <w:spacing w:val="-4"/>
              </w:rPr>
              <w:t>dodávek a komponent (hlavně v automobilovém průmyslu a navazujících oborech) stále výrazněji narušoval plynulost výroby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BF07B5">
              <w:rPr>
                <w:color w:val="0D0D0D" w:themeColor="text1" w:themeTint="F2"/>
                <w:spacing w:val="-4"/>
              </w:rPr>
              <w:t>vedl k neplánované tvorbě zásob nedokončené produkce. Produkce v</w:t>
            </w:r>
            <w:r>
              <w:rPr>
                <w:color w:val="0D0D0D" w:themeColor="text1" w:themeTint="F2"/>
                <w:spacing w:val="-4"/>
              </w:rPr>
              <w:t xml:space="preserve"> celém </w:t>
            </w:r>
            <w:r w:rsidRPr="00BF07B5">
              <w:rPr>
                <w:color w:val="0D0D0D" w:themeColor="text1" w:themeTint="F2"/>
                <w:spacing w:val="-4"/>
              </w:rPr>
              <w:t xml:space="preserve">průmyslu </w:t>
            </w:r>
            <w:r>
              <w:rPr>
                <w:color w:val="0D0D0D" w:themeColor="text1" w:themeTint="F2"/>
                <w:spacing w:val="-4"/>
              </w:rPr>
              <w:t xml:space="preserve">tak </w:t>
            </w:r>
            <w:r w:rsidRPr="00BF07B5">
              <w:rPr>
                <w:color w:val="0D0D0D" w:themeColor="text1" w:themeTint="F2"/>
                <w:spacing w:val="-4"/>
              </w:rPr>
              <w:t>ve 3.</w:t>
            </w:r>
            <w:r>
              <w:rPr>
                <w:color w:val="0D0D0D" w:themeColor="text1" w:themeTint="F2"/>
                <w:spacing w:val="-4"/>
              </w:rPr>
              <w:t> čt</w:t>
            </w:r>
            <w:r w:rsidRPr="00BF07B5">
              <w:rPr>
                <w:color w:val="0D0D0D" w:themeColor="text1" w:themeTint="F2"/>
                <w:spacing w:val="-4"/>
              </w:rPr>
              <w:t>vrtle</w:t>
            </w:r>
            <w:r>
              <w:rPr>
                <w:color w:val="0D0D0D" w:themeColor="text1" w:themeTint="F2"/>
                <w:spacing w:val="-4"/>
              </w:rPr>
              <w:t xml:space="preserve">tí </w:t>
            </w:r>
            <w:proofErr w:type="spellStart"/>
            <w:r>
              <w:rPr>
                <w:color w:val="0D0D0D" w:themeColor="text1" w:themeTint="F2"/>
                <w:spacing w:val="-4"/>
              </w:rPr>
              <w:t>mezikvartálně</w:t>
            </w:r>
            <w:proofErr w:type="spellEnd"/>
            <w:r>
              <w:rPr>
                <w:color w:val="0D0D0D" w:themeColor="text1" w:themeTint="F2"/>
                <w:spacing w:val="-4"/>
              </w:rPr>
              <w:t xml:space="preserve"> klesla o 2,3 % a </w:t>
            </w:r>
            <w:r>
              <w:rPr>
                <w:color w:val="000000" w:themeColor="text1"/>
                <w:spacing w:val="-4"/>
              </w:rPr>
              <w:t>z</w:t>
            </w:r>
            <w:r w:rsidRPr="00BF07B5">
              <w:rPr>
                <w:color w:val="000000" w:themeColor="text1"/>
                <w:spacing w:val="-4"/>
              </w:rPr>
              <w:t xml:space="preserve">a svým </w:t>
            </w:r>
            <w:proofErr w:type="spellStart"/>
            <w:r w:rsidRPr="00BF07B5">
              <w:rPr>
                <w:color w:val="000000" w:themeColor="text1"/>
                <w:spacing w:val="-4"/>
              </w:rPr>
              <w:t>předpandemickým</w:t>
            </w:r>
            <w:proofErr w:type="spellEnd"/>
            <w:r w:rsidRPr="00BF07B5">
              <w:rPr>
                <w:color w:val="000000" w:themeColor="text1"/>
                <w:spacing w:val="-4"/>
              </w:rPr>
              <w:t xml:space="preserve"> maximem (</w:t>
            </w:r>
            <w:proofErr w:type="gramStart"/>
            <w:r w:rsidRPr="00BF07B5">
              <w:rPr>
                <w:color w:val="000000" w:themeColor="text1"/>
                <w:spacing w:val="-4"/>
              </w:rPr>
              <w:t>ze</w:t>
            </w:r>
            <w:proofErr w:type="gramEnd"/>
            <w:r w:rsidRPr="00BF07B5">
              <w:rPr>
                <w:color w:val="000000" w:themeColor="text1"/>
                <w:spacing w:val="-4"/>
              </w:rPr>
              <w:t xml:space="preserve"> 2.</w:t>
            </w:r>
            <w:r>
              <w:rPr>
                <w:color w:val="000000" w:themeColor="text1"/>
                <w:spacing w:val="-4"/>
              </w:rPr>
              <w:t> čt</w:t>
            </w:r>
            <w:r w:rsidRPr="00BF07B5">
              <w:rPr>
                <w:color w:val="000000" w:themeColor="text1"/>
                <w:spacing w:val="-4"/>
              </w:rPr>
              <w:t>vrtletí 2019</w:t>
            </w:r>
            <w:r>
              <w:rPr>
                <w:color w:val="000000" w:themeColor="text1"/>
                <w:spacing w:val="-4"/>
              </w:rPr>
              <w:t>)</w:t>
            </w:r>
            <w:r w:rsidRPr="00BF07B5">
              <w:rPr>
                <w:color w:val="000000" w:themeColor="text1"/>
                <w:spacing w:val="-4"/>
              </w:rPr>
              <w:t xml:space="preserve"> nadále </w:t>
            </w:r>
            <w:r>
              <w:rPr>
                <w:color w:val="000000" w:themeColor="text1"/>
                <w:spacing w:val="-4"/>
              </w:rPr>
              <w:t xml:space="preserve">významně </w:t>
            </w:r>
            <w:r w:rsidRPr="00BF07B5">
              <w:rPr>
                <w:color w:val="000000" w:themeColor="text1"/>
                <w:spacing w:val="-4"/>
              </w:rPr>
              <w:t>zaostával</w:t>
            </w:r>
            <w:r>
              <w:rPr>
                <w:color w:val="000000" w:themeColor="text1"/>
                <w:spacing w:val="-4"/>
              </w:rPr>
              <w:t>a</w:t>
            </w:r>
            <w:r w:rsidRPr="00BF07B5">
              <w:rPr>
                <w:color w:val="000000" w:themeColor="text1"/>
                <w:spacing w:val="-4"/>
              </w:rPr>
              <w:t xml:space="preserve"> (o</w:t>
            </w:r>
            <w:r>
              <w:rPr>
                <w:color w:val="000000" w:themeColor="text1"/>
                <w:spacing w:val="-4"/>
              </w:rPr>
              <w:t> </w:t>
            </w:r>
            <w:r w:rsidRPr="00BF07B5">
              <w:rPr>
                <w:color w:val="000000" w:themeColor="text1"/>
                <w:spacing w:val="-4"/>
              </w:rPr>
              <w:t>4,2</w:t>
            </w:r>
            <w:r>
              <w:rPr>
                <w:color w:val="000000" w:themeColor="text1"/>
                <w:spacing w:val="-4"/>
              </w:rPr>
              <w:t> %</w:t>
            </w:r>
            <w:r w:rsidRPr="00BF07B5">
              <w:rPr>
                <w:color w:val="000000" w:themeColor="text1"/>
                <w:spacing w:val="-4"/>
              </w:rPr>
              <w:t>).</w:t>
            </w:r>
          </w:p>
        </w:tc>
      </w:tr>
      <w:tr w:rsidR="00700E8A" w:rsidRPr="006237E6" w14:paraId="5E234EA0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192FFB43" w14:textId="77777777" w:rsidR="00700E8A" w:rsidRPr="00DF11EC" w:rsidRDefault="00700E8A" w:rsidP="00150ECA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Průmyslová produkce ve 3. čtvrtletí meziročně mírně poklesla. Propad výrobců automobilů nestačily ostatní rostoucí obory kompenzovat.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0C6EC5D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4A66A060" w14:textId="77777777" w:rsidR="00700E8A" w:rsidRPr="001F719B" w:rsidRDefault="00700E8A" w:rsidP="00150ECA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 xml:space="preserve">Svižný meziroční růst průmyslové produkce o 9,5 %, jenž se v úhrnu za 1. až 3. čtvrtletí 2021 projevil prakticky napříč všemi dílčími odvětvími, byl výrazně ovlivněn velmi nízkou základnou z dubna i května roku 2020. V samotném 3. čtvrtletí ale průmysl za loňskou úrovní již lehce </w:t>
            </w:r>
            <w:proofErr w:type="gramStart"/>
            <w:r>
              <w:rPr>
                <w:spacing w:val="-4"/>
              </w:rPr>
              <w:t>zaostával (</w:t>
            </w:r>
            <w:r w:rsidRPr="00BF07B5">
              <w:rPr>
                <w:color w:val="0D0D0D" w:themeColor="text1" w:themeTint="F2"/>
                <w:spacing w:val="-4"/>
              </w:rPr>
              <w:t>–</w:t>
            </w:r>
            <w:r>
              <w:rPr>
                <w:spacing w:val="-4"/>
              </w:rPr>
              <w:t>0,4</w:t>
            </w:r>
            <w:proofErr w:type="gramEnd"/>
            <w:r>
              <w:rPr>
                <w:spacing w:val="-4"/>
              </w:rPr>
              <w:t> %). Přestože více než tři čtvrtiny průmyslových oborů pokračovaly v růstu, klíčový obor výroby motorových vozidel zaznamenal propad o 23 %, tempo produkce celého průmyslu „stáhl dolů“ o 4,3 </w:t>
            </w:r>
            <w:proofErr w:type="gramStart"/>
            <w:r>
              <w:rPr>
                <w:spacing w:val="-4"/>
              </w:rPr>
              <w:t>p. b. a negativně</w:t>
            </w:r>
            <w:proofErr w:type="gramEnd"/>
            <w:r>
              <w:rPr>
                <w:spacing w:val="-4"/>
              </w:rPr>
              <w:t xml:space="preserve"> poznamenal i obchodní bilanci ČR</w:t>
            </w:r>
            <w:r>
              <w:rPr>
                <w:rStyle w:val="Znakapoznpodarou"/>
                <w:spacing w:val="-4"/>
              </w:rPr>
              <w:footnoteReference w:id="29"/>
            </w:r>
            <w:r>
              <w:rPr>
                <w:spacing w:val="-4"/>
              </w:rPr>
              <w:t>. Nucené letní i podzimní odstávky se tak projevily v </w:t>
            </w:r>
            <w:proofErr w:type="gramStart"/>
            <w:r>
              <w:rPr>
                <w:spacing w:val="-4"/>
              </w:rPr>
              <w:t>prudkému</w:t>
            </w:r>
            <w:proofErr w:type="gramEnd"/>
            <w:r>
              <w:rPr>
                <w:spacing w:val="-4"/>
              </w:rPr>
              <w:t xml:space="preserve"> snížení využití výrobních kapacit v automobilovém průmyslu (z 95 % na počátku 3. čtvrtletí na 56 % v následujícím období). Výpadky výroby motorových vozidel se ve 3. čtvrtletí promítly i do gumárenství a </w:t>
            </w:r>
            <w:proofErr w:type="spellStart"/>
            <w:r>
              <w:rPr>
                <w:spacing w:val="-4"/>
              </w:rPr>
              <w:t>plastikářství</w:t>
            </w:r>
            <w:proofErr w:type="spellEnd"/>
            <w:r>
              <w:rPr>
                <w:spacing w:val="-4"/>
              </w:rPr>
              <w:t xml:space="preserve">, kde produkce klesla o 0,3 %. </w:t>
            </w:r>
            <w:r w:rsidRPr="00B324AF">
              <w:rPr>
                <w:rFonts w:cs="Arial"/>
                <w:spacing w:val="-4"/>
                <w:szCs w:val="20"/>
              </w:rPr>
              <w:t xml:space="preserve">Naopak </w:t>
            </w:r>
            <w:r>
              <w:rPr>
                <w:rFonts w:cs="Arial"/>
                <w:spacing w:val="-4"/>
                <w:szCs w:val="20"/>
              </w:rPr>
              <w:t xml:space="preserve">se dále dařilo </w:t>
            </w:r>
            <w:r w:rsidRPr="00B324AF">
              <w:rPr>
                <w:rFonts w:cs="Arial"/>
                <w:spacing w:val="-4"/>
                <w:szCs w:val="20"/>
              </w:rPr>
              <w:t>výrobě elektrických zařízení</w:t>
            </w:r>
            <w:r>
              <w:rPr>
                <w:rFonts w:cs="Arial"/>
                <w:spacing w:val="-4"/>
                <w:szCs w:val="20"/>
              </w:rPr>
              <w:t xml:space="preserve"> (+9,6 %). I díky svižně rostoucí tuzemské poptávce se zvýšil i výkon strojírenství (+8,5 %), za objemem produkce z roku 2019 ovšem stále lehce zaostával. Domácí poptávka pomáhala i kovodělnému průmyslu (+7,0 %), který tak ve 3. čtvrtletí přispěl k meziročnímu růstu celého průmyslu ze všech jeho oborů nejvíce (+0,7 p. b.). Dobrých výsledků dosáhly i</w:t>
            </w:r>
            <w:r>
              <w:rPr>
                <w:spacing w:val="-4"/>
              </w:rPr>
              <w:t> </w:t>
            </w:r>
            <w:r>
              <w:rPr>
                <w:rFonts w:cs="Arial"/>
                <w:spacing w:val="-4"/>
                <w:szCs w:val="20"/>
              </w:rPr>
              <w:t>všechny ostatní významnější zpracovatelské obory, a to včetně těch, které se v období těsně před počátkem pandemie potýkaly se slabší poptávkou (zejména hutnictví).</w:t>
            </w:r>
          </w:p>
        </w:tc>
      </w:tr>
      <w:tr w:rsidR="00700E8A" w:rsidRPr="006237E6" w14:paraId="4C780C03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0B8C4278" w14:textId="4FA10F7F" w:rsidR="00700E8A" w:rsidRDefault="00700E8A" w:rsidP="00150ECA">
            <w:pPr>
              <w:pStyle w:val="Marginlie"/>
            </w:pPr>
            <w:r>
              <w:t>Meziroční pokles produkce postihl ve 3.</w:t>
            </w:r>
            <w:r w:rsidRPr="00DF54C0">
              <w:rPr>
                <w:spacing w:val="-4"/>
              </w:rPr>
              <w:t> </w:t>
            </w:r>
            <w:r>
              <w:t>čtvrtletí i některé m</w:t>
            </w:r>
            <w:r w:rsidR="0015329F">
              <w:t>enší průmyslové obory, více zaměřené</w:t>
            </w:r>
            <w:r>
              <w:t xml:space="preserve"> na tuzemský trh.</w:t>
            </w:r>
          </w:p>
          <w:p w14:paraId="1EDEB01D" w14:textId="77777777" w:rsidR="00700E8A" w:rsidRDefault="00700E8A" w:rsidP="00150ECA">
            <w:pPr>
              <w:pStyle w:val="Marginlie"/>
            </w:pPr>
            <w:r>
              <w:lastRenderedPageBreak/>
              <w:t>Pokles produkce v těžbě a dobývání se zastavil.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0171D0D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71C277BA" w14:textId="64EC540D" w:rsidR="00700E8A" w:rsidRPr="001F719B" w:rsidRDefault="00700E8A" w:rsidP="00150ECA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 xml:space="preserve">K poklesu průmyslové produkce přispěly i některé menší zpracovatelské obory, zaměřené ve větší míře na tuzemský trh. Těsně pod úrovní loňského 3. čtvrtletí zůstal výkon v ostatním zpracovatelském průmyslu, zahrnujícím </w:t>
            </w:r>
            <w:r>
              <w:rPr>
                <w:color w:val="000000" w:themeColor="text1"/>
                <w:spacing w:val="-4"/>
              </w:rPr>
              <w:t xml:space="preserve">např. </w:t>
            </w:r>
            <w:r w:rsidRPr="004173F3">
              <w:rPr>
                <w:color w:val="000000" w:themeColor="text1"/>
                <w:spacing w:val="-4"/>
              </w:rPr>
              <w:t>výrobu lékařsk</w:t>
            </w:r>
            <w:r>
              <w:rPr>
                <w:color w:val="000000" w:themeColor="text1"/>
                <w:spacing w:val="-4"/>
              </w:rPr>
              <w:t>ých a sportovních potřeb, her a</w:t>
            </w:r>
            <w:r>
              <w:rPr>
                <w:spacing w:val="-4"/>
              </w:rPr>
              <w:t> </w:t>
            </w:r>
            <w:r w:rsidRPr="004173F3">
              <w:rPr>
                <w:color w:val="000000" w:themeColor="text1"/>
                <w:spacing w:val="-4"/>
              </w:rPr>
              <w:t>hraček</w:t>
            </w:r>
            <w:r>
              <w:rPr>
                <w:color w:val="000000" w:themeColor="text1"/>
                <w:spacing w:val="-4"/>
              </w:rPr>
              <w:t>. Výrobci</w:t>
            </w:r>
            <w:r>
              <w:rPr>
                <w:spacing w:val="-4"/>
              </w:rPr>
              <w:t xml:space="preserve"> nápojů i oděvů dosáhli shodně meziročního poklesu </w:t>
            </w:r>
            <w:r w:rsidR="00DC4AC4">
              <w:rPr>
                <w:spacing w:val="-4"/>
              </w:rPr>
              <w:t>o 2,3 %. Loni v létě ale</w:t>
            </w:r>
            <w:r>
              <w:rPr>
                <w:spacing w:val="-4"/>
              </w:rPr>
              <w:t xml:space="preserve"> tyto obory výrazněji ožily, a jejich letošní produkce proto převyšuje </w:t>
            </w:r>
            <w:proofErr w:type="spellStart"/>
            <w:r>
              <w:rPr>
                <w:spacing w:val="-4"/>
              </w:rPr>
              <w:t>předpandemickou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lastRenderedPageBreak/>
              <w:t>úroveň. Ke zlomu došlo letos v dřevozpracujícím průmyslu. Zatímco v 1. pololetí zde produkce meziročně vzrostla o 12,9 %, ve 3. čtvrtletí se propadla o 18,6 %, nejvíce ve srovnatelné řadě od roku 2001. V těžbě a dobývání se po loňském rekordním propadu</w:t>
            </w:r>
            <w:r w:rsidRPr="006B69D3">
              <w:rPr>
                <w:rStyle w:val="Znakapoznpodarou"/>
                <w:spacing w:val="-4"/>
                <w:szCs w:val="20"/>
              </w:rPr>
              <w:footnoteReference w:id="30"/>
            </w:r>
            <w:r>
              <w:rPr>
                <w:spacing w:val="-4"/>
              </w:rPr>
              <w:t xml:space="preserve"> ve 3. čtvrtletí 2021 produkce meziročně zvýšila o 13,4 %. Svižněji než těžba uhlí ožila těžba stavebních materiálů. Produkce v odvětví energetiky ve 3. čtvrtletí stagnovala, v úhrnu od počátku letošního roku ale byla meziročně o 3 % vyšší</w:t>
            </w:r>
            <w:r>
              <w:rPr>
                <w:rStyle w:val="Znakapoznpodarou"/>
                <w:spacing w:val="-4"/>
              </w:rPr>
              <w:footnoteReference w:id="31"/>
            </w:r>
            <w:r>
              <w:rPr>
                <w:spacing w:val="-4"/>
              </w:rPr>
              <w:t>.</w:t>
            </w:r>
          </w:p>
        </w:tc>
      </w:tr>
      <w:tr w:rsidR="00700E8A" w:rsidRPr="006237E6" w14:paraId="19BAB910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3471A93B" w14:textId="77777777" w:rsidR="00700E8A" w:rsidRDefault="00700E8A" w:rsidP="00150ECA">
            <w:pPr>
              <w:pStyle w:val="Marginlie"/>
            </w:pPr>
            <w:r>
              <w:lastRenderedPageBreak/>
              <w:t>Tržby ve 3. čtvrtletí vzrostly nejvíce v hutnictví. V řadě oborů jim výrazně pomohl cenový růst.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776039F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55758D4D" w14:textId="16F8AEC1" w:rsidR="00700E8A" w:rsidRPr="008D254C" w:rsidRDefault="00700E8A" w:rsidP="00150ECA">
            <w:pP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</w:pPr>
            <w:r w:rsidRPr="006A57DC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Nominální tržby průmyslových podniků</w:t>
            </w:r>
            <w:r w:rsidRPr="003B6DBE">
              <w:rPr>
                <w:rStyle w:val="Znakapoznpodarou"/>
                <w:bCs/>
                <w:color w:val="0D0D0D" w:themeColor="text1" w:themeTint="F2"/>
                <w:spacing w:val="-4"/>
                <w:szCs w:val="20"/>
              </w:rPr>
              <w:footnoteReference w:id="32"/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se ve 3</w:t>
            </w:r>
            <w:r w:rsidRPr="003B6DB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.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 čtvrtletí </w:t>
            </w:r>
            <w:r w:rsidR="00DC4AC4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2021 </w:t>
            </w:r>
            <w:proofErr w:type="spellStart"/>
            <w:r w:rsidR="00DC4AC4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mezikvartálně</w:t>
            </w:r>
            <w:proofErr w:type="spellEnd"/>
            <w:r w:rsidR="00DC4AC4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snížily o 3,4</w:t>
            </w:r>
            <w:r w:rsidRPr="006B69D3">
              <w:rPr>
                <w:rFonts w:cs="Arial"/>
                <w:spacing w:val="-4"/>
                <w:szCs w:val="20"/>
              </w:rPr>
              <w:t> 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% a poklesly poprvé od loňského jara. Meziročně byly tržby z tuzemska vyšší o 5,9 %, tržby z přímého vývozu rostly volněji (2,4 %), zčásti i proto, že se v nich více projevovalo oslabení výrobců automobilů. Celkové tržby vzrostly nejvíce v hutnictví (o 53,5 %), ale i v řadě dalších oborů byly významně ovlivněny rostoucími cenami – hlavně v chemickém, dřevozpracujícím, papírenském či kovodělném průmyslu. Citelnější pokles tržeb postihl vedle automobilového průmys</w:t>
            </w:r>
            <w:r w:rsidR="00DC4AC4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lu (21,8 %) také energetiku (7,3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%).</w:t>
            </w:r>
          </w:p>
        </w:tc>
      </w:tr>
      <w:tr w:rsidR="00700E8A" w:rsidRPr="006237E6" w14:paraId="7BA32E9E" w14:textId="77777777" w:rsidTr="00150ECA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2B5A587B" w14:textId="77777777" w:rsidR="00700E8A" w:rsidRPr="00BE54BF" w:rsidRDefault="00700E8A" w:rsidP="00150ECA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4012CF7" w14:textId="77777777" w:rsidR="00700E8A" w:rsidRPr="003B1401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7C26E81A" w14:textId="77777777" w:rsidR="00700E8A" w:rsidRPr="00965AD0" w:rsidRDefault="00700E8A" w:rsidP="00150ECA">
            <w:pPr>
              <w:spacing w:after="0"/>
              <w:rPr>
                <w:spacing w:val="-4"/>
              </w:rPr>
            </w:pPr>
            <w:r w:rsidRPr="00883202">
              <w:rPr>
                <w:rFonts w:cs="Arial"/>
                <w:b/>
                <w:bCs/>
                <w:color w:val="000000"/>
                <w:szCs w:val="20"/>
              </w:rPr>
              <w:t>Graf č. 4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883202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883202">
              <w:rPr>
                <w:b/>
              </w:rPr>
              <w:t>Příspěvky dílčích odvětví k meziroční změně průmyslové produkce</w:t>
            </w:r>
            <w:r w:rsidRPr="00883202">
              <w:rPr>
                <w:b/>
              </w:rPr>
              <w:br/>
            </w:r>
            <w:r>
              <w:t>(v p. b., očištěno o kalendářní</w:t>
            </w:r>
            <w:r w:rsidRPr="00883202">
              <w:t xml:space="preserve"> vlivy)</w:t>
            </w:r>
            <w:r w:rsidRPr="00883202">
              <w:rPr>
                <w:b/>
                <w:bCs/>
              </w:rPr>
              <w:t xml:space="preserve">, </w:t>
            </w:r>
            <w:r w:rsidRPr="00883202">
              <w:rPr>
                <w:b/>
              </w:rPr>
              <w:t xml:space="preserve">saldo důvěry v průmyslu* </w:t>
            </w:r>
            <w:r>
              <w:t xml:space="preserve">(v p. b., pravá </w:t>
            </w:r>
            <w:r w:rsidRPr="00883202">
              <w:t>osa)</w:t>
            </w:r>
          </w:p>
        </w:tc>
      </w:tr>
      <w:tr w:rsidR="00700E8A" w:rsidRPr="00B43216" w14:paraId="141BB6E9" w14:textId="77777777" w:rsidTr="00150ECA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28" w:type="dxa"/>
            <w:shd w:val="clear" w:color="auto" w:fill="auto"/>
          </w:tcPr>
          <w:p w14:paraId="3E40694C" w14:textId="77777777" w:rsidR="00700E8A" w:rsidRDefault="00700E8A" w:rsidP="00150ECA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shd w:val="clear" w:color="auto" w:fill="auto"/>
          </w:tcPr>
          <w:p w14:paraId="481452DD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</w:tcPr>
          <w:p w14:paraId="4EBBC259" w14:textId="77777777" w:rsidR="00700E8A" w:rsidRPr="00241E62" w:rsidRDefault="00700E8A" w:rsidP="00150ECA">
            <w:pPr>
              <w:spacing w:after="40"/>
              <w:rPr>
                <w:rFonts w:cs="Arial"/>
                <w:bCs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59254E" wp14:editId="52B90B8C">
                  <wp:extent cx="4817994" cy="3626053"/>
                  <wp:effectExtent l="0" t="0" r="1905" b="0"/>
                  <wp:docPr id="5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700E8A" w:rsidRPr="00B43216" w14:paraId="0EB0F55A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0644D5AD" w14:textId="77777777" w:rsidR="00700E8A" w:rsidRDefault="00700E8A" w:rsidP="00150ECA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19C5F6D6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5A9B30EE" w14:textId="77777777" w:rsidR="00700E8A" w:rsidRPr="007A0D91" w:rsidRDefault="00700E8A" w:rsidP="00150ECA">
            <w:pPr>
              <w:tabs>
                <w:tab w:val="right" w:pos="7711"/>
              </w:tabs>
              <w:spacing w:after="20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 xml:space="preserve">*Saldo důvěry je sezónně očištěno a vyjadřuje stav ve </w:t>
            </w:r>
            <w:r>
              <w:rPr>
                <w:rFonts w:cs="Arial"/>
                <w:sz w:val="14"/>
                <w:szCs w:val="14"/>
              </w:rPr>
              <w:t>druhém měsíci daného čtvrtletí.</w:t>
            </w:r>
            <w:r>
              <w:rPr>
                <w:rFonts w:cs="Arial"/>
                <w:sz w:val="14"/>
                <w:szCs w:val="14"/>
              </w:rPr>
              <w:tab/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700E8A" w:rsidRPr="00B43216" w14:paraId="160283BB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35C13DD6" w14:textId="77777777" w:rsidR="00700E8A" w:rsidRDefault="00700E8A" w:rsidP="00150ECA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Vyjma výroby motorových vozidel signalizovaly na počátku podzimu růst zakázek všechny </w:t>
            </w:r>
            <w:r>
              <w:rPr>
                <w:spacing w:val="0"/>
              </w:rPr>
              <w:lastRenderedPageBreak/>
              <w:t>významné průmyslové obory.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516E00CD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04218BF2" w14:textId="3FF2686C" w:rsidR="00700E8A" w:rsidRPr="00A56A2E" w:rsidRDefault="0015329F" w:rsidP="00150ECA">
            <w:pPr>
              <w:spacing w:after="200"/>
              <w:rPr>
                <w:color w:val="0D0D0D" w:themeColor="text1" w:themeTint="F2"/>
                <w:spacing w:val="-4"/>
                <w:highlight w:val="black"/>
              </w:rPr>
            </w:pPr>
            <w:r>
              <w:rPr>
                <w:color w:val="0D0D0D" w:themeColor="text1" w:themeTint="F2"/>
                <w:spacing w:val="-4"/>
              </w:rPr>
              <w:t>Nominální h</w:t>
            </w:r>
            <w:r w:rsidR="00700E8A" w:rsidRPr="00C8413E">
              <w:rPr>
                <w:color w:val="0D0D0D" w:themeColor="text1" w:themeTint="F2"/>
                <w:spacing w:val="-4"/>
              </w:rPr>
              <w:t>odnota průmyslových zakázek</w:t>
            </w:r>
            <w:r w:rsidR="00700E8A" w:rsidRPr="00C8413E">
              <w:rPr>
                <w:rStyle w:val="Znakapoznpodarou"/>
                <w:spacing w:val="-4"/>
              </w:rPr>
              <w:footnoteReference w:id="33"/>
            </w:r>
            <w:r w:rsidR="00700E8A">
              <w:rPr>
                <w:color w:val="0D0D0D" w:themeColor="text1" w:themeTint="F2"/>
                <w:spacing w:val="-4"/>
              </w:rPr>
              <w:t xml:space="preserve"> ve 3. čtvrtletí 2021 meziročně vzrostla o 7,2 %, domácí poptávka se zvyšovala nepatrně vyšším tempem než zahraniční. V září i říjnu se sice růst zakázek zastavil, ale prakticky jen vlivem automobilového průmyslu, který limitovaly dočasně omezené výrobní kapacity. Svižný meziroční růst poptávky tak v říjnu signalizovala </w:t>
            </w:r>
            <w:r w:rsidR="00700E8A">
              <w:rPr>
                <w:color w:val="0D0D0D" w:themeColor="text1" w:themeTint="F2"/>
                <w:spacing w:val="-4"/>
              </w:rPr>
              <w:lastRenderedPageBreak/>
              <w:t>většina významných průmyslových oborů – zejména chemický průmysl (35,6 %), hutnictví (34,0 %), strojírenství (1</w:t>
            </w:r>
            <w:r w:rsidR="00DC4AC4">
              <w:rPr>
                <w:color w:val="0D0D0D" w:themeColor="text1" w:themeTint="F2"/>
                <w:spacing w:val="-4"/>
              </w:rPr>
              <w:t>4,2 %) a kovodělný průmysl (11,7</w:t>
            </w:r>
            <w:r w:rsidR="00700E8A">
              <w:rPr>
                <w:color w:val="0D0D0D" w:themeColor="text1" w:themeTint="F2"/>
                <w:spacing w:val="-4"/>
              </w:rPr>
              <w:t xml:space="preserve"> %). </w:t>
            </w:r>
            <w:r w:rsidR="00700E8A" w:rsidRPr="00C8413E">
              <w:rPr>
                <w:color w:val="0D0D0D" w:themeColor="text1" w:themeTint="F2"/>
                <w:spacing w:val="-4"/>
              </w:rPr>
              <w:t>Využití výrobních kapacit v</w:t>
            </w:r>
            <w:r w:rsidR="00700E8A">
              <w:rPr>
                <w:color w:val="0D0D0D" w:themeColor="text1" w:themeTint="F2"/>
                <w:spacing w:val="-4"/>
              </w:rPr>
              <w:t> </w:t>
            </w:r>
            <w:r w:rsidR="00700E8A" w:rsidRPr="00C8413E">
              <w:rPr>
                <w:color w:val="0D0D0D" w:themeColor="text1" w:themeTint="F2"/>
                <w:spacing w:val="-4"/>
              </w:rPr>
              <w:t>průmyslu</w:t>
            </w:r>
            <w:r w:rsidR="00700E8A">
              <w:rPr>
                <w:color w:val="0D0D0D" w:themeColor="text1" w:themeTint="F2"/>
                <w:spacing w:val="-4"/>
              </w:rPr>
              <w:t xml:space="preserve"> zůstalo na počátku 4. čtvrtletí vysoké, ve většině oborů lehce převyšovalo úroveň z roku 2019. Nejvyšší vytíženost hlásil chemický průmysl (94 %), všechny významné obory vyjma výroby motorových vozidel se pohybovaly nad 80 %.</w:t>
            </w:r>
          </w:p>
        </w:tc>
      </w:tr>
      <w:tr w:rsidR="00700E8A" w:rsidRPr="00B43216" w14:paraId="1051D1E5" w14:textId="77777777" w:rsidTr="00150ECA">
        <w:trPr>
          <w:trHeight w:val="155"/>
        </w:trPr>
        <w:tc>
          <w:tcPr>
            <w:tcW w:w="1728" w:type="dxa"/>
            <w:vMerge w:val="restart"/>
            <w:shd w:val="clear" w:color="auto" w:fill="auto"/>
            <w:tcMar>
              <w:left w:w="0" w:type="dxa"/>
            </w:tcMar>
          </w:tcPr>
          <w:p w14:paraId="798454FA" w14:textId="77777777" w:rsidR="00700E8A" w:rsidRPr="00B43216" w:rsidRDefault="00700E8A" w:rsidP="00150ECA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64BCF5ED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40336FB9" w14:textId="77777777" w:rsidR="00700E8A" w:rsidRPr="00760356" w:rsidRDefault="00700E8A" w:rsidP="00150ECA">
            <w:pPr>
              <w:pStyle w:val="Textpoznpodarou"/>
              <w:spacing w:line="276" w:lineRule="auto"/>
              <w:jc w:val="both"/>
              <w:rPr>
                <w:b/>
                <w:spacing w:val="-2"/>
              </w:rPr>
            </w:pPr>
            <w:r w:rsidRPr="00760356">
              <w:rPr>
                <w:b/>
                <w:spacing w:val="-2"/>
              </w:rPr>
              <w:t>Graf č. 5</w:t>
            </w:r>
            <w:r>
              <w:rPr>
                <w:b/>
                <w:spacing w:val="-2"/>
              </w:rPr>
              <w:t xml:space="preserve"> </w:t>
            </w:r>
            <w:r w:rsidRPr="00760356">
              <w:rPr>
                <w:b/>
                <w:spacing w:val="-2"/>
              </w:rPr>
              <w:t xml:space="preserve"> Nové zakázky v automobilovém průmyslu a</w:t>
            </w:r>
            <w:r>
              <w:rPr>
                <w:b/>
                <w:spacing w:val="-2"/>
              </w:rPr>
              <w:t> </w:t>
            </w:r>
            <w:r w:rsidRPr="00760356">
              <w:rPr>
                <w:b/>
                <w:spacing w:val="-2"/>
              </w:rPr>
              <w:t xml:space="preserve">v průmyslu celkem </w:t>
            </w:r>
            <w:r w:rsidRPr="00760356">
              <w:rPr>
                <w:bCs/>
                <w:spacing w:val="-2"/>
              </w:rPr>
              <w:t xml:space="preserve">(v běžných cenách, </w:t>
            </w:r>
            <w:r w:rsidRPr="00760356">
              <w:rPr>
                <w:spacing w:val="-2"/>
              </w:rPr>
              <w:t>meziročně</w:t>
            </w:r>
            <w:r w:rsidRPr="00760356">
              <w:rPr>
                <w:bCs/>
                <w:spacing w:val="-2"/>
              </w:rPr>
              <w:t xml:space="preserve"> v %)</w:t>
            </w:r>
            <w:r w:rsidRPr="00760356">
              <w:rPr>
                <w:b/>
                <w:spacing w:val="-2"/>
              </w:rPr>
              <w:t xml:space="preserve"> a využití výrobních kapacit v průmyslu*</w:t>
            </w:r>
            <w:r w:rsidRPr="00760356">
              <w:rPr>
                <w:spacing w:val="-2"/>
              </w:rPr>
              <w:t xml:space="preserve"> </w:t>
            </w:r>
            <w:r w:rsidRPr="00760356">
              <w:rPr>
                <w:b/>
                <w:spacing w:val="-2"/>
              </w:rPr>
              <w:t>a vybrané bariéry růstu</w:t>
            </w:r>
            <w:r w:rsidRPr="00760356">
              <w:rPr>
                <w:spacing w:val="-2"/>
              </w:rPr>
              <w:t>* (v %, pravá osa)</w:t>
            </w:r>
          </w:p>
        </w:tc>
      </w:tr>
      <w:tr w:rsidR="00700E8A" w:rsidRPr="00B43216" w14:paraId="573DA43C" w14:textId="77777777" w:rsidTr="00D7469D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728" w:type="dxa"/>
            <w:vMerge/>
            <w:shd w:val="clear" w:color="auto" w:fill="auto"/>
          </w:tcPr>
          <w:p w14:paraId="2DEDEED2" w14:textId="77777777" w:rsidR="00700E8A" w:rsidRPr="00B43216" w:rsidRDefault="00700E8A" w:rsidP="00150ECA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vMerge/>
            <w:shd w:val="clear" w:color="auto" w:fill="auto"/>
          </w:tcPr>
          <w:p w14:paraId="1BEFC3B6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</w:tcPr>
          <w:p w14:paraId="5833D34A" w14:textId="574DBC37" w:rsidR="00700E8A" w:rsidRPr="00B43216" w:rsidRDefault="00D7469D" w:rsidP="00150ECA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5C3A7414" wp14:editId="1B1A5A79">
                  <wp:extent cx="4817745" cy="3651990"/>
                  <wp:effectExtent l="0" t="0" r="1905" b="5715"/>
                  <wp:docPr id="12" name="Graf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700E8A" w:rsidRPr="00B43216" w14:paraId="3040ECA7" w14:textId="77777777" w:rsidTr="00150ECA">
        <w:trPr>
          <w:trHeight w:val="152"/>
        </w:trPr>
        <w:tc>
          <w:tcPr>
            <w:tcW w:w="1728" w:type="dxa"/>
            <w:vMerge/>
            <w:shd w:val="clear" w:color="auto" w:fill="auto"/>
            <w:tcMar>
              <w:left w:w="0" w:type="dxa"/>
            </w:tcMar>
          </w:tcPr>
          <w:p w14:paraId="72D27047" w14:textId="77777777" w:rsidR="00700E8A" w:rsidRPr="00B43216" w:rsidRDefault="00700E8A" w:rsidP="00150ECA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0E2A55DF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092D0C14" w14:textId="77777777" w:rsidR="00700E8A" w:rsidRDefault="00700E8A" w:rsidP="00150ECA">
            <w:pPr>
              <w:tabs>
                <w:tab w:val="right" w:pos="7711"/>
              </w:tabs>
              <w:spacing w:after="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*Využití průmys</w:t>
            </w:r>
            <w:r>
              <w:rPr>
                <w:rFonts w:cs="Arial"/>
                <w:sz w:val="14"/>
                <w:szCs w:val="14"/>
              </w:rPr>
              <w:t xml:space="preserve">lových kapacit i bariéry růstu 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 xml:space="preserve">jsou sezónně očištěny </w:t>
            </w:r>
            <w:r>
              <w:rPr>
                <w:rFonts w:cs="Arial"/>
                <w:spacing w:val="-2"/>
                <w:sz w:val="14"/>
                <w:szCs w:val="14"/>
              </w:rPr>
              <w:t>a </w:t>
            </w:r>
            <w:r>
              <w:rPr>
                <w:rFonts w:cs="Arial"/>
                <w:sz w:val="14"/>
                <w:szCs w:val="14"/>
              </w:rPr>
              <w:t xml:space="preserve">vyjadřují stav v prvním </w:t>
            </w:r>
            <w:r w:rsidRPr="00883202">
              <w:rPr>
                <w:rFonts w:cs="Arial"/>
                <w:sz w:val="14"/>
                <w:szCs w:val="14"/>
              </w:rPr>
              <w:t>měsíci daného čtvrtletí.</w:t>
            </w:r>
            <w:r>
              <w:rPr>
                <w:rFonts w:cs="Arial"/>
                <w:sz w:val="14"/>
                <w:szCs w:val="14"/>
              </w:rPr>
              <w:t xml:space="preserve"> Podniky mohly uvést více hlavních bariér současně.</w:t>
            </w:r>
            <w:r>
              <w:rPr>
                <w:rFonts w:cs="Arial"/>
                <w:sz w:val="14"/>
                <w:szCs w:val="14"/>
              </w:rPr>
              <w:tab/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cs="Arial"/>
                <w:sz w:val="14"/>
                <w:szCs w:val="14"/>
              </w:rPr>
              <w:t>Eurostat</w:t>
            </w:r>
            <w:proofErr w:type="spellEnd"/>
          </w:p>
          <w:p w14:paraId="20351A5C" w14:textId="77777777" w:rsidR="00700E8A" w:rsidRPr="008C5037" w:rsidRDefault="00700E8A" w:rsidP="00150ECA">
            <w:pPr>
              <w:spacing w:after="0"/>
              <w:rPr>
                <w:rFonts w:cs="Arial"/>
                <w:sz w:val="14"/>
                <w:szCs w:val="14"/>
              </w:rPr>
            </w:pPr>
          </w:p>
        </w:tc>
      </w:tr>
      <w:tr w:rsidR="00700E8A" w:rsidRPr="00191C35" w14:paraId="278EDD60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45C3831B" w14:textId="77777777" w:rsidR="00700E8A" w:rsidRDefault="00700E8A" w:rsidP="00150ECA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Důvěra podnikatelů v průmyslu se ve 3. čtvrtletí výrazně snížila.</w:t>
            </w:r>
          </w:p>
          <w:p w14:paraId="788984BD" w14:textId="77777777" w:rsidR="00700E8A" w:rsidRDefault="00700E8A" w:rsidP="00150ECA">
            <w:pPr>
              <w:pStyle w:val="Marginlie"/>
              <w:rPr>
                <w:spacing w:val="0"/>
              </w:rPr>
            </w:pPr>
          </w:p>
          <w:p w14:paraId="4EB63002" w14:textId="77777777" w:rsidR="00700E8A" w:rsidRDefault="00700E8A" w:rsidP="00150ECA">
            <w:pPr>
              <w:pStyle w:val="Marginlie"/>
              <w:rPr>
                <w:spacing w:val="0"/>
              </w:rPr>
            </w:pPr>
          </w:p>
          <w:p w14:paraId="3E5CA58D" w14:textId="77777777" w:rsidR="00700E8A" w:rsidRDefault="00700E8A" w:rsidP="00150ECA">
            <w:pPr>
              <w:pStyle w:val="Marginlie"/>
              <w:rPr>
                <w:spacing w:val="0"/>
              </w:rPr>
            </w:pPr>
          </w:p>
          <w:p w14:paraId="0347F07D" w14:textId="77777777" w:rsidR="00700E8A" w:rsidRDefault="00700E8A" w:rsidP="00150ECA">
            <w:pPr>
              <w:pStyle w:val="Marginlie"/>
              <w:rPr>
                <w:spacing w:val="0"/>
              </w:rPr>
            </w:pPr>
          </w:p>
          <w:p w14:paraId="79E18BDA" w14:textId="77777777" w:rsidR="00700E8A" w:rsidRDefault="00700E8A" w:rsidP="00150ECA">
            <w:pPr>
              <w:pStyle w:val="Marginlie"/>
              <w:rPr>
                <w:spacing w:val="0"/>
              </w:rPr>
            </w:pPr>
          </w:p>
          <w:p w14:paraId="5CBF1CFD" w14:textId="77777777" w:rsidR="00700E8A" w:rsidRDefault="00700E8A" w:rsidP="00150ECA">
            <w:pPr>
              <w:pStyle w:val="Marginlie"/>
              <w:rPr>
                <w:spacing w:val="0"/>
              </w:rPr>
            </w:pPr>
          </w:p>
          <w:p w14:paraId="2AC7EAF5" w14:textId="77777777" w:rsidR="00700E8A" w:rsidRDefault="00700E8A" w:rsidP="00150ECA">
            <w:pPr>
              <w:pStyle w:val="Marginlie"/>
            </w:pPr>
            <w:r>
              <w:rPr>
                <w:spacing w:val="0"/>
              </w:rPr>
              <w:t>Nedostatek materiálu i zařízení limitoval skoro polovinu průmyslových podniků v ČR i EU.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528D72B3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177611A0" w14:textId="77777777" w:rsidR="00700E8A" w:rsidRDefault="00700E8A" w:rsidP="00150ECA">
            <w:pPr>
              <w:spacing w:after="160"/>
              <w:rPr>
                <w:spacing w:val="-4"/>
              </w:rPr>
            </w:pPr>
            <w:r w:rsidRPr="004D3151">
              <w:rPr>
                <w:color w:val="0D0D0D" w:themeColor="text1" w:themeTint="F2"/>
                <w:spacing w:val="-4"/>
              </w:rPr>
              <w:t>Důvěra podnikatelů v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4D3151">
              <w:rPr>
                <w:color w:val="0D0D0D" w:themeColor="text1" w:themeTint="F2"/>
                <w:spacing w:val="-4"/>
              </w:rPr>
              <w:t>průmyslu</w:t>
            </w:r>
            <w:r>
              <w:rPr>
                <w:color w:val="0D0D0D" w:themeColor="text1" w:themeTint="F2"/>
                <w:spacing w:val="-4"/>
              </w:rPr>
              <w:t xml:space="preserve"> se během roku 2021 výrazně proměňovala. Po červnovém maximu (s nejvyšší hodnotou za posledních deset let) plynule oslabovala až do října, kdy byl pesimismus nejhlubší od loňského jara. V listopadu došlo vlivem částečného obnovení výroby v automobilovém průmyslu k oživení a celková důvěra se vrátila na úroveň z přelomu let 2019 a 2020</w:t>
            </w:r>
            <w:r w:rsidRPr="00134635">
              <w:rPr>
                <w:color w:val="0D0D0D" w:themeColor="text1" w:themeTint="F2"/>
                <w:spacing w:val="-4"/>
              </w:rPr>
              <w:t>.</w:t>
            </w:r>
            <w:r w:rsidRPr="00134635">
              <w:rPr>
                <w:spacing w:val="-5"/>
              </w:rPr>
              <w:t xml:space="preserve"> Očekávání výrobní činnosti v příštích měsících se zlepšilo.</w:t>
            </w:r>
            <w:r w:rsidRPr="00864981">
              <w:rPr>
                <w:spacing w:val="-5"/>
              </w:rPr>
              <w:t xml:space="preserve"> Její růst předpokládala čtvrtina podniků v</w:t>
            </w:r>
            <w:r>
              <w:rPr>
                <w:spacing w:val="-5"/>
              </w:rPr>
              <w:t xml:space="preserve"> celém </w:t>
            </w:r>
            <w:r w:rsidRPr="00864981">
              <w:rPr>
                <w:spacing w:val="-5"/>
              </w:rPr>
              <w:t>průmyslu, pokles pětina</w:t>
            </w:r>
            <w:r>
              <w:rPr>
                <w:spacing w:val="-5"/>
              </w:rPr>
              <w:t xml:space="preserve">. Výhled celkové ekonomické situace podniků v průmyslu na příštích šest měsíců zůstal podobně jako očekávání v oblasti zaměstnanosti mírně pozitivní. </w:t>
            </w:r>
            <w:r w:rsidRPr="00B12B9E">
              <w:rPr>
                <w:color w:val="0D0D0D" w:themeColor="text1" w:themeTint="F2"/>
                <w:spacing w:val="-4"/>
              </w:rPr>
              <w:t>Hlavní růstovou bariérou</w:t>
            </w:r>
            <w:r w:rsidRPr="00B12B9E">
              <w:rPr>
                <w:rStyle w:val="Znakapoznpodarou"/>
                <w:color w:val="0D0D0D" w:themeColor="text1" w:themeTint="F2"/>
                <w:spacing w:val="-4"/>
              </w:rPr>
              <w:footnoteReference w:id="34"/>
            </w:r>
            <w:r>
              <w:rPr>
                <w:color w:val="0D0D0D" w:themeColor="text1" w:themeTint="F2"/>
                <w:spacing w:val="-4"/>
              </w:rPr>
              <w:t xml:space="preserve"> zůstává nedostatek materiálu a zařízení, který na počátku 4. čtvrtletí trápil skoro polovinu průmyslových podniků v tuzemsku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35"/>
            </w:r>
            <w:r>
              <w:rPr>
                <w:color w:val="0D0D0D" w:themeColor="text1" w:themeTint="F2"/>
                <w:spacing w:val="-4"/>
              </w:rPr>
              <w:t>, ale i v EU. Nedostatečná poptávka sužovala více než čtvrtinu podniků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36"/>
            </w:r>
            <w:r>
              <w:rPr>
                <w:color w:val="0D0D0D" w:themeColor="text1" w:themeTint="F2"/>
                <w:spacing w:val="-4"/>
              </w:rPr>
              <w:t>. P</w:t>
            </w:r>
            <w:r>
              <w:rPr>
                <w:color w:val="0D0D0D" w:themeColor="text1" w:themeTint="F2"/>
                <w:spacing w:val="-3"/>
              </w:rPr>
              <w:t xml:space="preserve">růmysl stále limitoval i nedostatek zejména kvalifikované pracovní síly, byť s ohledem na pokles zaměstnanosti během pandemie nebyl zatím letos tento problém tak palčivý jako v letech 2017 a 2019. Jako bariéru ho označila „jen“ pětina podniků, v některých oborech ale stále </w:t>
            </w:r>
            <w:r>
              <w:rPr>
                <w:color w:val="0D0D0D" w:themeColor="text1" w:themeTint="F2"/>
                <w:spacing w:val="-4"/>
              </w:rPr>
              <w:t>představoval nejvýznamnější růstovou bariéru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37"/>
            </w:r>
            <w:r>
              <w:rPr>
                <w:color w:val="0D0D0D" w:themeColor="text1" w:themeTint="F2"/>
                <w:spacing w:val="-4"/>
              </w:rPr>
              <w:t>.</w:t>
            </w:r>
          </w:p>
        </w:tc>
      </w:tr>
      <w:tr w:rsidR="00700E8A" w:rsidRPr="00191C35" w14:paraId="6B67DD13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2ECF72D5" w14:textId="77777777" w:rsidR="00700E8A" w:rsidRDefault="00700E8A" w:rsidP="00150ECA">
            <w:pPr>
              <w:pStyle w:val="Marginlie"/>
            </w:pPr>
            <w:proofErr w:type="spellStart"/>
            <w:r>
              <w:lastRenderedPageBreak/>
              <w:t>Mezikvartální</w:t>
            </w:r>
            <w:proofErr w:type="spellEnd"/>
            <w:r>
              <w:t xml:space="preserve"> tempo stavební produkce během letošního roku sláblo, především vlivem inženýrského stavitelství.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7752FBE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15B5681D" w14:textId="2B580FD7" w:rsidR="00700E8A" w:rsidRPr="00225000" w:rsidRDefault="00700E8A" w:rsidP="0015329F">
            <w:pPr>
              <w:spacing w:after="160"/>
              <w:rPr>
                <w:spacing w:val="-5"/>
              </w:rPr>
            </w:pPr>
            <w:r w:rsidRPr="00225000">
              <w:rPr>
                <w:spacing w:val="-5"/>
              </w:rPr>
              <w:t>Navzdory některým růstovým předpokladům souvisejícím zejména s plánovanými veřejnými investicemi na dopravní infrastrukturu</w:t>
            </w:r>
            <w:r w:rsidRPr="00225000">
              <w:rPr>
                <w:rStyle w:val="Znakapoznpodarou"/>
                <w:spacing w:val="-5"/>
              </w:rPr>
              <w:footnoteReference w:id="38"/>
            </w:r>
            <w:r w:rsidRPr="00225000">
              <w:rPr>
                <w:spacing w:val="-5"/>
              </w:rPr>
              <w:t xml:space="preserve"> se stavebnictví v dosavadní části letošního roku zotavovalo </w:t>
            </w:r>
            <w:r w:rsidRPr="00225000">
              <w:rPr>
                <w:color w:val="0D0D0D" w:themeColor="text1" w:themeTint="F2"/>
                <w:spacing w:val="-5"/>
              </w:rPr>
              <w:t xml:space="preserve">pomalu. </w:t>
            </w:r>
            <w:proofErr w:type="spellStart"/>
            <w:r w:rsidRPr="00225000">
              <w:rPr>
                <w:color w:val="0D0D0D" w:themeColor="text1" w:themeTint="F2"/>
                <w:spacing w:val="-5"/>
              </w:rPr>
              <w:t>Mezikvartální</w:t>
            </w:r>
            <w:proofErr w:type="spellEnd"/>
            <w:r w:rsidRPr="00225000">
              <w:rPr>
                <w:color w:val="0D0D0D" w:themeColor="text1" w:themeTint="F2"/>
                <w:spacing w:val="-5"/>
              </w:rPr>
              <w:t xml:space="preserve"> tempo </w:t>
            </w:r>
            <w:r w:rsidRPr="00225000">
              <w:rPr>
                <w:rFonts w:cs="Arial"/>
                <w:color w:val="0D0D0D" w:themeColor="text1" w:themeTint="F2"/>
                <w:spacing w:val="-5"/>
              </w:rPr>
              <w:t>stavební produkce</w:t>
            </w:r>
            <w:r w:rsidRPr="00225000">
              <w:rPr>
                <w:rStyle w:val="Znakapoznpodarou"/>
                <w:color w:val="0D0D0D" w:themeColor="text1" w:themeTint="F2"/>
                <w:spacing w:val="-5"/>
              </w:rPr>
              <w:footnoteReference w:id="39"/>
            </w:r>
            <w:r w:rsidRPr="00225000">
              <w:rPr>
                <w:rFonts w:cs="Arial"/>
                <w:color w:val="0D0D0D" w:themeColor="text1" w:themeTint="F2"/>
                <w:spacing w:val="-5"/>
              </w:rPr>
              <w:t xml:space="preserve"> sice v 1. čtvrtletí dosáhlo 2,6</w:t>
            </w:r>
            <w:r w:rsidRPr="00225000">
              <w:rPr>
                <w:rFonts w:cs="Arial"/>
                <w:color w:val="0D0D0D"/>
                <w:spacing w:val="-5"/>
              </w:rPr>
              <w:t> </w:t>
            </w:r>
            <w:r w:rsidRPr="00225000">
              <w:rPr>
                <w:rFonts w:cs="Arial"/>
                <w:color w:val="0D0D0D" w:themeColor="text1" w:themeTint="F2"/>
                <w:spacing w:val="-5"/>
              </w:rPr>
              <w:t xml:space="preserve">%, v dalších obdobích ale sláblo a během 3. čtvrtletí již výkon celého odvětví o 1,3 % poklesl. Stálo za tím primárně inženýrské stavitelství, na něž postupně dolehlo pomalejší čerpání veřejných investic. Za celé 1. až 3. čtvrtletí výkon celého stavebnictví meziročně stagnoval, neboť růst produkce v oblasti inženýrských staveb (2,4 %) byl oslabován poklesem ve váhově dominantním pozemním stavitelství (0,7 %). </w:t>
            </w:r>
            <w:r w:rsidR="0015329F" w:rsidRPr="00225000">
              <w:rPr>
                <w:rFonts w:cs="Arial"/>
                <w:color w:val="0D0D0D" w:themeColor="text1" w:themeTint="F2"/>
                <w:spacing w:val="-5"/>
              </w:rPr>
              <w:t>Ve 3. čtvrtletí výkon obou segmentů stavebnictví meziročně mírně vzrostl. Za úrovní produkce z 3. čtvrtle</w:t>
            </w:r>
            <w:r w:rsidR="00225000">
              <w:rPr>
                <w:rFonts w:cs="Arial"/>
                <w:color w:val="0D0D0D" w:themeColor="text1" w:themeTint="F2"/>
                <w:spacing w:val="-5"/>
              </w:rPr>
              <w:t>tí 2019 ale pozemní (o 8,5 %) i</w:t>
            </w:r>
            <w:r w:rsidR="00225000" w:rsidRPr="00225000">
              <w:rPr>
                <w:rFonts w:cs="Arial"/>
                <w:color w:val="0D0D0D" w:themeColor="text1" w:themeTint="F2"/>
                <w:spacing w:val="-5"/>
              </w:rPr>
              <w:t> </w:t>
            </w:r>
            <w:r w:rsidR="0015329F" w:rsidRPr="00225000">
              <w:rPr>
                <w:rFonts w:cs="Arial"/>
                <w:color w:val="0D0D0D" w:themeColor="text1" w:themeTint="F2"/>
                <w:spacing w:val="-5"/>
              </w:rPr>
              <w:t xml:space="preserve">inženýrské stavitelství (o 5,1 %) zaostalo. </w:t>
            </w:r>
            <w:r w:rsidRPr="00225000">
              <w:rPr>
                <w:rFonts w:cs="Arial"/>
                <w:color w:val="0D0D0D" w:themeColor="text1" w:themeTint="F2"/>
                <w:spacing w:val="-5"/>
              </w:rPr>
              <w:t xml:space="preserve">Byť stavebnictví nebylo letos </w:t>
            </w:r>
            <w:proofErr w:type="spellStart"/>
            <w:r w:rsidRPr="00225000">
              <w:rPr>
                <w:rFonts w:cs="Arial"/>
                <w:color w:val="0D0D0D" w:themeColor="text1" w:themeTint="F2"/>
                <w:spacing w:val="-5"/>
              </w:rPr>
              <w:t>protipandemickými</w:t>
            </w:r>
            <w:proofErr w:type="spellEnd"/>
            <w:r w:rsidRPr="00225000">
              <w:rPr>
                <w:rFonts w:cs="Arial"/>
                <w:color w:val="0D0D0D" w:themeColor="text1" w:themeTint="F2"/>
                <w:spacing w:val="-5"/>
              </w:rPr>
              <w:t xml:space="preserve"> restrikcemi bezprostředně zasaženo, dopady loňských opatření ho stále ovlivňovaly (např. v oblasti administrativní náročnosti přípravy staveb či mobility zahraničních pracovníků).</w:t>
            </w:r>
          </w:p>
        </w:tc>
      </w:tr>
      <w:tr w:rsidR="00700E8A" w:rsidRPr="00191C35" w14:paraId="7091CFAF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0A99191E" w14:textId="77777777" w:rsidR="00700E8A" w:rsidRDefault="00700E8A" w:rsidP="00150ECA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E654713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7E648010" w14:textId="77777777" w:rsidR="00700E8A" w:rsidRPr="00FE5237" w:rsidRDefault="00700E8A" w:rsidP="00150ECA">
            <w:pPr>
              <w:spacing w:after="0"/>
              <w:rPr>
                <w:spacing w:val="-4"/>
              </w:rPr>
            </w:pPr>
            <w:r w:rsidRPr="00883202">
              <w:rPr>
                <w:b/>
              </w:rPr>
              <w:t>Graf č. 6</w:t>
            </w:r>
            <w:r>
              <w:rPr>
                <w:b/>
              </w:rPr>
              <w:t xml:space="preserve"> </w:t>
            </w:r>
            <w:r w:rsidRPr="00883202">
              <w:rPr>
                <w:b/>
              </w:rPr>
              <w:t xml:space="preserve"> Příspěvky odvětví k meziroční změně stavební produkce </w:t>
            </w:r>
            <w:r w:rsidRPr="00883202">
              <w:t>(v p. b.)</w:t>
            </w:r>
            <w:r w:rsidRPr="00883202">
              <w:rPr>
                <w:b/>
                <w:bCs/>
              </w:rPr>
              <w:t>,</w:t>
            </w:r>
            <w:r w:rsidRPr="00883202">
              <w:rPr>
                <w:b/>
                <w:bCs/>
              </w:rPr>
              <w:br/>
            </w:r>
            <w:r w:rsidRPr="00883202">
              <w:rPr>
                <w:b/>
              </w:rPr>
              <w:t xml:space="preserve">nové stavební zakázky </w:t>
            </w:r>
            <w:r w:rsidRPr="00883202">
              <w:rPr>
                <w:bCs/>
              </w:rPr>
              <w:t>(</w:t>
            </w:r>
            <w:r w:rsidRPr="00883202">
              <w:t>meziročně</w:t>
            </w:r>
            <w:r w:rsidRPr="00883202">
              <w:rPr>
                <w:bCs/>
              </w:rPr>
              <w:t xml:space="preserve"> v %</w:t>
            </w:r>
            <w:r w:rsidRPr="00883202">
              <w:t>, pravá osa</w:t>
            </w:r>
            <w:r w:rsidRPr="00883202">
              <w:rPr>
                <w:bCs/>
              </w:rPr>
              <w:t>)</w:t>
            </w:r>
            <w:r w:rsidRPr="00883202">
              <w:rPr>
                <w:b/>
              </w:rPr>
              <w:t>, saldo indikátoru důvěry ve stavebnictví*</w:t>
            </w:r>
            <w:r w:rsidRPr="00883202">
              <w:t xml:space="preserve"> (v p. b., pravá osa) </w:t>
            </w:r>
            <w:r w:rsidRPr="00883202">
              <w:rPr>
                <w:b/>
              </w:rPr>
              <w:t>a vybrané bariéry růstu</w:t>
            </w:r>
            <w:r w:rsidRPr="00883202">
              <w:t>* (v %, pravá osa)</w:t>
            </w:r>
          </w:p>
        </w:tc>
      </w:tr>
      <w:tr w:rsidR="00700E8A" w:rsidRPr="00191C35" w14:paraId="17D4BA19" w14:textId="77777777" w:rsidTr="00D7469D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28" w:type="dxa"/>
            <w:shd w:val="clear" w:color="auto" w:fill="auto"/>
          </w:tcPr>
          <w:p w14:paraId="24D95FBE" w14:textId="77777777" w:rsidR="00700E8A" w:rsidRDefault="00700E8A" w:rsidP="00150ECA">
            <w:pPr>
              <w:pStyle w:val="Marginlie"/>
            </w:pPr>
          </w:p>
        </w:tc>
        <w:tc>
          <w:tcPr>
            <w:tcW w:w="206" w:type="dxa"/>
            <w:shd w:val="clear" w:color="auto" w:fill="auto"/>
          </w:tcPr>
          <w:p w14:paraId="423AB68B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</w:tcPr>
          <w:p w14:paraId="6179C703" w14:textId="103B3EC5" w:rsidR="00700E8A" w:rsidRPr="003E01D3" w:rsidRDefault="00D7469D" w:rsidP="00150ECA">
            <w:pPr>
              <w:spacing w:after="0"/>
              <w:rPr>
                <w:b/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4BE3BA9F" wp14:editId="3A9FB4CD">
                  <wp:extent cx="4817745" cy="3454400"/>
                  <wp:effectExtent l="0" t="0" r="1905" b="0"/>
                  <wp:docPr id="15" name="Graf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700E8A" w:rsidRPr="00191C35" w14:paraId="34AA91AE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56F41C29" w14:textId="77777777" w:rsidR="00700E8A" w:rsidRDefault="00700E8A" w:rsidP="00150ECA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DE92AE2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251EFFB6" w14:textId="77777777" w:rsidR="00700E8A" w:rsidRPr="00883202" w:rsidRDefault="00700E8A" w:rsidP="00150ECA">
            <w:pPr>
              <w:spacing w:after="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Údaje o stavební produkci jsou očištěny o kalendářní vlivy.</w:t>
            </w:r>
          </w:p>
          <w:p w14:paraId="3144BA44" w14:textId="77777777" w:rsidR="00700E8A" w:rsidRPr="00FC6785" w:rsidRDefault="00700E8A" w:rsidP="00150ECA">
            <w:pPr>
              <w:tabs>
                <w:tab w:val="right" w:pos="7711"/>
              </w:tabs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>Saldo důvěry i bariéry růstu jsou sezónně očištěny a vyjadřují stav ve druhém měsíci daného čtvrtletí</w:t>
            </w:r>
            <w:r w:rsidRPr="00883202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 xml:space="preserve"> Podniky mohly uvést více hlavních bariér současně.</w:t>
            </w:r>
            <w:r>
              <w:rPr>
                <w:rFonts w:cs="Arial"/>
                <w:sz w:val="14"/>
                <w:szCs w:val="14"/>
              </w:rPr>
              <w:tab/>
            </w:r>
            <w:r w:rsidRPr="00883202">
              <w:rPr>
                <w:rFonts w:cs="Arial"/>
                <w:sz w:val="14"/>
                <w:szCs w:val="14"/>
              </w:rPr>
              <w:t>Zdroj: ČSÚ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cs="Arial"/>
                <w:sz w:val="14"/>
                <w:szCs w:val="14"/>
              </w:rPr>
              <w:t>Eurostat</w:t>
            </w:r>
            <w:proofErr w:type="spellEnd"/>
          </w:p>
        </w:tc>
      </w:tr>
      <w:tr w:rsidR="00700E8A" w:rsidRPr="00191C35" w14:paraId="62600CAC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0EA384EC" w14:textId="77777777" w:rsidR="00700E8A" w:rsidRDefault="00700E8A" w:rsidP="00150ECA">
            <w:pPr>
              <w:pStyle w:val="Marginlie"/>
            </w:pPr>
            <w:r>
              <w:t>Počet zahájených i dokončených bytů se blížil úrovni z konjunkturních let 2007 a 2008.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322F1ADE" w14:textId="77777777" w:rsidR="00700E8A" w:rsidRPr="00B34A3C" w:rsidRDefault="00700E8A" w:rsidP="00150EC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542674EA" w14:textId="77777777" w:rsidR="00700E8A" w:rsidRPr="00E02502" w:rsidRDefault="00700E8A" w:rsidP="00150ECA">
            <w:pPr>
              <w:spacing w:after="160"/>
              <w:rPr>
                <w:color w:val="0D0D0D" w:themeColor="text1" w:themeTint="F2"/>
                <w:spacing w:val="-2"/>
              </w:rPr>
            </w:pPr>
            <w:r w:rsidRPr="00143E58">
              <w:rPr>
                <w:spacing w:val="-4"/>
              </w:rPr>
              <w:t>Pozemnímu stavitelství pomáhal rozvoj bytové výstavby. Od ledna do října byla letos zahájena výstavba 36,0</w:t>
            </w:r>
            <w:r>
              <w:rPr>
                <w:spacing w:val="-4"/>
              </w:rPr>
              <w:t> tis.</w:t>
            </w:r>
            <w:r w:rsidRPr="00143E58">
              <w:rPr>
                <w:spacing w:val="-4"/>
              </w:rPr>
              <w:t xml:space="preserve"> bytů, což bylo jen nepatrně méně než ve stejném období rekordních let 2007 </w:t>
            </w:r>
            <w:r>
              <w:rPr>
                <w:spacing w:val="-4"/>
              </w:rPr>
              <w:t>a </w:t>
            </w:r>
            <w:r w:rsidRPr="00143E58">
              <w:rPr>
                <w:spacing w:val="-4"/>
              </w:rPr>
              <w:t xml:space="preserve">2008. Dařilo se zejména výstavbě bytových </w:t>
            </w:r>
            <w:r>
              <w:rPr>
                <w:spacing w:val="-4"/>
              </w:rPr>
              <w:t>domů, především zásluhou Prahy a </w:t>
            </w:r>
            <w:r w:rsidRPr="00143E58">
              <w:rPr>
                <w:spacing w:val="-4"/>
              </w:rPr>
              <w:t xml:space="preserve">Středočeského </w:t>
            </w:r>
            <w:r>
              <w:rPr>
                <w:spacing w:val="-4"/>
              </w:rPr>
              <w:t>kraje. Mírnějším tempem se meziročně zvyšoval i počet dokončených bytů v ČR. Od ledna do října</w:t>
            </w:r>
            <w:r w:rsidRPr="00143E58">
              <w:rPr>
                <w:spacing w:val="-4"/>
              </w:rPr>
              <w:t xml:space="preserve"> </w:t>
            </w:r>
            <w:r>
              <w:rPr>
                <w:spacing w:val="-4"/>
              </w:rPr>
              <w:t>jich bylo již</w:t>
            </w:r>
            <w:r w:rsidRPr="00143E58">
              <w:rPr>
                <w:spacing w:val="-4"/>
              </w:rPr>
              <w:t xml:space="preserve"> 27,7</w:t>
            </w:r>
            <w:r>
              <w:rPr>
                <w:spacing w:val="-4"/>
              </w:rPr>
              <w:t> tis.</w:t>
            </w:r>
            <w:r w:rsidRPr="00143E58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a ani </w:t>
            </w:r>
            <w:r w:rsidRPr="00143E58">
              <w:rPr>
                <w:spacing w:val="-4"/>
              </w:rPr>
              <w:t>jejich počet za konjunkturním rokem 2008 příliš nezaostal. Navíc v</w:t>
            </w:r>
            <w:r>
              <w:rPr>
                <w:spacing w:val="-4"/>
              </w:rPr>
              <w:t> </w:t>
            </w:r>
            <w:r w:rsidRPr="00143E58">
              <w:rPr>
                <w:spacing w:val="-4"/>
              </w:rPr>
              <w:t>kategorii bytů v rodinných domech byl letos vyrovnán rekordní loňský objem výstavby (15,4</w:t>
            </w:r>
            <w:r>
              <w:rPr>
                <w:spacing w:val="-4"/>
              </w:rPr>
              <w:t> tis.</w:t>
            </w:r>
            <w:r w:rsidRPr="00143E58">
              <w:rPr>
                <w:spacing w:val="-4"/>
              </w:rPr>
              <w:t>).</w:t>
            </w:r>
          </w:p>
        </w:tc>
      </w:tr>
      <w:tr w:rsidR="00700E8A" w:rsidRPr="00191C35" w14:paraId="3895FCF1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19D31042" w14:textId="77777777" w:rsidR="00700E8A" w:rsidRDefault="00700E8A" w:rsidP="00150ECA">
            <w:pPr>
              <w:pStyle w:val="Marginlie"/>
            </w:pPr>
            <w:r>
              <w:t xml:space="preserve">Svižný růst nových zakázek i orientační hodnoty stavebních povolení pokračoval i ve 3. čtvrtletí. Stále více se </w:t>
            </w:r>
            <w:r>
              <w:lastRenderedPageBreak/>
              <w:t>v nich ovšem projevovaly i sílící nákladové tlaky stavebníků.</w:t>
            </w:r>
          </w:p>
          <w:p w14:paraId="51236B6C" w14:textId="77777777" w:rsidR="00700E8A" w:rsidRDefault="00700E8A" w:rsidP="00150ECA">
            <w:pPr>
              <w:pStyle w:val="Marginlie"/>
            </w:pPr>
          </w:p>
          <w:p w14:paraId="56DCF7F5" w14:textId="77777777" w:rsidR="00700E8A" w:rsidRDefault="00700E8A" w:rsidP="00150ECA">
            <w:pPr>
              <w:pStyle w:val="Marginlie"/>
            </w:pPr>
          </w:p>
          <w:p w14:paraId="76215727" w14:textId="77777777" w:rsidR="00700E8A" w:rsidRDefault="00700E8A" w:rsidP="00150ECA">
            <w:pPr>
              <w:pStyle w:val="Marginlie"/>
            </w:pPr>
          </w:p>
          <w:p w14:paraId="78197B9C" w14:textId="77777777" w:rsidR="00700E8A" w:rsidRDefault="00700E8A" w:rsidP="00150ECA">
            <w:pPr>
              <w:pStyle w:val="Marginlie"/>
            </w:pPr>
          </w:p>
          <w:p w14:paraId="04A80709" w14:textId="77777777" w:rsidR="00700E8A" w:rsidRDefault="00700E8A" w:rsidP="00150ECA">
            <w:pPr>
              <w:pStyle w:val="Marginlie"/>
            </w:pPr>
            <w:r>
              <w:t>Role nedostatečné poptávky slábla, podniky ovšem stále více limitoval nedostatek pracovníků a také materiálů a zařízení.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3D22A562" w14:textId="77777777" w:rsidR="00700E8A" w:rsidRPr="00B34A3C" w:rsidRDefault="00700E8A" w:rsidP="00150EC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752F7485" w14:textId="7AD4194E" w:rsidR="00700E8A" w:rsidRPr="00514960" w:rsidRDefault="00700E8A" w:rsidP="00150ECA">
            <w:pPr>
              <w:spacing w:after="160"/>
              <w:rPr>
                <w:spacing w:val="-2"/>
              </w:rPr>
            </w:pPr>
            <w:r w:rsidRPr="00E02502">
              <w:rPr>
                <w:color w:val="0D0D0D" w:themeColor="text1" w:themeTint="F2"/>
                <w:spacing w:val="-2"/>
              </w:rPr>
              <w:t>Krátkodobé vyhlídky stavebnictví zůstávají</w:t>
            </w:r>
            <w:r>
              <w:rPr>
                <w:color w:val="0D0D0D" w:themeColor="text1" w:themeTint="F2"/>
                <w:spacing w:val="-2"/>
              </w:rPr>
              <w:t xml:space="preserve"> mírně</w:t>
            </w:r>
            <w:r w:rsidRPr="00E02502">
              <w:rPr>
                <w:color w:val="0D0D0D" w:themeColor="text1" w:themeTint="F2"/>
                <w:spacing w:val="-2"/>
              </w:rPr>
              <w:t xml:space="preserve"> pozitivní</w:t>
            </w:r>
            <w:r w:rsidRPr="00EC6E8C">
              <w:rPr>
                <w:spacing w:val="-2"/>
              </w:rPr>
              <w:t xml:space="preserve">. </w:t>
            </w:r>
            <w:r>
              <w:rPr>
                <w:spacing w:val="-2"/>
              </w:rPr>
              <w:t xml:space="preserve">Opírají se o pokračující růst </w:t>
            </w:r>
            <w:r w:rsidR="0015329F">
              <w:rPr>
                <w:spacing w:val="-2"/>
              </w:rPr>
              <w:t xml:space="preserve">nominální hodnoty </w:t>
            </w:r>
            <w:r w:rsidRPr="007170FB">
              <w:t xml:space="preserve">nově uzavřených stavebních zakázek </w:t>
            </w:r>
            <w:r>
              <w:t>(v podnicích s více než 50 zaměstnanci), který ve 3. čtvrtletí činil meziročně 10,2 % (růst vykázaly současně oba hlavní segmenty</w:t>
            </w:r>
            <w:r w:rsidRPr="00E02502">
              <w:t xml:space="preserve"> stavebnictví</w:t>
            </w:r>
            <w:r>
              <w:t>)</w:t>
            </w:r>
            <w:r w:rsidRPr="00E02502">
              <w:t xml:space="preserve">. </w:t>
            </w:r>
            <w:r w:rsidRPr="00E02502">
              <w:rPr>
                <w:spacing w:val="-2"/>
              </w:rPr>
              <w:t>Vzhledem ke</w:t>
            </w:r>
            <w:r>
              <w:rPr>
                <w:spacing w:val="-2"/>
              </w:rPr>
              <w:t xml:space="preserve"> </w:t>
            </w:r>
            <w:r w:rsidRPr="00E02502">
              <w:rPr>
                <w:spacing w:val="-2"/>
              </w:rPr>
              <w:t xml:space="preserve">svižnému růstu poptávky v předchozích </w:t>
            </w:r>
            <w:r w:rsidRPr="00E02502">
              <w:rPr>
                <w:spacing w:val="-2"/>
              </w:rPr>
              <w:lastRenderedPageBreak/>
              <w:t>měsících i</w:t>
            </w:r>
            <w:r>
              <w:rPr>
                <w:spacing w:val="-2"/>
              </w:rPr>
              <w:t> </w:t>
            </w:r>
            <w:r w:rsidRPr="00E02502">
              <w:rPr>
                <w:spacing w:val="-2"/>
              </w:rPr>
              <w:t xml:space="preserve">možnému </w:t>
            </w:r>
            <w:r w:rsidRPr="00182A11">
              <w:rPr>
                <w:spacing w:val="-2"/>
              </w:rPr>
              <w:t>prodloužení průměrné doby výstavby vlivem různých kapacitních bariér se celková zásoba zakázek navýšila o</w:t>
            </w:r>
            <w:r>
              <w:rPr>
                <w:spacing w:val="-2"/>
              </w:rPr>
              <w:t> </w:t>
            </w:r>
            <w:r w:rsidRPr="00182A11">
              <w:rPr>
                <w:spacing w:val="-2"/>
              </w:rPr>
              <w:t>pětinu. Podobným dílem k tomu přispěly veřejné i</w:t>
            </w:r>
            <w:r>
              <w:rPr>
                <w:spacing w:val="-2"/>
              </w:rPr>
              <w:t> </w:t>
            </w:r>
            <w:r w:rsidRPr="00182A11">
              <w:rPr>
                <w:spacing w:val="-2"/>
              </w:rPr>
              <w:t>soukromé zakázky.</w:t>
            </w:r>
            <w:r>
              <w:rPr>
                <w:spacing w:val="-2"/>
              </w:rPr>
              <w:t xml:space="preserve"> </w:t>
            </w:r>
            <w:r w:rsidRPr="00EC6E8C">
              <w:rPr>
                <w:spacing w:val="-2"/>
              </w:rPr>
              <w:t>Orientační hodnota vydaných stavebních povolení</w:t>
            </w:r>
            <w:r>
              <w:rPr>
                <w:spacing w:val="-2"/>
              </w:rPr>
              <w:t xml:space="preserve"> byla letos od ledna do října meziročně vyšší o 31 %, ve dvouletém srovnání o 20 %. Hodnota rostla i po odečtení velkých staveb (nad 1. mld. korun), což může být dobrým signálem i pro menší stavební firmy. Do hodnoty zakázek i povolení se ale stále více promítal sílící růst cen stavebních prací. Jejich další růst v</w:t>
            </w:r>
            <w:r>
              <w:rPr>
                <w:spacing w:val="-4"/>
              </w:rPr>
              <w:t xml:space="preserve"> nejbližších měsících očekávalo více než 40 % podniků, obdobně jako za konjunktury v roce 2008. </w:t>
            </w:r>
            <w:r w:rsidRPr="00773490">
              <w:rPr>
                <w:color w:val="0D0D0D" w:themeColor="text1" w:themeTint="F2"/>
                <w:spacing w:val="-4"/>
                <w:szCs w:val="20"/>
              </w:rPr>
              <w:t xml:space="preserve">Důvěra podnikatelů ve stavebnictví letos mírně </w:t>
            </w:r>
            <w:r>
              <w:rPr>
                <w:spacing w:val="-4"/>
                <w:szCs w:val="20"/>
              </w:rPr>
              <w:t xml:space="preserve">kolísala a stále setrvávala mírně pod úrovní z období těsně před počátkem pandemie. Problém s nedostatkem pracovníků se letos od léta znovu zvyšoval. V listopadu omezoval již skoro každý druhý podnik. Nejvíce se projevoval ve </w:t>
            </w:r>
            <w:r>
              <w:rPr>
                <w:spacing w:val="-4"/>
              </w:rPr>
              <w:t xml:space="preserve">výstavbě budov a v menších firmách provádějících </w:t>
            </w:r>
            <w:r>
              <w:t>specializované stavební činnosti</w:t>
            </w:r>
            <w:r>
              <w:rPr>
                <w:spacing w:val="-4"/>
              </w:rPr>
              <w:t>. Podniky v těchto oblastech také častěji sužoval nedostatek materiálu a zařízení.</w:t>
            </w:r>
          </w:p>
        </w:tc>
      </w:tr>
      <w:tr w:rsidR="00700E8A" w:rsidRPr="00191C35" w14:paraId="4DCCB5F4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6D156F4E" w14:textId="77777777" w:rsidR="00700E8A" w:rsidRDefault="00700E8A" w:rsidP="00150ECA">
            <w:pPr>
              <w:pStyle w:val="Marginlie"/>
            </w:pPr>
            <w:r>
              <w:lastRenderedPageBreak/>
              <w:t>V mezičtvrtletním růstu tržeb ve službách ve 2. i 3. čtvrtletí dominovaly aktivity vázané na cestovní ruch.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A5C07A8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679EAFD7" w14:textId="5966C263" w:rsidR="00700E8A" w:rsidRPr="00BD04AE" w:rsidRDefault="00700E8A" w:rsidP="00150ECA">
            <w:pPr>
              <w:spacing w:after="160"/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</w:pPr>
            <w:r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>Razantní z</w:t>
            </w:r>
            <w:r w:rsidRPr="008F2FED"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 xml:space="preserve">lepšení epidemické situace </w:t>
            </w:r>
            <w:r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 xml:space="preserve">během jara </w:t>
            </w:r>
            <w:r w:rsidRPr="008F2FED"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 xml:space="preserve">spolu s postupující </w:t>
            </w:r>
            <w:r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>vakcinací umožnily prakticky úplné uvolnění restrikcí. Na</w:t>
            </w:r>
            <w:r w:rsidR="00323A2F"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 xml:space="preserve"> rozdíl od loňského léta došlo </w:t>
            </w:r>
            <w:r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 xml:space="preserve">k výraznému zjednodušení procedur spojených s přeshraničním pohybem </w:t>
            </w:r>
            <w:r w:rsidRPr="00231745"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 xml:space="preserve">osob. </w:t>
            </w:r>
            <w:r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 xml:space="preserve">To vyústilo ve svižný </w:t>
            </w:r>
            <w:proofErr w:type="spellStart"/>
            <w:r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>mezikvartální</w:t>
            </w:r>
            <w:proofErr w:type="spellEnd"/>
            <w:r>
              <w:rPr>
                <w:rFonts w:cs="Arial"/>
                <w:bCs/>
                <w:color w:val="0D0D0D" w:themeColor="text1" w:themeTint="F2"/>
                <w:spacing w:val="-2"/>
                <w:szCs w:val="20"/>
              </w:rPr>
              <w:t xml:space="preserve"> růst </w:t>
            </w:r>
            <w:r>
              <w:rPr>
                <w:color w:val="0D0D0D" w:themeColor="text1" w:themeTint="F2"/>
                <w:spacing w:val="-4"/>
              </w:rPr>
              <w:t>tržeb</w:t>
            </w:r>
            <w:r w:rsidRPr="00231745">
              <w:rPr>
                <w:color w:val="0D0D0D" w:themeColor="text1" w:themeTint="F2"/>
                <w:spacing w:val="-4"/>
              </w:rPr>
              <w:t xml:space="preserve"> ve vybraných službách</w:t>
            </w:r>
            <w:r w:rsidRPr="00231745">
              <w:rPr>
                <w:color w:val="0D0D0D" w:themeColor="text1" w:themeTint="F2"/>
                <w:spacing w:val="-4"/>
                <w:vertAlign w:val="superscript"/>
              </w:rPr>
              <w:footnoteReference w:id="40"/>
            </w:r>
            <w:r>
              <w:rPr>
                <w:color w:val="0D0D0D" w:themeColor="text1" w:themeTint="F2"/>
                <w:spacing w:val="-4"/>
              </w:rPr>
              <w:t>, jenž letos ve 2. čtvrtletí činil 4,3 % a v následujícím období 3</w:t>
            </w:r>
            <w:r w:rsidR="00323A2F">
              <w:rPr>
                <w:color w:val="0D0D0D" w:themeColor="text1" w:themeTint="F2"/>
                <w:spacing w:val="-4"/>
              </w:rPr>
              <w:t xml:space="preserve">,5 %. Toto oživení bylo </w:t>
            </w:r>
            <w:r>
              <w:rPr>
                <w:color w:val="0D0D0D" w:themeColor="text1" w:themeTint="F2"/>
                <w:spacing w:val="-4"/>
              </w:rPr>
              <w:t xml:space="preserve">taženo </w:t>
            </w:r>
            <w:r w:rsidR="00323A2F">
              <w:rPr>
                <w:color w:val="0D0D0D" w:themeColor="text1" w:themeTint="F2"/>
                <w:spacing w:val="-4"/>
              </w:rPr>
              <w:t>zejména aktivitami vázanými na cestovní ruch a v menší míře se na něm</w:t>
            </w:r>
            <w:r>
              <w:rPr>
                <w:color w:val="0D0D0D" w:themeColor="text1" w:themeTint="F2"/>
                <w:spacing w:val="-4"/>
              </w:rPr>
              <w:t xml:space="preserve"> podílela </w:t>
            </w:r>
            <w:r w:rsidR="00323A2F">
              <w:rPr>
                <w:color w:val="0D0D0D" w:themeColor="text1" w:themeTint="F2"/>
                <w:spacing w:val="-4"/>
              </w:rPr>
              <w:t xml:space="preserve">i </w:t>
            </w:r>
            <w:r>
              <w:rPr>
                <w:color w:val="0D0D0D" w:themeColor="text1" w:themeTint="F2"/>
                <w:spacing w:val="-4"/>
              </w:rPr>
              <w:t>všechna hlavní odvětví služeb vyjma činností</w:t>
            </w:r>
            <w:r w:rsidR="00323A2F">
              <w:rPr>
                <w:color w:val="0D0D0D" w:themeColor="text1" w:themeTint="F2"/>
                <w:spacing w:val="-4"/>
              </w:rPr>
              <w:t xml:space="preserve"> v oblasti nemovitostí. Byť</w:t>
            </w:r>
            <w:r>
              <w:rPr>
                <w:color w:val="0D0D0D" w:themeColor="text1" w:themeTint="F2"/>
                <w:spacing w:val="-4"/>
              </w:rPr>
              <w:t xml:space="preserve"> ve 3. čtvrtletí činil meziroční růst tržeb ve službách 9,7 %, za vrcholem z posledního konjunkturního období (2. čtvrtletí 2019) </w:t>
            </w:r>
            <w:r w:rsidR="00323A2F">
              <w:rPr>
                <w:color w:val="0D0D0D" w:themeColor="text1" w:themeTint="F2"/>
                <w:spacing w:val="-4"/>
              </w:rPr>
              <w:t xml:space="preserve">tržby </w:t>
            </w:r>
            <w:r>
              <w:rPr>
                <w:color w:val="0D0D0D" w:themeColor="text1" w:themeTint="F2"/>
                <w:spacing w:val="-4"/>
              </w:rPr>
              <w:t>zaostával</w:t>
            </w:r>
            <w:r w:rsidR="00323A2F">
              <w:rPr>
                <w:color w:val="0D0D0D" w:themeColor="text1" w:themeTint="F2"/>
                <w:spacing w:val="-4"/>
              </w:rPr>
              <w:t>y</w:t>
            </w:r>
            <w:r>
              <w:rPr>
                <w:color w:val="0D0D0D" w:themeColor="text1" w:themeTint="F2"/>
                <w:spacing w:val="-4"/>
              </w:rPr>
              <w:t xml:space="preserve"> o 5,2 %.</w:t>
            </w:r>
          </w:p>
        </w:tc>
      </w:tr>
      <w:tr w:rsidR="00700E8A" w:rsidRPr="00191C35" w14:paraId="09138CBD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416D2C3B" w14:textId="77777777" w:rsidR="00700E8A" w:rsidRDefault="00700E8A" w:rsidP="00150ECA">
            <w:pPr>
              <w:pStyle w:val="Marginlie"/>
            </w:pPr>
            <w:r>
              <w:t>Doprava a skladování zajistily ve 3. čtvrtletí bezmála polovinu meziročního růstu tržeb ve službách.</w:t>
            </w:r>
          </w:p>
          <w:p w14:paraId="14469E11" w14:textId="77777777" w:rsidR="00700E8A" w:rsidRDefault="00700E8A" w:rsidP="00150ECA">
            <w:pPr>
              <w:pStyle w:val="Marginlie"/>
            </w:pPr>
          </w:p>
          <w:p w14:paraId="742AA25A" w14:textId="77777777" w:rsidR="00700E8A" w:rsidRDefault="00700E8A" w:rsidP="00150ECA">
            <w:pPr>
              <w:pStyle w:val="Marginlie"/>
            </w:pPr>
          </w:p>
          <w:p w14:paraId="22A34F08" w14:textId="77777777" w:rsidR="00700E8A" w:rsidRDefault="00700E8A" w:rsidP="00150ECA">
            <w:pPr>
              <w:pStyle w:val="Marginlie"/>
            </w:pPr>
            <w:r>
              <w:t>Tržby v ubytování a pohostinství vlivem dobré letní turistické sezóny posílily.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E1BB4F4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37F9E6AF" w14:textId="553AFBBA" w:rsidR="00700E8A" w:rsidRPr="00DC1E5D" w:rsidRDefault="00700E8A" w:rsidP="00150ECA">
            <w:pPr>
              <w:spacing w:after="160"/>
              <w:rPr>
                <w:spacing w:val="-2"/>
              </w:rPr>
            </w:pPr>
            <w:r>
              <w:rPr>
                <w:spacing w:val="-2"/>
              </w:rPr>
              <w:t xml:space="preserve">Tržby v dopravě a skladování se letos ve 3. čtvrtletí vrátily na úroveň </w:t>
            </w:r>
            <w:r w:rsidR="00323A2F">
              <w:rPr>
                <w:spacing w:val="-2"/>
              </w:rPr>
              <w:t xml:space="preserve">stejného období </w:t>
            </w:r>
            <w:r>
              <w:rPr>
                <w:spacing w:val="-2"/>
              </w:rPr>
              <w:t xml:space="preserve">roku 2019, když se meziročně zvýšily o 14,2 % a k celkovému růstu služeb přispěly 4,2 p. b. Silně rostla poptávka ve skladování, kde tržby převýšily předloňskou úroveň již téměř o desetinu. Nadále se dařilo poštovním a kurýrním činnostem, které profitovaly z růstu internetového prodeje, během pandemie dále zesíleného. Tržby v pozemní a potrubní dopravě vzrostly meziročně o 5,4 %, reálně se však nacházely pouze na úrovni z počátku roku 2016. </w:t>
            </w:r>
            <w:r>
              <w:rPr>
                <w:spacing w:val="-5"/>
              </w:rPr>
              <w:t>Výraznější oživení cestovního ruchu během letní sezóny</w:t>
            </w:r>
            <w:r>
              <w:rPr>
                <w:rStyle w:val="Znakapoznpodarou"/>
                <w:spacing w:val="-5"/>
              </w:rPr>
              <w:footnoteReference w:id="41"/>
            </w:r>
            <w:r>
              <w:rPr>
                <w:spacing w:val="-5"/>
              </w:rPr>
              <w:t xml:space="preserve"> podpořilo meziroční růst tržeb ve stravování, ubytování a pohostinství (o 9,2 % ve 3. čtvrtletí). Svižněji se zvyšovaly tržby v samotném ubytování (17,3 %), oproti roku 2019 však byly skoro o třetinu nižší, ve stravování a pohostinství pak bezmála o desetinu.</w:t>
            </w:r>
          </w:p>
        </w:tc>
      </w:tr>
      <w:tr w:rsidR="00700E8A" w:rsidRPr="00191C35" w14:paraId="2396C0F8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4E0AD4E0" w14:textId="77777777" w:rsidR="00700E8A" w:rsidRDefault="00700E8A" w:rsidP="00150ECA">
            <w:pPr>
              <w:pStyle w:val="Marginlie"/>
            </w:pPr>
            <w:r>
              <w:t xml:space="preserve">Tržby ve filmovém a hudebním průmyslu výrazně ožily a převýšily i úroveň </w:t>
            </w:r>
            <w:proofErr w:type="gramStart"/>
            <w:r>
              <w:t>ze</w:t>
            </w:r>
            <w:proofErr w:type="gramEnd"/>
            <w:r>
              <w:t xml:space="preserve"> 3. čtvrtletí 2019.</w:t>
            </w:r>
          </w:p>
          <w:p w14:paraId="10956148" w14:textId="779E2224" w:rsidR="00700E8A" w:rsidRDefault="00700E8A" w:rsidP="00150ECA">
            <w:pPr>
              <w:pStyle w:val="Marginlie"/>
            </w:pPr>
          </w:p>
          <w:p w14:paraId="0890C7FA" w14:textId="093309CF" w:rsidR="00225000" w:rsidRDefault="00225000" w:rsidP="00150ECA">
            <w:pPr>
              <w:pStyle w:val="Marginlie"/>
            </w:pPr>
          </w:p>
          <w:p w14:paraId="060C0911" w14:textId="77777777" w:rsidR="00225000" w:rsidRDefault="00225000" w:rsidP="00150ECA">
            <w:pPr>
              <w:pStyle w:val="Marginlie"/>
            </w:pPr>
          </w:p>
          <w:p w14:paraId="4DC1BAB5" w14:textId="77777777" w:rsidR="00700E8A" w:rsidRDefault="00700E8A" w:rsidP="00150ECA">
            <w:pPr>
              <w:pStyle w:val="Marginlie"/>
            </w:pPr>
            <w:r>
              <w:t>Firemní poptávka přispěla k výraznějšímu oživení velké části profesních, vědeckých a technických činností.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1C248A66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40DE19F6" w14:textId="2A216432" w:rsidR="00700E8A" w:rsidRDefault="00700E8A" w:rsidP="00323A2F">
            <w:pPr>
              <w:spacing w:after="180"/>
              <w:rPr>
                <w:color w:val="0D0D0D" w:themeColor="text1" w:themeTint="F2"/>
                <w:spacing w:val="-5"/>
              </w:rPr>
            </w:pPr>
            <w:r w:rsidRPr="00943750">
              <w:rPr>
                <w:color w:val="0D0D0D" w:themeColor="text1" w:themeTint="F2"/>
                <w:spacing w:val="-8"/>
              </w:rPr>
              <w:t>Meziroční růst tržeb v</w:t>
            </w:r>
            <w:r>
              <w:rPr>
                <w:color w:val="0D0D0D" w:themeColor="text1" w:themeTint="F2"/>
                <w:spacing w:val="-8"/>
              </w:rPr>
              <w:t> </w:t>
            </w:r>
            <w:r w:rsidRPr="00943750">
              <w:rPr>
                <w:color w:val="0D0D0D" w:themeColor="text1" w:themeTint="F2"/>
                <w:spacing w:val="-8"/>
              </w:rPr>
              <w:t>odvětví informačních a</w:t>
            </w:r>
            <w:r>
              <w:rPr>
                <w:color w:val="0D0D0D" w:themeColor="text1" w:themeTint="F2"/>
                <w:spacing w:val="-8"/>
              </w:rPr>
              <w:t> </w:t>
            </w:r>
            <w:r w:rsidRPr="00943750">
              <w:rPr>
                <w:color w:val="0D0D0D" w:themeColor="text1" w:themeTint="F2"/>
                <w:spacing w:val="-8"/>
              </w:rPr>
              <w:t>komunikačních činností (ICT) ve 3.</w:t>
            </w:r>
            <w:r>
              <w:rPr>
                <w:color w:val="0D0D0D" w:themeColor="text1" w:themeTint="F2"/>
                <w:spacing w:val="-8"/>
              </w:rPr>
              <w:t> čt</w:t>
            </w:r>
            <w:r w:rsidRPr="00943750">
              <w:rPr>
                <w:color w:val="0D0D0D" w:themeColor="text1" w:themeTint="F2"/>
                <w:spacing w:val="-8"/>
              </w:rPr>
              <w:t>vrtletí (6,2</w:t>
            </w:r>
            <w:r>
              <w:rPr>
                <w:color w:val="0D0D0D" w:themeColor="text1" w:themeTint="F2"/>
                <w:spacing w:val="-8"/>
              </w:rPr>
              <w:t> %</w:t>
            </w:r>
            <w:r w:rsidRPr="00943750">
              <w:rPr>
                <w:color w:val="0D0D0D" w:themeColor="text1" w:themeTint="F2"/>
                <w:spacing w:val="-8"/>
              </w:rPr>
              <w:t>)</w:t>
            </w:r>
            <w:r>
              <w:rPr>
                <w:color w:val="0D0D0D" w:themeColor="text1" w:themeTint="F2"/>
                <w:spacing w:val="-5"/>
              </w:rPr>
              <w:t xml:space="preserve"> byl tažen hlavně rychle oživujícím hudebním a filmovým průmyslem</w:t>
            </w:r>
            <w:r>
              <w:rPr>
                <w:rStyle w:val="Znakapoznpodarou"/>
                <w:color w:val="0D0D0D" w:themeColor="text1" w:themeTint="F2"/>
                <w:spacing w:val="-5"/>
              </w:rPr>
              <w:footnoteReference w:id="42"/>
            </w:r>
            <w:r>
              <w:rPr>
                <w:color w:val="0D0D0D" w:themeColor="text1" w:themeTint="F2"/>
                <w:spacing w:val="-5"/>
              </w:rPr>
              <w:t xml:space="preserve">, jehož tržby již převýšily </w:t>
            </w:r>
            <w:proofErr w:type="spellStart"/>
            <w:r>
              <w:rPr>
                <w:color w:val="0D0D0D" w:themeColor="text1" w:themeTint="F2"/>
                <w:spacing w:val="-5"/>
              </w:rPr>
              <w:t>předpandemickou</w:t>
            </w:r>
            <w:proofErr w:type="spellEnd"/>
            <w:r>
              <w:rPr>
                <w:color w:val="0D0D0D" w:themeColor="text1" w:themeTint="F2"/>
                <w:spacing w:val="-5"/>
              </w:rPr>
              <w:t xml:space="preserve"> úroveň. To platilo i o všech ostatních dílčích odvětvích ICT, která profitovala z dlouhodobého růstu poptávky, na němž se období pandemie negativně nepodepsalo. </w:t>
            </w:r>
            <w:r w:rsidRPr="007177C2">
              <w:rPr>
                <w:color w:val="0D0D0D" w:themeColor="text1" w:themeTint="F2"/>
                <w:spacing w:val="-4"/>
              </w:rPr>
              <w:t>V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7177C2">
              <w:rPr>
                <w:color w:val="0D0D0D" w:themeColor="text1" w:themeTint="F2"/>
                <w:spacing w:val="-4"/>
              </w:rPr>
              <w:t>odvětví profesní</w:t>
            </w:r>
            <w:r w:rsidR="00323A2F">
              <w:rPr>
                <w:color w:val="0D0D0D" w:themeColor="text1" w:themeTint="F2"/>
                <w:spacing w:val="-4"/>
              </w:rPr>
              <w:t>ch, vědeckých</w:t>
            </w:r>
            <w:r w:rsidRPr="007177C2">
              <w:rPr>
                <w:color w:val="0D0D0D" w:themeColor="text1" w:themeTint="F2"/>
                <w:spacing w:val="-4"/>
              </w:rPr>
              <w:t xml:space="preserve">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="00323A2F">
              <w:rPr>
                <w:color w:val="0D0D0D" w:themeColor="text1" w:themeTint="F2"/>
                <w:spacing w:val="-4"/>
              </w:rPr>
              <w:t>technických činností</w:t>
            </w:r>
            <w:r>
              <w:rPr>
                <w:color w:val="0D0D0D" w:themeColor="text1" w:themeTint="F2"/>
                <w:spacing w:val="-4"/>
              </w:rPr>
              <w:t xml:space="preserve">, </w:t>
            </w:r>
            <w:r w:rsidRPr="007177C2">
              <w:rPr>
                <w:color w:val="0D0D0D" w:themeColor="text1" w:themeTint="F2"/>
                <w:spacing w:val="-4"/>
              </w:rPr>
              <w:t>z velké části závislé</w:t>
            </w:r>
            <w:r>
              <w:rPr>
                <w:color w:val="0D0D0D" w:themeColor="text1" w:themeTint="F2"/>
                <w:spacing w:val="-4"/>
              </w:rPr>
              <w:t>m</w:t>
            </w:r>
            <w:r w:rsidRPr="007177C2">
              <w:rPr>
                <w:color w:val="0D0D0D" w:themeColor="text1" w:themeTint="F2"/>
                <w:spacing w:val="-4"/>
              </w:rPr>
              <w:t xml:space="preserve"> na firemní poptávce</w:t>
            </w:r>
            <w:r>
              <w:rPr>
                <w:color w:val="0D0D0D" w:themeColor="text1" w:themeTint="F2"/>
                <w:spacing w:val="-4"/>
              </w:rPr>
              <w:t>,</w:t>
            </w:r>
            <w:r w:rsidRPr="007177C2">
              <w:rPr>
                <w:color w:val="0D0D0D" w:themeColor="text1" w:themeTint="F2"/>
                <w:spacing w:val="-4"/>
              </w:rPr>
              <w:t xml:space="preserve"> vzrostly ve 3.</w:t>
            </w:r>
            <w:r>
              <w:rPr>
                <w:color w:val="0D0D0D" w:themeColor="text1" w:themeTint="F2"/>
                <w:spacing w:val="-4"/>
              </w:rPr>
              <w:t> čt</w:t>
            </w:r>
            <w:r w:rsidRPr="007177C2">
              <w:rPr>
                <w:color w:val="0D0D0D" w:themeColor="text1" w:themeTint="F2"/>
                <w:spacing w:val="-4"/>
              </w:rPr>
              <w:t>vrtletí tržby meziročně o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7177C2">
              <w:rPr>
                <w:color w:val="0D0D0D" w:themeColor="text1" w:themeTint="F2"/>
                <w:spacing w:val="-4"/>
              </w:rPr>
              <w:t>7,3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7177C2">
              <w:rPr>
                <w:color w:val="0D0D0D" w:themeColor="text1" w:themeTint="F2"/>
                <w:spacing w:val="-4"/>
              </w:rPr>
              <w:t xml:space="preserve">. Přispěly k tomu </w:t>
            </w:r>
            <w:r>
              <w:rPr>
                <w:color w:val="0D0D0D" w:themeColor="text1" w:themeTint="F2"/>
                <w:spacing w:val="-4"/>
              </w:rPr>
              <w:t>především</w:t>
            </w:r>
            <w:r w:rsidRPr="007177C2">
              <w:rPr>
                <w:color w:val="0D0D0D" w:themeColor="text1" w:themeTint="F2"/>
                <w:spacing w:val="-4"/>
              </w:rPr>
              <w:t xml:space="preserve"> architektonické a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7177C2">
              <w:rPr>
                <w:color w:val="0D0D0D" w:themeColor="text1" w:themeTint="F2"/>
                <w:spacing w:val="-4"/>
              </w:rPr>
              <w:t>inženýrské činnosti. Dvojciferným tempem rostly tržby i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7177C2">
              <w:rPr>
                <w:color w:val="0D0D0D" w:themeColor="text1" w:themeTint="F2"/>
                <w:spacing w:val="-4"/>
              </w:rPr>
              <w:t>v oblasti reklamy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7177C2">
              <w:rPr>
                <w:color w:val="0D0D0D" w:themeColor="text1" w:themeTint="F2"/>
                <w:spacing w:val="-6"/>
              </w:rPr>
              <w:t>průzkumu</w:t>
            </w:r>
            <w:r>
              <w:rPr>
                <w:color w:val="0D0D0D" w:themeColor="text1" w:themeTint="F2"/>
                <w:spacing w:val="-6"/>
              </w:rPr>
              <w:t xml:space="preserve"> trhu a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7177C2">
              <w:rPr>
                <w:color w:val="0D0D0D" w:themeColor="text1" w:themeTint="F2"/>
                <w:spacing w:val="-6"/>
              </w:rPr>
              <w:t>též v</w:t>
            </w:r>
            <w:r>
              <w:rPr>
                <w:color w:val="0D0D0D" w:themeColor="text1" w:themeTint="F2"/>
                <w:spacing w:val="-6"/>
              </w:rPr>
              <w:t> </w:t>
            </w:r>
            <w:r w:rsidRPr="007177C2">
              <w:rPr>
                <w:color w:val="0D0D0D" w:themeColor="text1" w:themeTint="F2"/>
                <w:spacing w:val="-6"/>
              </w:rPr>
              <w:t>činnostech vedení podniků (</w:t>
            </w:r>
            <w:r>
              <w:rPr>
                <w:color w:val="0D0D0D" w:themeColor="text1" w:themeTint="F2"/>
                <w:spacing w:val="-6"/>
              </w:rPr>
              <w:t>včetně</w:t>
            </w:r>
            <w:r w:rsidRPr="007177C2">
              <w:rPr>
                <w:color w:val="0D0D0D" w:themeColor="text1" w:themeTint="F2"/>
                <w:spacing w:val="-6"/>
              </w:rPr>
              <w:t xml:space="preserve"> poradenství v oblasti řízení). Nepříznivá</w:t>
            </w:r>
            <w:r w:rsidRPr="007177C2">
              <w:rPr>
                <w:color w:val="0D0D0D" w:themeColor="text1" w:themeTint="F2"/>
                <w:spacing w:val="-4"/>
              </w:rPr>
              <w:t xml:space="preserve"> situace přetrvávala v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7177C2">
              <w:rPr>
                <w:color w:val="0D0D0D" w:themeColor="text1" w:themeTint="F2"/>
                <w:spacing w:val="-4"/>
              </w:rPr>
              <w:t>ostatních profesních, vědeckých a technických činnostech (zahrnujících např. fotografické, návrhářské či překladatelské činnosti), kde jsou významně zastoupeny osoby samostatně výdělečně</w:t>
            </w:r>
            <w:r w:rsidRPr="007177C2">
              <w:rPr>
                <w:rFonts w:cs="Arial"/>
                <w:bCs/>
                <w:color w:val="0D0D0D"/>
                <w:spacing w:val="-4"/>
              </w:rPr>
              <w:t xml:space="preserve"> činné. Tržby zde za poslední tři roky propadly</w:t>
            </w:r>
            <w:r>
              <w:rPr>
                <w:rFonts w:cs="Arial"/>
                <w:bCs/>
                <w:color w:val="0D0D0D"/>
                <w:spacing w:val="-4"/>
              </w:rPr>
              <w:t xml:space="preserve"> o více než pěti</w:t>
            </w:r>
            <w:r w:rsidRPr="007177C2">
              <w:rPr>
                <w:rFonts w:cs="Arial"/>
                <w:bCs/>
                <w:color w:val="0D0D0D"/>
                <w:spacing w:val="-4"/>
              </w:rPr>
              <w:t>nu.</w:t>
            </w:r>
            <w:r>
              <w:rPr>
                <w:rFonts w:cs="Arial"/>
                <w:bCs/>
                <w:color w:val="0D0D0D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5"/>
              </w:rPr>
              <w:t>Svižný růst meziročních tržeb v odvětví administrativní</w:t>
            </w:r>
            <w:r w:rsidR="00323A2F">
              <w:rPr>
                <w:color w:val="0D0D0D" w:themeColor="text1" w:themeTint="F2"/>
                <w:spacing w:val="-5"/>
              </w:rPr>
              <w:t>ch</w:t>
            </w:r>
            <w:r w:rsidRPr="005E3113">
              <w:rPr>
                <w:color w:val="0D0D0D" w:themeColor="text1" w:themeTint="F2"/>
                <w:spacing w:val="-5"/>
              </w:rPr>
              <w:t xml:space="preserve"> </w:t>
            </w:r>
            <w:r>
              <w:rPr>
                <w:color w:val="0D0D0D" w:themeColor="text1" w:themeTint="F2"/>
                <w:spacing w:val="-5"/>
              </w:rPr>
              <w:lastRenderedPageBreak/>
              <w:t>a</w:t>
            </w:r>
            <w:r w:rsidRPr="005E3113">
              <w:rPr>
                <w:color w:val="0D0D0D" w:themeColor="text1" w:themeTint="F2"/>
                <w:spacing w:val="-4"/>
              </w:rPr>
              <w:t> </w:t>
            </w:r>
            <w:r w:rsidR="00323A2F">
              <w:rPr>
                <w:color w:val="0D0D0D" w:themeColor="text1" w:themeTint="F2"/>
                <w:spacing w:val="-5"/>
              </w:rPr>
              <w:t>podpůrných</w:t>
            </w:r>
            <w:r w:rsidRPr="005E3113">
              <w:rPr>
                <w:color w:val="0D0D0D" w:themeColor="text1" w:themeTint="F2"/>
                <w:spacing w:val="-5"/>
              </w:rPr>
              <w:t xml:space="preserve"> činno</w:t>
            </w:r>
            <w:r w:rsidR="00323A2F">
              <w:rPr>
                <w:color w:val="0D0D0D" w:themeColor="text1" w:themeTint="F2"/>
                <w:spacing w:val="-5"/>
              </w:rPr>
              <w:t>stí</w:t>
            </w:r>
            <w:r>
              <w:rPr>
                <w:color w:val="0D0D0D" w:themeColor="text1" w:themeTint="F2"/>
                <w:spacing w:val="-5"/>
              </w:rPr>
              <w:t xml:space="preserve"> (18,8</w:t>
            </w:r>
            <w:r w:rsidRPr="005E3113">
              <w:rPr>
                <w:color w:val="0D0D0D" w:themeColor="text1" w:themeTint="F2"/>
                <w:spacing w:val="-5"/>
              </w:rPr>
              <w:t> </w:t>
            </w:r>
            <w:r>
              <w:rPr>
                <w:color w:val="0D0D0D" w:themeColor="text1" w:themeTint="F2"/>
                <w:spacing w:val="-5"/>
              </w:rPr>
              <w:t>% ve 3. čtvrtletí) byl z velké části ovlivněn oživením poptávky</w:t>
            </w:r>
            <w:r w:rsidR="00323A2F">
              <w:rPr>
                <w:color w:val="0D0D0D" w:themeColor="text1" w:themeTint="F2"/>
                <w:spacing w:val="-5"/>
              </w:rPr>
              <w:t xml:space="preserve"> v oblasti cestovních agentur. </w:t>
            </w:r>
            <w:r w:rsidR="00323A2F">
              <w:t>Naopak tržby pracovních agentur zaznamenaly mírný pokles</w:t>
            </w:r>
            <w:r>
              <w:rPr>
                <w:color w:val="0D0D0D" w:themeColor="text1" w:themeTint="F2"/>
                <w:spacing w:val="-5"/>
              </w:rPr>
              <w:t>. Tržby drtivé většiny dílčích odvětví náležejících do administrativních</w:t>
            </w:r>
            <w:r w:rsidRPr="005E3113">
              <w:rPr>
                <w:color w:val="0D0D0D" w:themeColor="text1" w:themeTint="F2"/>
                <w:spacing w:val="-5"/>
              </w:rPr>
              <w:t xml:space="preserve"> </w:t>
            </w:r>
            <w:r>
              <w:rPr>
                <w:color w:val="0D0D0D" w:themeColor="text1" w:themeTint="F2"/>
                <w:spacing w:val="-5"/>
              </w:rPr>
              <w:t>a</w:t>
            </w:r>
            <w:r w:rsidRPr="005E3113"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5"/>
              </w:rPr>
              <w:t>podpůrných</w:t>
            </w:r>
            <w:r w:rsidRPr="005E3113">
              <w:rPr>
                <w:color w:val="0D0D0D" w:themeColor="text1" w:themeTint="F2"/>
                <w:spacing w:val="-5"/>
              </w:rPr>
              <w:t xml:space="preserve"> činno</w:t>
            </w:r>
            <w:r>
              <w:rPr>
                <w:color w:val="0D0D0D" w:themeColor="text1" w:themeTint="F2"/>
                <w:spacing w:val="-5"/>
              </w:rPr>
              <w:t>stí se nacházely pod úrovní roku 2019.</w:t>
            </w:r>
          </w:p>
        </w:tc>
      </w:tr>
      <w:tr w:rsidR="00700E8A" w:rsidRPr="00191C35" w14:paraId="117C279F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6975B253" w14:textId="77777777" w:rsidR="00700E8A" w:rsidRDefault="00700E8A" w:rsidP="00150ECA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346F7E3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34A0A239" w14:textId="77777777" w:rsidR="00700E8A" w:rsidRPr="00BA07CB" w:rsidRDefault="00700E8A" w:rsidP="00150ECA">
            <w:pPr>
              <w:spacing w:after="0"/>
              <w:rPr>
                <w:szCs w:val="20"/>
              </w:rPr>
            </w:pPr>
            <w:r w:rsidRPr="00BA07CB">
              <w:rPr>
                <w:b/>
              </w:rPr>
              <w:t xml:space="preserve">Graf č. 7  Příspěvky </w:t>
            </w:r>
            <w:r>
              <w:rPr>
                <w:b/>
              </w:rPr>
              <w:t xml:space="preserve">dílčích </w:t>
            </w:r>
            <w:r w:rsidRPr="00BA07CB">
              <w:rPr>
                <w:b/>
              </w:rPr>
              <w:t>odvětví k meziroční změně tržeb ve službách*</w:t>
            </w:r>
            <w:r w:rsidRPr="00BA07CB">
              <w:rPr>
                <w:b/>
              </w:rPr>
              <w:br/>
            </w:r>
            <w:r w:rsidRPr="00BA07CB">
              <w:t>(v p. b., očištěno o kalendářní vlivy)</w:t>
            </w:r>
            <w:r w:rsidRPr="00BA07CB">
              <w:rPr>
                <w:b/>
                <w:bCs/>
              </w:rPr>
              <w:t xml:space="preserve">, </w:t>
            </w:r>
            <w:r w:rsidRPr="00BA07CB">
              <w:rPr>
                <w:b/>
              </w:rPr>
              <w:t>saldo indikátoru důvěry ve službách**</w:t>
            </w:r>
            <w:r w:rsidRPr="00BA07CB">
              <w:rPr>
                <w:b/>
              </w:rPr>
              <w:br/>
            </w:r>
            <w:r w:rsidRPr="00BA07CB">
              <w:t>(v p. b., pravá osa)</w:t>
            </w:r>
            <w:r w:rsidRPr="00BA07CB">
              <w:rPr>
                <w:b/>
              </w:rPr>
              <w:t xml:space="preserve"> a vybrané bariéry růstu*</w:t>
            </w:r>
            <w:r w:rsidRPr="00BA07CB">
              <w:t>* (v %, pravá osa)</w:t>
            </w:r>
          </w:p>
        </w:tc>
      </w:tr>
      <w:tr w:rsidR="00700E8A" w:rsidRPr="00191C35" w14:paraId="2F2C4415" w14:textId="77777777" w:rsidTr="00150ECA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28" w:type="dxa"/>
            <w:shd w:val="clear" w:color="auto" w:fill="auto"/>
          </w:tcPr>
          <w:p w14:paraId="6308BA1A" w14:textId="77777777" w:rsidR="00700E8A" w:rsidRDefault="00700E8A" w:rsidP="00150ECA">
            <w:pPr>
              <w:pStyle w:val="Marginlie"/>
            </w:pPr>
          </w:p>
        </w:tc>
        <w:tc>
          <w:tcPr>
            <w:tcW w:w="206" w:type="dxa"/>
            <w:shd w:val="clear" w:color="auto" w:fill="auto"/>
          </w:tcPr>
          <w:p w14:paraId="60D87240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</w:tcPr>
          <w:p w14:paraId="6AA3F649" w14:textId="77777777" w:rsidR="00700E8A" w:rsidRPr="004D53D9" w:rsidRDefault="00700E8A" w:rsidP="00150ECA">
            <w:pPr>
              <w:spacing w:after="0"/>
              <w:rPr>
                <w:spacing w:val="-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2B63F5" wp14:editId="733BA3E1">
                  <wp:extent cx="4777105" cy="3352800"/>
                  <wp:effectExtent l="0" t="0" r="4445" b="0"/>
                  <wp:docPr id="10" name="Graf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700E8A" w:rsidRPr="00191C35" w14:paraId="6535958F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503CB33E" w14:textId="77777777" w:rsidR="00700E8A" w:rsidRDefault="00700E8A" w:rsidP="00150ECA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3B534A7" w14:textId="77777777" w:rsidR="00700E8A" w:rsidRPr="00B43216" w:rsidRDefault="00700E8A" w:rsidP="00150ECA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19B1D06C" w14:textId="77777777" w:rsidR="00700E8A" w:rsidRPr="00883202" w:rsidRDefault="00700E8A" w:rsidP="00150ECA">
            <w:pPr>
              <w:spacing w:after="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</w:t>
            </w:r>
            <w:r w:rsidRPr="00883202">
              <w:rPr>
                <w:color w:val="0D0D0D" w:themeColor="text1" w:themeTint="F2"/>
                <w:sz w:val="14"/>
                <w:szCs w:val="14"/>
              </w:rPr>
              <w:t>Bez odvětví obchodu, peněžnictví, pojišťovnictví, vědy, výzkumu a veřejných služeb.</w:t>
            </w:r>
          </w:p>
          <w:p w14:paraId="55958C56" w14:textId="77777777" w:rsidR="00700E8A" w:rsidRPr="00417064" w:rsidRDefault="00700E8A" w:rsidP="00150ECA">
            <w:pPr>
              <w:tabs>
                <w:tab w:val="right" w:pos="7711"/>
              </w:tabs>
              <w:spacing w:after="18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**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 xml:space="preserve">Zahrnuje i finanční sektor. Saldo důvěry i bariéry růstu jsou sezónně očištěny a vyjadřují stav </w:t>
            </w:r>
            <w:r>
              <w:rPr>
                <w:rFonts w:cs="Arial"/>
                <w:spacing w:val="-2"/>
                <w:sz w:val="14"/>
                <w:szCs w:val="14"/>
              </w:rPr>
              <w:t xml:space="preserve">v prvním (bariéry růstu), resp. 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>ve druhém měsíci daného čtvrtletí</w:t>
            </w:r>
            <w:r>
              <w:rPr>
                <w:rFonts w:cs="Arial"/>
                <w:spacing w:val="-2"/>
                <w:sz w:val="14"/>
                <w:szCs w:val="14"/>
              </w:rPr>
              <w:t xml:space="preserve"> (saldo důvěry)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>.</w:t>
            </w:r>
            <w:r>
              <w:rPr>
                <w:rFonts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Podniky mohly uvést více hlavních bariér současně.</w:t>
            </w:r>
            <w:r>
              <w:rPr>
                <w:rFonts w:cs="Arial"/>
                <w:sz w:val="14"/>
                <w:szCs w:val="14"/>
              </w:rPr>
              <w:tab/>
              <w:t>Z</w:t>
            </w:r>
            <w:r w:rsidRPr="00883202">
              <w:rPr>
                <w:rFonts w:cs="Arial"/>
                <w:sz w:val="14"/>
                <w:szCs w:val="14"/>
              </w:rPr>
              <w:t>droj: ČSÚ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cs="Arial"/>
                <w:sz w:val="14"/>
                <w:szCs w:val="14"/>
              </w:rPr>
              <w:t>Eurostat</w:t>
            </w:r>
            <w:proofErr w:type="spellEnd"/>
          </w:p>
        </w:tc>
      </w:tr>
      <w:tr w:rsidR="00700E8A" w:rsidRPr="007B59C1" w14:paraId="3369A899" w14:textId="77777777" w:rsidTr="00150ECA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53B77261" w14:textId="77777777" w:rsidR="00700E8A" w:rsidRDefault="00700E8A" w:rsidP="00150ECA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Meziroční růst maloobchodních tržeb navázal ve 3. čtvrtletí na tempa z období před začátkem pandemie.</w:t>
            </w:r>
          </w:p>
          <w:p w14:paraId="3FABCE80" w14:textId="77777777" w:rsidR="00700E8A" w:rsidRDefault="00700E8A" w:rsidP="00150ECA">
            <w:pPr>
              <w:pStyle w:val="Marginlie"/>
              <w:rPr>
                <w:color w:val="0D0D0D" w:themeColor="text1" w:themeTint="F2"/>
              </w:rPr>
            </w:pPr>
          </w:p>
          <w:p w14:paraId="3D1DE77B" w14:textId="77777777" w:rsidR="00700E8A" w:rsidRDefault="00700E8A" w:rsidP="00150ECA">
            <w:pPr>
              <w:pStyle w:val="Marginlie"/>
              <w:rPr>
                <w:color w:val="0D0D0D" w:themeColor="text1" w:themeTint="F2"/>
              </w:rPr>
            </w:pPr>
          </w:p>
          <w:p w14:paraId="3F463180" w14:textId="77777777" w:rsidR="00700E8A" w:rsidRDefault="00700E8A" w:rsidP="00150ECA">
            <w:pPr>
              <w:pStyle w:val="Marginlie"/>
              <w:rPr>
                <w:color w:val="0D0D0D" w:themeColor="text1" w:themeTint="F2"/>
              </w:rPr>
            </w:pPr>
          </w:p>
          <w:p w14:paraId="02E5D0D9" w14:textId="77777777" w:rsidR="00700E8A" w:rsidRDefault="00700E8A" w:rsidP="00150ECA">
            <w:pPr>
              <w:pStyle w:val="Marginlie"/>
              <w:rPr>
                <w:color w:val="0D0D0D" w:themeColor="text1" w:themeTint="F2"/>
              </w:rPr>
            </w:pPr>
          </w:p>
          <w:p w14:paraId="4589C409" w14:textId="77777777" w:rsidR="00700E8A" w:rsidRDefault="00700E8A" w:rsidP="00150ECA">
            <w:pPr>
              <w:pStyle w:val="Marginlie"/>
              <w:rPr>
                <w:color w:val="0D0D0D" w:themeColor="text1" w:themeTint="F2"/>
              </w:rPr>
            </w:pPr>
          </w:p>
          <w:p w14:paraId="513277BF" w14:textId="77777777" w:rsidR="00700E8A" w:rsidRPr="007B59C1" w:rsidRDefault="00700E8A" w:rsidP="00150ECA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Tržby za prodej nepotravinářského zboží byly výrazně taženy internetovým obchodem.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1828A924" w14:textId="77777777" w:rsidR="00700E8A" w:rsidRPr="007B59C1" w:rsidRDefault="00700E8A" w:rsidP="00150ECA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6AED79E1" w14:textId="089AF0E3" w:rsidR="00700E8A" w:rsidRPr="007B59C1" w:rsidRDefault="00700E8A" w:rsidP="00150ECA">
            <w:pPr>
              <w:spacing w:after="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 w:rsidRPr="002617EE">
              <w:rPr>
                <w:rFonts w:cs="Arial"/>
                <w:color w:val="0D0D0D" w:themeColor="text1" w:themeTint="F2"/>
                <w:spacing w:val="-4"/>
                <w:szCs w:val="20"/>
              </w:rPr>
              <w:t>Maloobchodní tržby</w:t>
            </w:r>
            <w:r w:rsidRPr="002617EE">
              <w:rPr>
                <w:rStyle w:val="Znakapoznpodarou"/>
                <w:color w:val="0D0D0D" w:themeColor="text1" w:themeTint="F2"/>
                <w:spacing w:val="-4"/>
              </w:rPr>
              <w:footnoteReference w:id="43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reagovaly letos na jarní uvolnění restrikcí prudkým květnovým posílením (8,7 % meziměsíčně). Od června do září ale meziměsíční změny jen lehce kolísaly mezi růstem a poklesem. Za 3. čtvrtletí vzrostly tržby meziročně o 4,0 %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44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a navázaly na tempa z období těsně před propuknutím pandemie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45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. Svižně rostly tržby za nepotravinářské zboží (8,0 %), ve kterých se mohl projevovat vliv odložené spotřeby,</w:t>
            </w:r>
            <w:r>
              <w:rPr>
                <w:color w:val="0D0D0D" w:themeColor="text1" w:themeTint="F2"/>
                <w:spacing w:val="-5"/>
              </w:rPr>
              <w:t xml:space="preserve"> i 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obliba nákupů přes internet, které se během pandemie pro část spotřebitelů patrně staly dominantním nákupním kanálem. V rámci specializovaných prodejen rostly nejvíce tržby v obchodech s počítačovým a komunikačním zařízením (10,8 %) a v obchodech s výrobky pro domácnost (6,7 %). Vyšší poptávku zaznamenaly i prodejny s </w:t>
            </w:r>
            <w:r w:rsidRPr="00862269">
              <w:rPr>
                <w:rFonts w:cs="Arial"/>
                <w:color w:val="0D0D0D" w:themeColor="text1" w:themeTint="F2"/>
                <w:spacing w:val="-4"/>
                <w:szCs w:val="20"/>
              </w:rPr>
              <w:t>oděvy, obuví a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 w:rsidRPr="00862269">
              <w:rPr>
                <w:rFonts w:cs="Arial"/>
                <w:color w:val="0D0D0D" w:themeColor="text1" w:themeTint="F2"/>
                <w:spacing w:val="-4"/>
                <w:szCs w:val="20"/>
              </w:rPr>
              <w:t>koženým zbožím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(ty přitom loni v létě stále vykazovaly u tržeb meziroční pokles). Tržby za prodej potravin se letos ve 3. čtvrtletí o 0,8 % snížily, mírný</w:t>
            </w:r>
            <w:r w:rsidR="00225000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meziroční pokles hlásily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jak specializované prodejny potravin, tak velké řetězce. Prodejci pohonných hmot stržili meziročně o 3,1 % více, proti vyššímu růstu mohly působit sílící ceny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46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. V motoristickém segmentu obchodu (CZ-NACE 45) klesly ve 3. čtvrtletí tržby meziročně o 2,1 % a ve dvouletém srovnání propadly o 10,1 % </w:t>
            </w:r>
            <w:r w:rsidRPr="00A13392">
              <w:rPr>
                <w:rFonts w:cs="Arial"/>
                <w:color w:val="0D0D0D" w:themeColor="text1" w:themeTint="F2"/>
                <w:spacing w:val="-6"/>
                <w:szCs w:val="20"/>
              </w:rPr>
              <w:t>(</w:t>
            </w:r>
            <w:r>
              <w:rPr>
                <w:rFonts w:cs="Arial"/>
                <w:color w:val="0D0D0D" w:themeColor="text1" w:themeTint="F2"/>
                <w:spacing w:val="-6"/>
                <w:szCs w:val="20"/>
              </w:rPr>
              <w:t>pouze</w:t>
            </w:r>
            <w:r w:rsidRPr="00A13392">
              <w:rPr>
                <w:rFonts w:cs="Arial"/>
                <w:color w:val="0D0D0D" w:themeColor="text1" w:themeTint="F2"/>
                <w:spacing w:val="-6"/>
                <w:szCs w:val="20"/>
              </w:rPr>
              <w:t xml:space="preserve"> tržby za opravy a</w:t>
            </w:r>
            <w:r>
              <w:rPr>
                <w:rFonts w:cs="Arial"/>
                <w:color w:val="0D0D0D" w:themeColor="text1" w:themeTint="F2"/>
                <w:spacing w:val="-6"/>
                <w:szCs w:val="20"/>
              </w:rPr>
              <w:t> </w:t>
            </w:r>
            <w:r w:rsidRPr="00A13392">
              <w:rPr>
                <w:rFonts w:cs="Arial"/>
                <w:color w:val="0D0D0D" w:themeColor="text1" w:themeTint="F2"/>
                <w:spacing w:val="-6"/>
                <w:szCs w:val="20"/>
              </w:rPr>
              <w:t>údržbu motorových vozidel kromě motocyklů klesly mírněji, o</w:t>
            </w:r>
            <w:r>
              <w:rPr>
                <w:rFonts w:cs="Arial"/>
                <w:color w:val="0D0D0D" w:themeColor="text1" w:themeTint="F2"/>
                <w:spacing w:val="-6"/>
                <w:szCs w:val="20"/>
              </w:rPr>
              <w:t> </w:t>
            </w:r>
            <w:r w:rsidRPr="00A13392">
              <w:rPr>
                <w:rFonts w:cs="Arial"/>
                <w:color w:val="0D0D0D" w:themeColor="text1" w:themeTint="F2"/>
                <w:spacing w:val="-6"/>
                <w:szCs w:val="20"/>
              </w:rPr>
              <w:t>2,3</w:t>
            </w:r>
            <w:r>
              <w:rPr>
                <w:rFonts w:cs="Arial"/>
                <w:color w:val="0D0D0D" w:themeColor="text1" w:themeTint="F2"/>
                <w:spacing w:val="-6"/>
                <w:szCs w:val="20"/>
              </w:rPr>
              <w:t> %</w:t>
            </w:r>
            <w:r w:rsidRPr="00A13392">
              <w:rPr>
                <w:rFonts w:cs="Arial"/>
                <w:color w:val="0D0D0D" w:themeColor="text1" w:themeTint="F2"/>
                <w:spacing w:val="-6"/>
                <w:szCs w:val="20"/>
              </w:rPr>
              <w:t>).</w:t>
            </w:r>
          </w:p>
        </w:tc>
      </w:tr>
    </w:tbl>
    <w:p w14:paraId="3BFBA732" w14:textId="03772FCB" w:rsidR="00700E8A" w:rsidRPr="00225000" w:rsidRDefault="00700E8A">
      <w:pPr>
        <w:spacing w:after="0" w:line="240" w:lineRule="auto"/>
        <w:jc w:val="left"/>
        <w:rPr>
          <w:rFonts w:eastAsia="MS Gothic"/>
          <w:b/>
          <w:bCs/>
          <w:color w:val="71818C"/>
          <w:sz w:val="2"/>
          <w:szCs w:val="2"/>
        </w:rPr>
      </w:pPr>
      <w:r w:rsidRPr="00225000">
        <w:rPr>
          <w:sz w:val="2"/>
          <w:szCs w:val="2"/>
        </w:rPr>
        <w:br w:type="page"/>
      </w:r>
    </w:p>
    <w:p w14:paraId="58F0A287" w14:textId="79FB626B" w:rsidR="00FD7D3B" w:rsidRPr="009110F7" w:rsidRDefault="008E51EB" w:rsidP="00FD7D3B">
      <w:pPr>
        <w:pStyle w:val="Nadpis11"/>
      </w:pPr>
      <w:bookmarkStart w:id="15" w:name="_Toc90456604"/>
      <w:r>
        <w:lastRenderedPageBreak/>
        <w:t>4</w:t>
      </w:r>
      <w:bookmarkStart w:id="16" w:name="_Toc511215218"/>
      <w:bookmarkStart w:id="17" w:name="_Toc19090679"/>
      <w:bookmarkStart w:id="18" w:name="_Toc74643856"/>
      <w:bookmarkStart w:id="19" w:name="_Toc42852411"/>
      <w:bookmarkStart w:id="20" w:name="_Toc74643857"/>
      <w:bookmarkStart w:id="21" w:name="_Toc50712130"/>
      <w:bookmarkStart w:id="22" w:name="_Toc58605377"/>
      <w:bookmarkStart w:id="23" w:name="_Toc26865023"/>
      <w:bookmarkStart w:id="24" w:name="_Toc74246554"/>
      <w:bookmarkStart w:id="25" w:name="_Toc66719933"/>
      <w:bookmarkStart w:id="26" w:name="_Toc50712132"/>
      <w:bookmarkEnd w:id="10"/>
      <w:bookmarkEnd w:id="11"/>
      <w:bookmarkEnd w:id="12"/>
      <w:bookmarkEnd w:id="13"/>
      <w:bookmarkEnd w:id="16"/>
      <w:bookmarkEnd w:id="17"/>
      <w:r w:rsidR="00FD7D3B" w:rsidRPr="009110F7">
        <w:t>.</w:t>
      </w:r>
      <w:r w:rsidR="00FD7D3B">
        <w:t> </w:t>
      </w:r>
      <w:r w:rsidR="00FD7D3B" w:rsidRPr="009110F7">
        <w:t>Vnější vztahy</w:t>
      </w:r>
      <w:bookmarkEnd w:id="15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2"/>
        <w:gridCol w:w="223"/>
        <w:gridCol w:w="7654"/>
      </w:tblGrid>
      <w:tr w:rsidR="00FD7D3B" w:rsidRPr="009110F7" w14:paraId="160BF270" w14:textId="77777777" w:rsidTr="00B86EB1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2297E848" w14:textId="77777777" w:rsidR="00FD7D3B" w:rsidRDefault="00FD7D3B" w:rsidP="00B86EB1">
            <w:pPr>
              <w:pStyle w:val="Marginlie"/>
            </w:pPr>
            <w:r>
              <w:t>Výrazný meziroční nárůst hodnoty vývozu v kumulaci od začátku roku byl ovlivněn zejména vývojem ve 2. čtvrtletí. Ve 3. čtvrtletí export rostl jen mírně.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8B6D525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591BAEC0" w14:textId="77777777" w:rsidR="00FD7D3B" w:rsidRPr="00AF6F98" w:rsidRDefault="00FD7D3B" w:rsidP="00B86EB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Hodnota vývozu zboží v 1. až 3. čtvrtletí 2021 dosáhla 2 904,7 mld. korun. To je meziročně o 424,1 mld. (17,1 %) více než ve stejném období loňského roku. Z velké části se na výrazném růstu podílely hlavně výsledky za 2. čtvrtletí – vývoz byl letos výrazně vyšší ve srovnání s loňským 2. kvartálem, ovlivněným prvním nástupem pandemie. V samotném 3. čtvrtletí 2021 se část výrobců navázaných na export potýkala s nedostatkem komponent, což také ovlivnilo výrazné zpomalení růstu vývozu. Celková hodnota vývozu ve 3. čtvrtletí dosáhla 906,5 mld. korun a meziročně se zvýšila o 30,9 mld. (3,5 %).</w:t>
            </w:r>
          </w:p>
        </w:tc>
      </w:tr>
      <w:tr w:rsidR="00FD7D3B" w:rsidRPr="009110F7" w14:paraId="0131550B" w14:textId="77777777" w:rsidTr="00B86EB1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636081BC" w14:textId="77777777" w:rsidR="00FD7D3B" w:rsidRDefault="00FD7D3B" w:rsidP="00B86EB1">
            <w:pPr>
              <w:pStyle w:val="Marginlie"/>
            </w:pPr>
            <w:r>
              <w:t>Růst vývozu ve 3. čtvrtletí podpořil hlavně export do EU.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085DFB57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87FFD9E" w14:textId="77777777" w:rsidR="00FD7D3B" w:rsidRPr="00AF6F98" w:rsidRDefault="00FD7D3B" w:rsidP="00B86EB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Od počátku roku rostl silněji vývoz do EU (meziročně za 1. až 3. čtvrtletí +366,8 mld. korun, 18,6 %). Export mimo EU byl vyšší o 57,1 mld. korun (11,2 %). V samotném 3. čtvrtletí dál meziročně rostl vývoz do zemí EU (+35,6 mld. korun, 5,1 %), zatímco hodnota exportu mimo Unii klesla o 4,9 </w:t>
            </w:r>
            <w:proofErr w:type="gramStart"/>
            <w:r>
              <w:rPr>
                <w:spacing w:val="-4"/>
              </w:rPr>
              <w:t>mld. (–2,7</w:t>
            </w:r>
            <w:proofErr w:type="gramEnd"/>
            <w:r>
              <w:rPr>
                <w:spacing w:val="-4"/>
              </w:rPr>
              <w:t> %). Nejvíce ve 3. čtvrtletí meziročně rostl vývoz do Rakouska (+8,5 mld. korun, 23,8 %) a na Slovensko (+8,1 mld., 9,7 %). Silnější byly také přírůstky v případě Německa (+7,2 mld. korun, 2,6 %), Polska (+6,0 mld., 10,0 %), Itálie (+3,8 </w:t>
            </w:r>
            <w:r w:rsidRPr="00944788">
              <w:t>mld</w:t>
            </w:r>
            <w:r>
              <w:rPr>
                <w:spacing w:val="-4"/>
              </w:rPr>
              <w:t xml:space="preserve">., 13,3 %) a Spojených států (+3,1 mld., 16,0 %). Největší meziroční pokles vykázal vývoz do </w:t>
            </w:r>
            <w:proofErr w:type="gramStart"/>
            <w:r>
              <w:rPr>
                <w:spacing w:val="-4"/>
              </w:rPr>
              <w:t>Ruska (–4,1</w:t>
            </w:r>
            <w:proofErr w:type="gramEnd"/>
            <w:r>
              <w:rPr>
                <w:spacing w:val="-4"/>
              </w:rPr>
              <w:t> mld. korun, –17,8 %), Turecka (–3,8 mld., –29,7 %) a Velké Británie (–3,5 mld., –9,9 %).</w:t>
            </w:r>
          </w:p>
        </w:tc>
      </w:tr>
      <w:tr w:rsidR="00FD7D3B" w:rsidRPr="009110F7" w14:paraId="779FE4C3" w14:textId="77777777" w:rsidTr="00B86EB1">
        <w:trPr>
          <w:trHeight w:val="170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5C9834C7" w14:textId="77777777" w:rsidR="00FD7D3B" w:rsidRDefault="00FD7D3B" w:rsidP="00B86EB1">
            <w:pPr>
              <w:pStyle w:val="Marginlie"/>
            </w:pPr>
            <w:r>
              <w:t>Oslabení dynamiky exportu téměř výhradně souvisí se situací v automobilovém průmyslu.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62D8F75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2CE566A7" w14:textId="00D1488C" w:rsidR="00FD7D3B" w:rsidRPr="00AF6F98" w:rsidRDefault="00FD7D3B" w:rsidP="00B86EB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Výrazný propad dynamiky vývozu ve 3. čtvrtletí lze z velké části přičíst na vrub exportu motorových vozidel (do oddílu patří i karoserie a díly a příslušenství). Ten byl meziročně nižší o 52,0 mld. </w:t>
            </w:r>
            <w:proofErr w:type="gramStart"/>
            <w:r>
              <w:rPr>
                <w:spacing w:val="-4"/>
              </w:rPr>
              <w:t>korun (–21,8</w:t>
            </w:r>
            <w:proofErr w:type="gramEnd"/>
            <w:r>
              <w:rPr>
                <w:spacing w:val="-4"/>
              </w:rPr>
              <w:t xml:space="preserve"> %). Na srovnávací základně loňského roku byl přitom patrný útlum, který přetrvával po šokovém propadu zahraničního obchodu v průběhu jara. Aktuální meziroční propad vývozu motorových vozidel byl způsoben hlavně nedostatkem výrobních komponent a přerušením výroby v letních měsících. Situace exportérů v naprosté většině ostatních odvětví se naopak zlepšovala. Nejvíce se ve 3. čtvrtletí meziročně zvýšila hodnota vývozu základních kovů (+13,0 mld. korun, 43,7 %) a chemických látek a přípravků (+12,4 mld., 31,9 %) – v obou případech měl vliv cenový nárůst. Zvýšení cen stálo i za mimořádně vysokým přírůstkem hodnoty vývozu elektřiny, plynu, páry a klimatizovaného vzduchu (+9,6 mld. korun, 196,9 %). Solidně rostl export většiny významných artiklů – nejvíce elektrických zařízení (+6,6 mld. korun, 8,6 %), kovodělných výrobků (+6,5 mld., 12,1 %) a strojů a zařízení (+5,8 mld., 6,2 %). Netypicky silné přírůstky vykázal </w:t>
            </w:r>
            <w:r w:rsidR="00C95123">
              <w:rPr>
                <w:spacing w:val="-4"/>
              </w:rPr>
              <w:t xml:space="preserve">vlivem nárůstu cen </w:t>
            </w:r>
            <w:r>
              <w:rPr>
                <w:spacing w:val="-4"/>
              </w:rPr>
              <w:t>export dřeva a dřevěných výrobků (+5,2 mld. korun, 50,7 %) a produktů souvisejících s odpadem</w:t>
            </w:r>
            <w:r>
              <w:rPr>
                <w:rStyle w:val="Znakapoznpodarou"/>
                <w:spacing w:val="-4"/>
              </w:rPr>
              <w:footnoteReference w:id="47"/>
            </w:r>
            <w:r>
              <w:rPr>
                <w:spacing w:val="-4"/>
              </w:rPr>
              <w:t xml:space="preserve"> (+5,1 mld., 75,1 %).</w:t>
            </w:r>
          </w:p>
        </w:tc>
      </w:tr>
      <w:tr w:rsidR="00FD7D3B" w:rsidRPr="009110F7" w14:paraId="066EF6DD" w14:textId="77777777" w:rsidTr="00B86EB1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4C1813B6" w14:textId="77777777" w:rsidR="00FD7D3B" w:rsidRDefault="00FD7D3B" w:rsidP="00B86EB1">
            <w:pPr>
              <w:pStyle w:val="Marginlie"/>
            </w:pPr>
            <w:r>
              <w:t>Import ve 3. čtvrtletí velmi silně rostl.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2B90528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F07B9C8" w14:textId="5A905CF5" w:rsidR="00FD7D3B" w:rsidRPr="00AF6F98" w:rsidRDefault="00FD7D3B" w:rsidP="00B86EB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Hodnota dovozu v 1. až 3. čtvrtletí dosáhla celkově 2 87</w:t>
            </w:r>
            <w:r w:rsidR="00C95123">
              <w:rPr>
                <w:spacing w:val="-4"/>
              </w:rPr>
              <w:t>6</w:t>
            </w:r>
            <w:r>
              <w:rPr>
                <w:spacing w:val="-4"/>
              </w:rPr>
              <w:t>,3 mld. korun a meziročně byla vyšší o 496,7 mld. korun (20,9 %). V samotném 3. čtvrtletí dovoz dosáhl 958,3 mld. korun a meziročně se zvýšil o 138,2 mld. (16,8 %). Velmi výraznému nárůstu pomohla i nižší srovnávací základna loňského 3. čtvrtletí, kdy se postupně rozjížděla domácí výroba a investiční i výrobní poptávka byly nižší. Silně se projevily i meziročně vyšší ceny surovin. Výrazně vyšší byl v kumulaci od začátku roku dovoz z Evropské unie (+304,6 mld. korun, 19,9 %) i ze zemí mimo ni (+188,2 mld., 22,5 %). V samotném 3. kvartálu byl dovoz z Unie vyšší o 57,4 mld. korun (10,</w:t>
            </w:r>
            <w:r w:rsidR="00C95123">
              <w:rPr>
                <w:spacing w:val="-4"/>
              </w:rPr>
              <w:t>7</w:t>
            </w:r>
            <w:r>
              <w:rPr>
                <w:spacing w:val="-4"/>
              </w:rPr>
              <w:t> %), zatímco z </w:t>
            </w:r>
            <w:proofErr w:type="spellStart"/>
            <w:r>
              <w:rPr>
                <w:spacing w:val="-4"/>
              </w:rPr>
              <w:t>mimounijních</w:t>
            </w:r>
            <w:proofErr w:type="spellEnd"/>
            <w:r>
              <w:rPr>
                <w:spacing w:val="-4"/>
              </w:rPr>
              <w:t xml:space="preserve"> zemí o 79,6 mld. (28,</w:t>
            </w:r>
            <w:r w:rsidR="00C95123">
              <w:rPr>
                <w:spacing w:val="-4"/>
              </w:rPr>
              <w:t>5</w:t>
            </w:r>
            <w:r>
              <w:rPr>
                <w:spacing w:val="-4"/>
              </w:rPr>
              <w:t> %). Zejména výrazný růst cen ropy a zemního plynu ovlivnil přírůstek hodnoty importu z Ruska (+20,2 mld. korun, 116,4 %), silný byl ale také nárůst u Německa (+16,0 mld., 7,8 %), Číny (+14,7 mld., 14,6 %), Polska (+9,6 mld., 13,1 %) a Slovenska (+9,3 mld., 22,8 %).</w:t>
            </w:r>
          </w:p>
        </w:tc>
      </w:tr>
      <w:tr w:rsidR="00FD7D3B" w:rsidRPr="009110F7" w14:paraId="64E2C276" w14:textId="77777777" w:rsidTr="00B86EB1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6A014184" w14:textId="77777777" w:rsidR="00FD7D3B" w:rsidRDefault="00FD7D3B" w:rsidP="00B86EB1">
            <w:pPr>
              <w:pStyle w:val="Marginlie"/>
            </w:pPr>
            <w:r>
              <w:t>Nejvíce se navyšovala hodnota dovozu surovin – kovů a ropy a zemního plynu.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D3B5EDC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79B30C10" w14:textId="77777777" w:rsidR="00FD7D3B" w:rsidRDefault="00FD7D3B" w:rsidP="00B86EB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K silnému meziročnímu přírůstku hodnoty dovozu ve 3. čtvrtletí nejvíce přispívalo navýšení cen některých surovin. To se projevilo zejména u základních kovů (+31,2 mld. korun, 58,3 %), ropy a zemního plynu (+27,9 mld., 145,7 %) a souvislost s růstem cen ropy lze najít i ve vývoji dovozu chemických látek a přípravků (+17,6 mld., 26,5 %). Cenové vlivy se projevily také na zvýšeném dovozu koksu a rafinovaných ropných produktů (+8,0 mld. </w:t>
            </w:r>
            <w:r>
              <w:rPr>
                <w:spacing w:val="-4"/>
              </w:rPr>
              <w:lastRenderedPageBreak/>
              <w:t xml:space="preserve">korun, 69,8 %) a také u elektřiny, plynu, páry a klimatizovaného vzduchu (+4,4 mld., 148,4 %). Rostl ale dovoz naprosté většiny zboží. Vyšší byl mimo jiné import elektrických zařízení (+15,5 mld. korun, 22,1 %), strojů a zařízení (+7,7 mld., 9,8 %), počítačů, elektronických a optických přístrojů (+6,7 mld., 6,6 %) nebo pryžových a plastových výrobků (+5,7 mld., 13,0 %). Výrazně se naopak propadl dovoz motorových </w:t>
            </w:r>
            <w:proofErr w:type="gramStart"/>
            <w:r>
              <w:rPr>
                <w:spacing w:val="-4"/>
              </w:rPr>
              <w:t>vozidel (–18,2</w:t>
            </w:r>
            <w:proofErr w:type="gramEnd"/>
            <w:r>
              <w:rPr>
                <w:spacing w:val="-4"/>
              </w:rPr>
              <w:t> mld. korun, –14,5 %).</w:t>
            </w:r>
          </w:p>
        </w:tc>
      </w:tr>
      <w:tr w:rsidR="00FD7D3B" w:rsidRPr="009110F7" w14:paraId="0715AC62" w14:textId="77777777" w:rsidTr="00B86EB1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6A4B246C" w14:textId="77777777" w:rsidR="00FD7D3B" w:rsidRDefault="00FD7D3B" w:rsidP="00B86EB1">
            <w:pPr>
              <w:pStyle w:val="Marginlie"/>
            </w:pPr>
            <w:r>
              <w:lastRenderedPageBreak/>
              <w:t>Bilance zahraničního obchodu ve 3. čtvrtletí spadla do poměrně hlubokého deficitu.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FC1313A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18A70CA" w14:textId="69886DA2" w:rsidR="00FD7D3B" w:rsidRPr="00AF6F98" w:rsidRDefault="00FD7D3B" w:rsidP="00B86EB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Bilance zahraničního obchodu v 1. až 3. čtvrtletí dosáhla přebytku 28,4 mld. korun. To je meziročně o 72,5 mld. méně. Bilance se přitom v 1. i 2. čtvrtletí roku meziročně zlepšovala, ale problémy domácích exportérů způsobily ve 3. čtvrtletí meziroční zhoršení o 107,2 mld. korun a výsledný propad do deficitu 51,8 mld. Jde o nejhorší zaznamenaný výsledek bilance zahraničního obchodu se zbožím</w:t>
            </w:r>
            <w:r>
              <w:rPr>
                <w:rStyle w:val="Znakapoznpodarou"/>
                <w:spacing w:val="-4"/>
              </w:rPr>
              <w:footnoteReference w:id="48"/>
            </w:r>
            <w:r>
              <w:rPr>
                <w:spacing w:val="-4"/>
              </w:rPr>
              <w:t xml:space="preserve">. V kumulaci od počátku roku se o 62,1 mld. korun meziročně zvýšil přebytek obchodu s EU. Naopak ve stejném období došlo k rekordně silnému prohloubení deficitu obchodu se zeměmi mimo </w:t>
            </w:r>
            <w:proofErr w:type="gramStart"/>
            <w:r>
              <w:rPr>
                <w:spacing w:val="-4"/>
              </w:rPr>
              <w:t>EU (–131,1</w:t>
            </w:r>
            <w:proofErr w:type="gramEnd"/>
            <w:r>
              <w:rPr>
                <w:spacing w:val="-4"/>
              </w:rPr>
              <w:t xml:space="preserve"> mld. korun). Pohled na samotné 3. čtvrtletí 2021 ukazuje na plošné zhoršení bilance obchodu s většinou významných obchodních partnerů. Přebytek obchodu s EU meziročně klesl o 21,9 mld. korun a deficit se zeměmi mimo EU se prohloubil o 84,6 mld. Nejvíce ve směru zhoršení bilance působil zahraniční obchod s Ruskem (zhoršení o 24,3 mld. korun), </w:t>
            </w:r>
            <w:proofErr w:type="gramStart"/>
            <w:r>
              <w:rPr>
                <w:spacing w:val="-4"/>
              </w:rPr>
              <w:t xml:space="preserve">Čínou </w:t>
            </w:r>
            <w:r>
              <w:rPr>
                <w:spacing w:val="-4"/>
              </w:rPr>
              <w:br/>
              <w:t>(–15,2</w:t>
            </w:r>
            <w:proofErr w:type="gramEnd"/>
            <w:r>
              <w:rPr>
                <w:spacing w:val="-4"/>
              </w:rPr>
              <w:t xml:space="preserve"> mld.), Německem (–8,9 mld.), Japonskem (–7,4 mld.), Tureckem (–6,7 mld.) a Korejskou republikou (–5,2 mld.). </w:t>
            </w:r>
            <w:r w:rsidR="00C95123">
              <w:rPr>
                <w:spacing w:val="-4"/>
              </w:rPr>
              <w:t>Z</w:t>
            </w:r>
            <w:r>
              <w:rPr>
                <w:spacing w:val="-4"/>
              </w:rPr>
              <w:t>lepšila</w:t>
            </w:r>
            <w:r w:rsidR="00C95123">
              <w:rPr>
                <w:spacing w:val="-4"/>
              </w:rPr>
              <w:t xml:space="preserve"> se</w:t>
            </w:r>
            <w:r>
              <w:rPr>
                <w:spacing w:val="-4"/>
              </w:rPr>
              <w:t xml:space="preserve"> bilance obchodu s Rakouskem (+1,5 mld. korun).</w:t>
            </w:r>
          </w:p>
        </w:tc>
      </w:tr>
      <w:tr w:rsidR="00FD7D3B" w:rsidRPr="009110F7" w14:paraId="00FB38A7" w14:textId="77777777" w:rsidTr="00B86EB1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6582EB83" w14:textId="77777777" w:rsidR="00FD7D3B" w:rsidRDefault="00FD7D3B" w:rsidP="00B86EB1">
            <w:pPr>
              <w:pStyle w:val="Marginlie"/>
            </w:pPr>
            <w:r>
              <w:t>Ve 3. čtvrtletí se zhoršila bilance obchodu s většinou druhů zboží.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A91FE78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7DDC216C" w14:textId="77777777" w:rsidR="00FD7D3B" w:rsidRDefault="00FD7D3B" w:rsidP="00B86EB1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K meziročnímu zhoršení bilance došlo ve 3. čtvrtletí u obchodu s většinou zboží. Nejvíce k tomu přispíval obchod s motorovými </w:t>
            </w:r>
            <w:proofErr w:type="gramStart"/>
            <w:r>
              <w:rPr>
                <w:spacing w:val="-4"/>
              </w:rPr>
              <w:t>vozidly (–33,8</w:t>
            </w:r>
            <w:proofErr w:type="gramEnd"/>
            <w:r>
              <w:rPr>
                <w:spacing w:val="-4"/>
              </w:rPr>
              <w:t> mld. korun), ropou a zemním plynem (–29,3 mld.), základními kovy (–18,2 mld.), elektrickými zařízeními (–8,9 mld.) a počítači, elektronickými a optickými přístroji (–6,4 mld.). Naopak významněji ve směru zlepšení bilance působil obchod s elektřinou, plynem, párou a klimatizovaným vzduchem (+5,3 mld. korun), produkty souvisejícími s odpady (+3,5 mld.), kovodělnými výrobky (+2,7 mld.), produkty lesnictví a těžby dřeva (+2,1 mld.) a se dřevem a dřevěnými výrobky (+2,0 mld.).</w:t>
            </w:r>
          </w:p>
        </w:tc>
      </w:tr>
      <w:tr w:rsidR="00FD7D3B" w:rsidRPr="009110F7" w14:paraId="02FE33E8" w14:textId="77777777" w:rsidTr="00B86EB1">
        <w:trPr>
          <w:trHeight w:val="106"/>
        </w:trPr>
        <w:tc>
          <w:tcPr>
            <w:tcW w:w="1762" w:type="dxa"/>
            <w:vMerge w:val="restart"/>
            <w:shd w:val="clear" w:color="auto" w:fill="auto"/>
            <w:tcMar>
              <w:left w:w="0" w:type="dxa"/>
            </w:tcMar>
          </w:tcPr>
          <w:p w14:paraId="40B9216E" w14:textId="77777777" w:rsidR="00FD7D3B" w:rsidRDefault="00FD7D3B" w:rsidP="00B86EB1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19444CBC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6C408A15" w14:textId="77777777" w:rsidR="00FD7D3B" w:rsidRPr="00D75AC1" w:rsidRDefault="00FD7D3B" w:rsidP="00B86EB1">
            <w:pPr>
              <w:spacing w:after="0"/>
              <w:rPr>
                <w:spacing w:val="-4"/>
                <w:szCs w:val="20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>Graf č.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 8 </w:t>
            </w:r>
            <w:r w:rsidRPr="00D75AC1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5AC1">
              <w:rPr>
                <w:b/>
                <w:spacing w:val="-4"/>
                <w:szCs w:val="20"/>
              </w:rPr>
              <w:t xml:space="preserve">Bilance zahraničního obchodu </w:t>
            </w:r>
            <w:r>
              <w:rPr>
                <w:b/>
                <w:spacing w:val="-4"/>
                <w:szCs w:val="20"/>
              </w:rPr>
              <w:t xml:space="preserve">se zbožím </w:t>
            </w:r>
            <w:r w:rsidRPr="00D75AC1">
              <w:rPr>
                <w:b/>
                <w:spacing w:val="-4"/>
                <w:szCs w:val="20"/>
              </w:rPr>
              <w:t xml:space="preserve">ve statistice zahraničního obchodu </w:t>
            </w:r>
            <w:r w:rsidRPr="00D75AC1">
              <w:rPr>
                <w:spacing w:val="-4"/>
                <w:szCs w:val="20"/>
              </w:rPr>
              <w:t>(</w:t>
            </w:r>
            <w:proofErr w:type="gramStart"/>
            <w:r w:rsidRPr="00D75AC1">
              <w:rPr>
                <w:spacing w:val="-4"/>
                <w:szCs w:val="20"/>
              </w:rPr>
              <w:t xml:space="preserve">kumulace </w:t>
            </w:r>
            <w:r>
              <w:rPr>
                <w:spacing w:val="-4"/>
                <w:szCs w:val="20"/>
              </w:rPr>
              <w:t>1.–3. čtvrtletí</w:t>
            </w:r>
            <w:proofErr w:type="gramEnd"/>
            <w:r w:rsidRPr="00D75AC1">
              <w:rPr>
                <w:spacing w:val="-4"/>
                <w:szCs w:val="20"/>
              </w:rPr>
              <w:t>, v mld.</w:t>
            </w:r>
            <w:r>
              <w:rPr>
                <w:spacing w:val="-4"/>
                <w:szCs w:val="20"/>
              </w:rPr>
              <w:t xml:space="preserve"> </w:t>
            </w:r>
            <w:r w:rsidRPr="00D75AC1">
              <w:rPr>
                <w:spacing w:val="-4"/>
                <w:szCs w:val="20"/>
              </w:rPr>
              <w:t>korun, vybrané oddíly klasifikace CPA)</w:t>
            </w:r>
          </w:p>
        </w:tc>
      </w:tr>
      <w:tr w:rsidR="00FD7D3B" w:rsidRPr="009110F7" w14:paraId="619586CF" w14:textId="77777777" w:rsidTr="00B86EB1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762" w:type="dxa"/>
            <w:vMerge/>
            <w:shd w:val="clear" w:color="auto" w:fill="auto"/>
          </w:tcPr>
          <w:p w14:paraId="6D19EA86" w14:textId="77777777" w:rsidR="00FD7D3B" w:rsidRDefault="00FD7D3B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16470D12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</w:tcPr>
          <w:p w14:paraId="3ECD35CB" w14:textId="77777777" w:rsidR="00FD7D3B" w:rsidRPr="00AF6F98" w:rsidRDefault="00FD7D3B" w:rsidP="00B86EB1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3537D8C2" wp14:editId="3A836165">
                  <wp:extent cx="4771467" cy="3348000"/>
                  <wp:effectExtent l="0" t="0" r="0" b="5080"/>
                  <wp:docPr id="8" name="Graf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FD7D3B" w:rsidRPr="009110F7" w14:paraId="36300F57" w14:textId="77777777" w:rsidTr="00B86EB1">
        <w:trPr>
          <w:trHeight w:val="106"/>
        </w:trPr>
        <w:tc>
          <w:tcPr>
            <w:tcW w:w="1762" w:type="dxa"/>
            <w:vMerge/>
            <w:shd w:val="clear" w:color="auto" w:fill="auto"/>
            <w:tcMar>
              <w:left w:w="0" w:type="dxa"/>
            </w:tcMar>
          </w:tcPr>
          <w:p w14:paraId="406199C7" w14:textId="77777777" w:rsidR="00FD7D3B" w:rsidRDefault="00FD7D3B" w:rsidP="00B86EB1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7B553451" w14:textId="77777777" w:rsidR="00FD7D3B" w:rsidRDefault="00FD7D3B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0EC4FD24" w14:textId="77777777" w:rsidR="00FD7D3B" w:rsidRPr="00AF6F98" w:rsidRDefault="00FD7D3B" w:rsidP="00B86EB1">
            <w:pPr>
              <w:spacing w:after="0"/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bookmarkEnd w:id="18"/>
    </w:tbl>
    <w:p w14:paraId="6CC95E76" w14:textId="77777777" w:rsidR="00FD7D3B" w:rsidRPr="00E42054" w:rsidRDefault="00FD7D3B" w:rsidP="00FD7D3B">
      <w:pPr>
        <w:pStyle w:val="Nadpis11"/>
        <w:rPr>
          <w:b w:val="0"/>
          <w:sz w:val="2"/>
          <w:szCs w:val="2"/>
        </w:rPr>
      </w:pPr>
    </w:p>
    <w:p w14:paraId="4BDF666A" w14:textId="0439B741" w:rsidR="006C3336" w:rsidRPr="009110F7" w:rsidRDefault="006C3336" w:rsidP="00FD7D3B">
      <w:pPr>
        <w:pStyle w:val="Nadpis11"/>
      </w:pPr>
      <w:bookmarkStart w:id="27" w:name="_Toc90456605"/>
      <w:r w:rsidRPr="009110F7">
        <w:t>5</w:t>
      </w:r>
      <w:r>
        <w:t>. </w:t>
      </w:r>
      <w:r w:rsidRPr="009110F7">
        <w:t>Ceny</w:t>
      </w:r>
      <w:bookmarkEnd w:id="19"/>
      <w:bookmarkEnd w:id="20"/>
      <w:bookmarkEnd w:id="27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5"/>
        <w:gridCol w:w="224"/>
        <w:gridCol w:w="7610"/>
      </w:tblGrid>
      <w:tr w:rsidR="006C3336" w:rsidRPr="009110F7" w14:paraId="7F226A60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468CB78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cenové hladiny ve 3. čtvrtletí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352A810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506561D" w14:textId="77777777" w:rsidR="006C3336" w:rsidRPr="00793D78" w:rsidRDefault="006C3336" w:rsidP="00B86EB1">
            <w:pPr>
              <w:rPr>
                <w:szCs w:val="20"/>
              </w:rPr>
            </w:pPr>
            <w:r>
              <w:rPr>
                <w:szCs w:val="20"/>
              </w:rPr>
              <w:t>Ve 3. čtvrtletí zrychlil meziroční růst celkové cenové hladiny (podle deflátoru HDP) na 4,6 %. Ve srovnání se 2. čtvrtletím se cenová hladina zvýšila o 1,1 %. Meziroční růst cen spotřebních statků mírně zpomalil na 3,8 %, přičemž cenový růst u spotřeby domácností i vlády byl podobný (3,7 %, resp. 3,8 %). Výrazně zrychlil meziroční přírůstek cen kapitálových statků (6,8 %), z toho ale u samotných investic se tempo příliš neměnilo (4,4 %), původ zrychlení lze tedy hledat zejména u zásob. Směnné relace byly poprvé po devíti čtvrtletích záporné (99,7 %) a vinu na tom měl výhradně obchod se zbožím (99,8 %), zatímco u služeb byly směnné relace kladné (100,5 %).</w:t>
            </w:r>
          </w:p>
        </w:tc>
      </w:tr>
      <w:tr w:rsidR="006C3336" w:rsidRPr="009110F7" w14:paraId="4CF23356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6657EEE4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spotřebitelských cen prudce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6749125" w14:textId="77777777" w:rsidR="006C3336" w:rsidRPr="00793D78" w:rsidRDefault="006C3336" w:rsidP="00B86EB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0F11CFF" w14:textId="77777777" w:rsidR="006C3336" w:rsidRPr="000316FC" w:rsidRDefault="006C3336" w:rsidP="00B86EB1">
            <w:r>
              <w:t>V kumulaci za 1. až 3. čtvrtletí 2021 se spotřebitelské ceny meziročně zvýšily o 3,1 %. V samotném 3. čtvrtletí roku meziroční růst spotřebitelských cen výrazně zrychlil. Přírůstek dosáhl 4,1 % a byl nejvyšší od 4. kvartálu 2008. Silné zrychlení (největší od 1. čtvrtletí 2012) nejvíce ovlivnil vývoj cen bydlení a energií, potravin a nealkoholických nápojů a odívání a obuvi. Naopak výrazně oslabil růst cen alkoholických nápojů a tabáku. K celkovému meziročnímu nárůstu spotřebitelských cen nejvíce přispěly ceny dopravy, bydlení a energií a alkoholických nápojů a tabáku. Oproti 2. čtvrtletí se spotřebitelské ceny zvýšily o 2,0 %, což je největší skok od počátku roku 2012. K tomu nejvíce přispíval nárůst cen bydlení a energií, rekreací a kultury a dopravy.</w:t>
            </w:r>
          </w:p>
        </w:tc>
      </w:tr>
      <w:tr w:rsidR="006C3336" w:rsidRPr="00D75AC1" w14:paraId="7C063846" w14:textId="77777777" w:rsidTr="00B86EB1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02A835C6" w14:textId="77777777" w:rsidR="006C3336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0A23A401" w14:textId="77777777" w:rsidR="006C3336" w:rsidRPr="00793D78" w:rsidRDefault="006C3336" w:rsidP="00B86EB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4578140" w14:textId="77777777" w:rsidR="006C3336" w:rsidRPr="00D75AC1" w:rsidRDefault="006C3336" w:rsidP="00B86EB1">
            <w:pPr>
              <w:spacing w:after="0"/>
              <w:rPr>
                <w:b/>
                <w:szCs w:val="20"/>
              </w:rPr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č. 9 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Ceny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>(meziročně v %)</w:t>
            </w:r>
          </w:p>
        </w:tc>
      </w:tr>
      <w:tr w:rsidR="006C3336" w:rsidRPr="009110F7" w14:paraId="7F292425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15A9C3B1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2CC50889" w14:textId="77777777" w:rsidR="006C3336" w:rsidRPr="00793D78" w:rsidRDefault="006C3336" w:rsidP="00B86EB1">
            <w:pPr>
              <w:pStyle w:val="Textpoznpodarou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1DE54231" w14:textId="77777777" w:rsidR="006C3336" w:rsidRPr="00793D78" w:rsidRDefault="006C3336" w:rsidP="00B86EB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D66B562" wp14:editId="68496C3B">
                  <wp:extent cx="4737600" cy="3553200"/>
                  <wp:effectExtent l="0" t="0" r="6350" b="0"/>
                  <wp:docPr id="23" name="Graf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6C3336" w:rsidRPr="009110F7" w14:paraId="6DB89E78" w14:textId="77777777" w:rsidTr="00B86EB1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685C912E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423A87B9" w14:textId="77777777" w:rsidR="006C3336" w:rsidRPr="00793D78" w:rsidRDefault="006C3336" w:rsidP="00B86EB1">
            <w:pPr>
              <w:pStyle w:val="Textpoznpodarou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A75A144" w14:textId="77777777" w:rsidR="006C3336" w:rsidRPr="00793D78" w:rsidRDefault="006C3336" w:rsidP="00B86EB1">
            <w:pPr>
              <w:rPr>
                <w:sz w:val="14"/>
                <w:szCs w:val="14"/>
              </w:rPr>
            </w:pPr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6C3336" w:rsidRPr="009110F7" w14:paraId="1DA55318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EA44998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bydlení nejvíce přispívaly k celkovému růstu spotřebitelských cen i k jeho zrychlení.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FA82A8D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175575C" w14:textId="77777777" w:rsidR="006C3336" w:rsidRDefault="006C3336" w:rsidP="00B86EB1">
            <w:r>
              <w:t>Ceny bydlení, vody, energií a paliv se ve 3. čtvrtletí 2021 meziročně zvýšily o 3,6 % a oproti předcházející polovině roku růst výrazně zrychlil (v 1. a 2. čtvrtletí přírůstky dosáhly 0,6 % a 1,3 %). Mezičtvrtletně se ceny bydlení a energií zvýšily o 2,4 %. Značně posílila meziroční dynamika imputovaného nájemného</w:t>
            </w:r>
            <w:r>
              <w:rPr>
                <w:rStyle w:val="Znakapoznpodarou"/>
              </w:rPr>
              <w:footnoteReference w:id="49"/>
            </w:r>
            <w:r>
              <w:t xml:space="preserve"> (8,2 %), ale více rostly i ceny samotného nájemného z bytu (2,7 %). Skokové bylo i zrychlení růstu cen běžné údržby a oprav (6,7 %). Na výrazné úrovni se držel přírůstek cen ostatních služeb </w:t>
            </w:r>
            <w:r>
              <w:lastRenderedPageBreak/>
              <w:t>souvisejících s bydlením. Ve 3. čtvrtletí se ještě ve spotřebitelských cenách významněji neprojevoval silný růst cen elektřiny (index začal posilovat až v září), takže ceny elektřiny, tepla, plynu a paliv za úrovní loňského 3. čtvrtletí zaostávaly o 2,7 %.</w:t>
            </w:r>
          </w:p>
        </w:tc>
      </w:tr>
      <w:tr w:rsidR="006C3336" w:rsidRPr="009110F7" w14:paraId="34D2F8FB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6A717E0F" w14:textId="77777777" w:rsidR="006C3336" w:rsidRPr="00EB06EF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Posílil i přírůstek cen potravin a nealkoholických nápojů.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EFDE416" w14:textId="77777777" w:rsidR="006C3336" w:rsidRPr="00EB06EF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D23E348" w14:textId="77777777" w:rsidR="006C3336" w:rsidRDefault="006C3336" w:rsidP="00B86EB1">
            <w:r>
              <w:t xml:space="preserve">Ceny potravin a nealkoholických nápojů v 1. čtvrtletí meziročně stagnovaly a ve 2. kvartálu klesaly, ale ve 3. čtvrtletí, podobně jako u většiny dalších oddílů spotřebitelského koše, došlo ke zrychlení jejich růstu (1,4 %). Mezičtvrtletně ale ceny potravin a nealkoholických nápojů </w:t>
            </w:r>
            <w:proofErr w:type="gramStart"/>
            <w:r>
              <w:t>stagnovaly (–0,2</w:t>
            </w:r>
            <w:proofErr w:type="gramEnd"/>
            <w:r>
              <w:t xml:space="preserve"> %). Posílil meziroční přírůstek cen olejů a tuků (12,5 %), zeleniny (6,9 %), pekárenských výrobků a obilovin (1,7 %) nebo mléka, sýrů a vajec (1,7 %). Naopak nižší byly ceny </w:t>
            </w:r>
            <w:proofErr w:type="gramStart"/>
            <w:r>
              <w:t>masa (–1,6</w:t>
            </w:r>
            <w:proofErr w:type="gramEnd"/>
            <w:r>
              <w:t> %), i když pokles oproti předchozímu čtvrtletí zmírnil.</w:t>
            </w:r>
          </w:p>
        </w:tc>
      </w:tr>
      <w:tr w:rsidR="006C3336" w:rsidRPr="009110F7" w14:paraId="36AC005C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CA67506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Výrazně se zvyšovaly ceny pohonných hmot i dopravních prostředků.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8E437BA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63ABE87" w14:textId="77777777" w:rsidR="006C3336" w:rsidRDefault="006C3336" w:rsidP="00B86EB1">
            <w:r>
              <w:t>Stále přetrvával velmi vysoký meziroční růst cen dopravy, který pod vlivem výrazného zdražení ropy prudce zrychlil již ve 2. kvartálu. Ve 3. čtvrtletí přírůstek cen dopravy drobně zmírnil a dosáhl 8,8 %. Mezičtvrtletně ceny dopravy vzrostly o 2,8 %. Nejvíce k meziročnímu růstu nákladů na dopravu přispívaly ceny provozu osobních dopravních prostředků (zejména pohonných hmot), které se zvýšily o 14,0 %. Zčásti za tím lze vidět srovnání s nízkou základnou loňského roku, velmi silný ale byl i mezičtvrtletní nárůst (4,0 %). Přes mírné oslabení zůstal nadále poměrně výrazný i meziroční přírůstek cen nákupů samotných dopravních prostředků (5,8 %), jeho mezičtvrtletní tempo přitom zrychlilo na 1,8 %. Posílil i meziroční nárůst cen dopravních služeb (2,5 %).</w:t>
            </w:r>
          </w:p>
        </w:tc>
      </w:tr>
      <w:tr w:rsidR="006C3336" w:rsidRPr="009110F7" w14:paraId="54803E73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7F968F8D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Rostly ceny téměř všech oddílů spotřebitelského koše.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E0E1506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D496A50" w14:textId="77777777" w:rsidR="006C3336" w:rsidRDefault="006C3336" w:rsidP="00B86EB1">
            <w:r>
              <w:t>Vliv alkoholických nápojů a tabáku na meziroční růst spotřebitelských cen zůstal významný. Meziroční přírůstek jejich cen ale zmírnil na 6,5 %. Značný přitom zůstal rozdíl mezi tempem zdražování samotných alkoholických nápojů (1,5 %) a tabáku (10,2 %). Ceny odívání a obuvi byly ve 3. čtvrtletí meziročně vyšší o 7,8 %, což představovalo prudké zrychlení oproti 2. čtvrtletí. Odívání a obuv silně mezičtvrtletně zdražily již ve 2. čtvrtletí (2,4 %), kdy došlo k uvolnění restrikcí, které právě na tento segment výrazně dopadaly. Ve 3. kvartálu mezičtvrtletní přírůstek cen odívání a obuvi dosáhl 2,8 %. Značné bylo také zrychlení meziročního růstu cen stravování a ubytování (4,6 %), na kterém se podílely z většiny stravovací služby. Posílil také meziroční přírůstek cen bytového vybavení, zařízení domácností a oprav (3,7 %), především pod vlivem nábytku a bytového zařízení (6,5 %). Ceny rekreací a kultury se meziročně zvýšily o 3,1 % a posílení přírůstku ovlivnily hlavně ceny audiovizuálních a fotografických zařízení a vybavení pro zpracování dat. Ostatní zboží a služby byly meziročně dražší o 3,6 %, ceny vzdělávání vzrostly o 2,3 % a zdraví o 3,1 %. Meziročně klesly pouze ceny pošt a </w:t>
            </w:r>
            <w:proofErr w:type="gramStart"/>
            <w:r>
              <w:t>telekomunikací (–0,7</w:t>
            </w:r>
            <w:proofErr w:type="gramEnd"/>
            <w:r>
              <w:t> %).</w:t>
            </w:r>
          </w:p>
        </w:tc>
      </w:tr>
      <w:tr w:rsidR="006C3336" w:rsidRPr="009110F7" w14:paraId="5578DB08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6E8B53E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Cenový růst v EU zrychloval.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87DE1D7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04DD889" w14:textId="77777777" w:rsidR="006C3336" w:rsidRDefault="006C3336" w:rsidP="00B86EB1">
            <w:r>
              <w:t>Také v Evropské unii meziroční růst harmonizovaného indexu spotřebitelských cen (HICP)</w:t>
            </w:r>
            <w:r>
              <w:rPr>
                <w:rStyle w:val="Znakapoznpodarou"/>
              </w:rPr>
              <w:footnoteReference w:id="50"/>
            </w:r>
            <w:r>
              <w:t xml:space="preserve"> v průběhu roku postupně zrychloval a ve 3. čtvrtletí dosáhl celkově 3,1 %. Na zrychlení se podílely zejména ceny dopravy, dále bydlení a energií, posiloval i růst cen potravin a nealkoholických nápojů. Za 1. až 3. čtvrtletí celkový meziroční přírůstek cen v EU dosáhl 2,2 %. Ve 3. čtvrtletí se meziročně zvyšovaly spotřebitelské ceny ve všech zemích Unie. Nejsilněji rostl HICP v Estonsku (5,4 %), Litvě (5,2 %), Polsku (5,1 %) a Maďarsku (5,0 %). Naopak nejnižší přírůstek spotřebitelských cen zaznamenala Malta (0,5 %) a dále Portugalsko (1,2 %), Řecko (1,3 %) a Finsko (1,9 %). Cenový růst v Česku (3,3 %) byl podle HICP mírně nad průměrem EU.</w:t>
            </w:r>
          </w:p>
        </w:tc>
      </w:tr>
      <w:tr w:rsidR="006C3336" w:rsidRPr="009110F7" w14:paraId="26FBB712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1877A4E4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bytů rekordně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0FD7048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5C94F80" w14:textId="77777777" w:rsidR="006C3336" w:rsidRDefault="006C3336" w:rsidP="00B86EB1">
            <w:r>
              <w:t xml:space="preserve">Ve 3. čtvrtletí se dál prohluboval problém převisu poptávky po nemovitostech nad jejich nabídkou. Meziroční růst nabídkových cen bytů v Česku tak dál zrychloval a dosáhl 9,3 %. Jde o nejvyšší přírůstek od 3. čtvrtletí 2018. Oproti 2. čtvrtletí nabídkové ceny vzrostly o 3,8 %, nejvíce od 3. čtvrtletí 2017. Mírněji než ve zbytku ČR rostly nabídkové </w:t>
            </w:r>
            <w:r>
              <w:lastRenderedPageBreak/>
              <w:t>ceny bytů v Praze (meziročně o 6,2 %, mezičtvrtletně o 2,9 %), i zde ale v průběhu 3. čtvrtletí došlo k prudkému zrychlení tempa. Meziroční růst realizovaných cen starších bytů v Česku ve 3. čtvrtletí zrychlil na rekordní úroveň 21,0 %. Ve srovnání se 2. čtvrtletím byly realizované ceny vyšší o 6,0 %. Z toho realizované ceny starších bytů v Praze byly meziročně vyšší o 15,5 %. Realizované ceny nových bytů v Praze byly meziročně vyšší o 21,1 %, mezičtvrtletně o 9,9 %.</w:t>
            </w:r>
          </w:p>
        </w:tc>
      </w:tr>
      <w:tr w:rsidR="006C3336" w:rsidRPr="009110F7" w14:paraId="00C84DB2" w14:textId="77777777" w:rsidTr="00B86EB1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21AAF1A7" w14:textId="77777777" w:rsidR="006C3336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36054B6A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42B00BF" w14:textId="77777777" w:rsidR="006C3336" w:rsidRDefault="006C3336" w:rsidP="00B86EB1">
            <w:pPr>
              <w:spacing w:after="0"/>
            </w:pPr>
            <w:r>
              <w:rPr>
                <w:b/>
                <w:sz w:val="18"/>
                <w:szCs w:val="18"/>
                <w:lang w:eastAsia="en-US"/>
              </w:rPr>
              <w:t>Graf č. 10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  Ceny nemovitostí </w:t>
            </w:r>
            <w:r w:rsidRPr="009067EA"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6C3336" w:rsidRPr="009110F7" w14:paraId="17B60FDA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1F5962E2" w14:textId="77777777" w:rsidR="006C3336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43333AF0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1F68EF6E" w14:textId="77777777" w:rsidR="006C3336" w:rsidRDefault="006C3336" w:rsidP="00B86EB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3CA088B" wp14:editId="58B6B907">
                  <wp:extent cx="4737600" cy="3553200"/>
                  <wp:effectExtent l="0" t="0" r="6350" b="0"/>
                  <wp:docPr id="25" name="Graf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6C3336" w:rsidRPr="009110F7" w14:paraId="5F5DF342" w14:textId="77777777" w:rsidTr="00B86EB1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3E8ADD36" w14:textId="77777777" w:rsidR="006C3336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7055313D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F4EDC16" w14:textId="77777777" w:rsidR="006C3336" w:rsidRDefault="006C3336" w:rsidP="00B86EB1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6C3336" w:rsidRPr="009110F7" w14:paraId="6216520A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24A1ED1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 průmyslových výrobců atakoval historické rekordy.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08D0AB8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DE12A09" w14:textId="77777777" w:rsidR="006C3336" w:rsidRDefault="006C3336" w:rsidP="007213C3">
            <w:pPr>
              <w:spacing w:after="0"/>
            </w:pPr>
            <w:r>
              <w:t>Meziroční růst cen průmyslových výrobců v průběhu prvních tří čtvrtletí roku 2021 výrazně zrychloval a ve 3. čtvrtletí dosáhl až na 9,0 %, což atakovalo historické rekordy z roku 1993. Oproti předchozímu čtvrtletí se ceny průmyslových výrobců zvýšily o 3,5 %. Celkový meziroční růst byl ovlivněn zejména vývojem cen výrobků a služeb zpracovatelského průmyslu, které se ve 3. čtvrtletí meziročně zvýšily o 11,0 %. Zároveň téměř u všech skupin výrobků došlo ke zrychlení meziročního tempa růstu. Nejvíce k navýšení cen ve zpracovatelském průmyslu přispěly obecné kovy a kovodělné výrobky (meziroční nárůst o 24,9 %) a z velké části za tím stály i ceny koksu a rafinovaných ropných produktů</w:t>
            </w:r>
            <w:r>
              <w:rPr>
                <w:rStyle w:val="Znakapoznpodarou"/>
              </w:rPr>
              <w:footnoteReference w:id="51"/>
            </w:r>
            <w:r>
              <w:t xml:space="preserve">. Na jejich vývoj bývají navázány i ceny chemických látek a výrobků (meziroční navýšení o 38,3 %). Prudce akceleroval růst cen u dřeva, papíru a tisku (22,2 %), kterého se dotýká výrazný nedostatek materiálových vstupů. Ve 3. čtvrtletí posílil i meziroční růst cen pryžových a plastových výrobků (5,9 %), textilu, oděvů a usní (5,7 %), elektrických zařízení (5,3 %), základních farmaceutických výrobků (3,5 %), nábytku a ostatních výrobků zpracovatelského průmyslu (3,4 %), strojů a zařízení (3,3 %), potravinářských výrobků (1,6 %) a počítačů, elektronických a optických přístrojů (1,0 %). Meziročně klesaly jen ceny dopravních </w:t>
            </w:r>
            <w:proofErr w:type="gramStart"/>
            <w:r>
              <w:t>prostředků (–1,3</w:t>
            </w:r>
            <w:proofErr w:type="gramEnd"/>
            <w:r>
              <w:t> %). Meziroční růst cen těžby a dobývání zrychlil na 3,3 % a více rostly především ceny zmiňované ropy a zemního plynu, ale vyšší byly i ceny dalších surovin, jako jsou například materiály využívané ve stavebnictví. Ceny elektřiny, plynu, páry a klimatizovaného vzduchu byly vyšší o 0,8 % a ceny zásobování vodou a služeb souvisejících s odpadními vodami o 5,9 %.</w:t>
            </w:r>
          </w:p>
        </w:tc>
      </w:tr>
      <w:tr w:rsidR="006C3336" w:rsidRPr="009110F7" w14:paraId="713E75DD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D56415F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Ceny průmyslových výrobců v EU ve 3. čtvrtletí rovněž prudce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1169707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AACC641" w14:textId="77777777" w:rsidR="006C3336" w:rsidRDefault="006C3336" w:rsidP="00B86EB1">
            <w:r>
              <w:t>Meziroční růst cen průmyslových výrobců</w:t>
            </w:r>
            <w:r>
              <w:rPr>
                <w:rStyle w:val="Znakapoznpodarou"/>
              </w:rPr>
              <w:footnoteReference w:id="52"/>
            </w:r>
            <w:r>
              <w:t xml:space="preserve"> ve 3. čtvrtletí 2021 opět prudce zrychlil a dosáhl 14,1 %. Výrazně se do něj promítal vývoj cen ropy a zemního plynu i s nimi těsně souvisejících cen elektřiny. Ceny těžby a dobývání meziročně vzrostly o 37,4 % (22,5 % ve 2. čtvrtletí), ceny výrobků a služeb zpracovatelského průmyslu byly vyšší o 9,7 % (7,0 % ve 2. čtvrtletí) a přírůstek cen elektřiny, plynu, páry a klimatizovaného vzduchu dosáhl 32,3 % (18,4 % ve 2. čtvrtletí). Nejvíce ve 3. čtvrtletí meziročně vzrostly ceny průmyslových výrobců v Irsku (68,6 %, ztrojnásobily se zde ceny elektřiny), Dánsku (27,0 %, prudce se zrychlil růst cen těžby a dobývání) a Estonsku (25,2 %, výrazný nárůst cen elektřiny). Jen mírně rostly ceny výrobců na Maltě (1,4 %) a k zemím s nižším přírůstkem cen patřilo kromě Slovenska (6,9 %) a Slovinska (8,0 %) i Česko (8,9 %).</w:t>
            </w:r>
          </w:p>
        </w:tc>
      </w:tr>
      <w:tr w:rsidR="006C3336" w:rsidRPr="009110F7" w14:paraId="7E6EC56D" w14:textId="77777777" w:rsidTr="00B86EB1">
        <w:trPr>
          <w:trHeight w:val="170"/>
        </w:trPr>
        <w:tc>
          <w:tcPr>
            <w:tcW w:w="1805" w:type="dxa"/>
            <w:vMerge w:val="restart"/>
            <w:shd w:val="clear" w:color="auto" w:fill="auto"/>
            <w:tcMar>
              <w:left w:w="0" w:type="dxa"/>
            </w:tcMar>
          </w:tcPr>
          <w:p w14:paraId="043C9FB7" w14:textId="77777777" w:rsidR="006C3336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24C7EFD9" w14:textId="77777777" w:rsidR="006C3336" w:rsidRPr="00793D78" w:rsidRDefault="006C3336" w:rsidP="00B86EB1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5490C6F" w14:textId="77777777" w:rsidR="006C3336" w:rsidRPr="00D75AC1" w:rsidRDefault="006C3336" w:rsidP="00B86EB1">
            <w:pPr>
              <w:spacing w:after="0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Graf č. 11</w:t>
            </w:r>
            <w:r w:rsidRPr="00793D78">
              <w:rPr>
                <w:b/>
                <w:sz w:val="18"/>
                <w:szCs w:val="18"/>
              </w:rPr>
              <w:t xml:space="preserve">  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Ceny hlavních skupin průmyslových výrobců </w:t>
            </w:r>
            <w:r w:rsidRPr="009067EA"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6C3336" w:rsidRPr="009110F7" w14:paraId="02FC3C9D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7A98F542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</w:tcPr>
          <w:p w14:paraId="5905DF2F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</w:tcPr>
          <w:p w14:paraId="514FF1CE" w14:textId="77777777" w:rsidR="006C3336" w:rsidRPr="00793D78" w:rsidRDefault="006C3336" w:rsidP="00B86EB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4E51709" wp14:editId="13B197C7">
                  <wp:extent cx="4737600" cy="3553200"/>
                  <wp:effectExtent l="0" t="0" r="6350" b="0"/>
                  <wp:docPr id="27" name="Graf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6C3336" w:rsidRPr="009110F7" w14:paraId="35DE7896" w14:textId="77777777" w:rsidTr="00B86EB1">
        <w:trPr>
          <w:trHeight w:val="170"/>
        </w:trPr>
        <w:tc>
          <w:tcPr>
            <w:tcW w:w="1805" w:type="dxa"/>
            <w:vMerge/>
            <w:shd w:val="clear" w:color="auto" w:fill="auto"/>
            <w:tcMar>
              <w:left w:w="0" w:type="dxa"/>
            </w:tcMar>
          </w:tcPr>
          <w:p w14:paraId="21ADFF2C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shd w:val="clear" w:color="auto" w:fill="auto"/>
            <w:tcMar>
              <w:left w:w="0" w:type="dxa"/>
            </w:tcMar>
          </w:tcPr>
          <w:p w14:paraId="2B22EDF1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60EEE72" w14:textId="77777777" w:rsidR="006C3336" w:rsidRPr="00793D78" w:rsidRDefault="006C3336" w:rsidP="00B86EB1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6C3336" w:rsidRPr="009110F7" w14:paraId="27A77D2B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32C4DEFF" w14:textId="77777777" w:rsidR="006C3336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Silně se zvyšovaly ceny stavebních prací, do kterých se promítalo zdražení materiálů.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5ABA192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4623C12" w14:textId="77777777" w:rsidR="006C3336" w:rsidRPr="00793D78" w:rsidRDefault="006C3336" w:rsidP="00B86EB1">
            <w:r>
              <w:t>Od počátku roku postupně zrychluje meziroční růst indexu cen stavebních prací. Podle odhadů se ve 3. čtvrtletí 2021 mezičtvrtletně zvýšily o 3,2 % a meziročně byly vyšší o 6,3 %. Velmi silně přitom rostly zejména ceny materiálů a výrobků spotřebovávaných ve stavebnictví. Ty byly mezičtvrtletně vyšší o 6,7 % a meziročně vzrostly o 15,1 %.</w:t>
            </w:r>
          </w:p>
        </w:tc>
      </w:tr>
      <w:tr w:rsidR="006C3336" w:rsidRPr="009110F7" w14:paraId="5F9F8F11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F79B369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tržních služeb se zvyšovaly mírně, velmi posiloval přírůstek cen služeb v oblasti zaměstnání.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AE4A659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0CE910E" w14:textId="77777777" w:rsidR="006C3336" w:rsidRPr="00793D78" w:rsidRDefault="006C3336" w:rsidP="00B86EB1">
            <w:r>
              <w:t xml:space="preserve">Ceny tržních služeb meziročně vzrostly o 1,3 %. Meziroční index zrychlil poprvé od 1. čtvrtletí 2020. Nejvíce k meziročnímu růstu cen tržních služeb přispívala pozemní a potrubní doprava, kde přírůstek mírně zrychlil na 1,6 %. Výraznější vliv měly i služby v oblasti zaměstnání, kde ceny po zvolnění ve druhé polovině loňského roku opět silně rostou (7,3 %), služby v oblasti nemovitostí, u kterých navýšení cen posílilo na 1,8 %, a služby v oblasti programování a souvisejícího poradenství, kde naopak došlo ke zvolnění meziročního přírůstku (1,8 %). Mírně pozitivní vliv na růst cen tržních služeb měly i ceny vedení podniků a poradenství v oblasti řízení (4,6 %), poštovních a kurýrních služeb (2,0 %), právních a účetnických služeb (1,9 %), reklamních služeb a průzkumu trhu (1,7 %) a skladování a podpůrných služeb v dopravě (1,3 %). Ve </w:t>
            </w:r>
            <w:r>
              <w:lastRenderedPageBreak/>
              <w:t xml:space="preserve">směru poklesu působily především ceny informačních </w:t>
            </w:r>
            <w:proofErr w:type="gramStart"/>
            <w:r>
              <w:t>služeb (–4,0</w:t>
            </w:r>
            <w:proofErr w:type="gramEnd"/>
            <w:r>
              <w:t xml:space="preserve"> %), architektonických a inženýrských služeb (–0,9 %) a telekomunikačních služeb </w:t>
            </w:r>
            <w:r>
              <w:br/>
              <w:t>(–0,7 %).</w:t>
            </w:r>
          </w:p>
        </w:tc>
      </w:tr>
      <w:tr w:rsidR="006C3336" w:rsidRPr="009110F7" w14:paraId="43C0F02A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074055DF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Zrychlil růst cen zemědělské výroby.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A2B058E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F81059B" w14:textId="77777777" w:rsidR="006C3336" w:rsidRPr="00CB64E1" w:rsidRDefault="006C3336" w:rsidP="00B86EB1">
            <w:pPr>
              <w:rPr>
                <w:spacing w:val="-2"/>
              </w:rPr>
            </w:pPr>
            <w:r>
              <w:rPr>
                <w:spacing w:val="-2"/>
              </w:rPr>
              <w:t xml:space="preserve">Ceny zemědělské výroby ve 3. čtvrtletí meziročně vzrostly o 7,5 %. To představuje výrazné zrychlení tempa a jde o nejvyšší přírůstek od 2. čtvrtletí 2019. Ceny rostlinné výroby byly meziročně vyšší o 10,6 %. Dál posiloval růst cen obilovin (15,6 %), a to u všech druhů – velmi silný byl zejména meziroční přírůstek cen pšenice (17,5 %) a kukuřice (27,7 %). Růst cen průmyslových plodin dosáhl 10,9 %. Ceny krmných plodin byly ve 3. čtvrtletí meziročně nižší o 2,3 % a v případě zeleniny a zahradnických produktů stagnovaly (0,2 %). Dál se zmírňoval propad cen </w:t>
            </w:r>
            <w:proofErr w:type="gramStart"/>
            <w:r>
              <w:rPr>
                <w:spacing w:val="-2"/>
              </w:rPr>
              <w:t>brambor (–4,0</w:t>
            </w:r>
            <w:proofErr w:type="gramEnd"/>
            <w:r>
              <w:rPr>
                <w:spacing w:val="-2"/>
              </w:rPr>
              <w:t xml:space="preserve"> %). Ceny se zde dostaly na úroveň, kterou měly před rokem 2019, v němž brambory kvůli nepříznivé úrodě extrémně zdražily. Ceny ovoce byly ve 3. čtvrtletí meziročně nižší o 11,4 %. Naopak ceny vína (hroznů) vzrostly o 56,2 %. Ceny živočišné výroby byly meziročně vyšší o 3,8 %, poprvé od 1. čtvrtletí 2020. Výrazně se zmírnil propad cen hospodářských </w:t>
            </w:r>
            <w:proofErr w:type="gramStart"/>
            <w:r>
              <w:rPr>
                <w:spacing w:val="-2"/>
              </w:rPr>
              <w:t xml:space="preserve">zvířat </w:t>
            </w:r>
            <w:r>
              <w:rPr>
                <w:spacing w:val="-2"/>
              </w:rPr>
              <w:br/>
              <w:t>(–0,6</w:t>
            </w:r>
            <w:proofErr w:type="gramEnd"/>
            <w:r>
              <w:rPr>
                <w:spacing w:val="-2"/>
              </w:rPr>
              <w:t> %), především pod vlivem mírnějšího poklesu u cen prasat a selat (–6,6 %). Posiloval růst cen skotu (6,1 %) a drůbeže (1,8 %). Ceny živočišných výrobků se navýšily o 7,1 %, z toho mléka o 7,8 %. Ceny vajec byly nižší o 1,3 %.</w:t>
            </w:r>
          </w:p>
        </w:tc>
      </w:tr>
      <w:tr w:rsidR="006C3336" w:rsidRPr="009110F7" w14:paraId="29B5F872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5BCA419D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 vývozu prudce zrychlil.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9441360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3A846EE" w14:textId="77777777" w:rsidR="006C3336" w:rsidRPr="00793D78" w:rsidRDefault="006C3336" w:rsidP="00B86EB1">
            <w:r>
              <w:t>Ceny vývozu ve 3. čtvrtletí meziročně vzrostly o 7,9 %. Jejich přírůstek prudce zrychlil ve srovnání s předchozím kvartálem (1,8 %). Proti výraznějšímu přírůstku přitom působil silnější kurz koruny vůči euru i dolaru.</w:t>
            </w:r>
            <w:r>
              <w:rPr>
                <w:rStyle w:val="Znakapoznpodarou"/>
              </w:rPr>
              <w:footnoteReference w:id="53"/>
            </w:r>
            <w:r>
              <w:t xml:space="preserve"> Rostly především ceny ostatních surovin</w:t>
            </w:r>
            <w:r>
              <w:rPr>
                <w:rStyle w:val="Znakapoznpodarou"/>
              </w:rPr>
              <w:footnoteReference w:id="54"/>
            </w:r>
            <w:r>
              <w:t xml:space="preserve"> (66,8 %) a také minerálních paliv (54,8 %). Silný byl i přírůstek cen polotovarů</w:t>
            </w:r>
            <w:r>
              <w:rPr>
                <w:rStyle w:val="Znakapoznpodarou"/>
              </w:rPr>
              <w:footnoteReference w:id="55"/>
            </w:r>
            <w:r>
              <w:t xml:space="preserve"> (14,6 %) a chemikálií (14,0 %). Meziročně rostly i ceny vývozu potravin a živých zvířat (5,3 %), strojů a dopravních prostředků (1,6 %) a průmyslového spotřebního zboží (0,9 %). Meziročně nižší byly jen vývozní ceny nápojů a </w:t>
            </w:r>
            <w:proofErr w:type="gramStart"/>
            <w:r>
              <w:t>tabáku (–3,8</w:t>
            </w:r>
            <w:proofErr w:type="gramEnd"/>
            <w:r>
              <w:t> %).</w:t>
            </w:r>
          </w:p>
        </w:tc>
      </w:tr>
      <w:tr w:rsidR="006C3336" w:rsidRPr="009110F7" w14:paraId="2A0116D2" w14:textId="77777777" w:rsidTr="00B86EB1">
        <w:trPr>
          <w:trHeight w:val="145"/>
        </w:trPr>
        <w:tc>
          <w:tcPr>
            <w:tcW w:w="1805" w:type="dxa"/>
            <w:shd w:val="clear" w:color="auto" w:fill="auto"/>
            <w:tcMar>
              <w:left w:w="0" w:type="dxa"/>
            </w:tcMar>
          </w:tcPr>
          <w:p w14:paraId="4508FB0A" w14:textId="77777777" w:rsidR="006C3336" w:rsidRPr="00793D78" w:rsidRDefault="006C3336" w:rsidP="00B86EB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Výrazně rostly i ceny dovozu.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4938F5F" w14:textId="77777777" w:rsidR="006C3336" w:rsidRPr="00793D78" w:rsidRDefault="006C3336" w:rsidP="00B86EB1">
            <w:pPr>
              <w:pStyle w:val="Textpoznpodarou1"/>
              <w:jc w:val="both"/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BEFCFBC" w14:textId="77777777" w:rsidR="006C3336" w:rsidRDefault="006C3336" w:rsidP="00B86EB1">
            <w:r>
              <w:t xml:space="preserve">Ceny dovozu byly ve 3. čtvrtletí meziročně vyšší o 8,7 %. Prudce totiž narostly ceny minerálních paliv (85,1 %) a také ostatních surovin (40,2 %). Podobně jako u vývozu byl výrazný i přírůstek cen importu polotovarů (12,9 %) a chemikálií (10,7 %). Mírně rostly ceny nápojů a tabáku (0,9 %). Nižší byly ceny dovozu průmyslového spotřebního </w:t>
            </w:r>
            <w:proofErr w:type="gramStart"/>
            <w:r>
              <w:t>zboží (–1,6</w:t>
            </w:r>
            <w:proofErr w:type="gramEnd"/>
            <w:r>
              <w:t xml:space="preserve"> %), potravin a živých zvířat (–0,7 %) a strojů a dopravních prostředků </w:t>
            </w:r>
            <w:r>
              <w:br/>
              <w:t>(–0,6 %). Směnné relace zahraničního obchodu se zbožím byly záporné a dosáhly 99,3 %. Převážil tak vliv záporných směnných relací obchodu s minerálními palivy (83,6 %) a s nápoji a tabákem (95,3 %). Naopak kladné byly směnné relace obchodu s ostatními surovinami (119,0 %), potravinami (106,0 %), chemikáliemi (103,0 %), průmyslovým spotřebním zbožím (102,5 %), stroji a dopravními prostředky (102,2 %) a polotovary (101,5 %).</w:t>
            </w:r>
          </w:p>
        </w:tc>
      </w:tr>
    </w:tbl>
    <w:p w14:paraId="06D5409F" w14:textId="4BC0077F" w:rsidR="006C3336" w:rsidRDefault="006C3336" w:rsidP="006C3336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  <w:highlight w:val="yellow"/>
        </w:rPr>
      </w:pPr>
    </w:p>
    <w:p w14:paraId="20EC669C" w14:textId="77777777" w:rsidR="006C3336" w:rsidRDefault="006C3336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  <w:highlight w:val="yellow"/>
        </w:rPr>
      </w:pPr>
      <w:r>
        <w:rPr>
          <w:rFonts w:eastAsia="MS Gothic"/>
          <w:b/>
          <w:bCs/>
          <w:color w:val="71818C"/>
          <w:sz w:val="32"/>
          <w:szCs w:val="28"/>
          <w:highlight w:val="yellow"/>
        </w:rPr>
        <w:br w:type="page"/>
      </w:r>
    </w:p>
    <w:p w14:paraId="6A29F11C" w14:textId="77777777" w:rsidR="0070658E" w:rsidRPr="009449C6" w:rsidRDefault="0070658E" w:rsidP="0070658E">
      <w:pPr>
        <w:pStyle w:val="Nadpis11"/>
        <w:spacing w:after="120"/>
      </w:pPr>
      <w:bookmarkStart w:id="28" w:name="_Toc90456606"/>
      <w:bookmarkEnd w:id="21"/>
      <w:bookmarkEnd w:id="22"/>
      <w:bookmarkEnd w:id="23"/>
      <w:r w:rsidRPr="009449C6">
        <w:lastRenderedPageBreak/>
        <w:t>6. Trh práce</w:t>
      </w:r>
      <w:bookmarkEnd w:id="24"/>
      <w:bookmarkEnd w:id="28"/>
    </w:p>
    <w:tbl>
      <w:tblPr>
        <w:tblW w:w="9664" w:type="dxa"/>
        <w:tblInd w:w="-2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8"/>
        <w:gridCol w:w="206"/>
        <w:gridCol w:w="7760"/>
      </w:tblGrid>
      <w:tr w:rsidR="00B34750" w:rsidRPr="007517F0" w14:paraId="4CA4362E" w14:textId="77777777" w:rsidTr="009112E3">
        <w:trPr>
          <w:trHeight w:val="15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bookmarkEnd w:id="25"/>
          <w:bookmarkEnd w:id="26"/>
          <w:p w14:paraId="50CD74A9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Výrazné oživení na pracovním trhu pokračovalo i ve 3. čtvrtletí.</w:t>
            </w:r>
          </w:p>
          <w:p w14:paraId="750150C8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  <w:p w14:paraId="4E84FD3E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  <w:p w14:paraId="5EF425A3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  <w:p w14:paraId="5754D08E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Pracovní trh se v mnohých rysech přibližoval ke stavu z období těsně před počátkem pandemie.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BD1B877" w14:textId="77777777" w:rsidR="00B34750" w:rsidRPr="003B1401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679EA81C" w14:textId="00952D81" w:rsidR="00B34750" w:rsidRPr="007517F0" w:rsidRDefault="00B34750" w:rsidP="009112E3">
            <w:pPr>
              <w:rPr>
                <w:spacing w:val="-4"/>
              </w:rPr>
            </w:pPr>
            <w:r>
              <w:rPr>
                <w:spacing w:val="-4"/>
              </w:rPr>
              <w:t xml:space="preserve">Vývoj ve 3. čtvrtletí 2021 stvrdil pozitivní obrat, k němuž došlo na tuzemském pracovním trhu v předchozím kvartálu. Postupné jarní rozvolnění </w:t>
            </w:r>
            <w:proofErr w:type="spellStart"/>
            <w:r>
              <w:rPr>
                <w:spacing w:val="-4"/>
              </w:rPr>
              <w:t>protipandemických</w:t>
            </w:r>
            <w:proofErr w:type="spellEnd"/>
            <w:r>
              <w:rPr>
                <w:spacing w:val="-4"/>
              </w:rPr>
              <w:t xml:space="preserve"> opatření znamenalo návrat k normálu u velké části odvětví služeb. To se odrazilo ve vyšším počtu pracujících, nižší nezaměstnanosti i v návratu části neaktivních osob – hlavně mladších žen – na pracovní trh. Svižný růst soukromé i veřejné spotřeby spolu s postupně se zotavující investiční aktivitou vedly ke zlepšení hospodářské situace podniků, a podpořily tak pozitivní krátkodobá očekávání zaměstnanosti. Ta však narážela na značně vyčerpaný tuzemský pracovní trh s relativně malou disponibilní rezervou volných pracovních sil (v důsledku dlouhodobě vysoké míry zaměstnanosti i nástupu populačně slabých ročníků na trh). Toto narůstající napětí bylo částečně tlumeno zrychlením přílivu zahraničních pracovníků. I tak ovšem významně stimulovalo mzdový růst v tržních odvětvích. Po odeznění většiny krátkodobých „rušivých“ vlivů souvisejících s pandemií</w:t>
            </w:r>
            <w:r>
              <w:rPr>
                <w:rStyle w:val="Znakapoznpodarou"/>
                <w:spacing w:val="-4"/>
              </w:rPr>
              <w:footnoteReference w:id="56"/>
            </w:r>
            <w:r>
              <w:rPr>
                <w:spacing w:val="-4"/>
              </w:rPr>
              <w:t xml:space="preserve"> se tak ve 3. čtvrtletí nominální růst průměrných mezd přiblížil k tempům z roku 2019. Na rozdíl od období </w:t>
            </w:r>
            <w:proofErr w:type="spellStart"/>
            <w:r>
              <w:rPr>
                <w:spacing w:val="-4"/>
              </w:rPr>
              <w:t>předpandemické</w:t>
            </w:r>
            <w:proofErr w:type="spellEnd"/>
            <w:r>
              <w:rPr>
                <w:spacing w:val="-4"/>
              </w:rPr>
              <w:t xml:space="preserve"> konjunktury byl však konfrontován s akcelerací spotřebitelských cen, což vedlo k tomu, že kupní síla výdělků zaměstnanců v některých váhově významnějších odvětvích již nerostla.</w:t>
            </w:r>
          </w:p>
        </w:tc>
      </w:tr>
      <w:tr w:rsidR="00B34750" w:rsidRPr="007517F0" w14:paraId="75FEC396" w14:textId="77777777" w:rsidTr="009112E3">
        <w:trPr>
          <w:trHeight w:val="15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52BF4DCA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Celková zaměstnanost vzrostla ve 3. čtvrtletí nejvíce za poslední dva a půl roku.</w:t>
            </w:r>
          </w:p>
          <w:p w14:paraId="10181860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  <w:p w14:paraId="076BD420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  <w:p w14:paraId="4EB57A69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 xml:space="preserve">Úbytky počtu </w:t>
            </w:r>
            <w:proofErr w:type="spellStart"/>
            <w:r>
              <w:rPr>
                <w:spacing w:val="-4"/>
              </w:rPr>
              <w:t>sebezaměstnaných</w:t>
            </w:r>
            <w:proofErr w:type="spellEnd"/>
            <w:r>
              <w:rPr>
                <w:spacing w:val="-4"/>
              </w:rPr>
              <w:t xml:space="preserve"> pokračovaly.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325DD1F" w14:textId="77777777" w:rsidR="00B34750" w:rsidRPr="003B1401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7EA0B2F8" w14:textId="77777777" w:rsidR="00B34750" w:rsidRPr="007517F0" w:rsidRDefault="00B34750" w:rsidP="009112E3">
            <w:pPr>
              <w:rPr>
                <w:spacing w:val="-4"/>
              </w:rPr>
            </w:pPr>
            <w:r>
              <w:rPr>
                <w:spacing w:val="-4"/>
              </w:rPr>
              <w:t>Meziroční růst v celkové zaměstnanosti</w:t>
            </w:r>
            <w:r w:rsidRPr="00B908AF">
              <w:rPr>
                <w:color w:val="0D0D0D" w:themeColor="text1" w:themeTint="F2"/>
                <w:spacing w:val="-4"/>
                <w:vertAlign w:val="superscript"/>
              </w:rPr>
              <w:footnoteReference w:id="57"/>
            </w:r>
            <w:r>
              <w:rPr>
                <w:spacing w:val="-4"/>
              </w:rPr>
              <w:t xml:space="preserve"> ve 3. čtvrtletí 2021 zrychlil na 0,6 % a dosáhl maxima za poslední dva a půl roku. Celkový počet pracovníků přesto za svým </w:t>
            </w:r>
            <w:proofErr w:type="spellStart"/>
            <w:r>
              <w:rPr>
                <w:spacing w:val="-4"/>
              </w:rPr>
              <w:t>předpandemickým</w:t>
            </w:r>
            <w:proofErr w:type="spellEnd"/>
            <w:r>
              <w:rPr>
                <w:spacing w:val="-4"/>
              </w:rPr>
              <w:t xml:space="preserve"> vrcholem (2. čtvrtletí 2019) o 1,5 % (resp. 80 tis. osob) zaostával</w:t>
            </w:r>
            <w:r>
              <w:rPr>
                <w:rStyle w:val="Znakapoznpodarou"/>
                <w:spacing w:val="-4"/>
              </w:rPr>
              <w:footnoteReference w:id="58"/>
            </w:r>
            <w:r>
              <w:rPr>
                <w:spacing w:val="-4"/>
              </w:rPr>
              <w:t>. Na meziročním růstu se však</w:t>
            </w:r>
            <w:r w:rsidRPr="002272C7">
              <w:rPr>
                <w:spacing w:val="-4"/>
              </w:rPr>
              <w:t xml:space="preserve"> podíleli </w:t>
            </w:r>
            <w:r>
              <w:rPr>
                <w:spacing w:val="-4"/>
              </w:rPr>
              <w:t>výhradně zaměstnanci, jejichž stav</w:t>
            </w:r>
            <w:r w:rsidRPr="002272C7">
              <w:rPr>
                <w:spacing w:val="-4"/>
              </w:rPr>
              <w:t xml:space="preserve">y </w:t>
            </w:r>
            <w:r>
              <w:rPr>
                <w:spacing w:val="-4"/>
              </w:rPr>
              <w:t xml:space="preserve">se ve 3. čtvrtletí rozšířily o 77. tis., nejvíce od poloviny roku 2018. Naopak pokles počtu </w:t>
            </w:r>
            <w:r w:rsidRPr="002272C7">
              <w:rPr>
                <w:spacing w:val="-4"/>
              </w:rPr>
              <w:t>podni</w:t>
            </w:r>
            <w:r>
              <w:rPr>
                <w:spacing w:val="-4"/>
              </w:rPr>
              <w:t xml:space="preserve">katelů se prohloubil na 6,1 % a méně jich bylo i ve srovnání s 2. čtvrtletím 2021 (o 1,6 %). </w:t>
            </w:r>
            <w:r w:rsidRPr="00A910A1">
              <w:rPr>
                <w:spacing w:val="-5"/>
              </w:rPr>
              <w:t>Obtížná situace podnikatelů zejména v oborech souvisejících s cestovním ruchem</w:t>
            </w:r>
            <w:r>
              <w:rPr>
                <w:spacing w:val="-5"/>
              </w:rPr>
              <w:t xml:space="preserve"> a volnočasovými aktivitami obyvatel</w:t>
            </w:r>
            <w:r w:rsidRPr="00A910A1">
              <w:rPr>
                <w:spacing w:val="-5"/>
              </w:rPr>
              <w:t xml:space="preserve"> se odrážela i</w:t>
            </w:r>
            <w:r>
              <w:rPr>
                <w:spacing w:val="-5"/>
              </w:rPr>
              <w:t> </w:t>
            </w:r>
            <w:r w:rsidRPr="00A910A1">
              <w:rPr>
                <w:spacing w:val="-5"/>
              </w:rPr>
              <w:t>v</w:t>
            </w:r>
            <w:r>
              <w:rPr>
                <w:spacing w:val="-5"/>
              </w:rPr>
              <w:t xml:space="preserve"> průměrném </w:t>
            </w:r>
            <w:r w:rsidRPr="00A910A1">
              <w:rPr>
                <w:spacing w:val="-5"/>
              </w:rPr>
              <w:t>počtu odpracovaných hodin, jenž stále za běžnou úrovní z</w:t>
            </w:r>
            <w:r>
              <w:rPr>
                <w:spacing w:val="-5"/>
              </w:rPr>
              <w:t> </w:t>
            </w:r>
            <w:proofErr w:type="spellStart"/>
            <w:r w:rsidRPr="00A910A1">
              <w:rPr>
                <w:spacing w:val="-5"/>
              </w:rPr>
              <w:t>předpandemického</w:t>
            </w:r>
            <w:proofErr w:type="spellEnd"/>
            <w:r w:rsidRPr="00A910A1">
              <w:rPr>
                <w:spacing w:val="-5"/>
              </w:rPr>
              <w:t xml:space="preserve"> období mírně zaostával.</w:t>
            </w:r>
            <w:r>
              <w:rPr>
                <w:spacing w:val="-4"/>
              </w:rPr>
              <w:t xml:space="preserve"> Nelze také vyloučit, že část úbytku </w:t>
            </w:r>
            <w:proofErr w:type="spellStart"/>
            <w:r>
              <w:rPr>
                <w:spacing w:val="-4"/>
              </w:rPr>
              <w:t>sebezaměstnaných</w:t>
            </w:r>
            <w:proofErr w:type="spellEnd"/>
            <w:r>
              <w:rPr>
                <w:spacing w:val="-4"/>
              </w:rPr>
              <w:t xml:space="preserve"> souvisela s jejich přesunem do zaměstnaneckého stavu</w:t>
            </w:r>
            <w:r>
              <w:rPr>
                <w:rStyle w:val="Znakapoznpodarou"/>
                <w:spacing w:val="-4"/>
              </w:rPr>
              <w:footnoteReference w:id="59"/>
            </w:r>
            <w:r>
              <w:rPr>
                <w:spacing w:val="-4"/>
              </w:rPr>
              <w:t>.</w:t>
            </w:r>
          </w:p>
        </w:tc>
      </w:tr>
      <w:tr w:rsidR="00B34750" w:rsidRPr="007517F0" w14:paraId="69B80CD7" w14:textId="77777777" w:rsidTr="009112E3">
        <w:trPr>
          <w:trHeight w:val="15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49A2361F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K vyšší zaměstnanosti přispěly ve 3. čtvrtletí nejvíce veřejné služby. Pokračoval i dlouhodobý rozvoj informačních a komunikačních činností.</w:t>
            </w:r>
          </w:p>
          <w:p w14:paraId="6F031B00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  <w:p w14:paraId="652FC3BD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  <w:p w14:paraId="7475037F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 xml:space="preserve">Uskupení obchod, doprava, ubytování a pohostinství bylo ovlivněno hlubším poklesem počtu </w:t>
            </w:r>
            <w:proofErr w:type="spellStart"/>
            <w:r>
              <w:rPr>
                <w:spacing w:val="-4"/>
              </w:rPr>
              <w:t>sebezaměstnaných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814172C" w14:textId="77777777" w:rsidR="00B34750" w:rsidRPr="003B1401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45C9CC86" w14:textId="77777777" w:rsidR="00B34750" w:rsidRPr="007517F0" w:rsidRDefault="00B34750" w:rsidP="00B34750">
            <w:pPr>
              <w:spacing w:after="0"/>
              <w:rPr>
                <w:spacing w:val="-4"/>
              </w:rPr>
            </w:pPr>
            <w:r>
              <w:rPr>
                <w:spacing w:val="-4"/>
              </w:rPr>
              <w:t>Pro meziroční růst zaměstnanosti byly ve 3. čtvrtletí určující pohyby ve službách. V celém terciárním sektoru přibylo 1,1 %</w:t>
            </w:r>
            <w:r w:rsidRPr="006342CF">
              <w:rPr>
                <w:spacing w:val="-4"/>
              </w:rPr>
              <w:t xml:space="preserve"> zaměstnaných</w:t>
            </w:r>
            <w:r>
              <w:rPr>
                <w:spacing w:val="-4"/>
              </w:rPr>
              <w:t xml:space="preserve"> (37 tis.), vývoj v dílčích odvětvích se vyznačoval značnou</w:t>
            </w:r>
            <w:r w:rsidRPr="006342CF">
              <w:rPr>
                <w:spacing w:val="-4"/>
              </w:rPr>
              <w:t xml:space="preserve"> rozrůzněn</w:t>
            </w:r>
            <w:r>
              <w:rPr>
                <w:spacing w:val="-4"/>
              </w:rPr>
              <w:t>ostí</w:t>
            </w:r>
            <w:r w:rsidRPr="006342CF">
              <w:rPr>
                <w:spacing w:val="-4"/>
              </w:rPr>
              <w:t>. Projevovaly</w:t>
            </w:r>
            <w:r>
              <w:rPr>
                <w:spacing w:val="-4"/>
              </w:rPr>
              <w:t xml:space="preserve"> se jak dlouhodobé změny vázané na proměny věkové i </w:t>
            </w:r>
            <w:r w:rsidRPr="006342CF">
              <w:rPr>
                <w:spacing w:val="-4"/>
              </w:rPr>
              <w:t>kvalifikační skladby pracovníků</w:t>
            </w:r>
            <w:r>
              <w:rPr>
                <w:spacing w:val="-4"/>
              </w:rPr>
              <w:t>, tak</w:t>
            </w:r>
            <w:r w:rsidRPr="006342CF">
              <w:rPr>
                <w:spacing w:val="-4"/>
              </w:rPr>
              <w:t xml:space="preserve"> krátkodobé vlivy spočívající </w:t>
            </w:r>
            <w:r>
              <w:rPr>
                <w:spacing w:val="-4"/>
              </w:rPr>
              <w:t xml:space="preserve">především </w:t>
            </w:r>
            <w:r w:rsidRPr="006342CF">
              <w:rPr>
                <w:spacing w:val="-4"/>
              </w:rPr>
              <w:t>v </w:t>
            </w:r>
            <w:proofErr w:type="spellStart"/>
            <w:r w:rsidRPr="006342CF">
              <w:rPr>
                <w:spacing w:val="-4"/>
              </w:rPr>
              <w:t>pokrizovém</w:t>
            </w:r>
            <w:proofErr w:type="spellEnd"/>
            <w:r w:rsidRPr="006342CF">
              <w:rPr>
                <w:spacing w:val="-4"/>
              </w:rPr>
              <w:t xml:space="preserve"> oživení spotřeby domácností.</w:t>
            </w:r>
            <w:r>
              <w:rPr>
                <w:spacing w:val="-4"/>
              </w:rPr>
              <w:t xml:space="preserve"> V dlouhodobě 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prosperujících i</w:t>
            </w:r>
            <w:r w:rsidRPr="00BD1AA6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nformační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ch</w:t>
            </w:r>
            <w:r w:rsidRPr="00BD1AA6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a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BD1AA6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komunikační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ch</w:t>
            </w:r>
            <w:r w:rsidRPr="00BD1AA6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č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innostech zaměstnanost meziročně vzrostla o 3,5 %. Jen mírně slabším tempem </w:t>
            </w:r>
            <w:proofErr w:type="gramStart"/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přibylo</w:t>
            </w:r>
            <w:proofErr w:type="gramEnd"/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pracovníků v uskupení veřejná správa,</w:t>
            </w:r>
            <w:r w:rsidRPr="00916338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obrana, vzdělávání, zdravotní a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916338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sociální péče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, které k růstu zaměstnanosti v celé ekonomice přispělo ze všech odvětví nejvíce (+29 tis.). Nadále se dařilo i činnostem v oblasti nemovitostí, kde se zvyšovaly počty zaměstnanců i </w:t>
            </w:r>
            <w:proofErr w:type="spellStart"/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sebezaměstnaných</w:t>
            </w:r>
            <w:proofErr w:type="spellEnd"/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. K oživení celkové zaměstnanosti došlo ve většině odvětví poskytujících služby zejména pro podniky. Naopak v </w:t>
            </w:r>
            <w:r>
              <w:rPr>
                <w:spacing w:val="-4"/>
              </w:rPr>
              <w:t xml:space="preserve">uskupení obchod, doprava, ubytování a pohostinství celková zaměstnanost meziročně stále mírně </w:t>
            </w:r>
            <w:proofErr w:type="gramStart"/>
            <w:r>
              <w:rPr>
                <w:spacing w:val="-4"/>
              </w:rPr>
              <w:t>klesala (–0,7</w:t>
            </w:r>
            <w:proofErr w:type="gramEnd"/>
            <w:r>
              <w:rPr>
                <w:spacing w:val="-4"/>
              </w:rPr>
              <w:t> %)</w:t>
            </w:r>
            <w:r>
              <w:rPr>
                <w:rStyle w:val="Znakapoznpodarou"/>
                <w:spacing w:val="-4"/>
              </w:rPr>
              <w:footnoteReference w:id="60"/>
            </w:r>
            <w:r>
              <w:rPr>
                <w:spacing w:val="-4"/>
              </w:rPr>
              <w:t>, zaměstnanců zde ale poprvé od konce roku 2019 přibylo (+0,5 %). V peněžnictví a pojišťovnictví zaměstnanost i v souvislosti s rozvojem digitalizace mírně klesala pátým rokem v řadě. Pracovní místa dále ztrácely rovněž ostatní činnosti služeb</w:t>
            </w:r>
            <w:r>
              <w:rPr>
                <w:rStyle w:val="Znakapoznpodarou"/>
                <w:spacing w:val="-4"/>
              </w:rPr>
              <w:footnoteReference w:id="61"/>
            </w:r>
            <w:r>
              <w:rPr>
                <w:spacing w:val="-4"/>
              </w:rPr>
              <w:t xml:space="preserve">, oproti celému loňskému roku (3,5 %) se ovšem pokles zmírnil na 0,4 %. Více než třetinu pracovníků zde tvoří </w:t>
            </w:r>
            <w:proofErr w:type="spellStart"/>
            <w:r>
              <w:rPr>
                <w:spacing w:val="-4"/>
              </w:rPr>
              <w:t>sebezaměstnané</w:t>
            </w:r>
            <w:proofErr w:type="spellEnd"/>
            <w:r>
              <w:rPr>
                <w:spacing w:val="-4"/>
              </w:rPr>
              <w:t xml:space="preserve"> osoby.</w:t>
            </w:r>
          </w:p>
        </w:tc>
      </w:tr>
      <w:tr w:rsidR="00B34750" w:rsidRPr="006342CF" w14:paraId="546A7CB8" w14:textId="77777777" w:rsidTr="009112E3">
        <w:trPr>
          <w:trHeight w:val="15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54D17DFA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lastRenderedPageBreak/>
              <w:t>Meziroční pokles zaměstnanosti v průmyslu se ve 3. čtvrtletí zastavil.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3DAD2EA" w14:textId="77777777" w:rsidR="00B34750" w:rsidRPr="003B1401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7CDA0E7B" w14:textId="77777777" w:rsidR="00B34750" w:rsidRPr="006342CF" w:rsidRDefault="00B34750" w:rsidP="009112E3">
            <w:pPr>
              <w:rPr>
                <w:spacing w:val="-4"/>
              </w:rPr>
            </w:pPr>
            <w:r>
              <w:rPr>
                <w:spacing w:val="-4"/>
              </w:rPr>
              <w:t xml:space="preserve">Zaměstnanost v průmyslu se dostala na úroveň 3. čtvrtletí loňského roku. Meziroční zvýšení počtu zaměstnanců (1,1 %) bylo tlumeno hlubším úbytkem </w:t>
            </w:r>
            <w:proofErr w:type="spellStart"/>
            <w:r>
              <w:rPr>
                <w:spacing w:val="-4"/>
              </w:rPr>
              <w:t>sebezaměstnaných</w:t>
            </w:r>
            <w:proofErr w:type="spellEnd"/>
            <w:r>
              <w:rPr>
                <w:spacing w:val="-4"/>
              </w:rPr>
              <w:t xml:space="preserve">. Podobně tomu bylo i ve stavebnictví, kde růst počtu zaměstnanců zrychlil na 2,8 %. </w:t>
            </w:r>
            <w:r w:rsidRPr="007517F0">
              <w:rPr>
                <w:spacing w:val="-4"/>
              </w:rPr>
              <w:t xml:space="preserve">Dlouhodobě vysoká poptávka po pracovní síle zde byla do značné míry saturována </w:t>
            </w:r>
            <w:r w:rsidRPr="007E6226">
              <w:rPr>
                <w:spacing w:val="-4"/>
              </w:rPr>
              <w:t>náborem ze zahraničí</w:t>
            </w:r>
            <w:r w:rsidRPr="007517F0">
              <w:rPr>
                <w:spacing w:val="-4"/>
              </w:rPr>
              <w:t xml:space="preserve">. Počet </w:t>
            </w:r>
            <w:r>
              <w:rPr>
                <w:spacing w:val="-4"/>
              </w:rPr>
              <w:t xml:space="preserve">všech </w:t>
            </w:r>
            <w:r w:rsidRPr="001653E3">
              <w:rPr>
                <w:spacing w:val="-4"/>
              </w:rPr>
              <w:t>cizinců pracujících v Česku v</w:t>
            </w:r>
            <w:r>
              <w:rPr>
                <w:spacing w:val="-4"/>
              </w:rPr>
              <w:t> </w:t>
            </w:r>
            <w:r w:rsidRPr="001653E3">
              <w:rPr>
                <w:spacing w:val="-4"/>
              </w:rPr>
              <w:t>zaměstnaneckém postavení</w:t>
            </w:r>
            <w:r w:rsidRPr="007E6226">
              <w:rPr>
                <w:spacing w:val="-4"/>
              </w:rPr>
              <w:t xml:space="preserve"> v posledních měsících silně rostl</w:t>
            </w:r>
            <w:r w:rsidRPr="007517F0">
              <w:rPr>
                <w:spacing w:val="-4"/>
              </w:rPr>
              <w:t xml:space="preserve">. </w:t>
            </w:r>
            <w:r>
              <w:rPr>
                <w:spacing w:val="-4"/>
              </w:rPr>
              <w:t xml:space="preserve">V září jich úřady práce registrovaly </w:t>
            </w:r>
            <w:r w:rsidRPr="001653E3">
              <w:rPr>
                <w:spacing w:val="-4"/>
              </w:rPr>
              <w:t>rekordních 720</w:t>
            </w:r>
            <w:r>
              <w:rPr>
                <w:spacing w:val="-4"/>
              </w:rPr>
              <w:t> tis., meziročně o desetinu více. Rychle přibývalo občanů Ukrajiny, jejichž počet (214 tis.) převýšil i dlouhodobě dominantní skupinu zahraničních pracovníků ze Slovenska (208 tis.).</w:t>
            </w:r>
          </w:p>
        </w:tc>
      </w:tr>
      <w:tr w:rsidR="00B34750" w:rsidRPr="00943B90" w14:paraId="70BF0E34" w14:textId="77777777" w:rsidTr="009112E3">
        <w:trPr>
          <w:trHeight w:val="15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143F7863" w14:textId="77777777" w:rsidR="00B34750" w:rsidRDefault="00B34750" w:rsidP="009112E3">
            <w:pPr>
              <w:pStyle w:val="Marginlie"/>
              <w:spacing w:after="120"/>
              <w:rPr>
                <w:spacing w:val="-4"/>
              </w:rPr>
            </w:pPr>
            <w:r>
              <w:rPr>
                <w:spacing w:val="-4"/>
              </w:rPr>
              <w:t>Krátkodobá očekávání zaměstnanosti byla v září nejvýše za poslední dva roky.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1FA23C3" w14:textId="77777777" w:rsidR="00B34750" w:rsidRPr="003B1401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543AD9B6" w14:textId="77777777" w:rsidR="00B34750" w:rsidRPr="00943B90" w:rsidRDefault="00B34750" w:rsidP="009112E3">
            <w:pPr>
              <w:rPr>
                <w:spacing w:val="-4"/>
              </w:rPr>
            </w:pPr>
            <w:r w:rsidRPr="007517F0">
              <w:rPr>
                <w:spacing w:val="-4"/>
              </w:rPr>
              <w:t>Dle konjunkturáln</w:t>
            </w:r>
            <w:r>
              <w:rPr>
                <w:spacing w:val="-4"/>
              </w:rPr>
              <w:t>ích průzkumů vystoupala v září</w:t>
            </w:r>
            <w:r w:rsidRPr="007517F0">
              <w:rPr>
                <w:spacing w:val="-4"/>
              </w:rPr>
              <w:t xml:space="preserve"> 2021 krátkodobá </w:t>
            </w:r>
            <w:r w:rsidRPr="001653E3">
              <w:rPr>
                <w:spacing w:val="-4"/>
              </w:rPr>
              <w:t xml:space="preserve">očekávání podniků v oblasti zaměstnanosti nejvýše od podzimu 2019. </w:t>
            </w:r>
            <w:r w:rsidRPr="007517F0">
              <w:rPr>
                <w:spacing w:val="-4"/>
              </w:rPr>
              <w:t>Pozitivní b</w:t>
            </w:r>
            <w:r>
              <w:rPr>
                <w:spacing w:val="-4"/>
              </w:rPr>
              <w:t xml:space="preserve">yla především v obchodu, ale i v průmyslu a stavebnictví. Ve službách však stále převažovaly podniky plánující propouštění lidí, a to především v oblasti dopravy, telekomunikací, bankovnictví či vydavatelských činností. Zároveň ale </w:t>
            </w:r>
            <w:r w:rsidRPr="001653E3">
              <w:rPr>
                <w:spacing w:val="-4"/>
              </w:rPr>
              <w:t>dále mírně rostl i</w:t>
            </w:r>
            <w:r>
              <w:rPr>
                <w:spacing w:val="-4"/>
              </w:rPr>
              <w:t> </w:t>
            </w:r>
            <w:r w:rsidRPr="001653E3">
              <w:rPr>
                <w:spacing w:val="-4"/>
              </w:rPr>
              <w:t>podíl pod</w:t>
            </w:r>
            <w:r>
              <w:rPr>
                <w:spacing w:val="-4"/>
              </w:rPr>
              <w:t>niků, pro něž představoval nedostatek</w:t>
            </w:r>
            <w:r w:rsidRPr="001653E3">
              <w:rPr>
                <w:spacing w:val="-4"/>
              </w:rPr>
              <w:t xml:space="preserve"> pracovníků</w:t>
            </w:r>
            <w:r>
              <w:rPr>
                <w:spacing w:val="-4"/>
              </w:rPr>
              <w:t xml:space="preserve"> jednu z růstových bariér – ve stavebnictví šlo v říjnu již o 47 % firem, v průmyslu o 21 % a ve službách o 19 %.</w:t>
            </w:r>
          </w:p>
        </w:tc>
      </w:tr>
      <w:tr w:rsidR="00B34750" w:rsidRPr="00CA5850" w14:paraId="39EDAAD5" w14:textId="77777777" w:rsidTr="009112E3">
        <w:trPr>
          <w:trHeight w:val="155"/>
        </w:trPr>
        <w:tc>
          <w:tcPr>
            <w:tcW w:w="1698" w:type="dxa"/>
            <w:vMerge w:val="restart"/>
            <w:shd w:val="clear" w:color="auto" w:fill="auto"/>
            <w:tcMar>
              <w:left w:w="0" w:type="dxa"/>
            </w:tcMar>
          </w:tcPr>
          <w:p w14:paraId="6C90E117" w14:textId="77777777" w:rsidR="00B34750" w:rsidRPr="00B43216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0D182778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72AEE0A9" w14:textId="77777777" w:rsidR="00B34750" w:rsidRPr="00CA5850" w:rsidRDefault="00B34750" w:rsidP="009112E3">
            <w:pPr>
              <w:spacing w:after="0"/>
              <w:rPr>
                <w:spacing w:val="-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Graf č. 12</w:t>
            </w:r>
            <w:r w:rsidRPr="006856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68569E">
              <w:rPr>
                <w:b/>
                <w:bCs/>
                <w:lang w:eastAsia="en-US"/>
              </w:rPr>
              <w:t xml:space="preserve">Celková zaměstnanost </w:t>
            </w:r>
            <w:r w:rsidRPr="0068569E">
              <w:rPr>
                <w:lang w:eastAsia="en-US"/>
              </w:rPr>
              <w:t>(</w:t>
            </w:r>
            <w:r w:rsidRPr="0068569E">
              <w:rPr>
                <w:spacing w:val="-2"/>
              </w:rPr>
              <w:t>meziročně v</w:t>
            </w:r>
            <w:r>
              <w:rPr>
                <w:spacing w:val="-2"/>
              </w:rPr>
              <w:t> %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, </w:t>
            </w:r>
            <w:r>
              <w:rPr>
                <w:b/>
                <w:bCs/>
                <w:spacing w:val="-2"/>
              </w:rPr>
              <w:t xml:space="preserve">příspěvky </w:t>
            </w:r>
            <w:r w:rsidRPr="0068569E">
              <w:rPr>
                <w:b/>
                <w:bCs/>
                <w:spacing w:val="-2"/>
              </w:rPr>
              <w:t xml:space="preserve">odvětví k meziroční změně zaměstnanosti </w:t>
            </w:r>
            <w:r w:rsidRPr="0068569E">
              <w:rPr>
                <w:spacing w:val="-2"/>
              </w:rPr>
              <w:t>(v</w:t>
            </w:r>
            <w:r>
              <w:rPr>
                <w:spacing w:val="-2"/>
              </w:rPr>
              <w:t> p. b.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 a očekávání vývoje zaměst</w:t>
            </w:r>
            <w:r>
              <w:rPr>
                <w:b/>
                <w:bCs/>
                <w:spacing w:val="-2"/>
              </w:rPr>
              <w:t>nanosti</w:t>
            </w:r>
            <w:r w:rsidRPr="0068569E">
              <w:rPr>
                <w:b/>
                <w:bCs/>
                <w:spacing w:val="-2"/>
              </w:rPr>
              <w:t xml:space="preserve"> </w:t>
            </w:r>
            <w:r w:rsidRPr="0068569E">
              <w:rPr>
                <w:spacing w:val="-2"/>
              </w:rPr>
              <w:t>(saldo v</w:t>
            </w:r>
            <w:r>
              <w:rPr>
                <w:spacing w:val="-2"/>
              </w:rPr>
              <w:t> p. b.)</w:t>
            </w:r>
          </w:p>
        </w:tc>
      </w:tr>
      <w:tr w:rsidR="00B34750" w:rsidRPr="00B43216" w14:paraId="25626F96" w14:textId="77777777" w:rsidTr="009112E3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698" w:type="dxa"/>
            <w:vMerge/>
            <w:shd w:val="clear" w:color="auto" w:fill="auto"/>
          </w:tcPr>
          <w:p w14:paraId="6DBF7588" w14:textId="77777777" w:rsidR="00B34750" w:rsidRPr="00B43216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6" w:type="dxa"/>
            <w:vMerge/>
            <w:shd w:val="clear" w:color="auto" w:fill="auto"/>
          </w:tcPr>
          <w:p w14:paraId="650CDF89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</w:tcPr>
          <w:p w14:paraId="39E871CC" w14:textId="77777777" w:rsidR="00B34750" w:rsidRPr="00B43216" w:rsidRDefault="00B34750" w:rsidP="009112E3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149B4620" wp14:editId="23DDF233">
                  <wp:extent cx="4725603" cy="3915810"/>
                  <wp:effectExtent l="0" t="0" r="0" b="889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B34750" w:rsidRPr="00485ED5" w14:paraId="35D93469" w14:textId="77777777" w:rsidTr="009112E3">
        <w:trPr>
          <w:trHeight w:val="671"/>
        </w:trPr>
        <w:tc>
          <w:tcPr>
            <w:tcW w:w="1698" w:type="dxa"/>
            <w:vMerge/>
            <w:shd w:val="clear" w:color="auto" w:fill="auto"/>
            <w:tcMar>
              <w:left w:w="0" w:type="dxa"/>
            </w:tcMar>
          </w:tcPr>
          <w:p w14:paraId="4C5F841D" w14:textId="77777777" w:rsidR="00B34750" w:rsidRPr="00B43216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075C3656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779D46FF" w14:textId="77777777" w:rsidR="00B34750" w:rsidRDefault="00B34750" w:rsidP="009112E3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862F17">
              <w:rPr>
                <w:rFonts w:cs="Arial"/>
                <w:sz w:val="14"/>
                <w:szCs w:val="14"/>
              </w:rPr>
              <w:t xml:space="preserve"> Těžba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energetika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Peněžnictví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pojišťovnictví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Činnosti v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oblasti nemovitostí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Kulturní, zábavní a</w:t>
            </w:r>
            <w:r w:rsidRPr="00D47653">
              <w:rPr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rekreační činnosti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14:paraId="67B9A8F5" w14:textId="77777777" w:rsidR="00B34750" w:rsidRDefault="00B34750" w:rsidP="009112E3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Poznámka: Saldo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očekávání vyjadřuje rozdíl v p. b. </w:t>
            </w:r>
            <w:proofErr w:type="gramStart"/>
            <w:r>
              <w:rPr>
                <w:rFonts w:cs="Arial"/>
                <w:color w:val="0D0D0D" w:themeColor="text1" w:themeTint="F2"/>
                <w:sz w:val="14"/>
                <w:szCs w:val="14"/>
              </w:rPr>
              <w:t>mezi</w:t>
            </w:r>
            <w:proofErr w:type="gramEnd"/>
            <w:r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 kategoriemi růst versus pokles zaměstnanosti v nejbližších třech měsících. Údaje jsou sezónně očištěny a vztahují se k druhému měsíci daného čtvrtletí.</w:t>
            </w:r>
          </w:p>
          <w:p w14:paraId="5893B6D0" w14:textId="77777777" w:rsidR="00B34750" w:rsidRPr="00485ED5" w:rsidRDefault="00B34750" w:rsidP="009112E3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Zdroj: ČSÚ (VŠPS, konjunkturální průzkumy)</w:t>
            </w:r>
          </w:p>
        </w:tc>
      </w:tr>
      <w:tr w:rsidR="00B34750" w:rsidRPr="00431E91" w14:paraId="7710712D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68BC7ABB" w14:textId="77777777" w:rsidR="00B34750" w:rsidRDefault="00B34750" w:rsidP="009112E3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Obecná míra nezaměstnanosti se letos od března snižovala.</w:t>
            </w:r>
          </w:p>
          <w:p w14:paraId="21BD48ED" w14:textId="77777777" w:rsidR="00B34750" w:rsidRDefault="00B34750" w:rsidP="009112E3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75A382A3" w14:textId="77777777" w:rsidR="00B34750" w:rsidRDefault="00B34750" w:rsidP="009112E3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1CD79F8D" w14:textId="77777777" w:rsidR="00B34750" w:rsidRDefault="00B34750" w:rsidP="009112E3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1710B346" w14:textId="77777777" w:rsidR="00B34750" w:rsidRDefault="00B34750" w:rsidP="009112E3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76BA501B" w14:textId="77777777" w:rsidR="00B34750" w:rsidRDefault="00B34750" w:rsidP="009112E3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64A0072E" w14:textId="77777777" w:rsidR="00B34750" w:rsidRDefault="00B34750" w:rsidP="009112E3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lastRenderedPageBreak/>
              <w:t>Míra nezaměstnanosti mladých žen od počátku roku výrazně klesla.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A4054C9" w14:textId="77777777" w:rsidR="00B34750" w:rsidRPr="00EA508C" w:rsidRDefault="00B34750" w:rsidP="009112E3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4101A47F" w14:textId="77777777" w:rsidR="00B34750" w:rsidRPr="00431E91" w:rsidRDefault="00B34750" w:rsidP="009112E3">
            <w:pPr>
              <w:rPr>
                <w:color w:val="0D0D0D" w:themeColor="text1" w:themeTint="F2"/>
                <w:spacing w:val="-4"/>
              </w:rPr>
            </w:pPr>
            <w:r w:rsidRPr="00431E91">
              <w:rPr>
                <w:color w:val="0D0D0D" w:themeColor="text1" w:themeTint="F2"/>
                <w:spacing w:val="-4"/>
              </w:rPr>
              <w:t>Obecná míra nezaměstnanosti</w:t>
            </w:r>
            <w:r w:rsidRPr="00431E91">
              <w:rPr>
                <w:rStyle w:val="Znakapoznpodarou"/>
                <w:color w:val="0D0D0D" w:themeColor="text1" w:themeTint="F2"/>
                <w:spacing w:val="-4"/>
              </w:rPr>
              <w:footnoteReference w:id="62"/>
            </w:r>
            <w:r>
              <w:rPr>
                <w:color w:val="0D0D0D" w:themeColor="text1" w:themeTint="F2"/>
                <w:spacing w:val="-4"/>
              </w:rPr>
              <w:t xml:space="preserve"> (ve věku 15 až 64 let) měla letos po dosažení březnového maxima (3,5 %) zřetelně sestupný trend, z velké části vlivem příznivého vývoje u žen. Efekt v</w:t>
            </w:r>
            <w:r w:rsidRPr="00431E91">
              <w:rPr>
                <w:color w:val="0D0D0D" w:themeColor="text1" w:themeTint="F2"/>
                <w:spacing w:val="-4"/>
              </w:rPr>
              <w:t>ýrazné</w:t>
            </w:r>
            <w:r>
              <w:rPr>
                <w:color w:val="0D0D0D" w:themeColor="text1" w:themeTint="F2"/>
                <w:spacing w:val="-4"/>
              </w:rPr>
              <w:t>ho</w:t>
            </w:r>
            <w:r w:rsidRPr="00431E91">
              <w:rPr>
                <w:color w:val="0D0D0D" w:themeColor="text1" w:themeTint="F2"/>
                <w:spacing w:val="-4"/>
              </w:rPr>
              <w:t xml:space="preserve"> utlumení vládních stabilizačních programů </w:t>
            </w:r>
            <w:r>
              <w:rPr>
                <w:color w:val="0D0D0D" w:themeColor="text1" w:themeTint="F2"/>
                <w:spacing w:val="-4"/>
              </w:rPr>
              <w:t xml:space="preserve">(Antivirus, ošetřovné) byl kompenzován pozitivními dopady spojenými s plným „otevřením“ ekonomiky. V říjnu tak </w:t>
            </w:r>
            <w:r w:rsidRPr="00431E91">
              <w:rPr>
                <w:color w:val="0D0D0D" w:themeColor="text1" w:themeTint="F2"/>
                <w:spacing w:val="-4"/>
              </w:rPr>
              <w:t>byl</w:t>
            </w:r>
            <w:r>
              <w:rPr>
                <w:color w:val="0D0D0D" w:themeColor="text1" w:themeTint="F2"/>
                <w:spacing w:val="-4"/>
              </w:rPr>
              <w:t>a</w:t>
            </w:r>
            <w:r w:rsidRPr="00431E91">
              <w:rPr>
                <w:color w:val="0D0D0D" w:themeColor="text1" w:themeTint="F2"/>
                <w:spacing w:val="-4"/>
              </w:rPr>
              <w:t xml:space="preserve"> bez práce jen 2,4 % ekon</w:t>
            </w:r>
            <w:r>
              <w:rPr>
                <w:color w:val="0D0D0D" w:themeColor="text1" w:themeTint="F2"/>
                <w:spacing w:val="-4"/>
              </w:rPr>
              <w:t>omicky aktivních mužů, resp. 3,0</w:t>
            </w:r>
            <w:r w:rsidRPr="00431E91">
              <w:rPr>
                <w:color w:val="0D0D0D" w:themeColor="text1" w:themeTint="F2"/>
                <w:spacing w:val="-4"/>
              </w:rPr>
              <w:t> % žen</w:t>
            </w:r>
            <w:r>
              <w:rPr>
                <w:color w:val="0D0D0D" w:themeColor="text1" w:themeTint="F2"/>
                <w:spacing w:val="-4"/>
              </w:rPr>
              <w:t>.</w:t>
            </w:r>
            <w:r w:rsidRPr="00431E91">
              <w:rPr>
                <w:color w:val="0D0D0D" w:themeColor="text1" w:themeTint="F2"/>
                <w:spacing w:val="-4"/>
              </w:rPr>
              <w:t xml:space="preserve"> Ve srovnání s úrovní těsn</w:t>
            </w:r>
            <w:r>
              <w:rPr>
                <w:color w:val="0D0D0D" w:themeColor="text1" w:themeTint="F2"/>
                <w:spacing w:val="-4"/>
              </w:rPr>
              <w:t>ě před pandemií (z února 2020) narostla nezaměstnanost žen o 1,1</w:t>
            </w:r>
            <w:r w:rsidRPr="00431E91">
              <w:rPr>
                <w:color w:val="0D0D0D" w:themeColor="text1" w:themeTint="F2"/>
                <w:spacing w:val="-4"/>
              </w:rPr>
              <w:t> p</w:t>
            </w:r>
            <w:r>
              <w:rPr>
                <w:color w:val="0D0D0D" w:themeColor="text1" w:themeTint="F2"/>
                <w:spacing w:val="-4"/>
              </w:rPr>
              <w:t xml:space="preserve">. b., mužů pak o 0,6 p. b. </w:t>
            </w:r>
            <w:r>
              <w:rPr>
                <w:color w:val="0D0D0D" w:themeColor="text1" w:themeTint="F2"/>
                <w:spacing w:val="-4"/>
              </w:rPr>
              <w:lastRenderedPageBreak/>
              <w:t>Ř</w:t>
            </w:r>
            <w:r w:rsidRPr="00431E91">
              <w:rPr>
                <w:color w:val="0D0D0D" w:themeColor="text1" w:themeTint="F2"/>
                <w:spacing w:val="-4"/>
              </w:rPr>
              <w:t>ada odvětví služeb silně zasažených útlumem pop</w:t>
            </w:r>
            <w:r>
              <w:rPr>
                <w:color w:val="0D0D0D" w:themeColor="text1" w:themeTint="F2"/>
                <w:spacing w:val="-4"/>
              </w:rPr>
              <w:t xml:space="preserve">távky během pandemie se letos v létě a na podzim rychle zotavovala a začala opět nabírat pracovníky, z čehož patrně více profitovaly ženy. Na druhé straně </w:t>
            </w:r>
            <w:r w:rsidRPr="00431E91">
              <w:rPr>
                <w:color w:val="0D0D0D" w:themeColor="text1" w:themeTint="F2"/>
                <w:spacing w:val="-4"/>
              </w:rPr>
              <w:t>nabídka zkrácených pracovních úvazků</w:t>
            </w:r>
            <w:r>
              <w:rPr>
                <w:color w:val="0D0D0D" w:themeColor="text1" w:themeTint="F2"/>
                <w:spacing w:val="-4"/>
              </w:rPr>
              <w:t xml:space="preserve">, která by „vtáhla“ na pracovní trh ještě větší počet žen, </w:t>
            </w:r>
            <w:r w:rsidRPr="00431E91">
              <w:rPr>
                <w:color w:val="0D0D0D" w:themeColor="text1" w:themeTint="F2"/>
                <w:spacing w:val="-4"/>
              </w:rPr>
              <w:t>patrně zatím úrovně z roku 2019 nedosáhla</w:t>
            </w:r>
            <w:r w:rsidRPr="00431E91">
              <w:rPr>
                <w:rStyle w:val="Znakapoznpodarou"/>
                <w:color w:val="0D0D0D" w:themeColor="text1" w:themeTint="F2"/>
                <w:spacing w:val="-4"/>
              </w:rPr>
              <w:footnoteReference w:id="63"/>
            </w:r>
            <w:r w:rsidRPr="00431E91">
              <w:rPr>
                <w:color w:val="0D0D0D" w:themeColor="text1" w:themeTint="F2"/>
                <w:spacing w:val="-4"/>
              </w:rPr>
              <w:t xml:space="preserve">. </w:t>
            </w:r>
            <w:r>
              <w:rPr>
                <w:color w:val="0D0D0D" w:themeColor="text1" w:themeTint="F2"/>
                <w:spacing w:val="-4"/>
              </w:rPr>
              <w:t>Letos se zlepšovala i pozice mladých uchazečů o práci. Míra nezaměstnanosti u žen</w:t>
            </w:r>
            <w:r w:rsidRPr="00431E91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do 25 let klesla z lednových 15,6 % na 7,7 %, pozitivní posun u mladých mužů byl podstatně skromnější – z 8,5 % na 7,9 %.</w:t>
            </w:r>
            <w:r w:rsidRPr="00431E91">
              <w:rPr>
                <w:color w:val="0D0D0D" w:themeColor="text1" w:themeTint="F2"/>
                <w:spacing w:val="-4"/>
              </w:rPr>
              <w:t xml:space="preserve"> Dlouhodobě nezaměstnaných ale meziročně přibylo, jejich podíl na</w:t>
            </w:r>
            <w:r>
              <w:rPr>
                <w:color w:val="0D0D0D" w:themeColor="text1" w:themeTint="F2"/>
                <w:spacing w:val="-4"/>
              </w:rPr>
              <w:t xml:space="preserve"> celkové nezaměstnanosti se ve 3</w:t>
            </w:r>
            <w:r w:rsidRPr="00431E91">
              <w:rPr>
                <w:color w:val="0D0D0D" w:themeColor="text1" w:themeTint="F2"/>
                <w:spacing w:val="-4"/>
              </w:rPr>
              <w:t>. čt</w:t>
            </w:r>
            <w:r>
              <w:rPr>
                <w:color w:val="0D0D0D" w:themeColor="text1" w:themeTint="F2"/>
                <w:spacing w:val="-4"/>
              </w:rPr>
              <w:t xml:space="preserve">vrtletí přiblížil </w:t>
            </w:r>
            <w:proofErr w:type="gramStart"/>
            <w:r>
              <w:rPr>
                <w:color w:val="0D0D0D" w:themeColor="text1" w:themeTint="F2"/>
                <w:spacing w:val="-4"/>
              </w:rPr>
              <w:t>ke</w:t>
            </w:r>
            <w:proofErr w:type="gramEnd"/>
            <w:r>
              <w:rPr>
                <w:color w:val="0D0D0D" w:themeColor="text1" w:themeTint="F2"/>
                <w:spacing w:val="-4"/>
              </w:rPr>
              <w:t xml:space="preserve"> 30 % (</w:t>
            </w:r>
            <w:r w:rsidRPr="00431E91">
              <w:rPr>
                <w:color w:val="0D0D0D" w:themeColor="text1" w:themeTint="F2"/>
                <w:spacing w:val="-4"/>
              </w:rPr>
              <w:t>k běžným hodnotám z konjunkturní</w:t>
            </w:r>
            <w:r>
              <w:rPr>
                <w:color w:val="0D0D0D" w:themeColor="text1" w:themeTint="F2"/>
                <w:spacing w:val="-4"/>
              </w:rPr>
              <w:t xml:space="preserve">ho roku 2019). Za celé 3. čtvrtletí klesla meziročně celková nezaměstnanost </w:t>
            </w:r>
            <w:r w:rsidRPr="007C08FB">
              <w:rPr>
                <w:color w:val="0D0D0D" w:themeColor="text1" w:themeTint="F2"/>
                <w:spacing w:val="-4"/>
              </w:rPr>
              <w:t>ve většině regionů. Lidí</w:t>
            </w:r>
            <w:r>
              <w:rPr>
                <w:color w:val="0D0D0D" w:themeColor="text1" w:themeTint="F2"/>
                <w:spacing w:val="-4"/>
              </w:rPr>
              <w:t xml:space="preserve"> bez práce ale mírně přibylo v Moravskoslezském kraji, kde se patrně projevil pokračující útlum těžby uhlí. Byť tento region společně s Karlovarským krajem patřil k nejpostiženějším, míra nezaměstnanosti v nich výrazněji nepřesáhla 5 %.</w:t>
            </w:r>
          </w:p>
        </w:tc>
      </w:tr>
      <w:tr w:rsidR="00B34750" w:rsidRPr="00431E91" w14:paraId="54D331F7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4CD2D1C5" w14:textId="77777777" w:rsidR="00B34750" w:rsidRDefault="00B34750" w:rsidP="009112E3">
            <w:pPr>
              <w:pStyle w:val="Marginlie"/>
              <w:spacing w:after="120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lastRenderedPageBreak/>
              <w:t>Obavy domácností z růstu nezaměstnanosti ve 3. čtvrtletí klesly, volných pracovních míst dále přibývalo.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EC6474F" w14:textId="77777777" w:rsidR="00B34750" w:rsidRPr="00EA508C" w:rsidRDefault="00B34750" w:rsidP="009112E3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27AA8C40" w14:textId="77777777" w:rsidR="00B34750" w:rsidRPr="00431E91" w:rsidRDefault="00B34750" w:rsidP="009112E3">
            <w:pPr>
              <w:rPr>
                <w:color w:val="0D0D0D" w:themeColor="text1" w:themeTint="F2"/>
                <w:spacing w:val="-4"/>
              </w:rPr>
            </w:pPr>
            <w:r w:rsidRPr="00431E91">
              <w:rPr>
                <w:color w:val="0D0D0D" w:themeColor="text1" w:themeTint="F2"/>
                <w:spacing w:val="-4"/>
              </w:rPr>
              <w:t xml:space="preserve">Obavy domácností z růstu nezaměstnanosti (v nejbližších dvanácti měsících) během </w:t>
            </w:r>
            <w:r>
              <w:rPr>
                <w:color w:val="0D0D0D" w:themeColor="text1" w:themeTint="F2"/>
                <w:spacing w:val="-4"/>
              </w:rPr>
              <w:t>3</w:t>
            </w:r>
            <w:r w:rsidRPr="00431E91">
              <w:rPr>
                <w:color w:val="0D0D0D" w:themeColor="text1" w:themeTint="F2"/>
                <w:spacing w:val="-4"/>
              </w:rPr>
              <w:t>. čtvrtletí prudce oslabily a </w:t>
            </w:r>
            <w:r>
              <w:rPr>
                <w:color w:val="0D0D0D" w:themeColor="text1" w:themeTint="F2"/>
                <w:spacing w:val="-4"/>
              </w:rPr>
              <w:t>vrátily se na nízkou úroveň z </w:t>
            </w:r>
            <w:r w:rsidRPr="00431E91">
              <w:rPr>
                <w:color w:val="0D0D0D" w:themeColor="text1" w:themeTint="F2"/>
                <w:spacing w:val="-4"/>
              </w:rPr>
              <w:t>poloviny roku 2019</w:t>
            </w:r>
            <w:r w:rsidRPr="007C08FB">
              <w:rPr>
                <w:rStyle w:val="Znakapoznpodarou"/>
                <w:color w:val="0D0D0D" w:themeColor="text1" w:themeTint="F2"/>
                <w:spacing w:val="-4"/>
              </w:rPr>
              <w:footnoteReference w:id="64"/>
            </w:r>
            <w:r w:rsidRPr="007C08FB">
              <w:rPr>
                <w:color w:val="0D0D0D" w:themeColor="text1" w:themeTint="F2"/>
                <w:spacing w:val="-4"/>
              </w:rPr>
              <w:t>. Počet volných pracovních míst v nabídce úřadů práce vystoupal v září na 358</w:t>
            </w:r>
            <w:r>
              <w:rPr>
                <w:color w:val="0D0D0D" w:themeColor="text1" w:themeTint="F2"/>
                <w:spacing w:val="-4"/>
              </w:rPr>
              <w:t> tis.</w:t>
            </w:r>
            <w:r w:rsidRPr="007C08FB">
              <w:rPr>
                <w:color w:val="0D0D0D" w:themeColor="text1" w:themeTint="F2"/>
                <w:spacing w:val="-4"/>
              </w:rPr>
              <w:t xml:space="preserve"> Meziročně přibylo zejména míst s nízkými kvalifikačními nároky, mířících primárně na zahraniční pracovníky. V</w:t>
            </w:r>
            <w:r>
              <w:rPr>
                <w:color w:val="0D0D0D" w:themeColor="text1" w:themeTint="F2"/>
                <w:spacing w:val="-4"/>
              </w:rPr>
              <w:t>zrostla</w:t>
            </w:r>
            <w:r w:rsidRPr="007C08FB">
              <w:rPr>
                <w:color w:val="0D0D0D" w:themeColor="text1" w:themeTint="F2"/>
                <w:spacing w:val="-4"/>
              </w:rPr>
              <w:t xml:space="preserve"> i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7C08FB">
              <w:rPr>
                <w:color w:val="0D0D0D" w:themeColor="text1" w:themeTint="F2"/>
                <w:spacing w:val="-4"/>
              </w:rPr>
              <w:t>nabídka pro uchazeče s alespoň maturitním vzděláním.</w:t>
            </w:r>
          </w:p>
        </w:tc>
      </w:tr>
      <w:tr w:rsidR="00B34750" w:rsidRPr="009C410C" w14:paraId="5BC9F40C" w14:textId="77777777" w:rsidTr="009112E3">
        <w:trPr>
          <w:trHeight w:val="155"/>
        </w:trPr>
        <w:tc>
          <w:tcPr>
            <w:tcW w:w="1698" w:type="dxa"/>
            <w:vMerge w:val="restart"/>
            <w:shd w:val="clear" w:color="auto" w:fill="auto"/>
            <w:tcMar>
              <w:left w:w="0" w:type="dxa"/>
            </w:tcMar>
          </w:tcPr>
          <w:p w14:paraId="4530ABD8" w14:textId="77777777" w:rsidR="00B34750" w:rsidRPr="00B43216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773D5282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06934BA7" w14:textId="77777777" w:rsidR="00B34750" w:rsidRPr="009C410C" w:rsidRDefault="00B34750" w:rsidP="009112E3">
            <w:pPr>
              <w:spacing w:after="0"/>
              <w:rPr>
                <w:b/>
                <w:spacing w:val="-4"/>
              </w:rPr>
            </w:pPr>
            <w:r w:rsidRPr="009C410C">
              <w:rPr>
                <w:b/>
                <w:spacing w:val="-4"/>
              </w:rPr>
              <w:t xml:space="preserve">Graf č. 13  </w:t>
            </w:r>
            <w:r w:rsidRPr="009C410C">
              <w:rPr>
                <w:rFonts w:cs="Arial"/>
                <w:b/>
                <w:spacing w:val="-4"/>
              </w:rPr>
              <w:t xml:space="preserve">Obecná míra nezaměstnanosti </w:t>
            </w:r>
            <w:r w:rsidRPr="009C410C">
              <w:rPr>
                <w:rFonts w:cs="Arial"/>
                <w:bCs/>
                <w:spacing w:val="-4"/>
              </w:rPr>
              <w:t>(v %)</w:t>
            </w:r>
            <w:r w:rsidRPr="009C410C">
              <w:rPr>
                <w:rFonts w:cs="Arial"/>
                <w:b/>
                <w:spacing w:val="-4"/>
              </w:rPr>
              <w:t xml:space="preserve">, podíl dlouhodobě nezaměstnaných a osob ve věku do 25 a nad 50 let mezi nezaměstnanými </w:t>
            </w:r>
            <w:r w:rsidRPr="009C410C">
              <w:rPr>
                <w:rFonts w:cs="Arial"/>
                <w:bCs/>
                <w:spacing w:val="-4"/>
              </w:rPr>
              <w:t>(v %)</w:t>
            </w:r>
            <w:r w:rsidRPr="009C410C">
              <w:rPr>
                <w:rFonts w:cs="Arial"/>
                <w:b/>
                <w:spacing w:val="-4"/>
              </w:rPr>
              <w:t xml:space="preserve">, ekonomicky neaktivní chtějící pracovat </w:t>
            </w:r>
            <w:r w:rsidRPr="009C410C">
              <w:rPr>
                <w:rFonts w:cs="Arial"/>
                <w:bCs/>
                <w:spacing w:val="-4"/>
              </w:rPr>
              <w:t xml:space="preserve">(v tis.)* </w:t>
            </w:r>
            <w:r w:rsidRPr="009C410C">
              <w:rPr>
                <w:rFonts w:cs="Arial"/>
                <w:b/>
                <w:bCs/>
                <w:spacing w:val="-4"/>
              </w:rPr>
              <w:t>a očekávání nezaměstnanosti u domácností</w:t>
            </w:r>
            <w:r w:rsidRPr="009C410C">
              <w:rPr>
                <w:rFonts w:cs="Arial"/>
                <w:bCs/>
                <w:spacing w:val="-4"/>
              </w:rPr>
              <w:t xml:space="preserve"> (v p. b.)**</w:t>
            </w:r>
          </w:p>
        </w:tc>
      </w:tr>
      <w:tr w:rsidR="00B34750" w:rsidRPr="00B43216" w14:paraId="3FE043AF" w14:textId="77777777" w:rsidTr="009112E3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698" w:type="dxa"/>
            <w:vMerge/>
            <w:shd w:val="clear" w:color="auto" w:fill="auto"/>
          </w:tcPr>
          <w:p w14:paraId="6DA45AE8" w14:textId="77777777" w:rsidR="00B34750" w:rsidRPr="00B43216" w:rsidRDefault="00B34750" w:rsidP="009112E3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6" w:type="dxa"/>
            <w:vMerge/>
            <w:shd w:val="clear" w:color="auto" w:fill="auto"/>
          </w:tcPr>
          <w:p w14:paraId="55405B5C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</w:tcPr>
          <w:p w14:paraId="20FDB39D" w14:textId="77777777" w:rsidR="00B34750" w:rsidRPr="00B43216" w:rsidRDefault="00B34750" w:rsidP="009112E3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14A14753" wp14:editId="64BEBB29">
                  <wp:extent cx="4753610" cy="3644900"/>
                  <wp:effectExtent l="0" t="0" r="8890" b="0"/>
                  <wp:docPr id="26" name="Graf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B34750" w:rsidRPr="00485ED5" w14:paraId="0C1FE121" w14:textId="77777777" w:rsidTr="009112E3">
        <w:trPr>
          <w:trHeight w:val="671"/>
        </w:trPr>
        <w:tc>
          <w:tcPr>
            <w:tcW w:w="1698" w:type="dxa"/>
            <w:vMerge/>
            <w:shd w:val="clear" w:color="auto" w:fill="auto"/>
            <w:tcMar>
              <w:left w:w="0" w:type="dxa"/>
            </w:tcMar>
          </w:tcPr>
          <w:p w14:paraId="19916C84" w14:textId="77777777" w:rsidR="00B34750" w:rsidRPr="00B43216" w:rsidRDefault="00B34750" w:rsidP="009112E3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7AFCB28E" w14:textId="77777777" w:rsidR="00B34750" w:rsidRPr="00B43216" w:rsidRDefault="00B34750" w:rsidP="009112E3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4B5AF10A" w14:textId="77777777" w:rsidR="00B34750" w:rsidRPr="004E68B1" w:rsidRDefault="00B34750" w:rsidP="009112E3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Pozn.: Údaje o míře nezaměstnanosti jsou po sezónním oči</w:t>
            </w: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štění, ostatní ukazatele nikoli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.</w:t>
            </w:r>
          </w:p>
          <w:p w14:paraId="7ADDE56B" w14:textId="77777777" w:rsidR="00B34750" w:rsidRDefault="00B34750" w:rsidP="009112E3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4E68B1"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Jde o osoby, které nepracují, aktivně práci nehledají,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 xml:space="preserve"> ale přitom uvádějí, že by chtěly pracovat.</w:t>
            </w:r>
          </w:p>
          <w:p w14:paraId="2DB74371" w14:textId="77777777" w:rsidR="00B34750" w:rsidRDefault="00B34750" w:rsidP="009112E3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**Sezónně očištěné saldo očekávání nezaměstnanosti v nejbližších 12 měsících (rozdíl mezi procentuální četností odpovědí domácností růst a pokles, vyjádřený v procentních bodech). Vztahuje se k prostřednímu měsíci daného čtvrtletí.</w:t>
            </w:r>
          </w:p>
          <w:p w14:paraId="6AA30C68" w14:textId="77777777" w:rsidR="00B34750" w:rsidRPr="00485ED5" w:rsidRDefault="00B34750" w:rsidP="009112E3">
            <w:pPr>
              <w:spacing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 (VŠPS, konjunkturální průzkum)</w:t>
            </w:r>
          </w:p>
        </w:tc>
      </w:tr>
      <w:tr w:rsidR="00B34750" w:rsidRPr="00A01519" w14:paraId="6AE7F77B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3E0C5F51" w14:textId="77777777" w:rsidR="00B34750" w:rsidRDefault="00B34750" w:rsidP="009112E3">
            <w:pPr>
              <w:pStyle w:val="Marginlie"/>
              <w:spacing w:after="120"/>
              <w:rPr>
                <w:color w:val="0D0D0D" w:themeColor="text1" w:themeTint="F2"/>
                <w:spacing w:val="-5"/>
              </w:rPr>
            </w:pPr>
            <w:r>
              <w:t xml:space="preserve">Do reálného růstu průměrných mezd </w:t>
            </w:r>
            <w:r>
              <w:lastRenderedPageBreak/>
              <w:t>výrazně promlouval sílící cenový růst.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7BB18655" w14:textId="77777777" w:rsidR="00B34750" w:rsidRPr="00EA508C" w:rsidRDefault="00B34750" w:rsidP="009112E3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647B57E6" w14:textId="77777777" w:rsidR="00B34750" w:rsidRPr="00A01519" w:rsidRDefault="00B34750" w:rsidP="009112E3">
            <w:pPr>
              <w:spacing w:after="0"/>
              <w:rPr>
                <w:spacing w:val="-4"/>
              </w:rPr>
            </w:pPr>
            <w:r w:rsidRPr="00A01519">
              <w:rPr>
                <w:spacing w:val="-4"/>
              </w:rPr>
              <w:t>Průměrná hrubá měsíční mzda dosahovala ve 3.</w:t>
            </w:r>
            <w:r>
              <w:rPr>
                <w:spacing w:val="-4"/>
              </w:rPr>
              <w:t> čt</w:t>
            </w:r>
            <w:r w:rsidRPr="00A01519">
              <w:rPr>
                <w:spacing w:val="-4"/>
              </w:rPr>
              <w:t>vrtletí nominálně 37 499</w:t>
            </w:r>
            <w:r>
              <w:rPr>
                <w:spacing w:val="-4"/>
              </w:rPr>
              <w:t> korun a</w:t>
            </w:r>
            <w:r w:rsidRPr="009E7043">
              <w:rPr>
                <w:rFonts w:cs="Arial"/>
                <w:spacing w:val="-4"/>
              </w:rPr>
              <w:t> </w:t>
            </w:r>
            <w:r w:rsidRPr="00A01519">
              <w:rPr>
                <w:spacing w:val="-4"/>
              </w:rPr>
              <w:t xml:space="preserve">meziročně </w:t>
            </w:r>
            <w:r>
              <w:rPr>
                <w:spacing w:val="-4"/>
              </w:rPr>
              <w:t>se navýšila</w:t>
            </w:r>
            <w:r w:rsidRPr="00A01519">
              <w:rPr>
                <w:spacing w:val="-4"/>
              </w:rPr>
              <w:t xml:space="preserve"> o</w:t>
            </w:r>
            <w:r>
              <w:rPr>
                <w:spacing w:val="-4"/>
              </w:rPr>
              <w:t> </w:t>
            </w:r>
            <w:r w:rsidRPr="00A01519">
              <w:rPr>
                <w:spacing w:val="-4"/>
              </w:rPr>
              <w:t xml:space="preserve">5,7 %. </w:t>
            </w:r>
            <w:r w:rsidRPr="00CF6BB4">
              <w:rPr>
                <w:bCs/>
                <w:spacing w:val="-4"/>
              </w:rPr>
              <w:t xml:space="preserve">Po zohlednění svižného růstu spotřebitelských cen se </w:t>
            </w:r>
            <w:r w:rsidRPr="00CF6BB4">
              <w:rPr>
                <w:bCs/>
                <w:spacing w:val="-4"/>
              </w:rPr>
              <w:lastRenderedPageBreak/>
              <w:t>mzda reálně zvýšila o 1,5</w:t>
            </w:r>
            <w:r w:rsidRPr="00CF6BB4">
              <w:rPr>
                <w:rFonts w:cs="Arial"/>
                <w:bCs/>
                <w:spacing w:val="-4"/>
              </w:rPr>
              <w:t> </w:t>
            </w:r>
            <w:r>
              <w:rPr>
                <w:bCs/>
                <w:spacing w:val="-4"/>
              </w:rPr>
              <w:t>%. V žádném čtvrtletí během celého konjunkturního období let 2015 a 2019 se přitom růst koupěschopnosti zaměstnaneckých výdělků nesnížil pod 2 %.</w:t>
            </w:r>
          </w:p>
        </w:tc>
      </w:tr>
      <w:tr w:rsidR="00B34750" w:rsidRPr="00FB0AE4" w14:paraId="2072468D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600E1D39" w14:textId="77777777" w:rsidR="00B34750" w:rsidRDefault="00B34750" w:rsidP="009112E3">
            <w:pPr>
              <w:pStyle w:val="Marginlie"/>
              <w:spacing w:after="120"/>
            </w:pPr>
            <w:proofErr w:type="spellStart"/>
            <w:r>
              <w:lastRenderedPageBreak/>
              <w:t>Mezikvartální</w:t>
            </w:r>
            <w:proofErr w:type="spellEnd"/>
            <w:r>
              <w:t xml:space="preserve"> růst průměrné mzdy se ve 3. čtvrtletí mírně zvýšil.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1883F125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18C6DF54" w14:textId="77777777" w:rsidR="00B34750" w:rsidRPr="00FB0AE4" w:rsidRDefault="00B34750" w:rsidP="009112E3">
            <w:pPr>
              <w:rPr>
                <w:spacing w:val="-4"/>
              </w:rPr>
            </w:pPr>
            <w:r>
              <w:rPr>
                <w:spacing w:val="-4"/>
              </w:rPr>
              <w:t>M</w:t>
            </w:r>
            <w:r w:rsidRPr="00A01519">
              <w:rPr>
                <w:spacing w:val="-4"/>
              </w:rPr>
              <w:t>zda po očištění od sezónních vlivů (</w:t>
            </w:r>
            <w:r>
              <w:rPr>
                <w:spacing w:val="-4"/>
              </w:rPr>
              <w:t>např. i</w:t>
            </w:r>
            <w:r w:rsidRPr="009E7043">
              <w:rPr>
                <w:rFonts w:cs="Arial"/>
                <w:spacing w:val="-4"/>
              </w:rPr>
              <w:t> </w:t>
            </w:r>
            <w:r w:rsidRPr="00A01519">
              <w:rPr>
                <w:spacing w:val="-4"/>
              </w:rPr>
              <w:t>vyplacených odměn) se oproti 2.</w:t>
            </w:r>
            <w:r>
              <w:rPr>
                <w:spacing w:val="-4"/>
              </w:rPr>
              <w:t> čt</w:t>
            </w:r>
            <w:r w:rsidRPr="00A01519">
              <w:rPr>
                <w:spacing w:val="-4"/>
              </w:rPr>
              <w:t>vrtletí 2021 zvýšila o</w:t>
            </w:r>
            <w:r>
              <w:rPr>
                <w:spacing w:val="-4"/>
              </w:rPr>
              <w:t> </w:t>
            </w:r>
            <w:r w:rsidRPr="00A01519">
              <w:rPr>
                <w:spacing w:val="-4"/>
              </w:rPr>
              <w:t>1,5</w:t>
            </w:r>
            <w:r>
              <w:rPr>
                <w:spacing w:val="-4"/>
              </w:rPr>
              <w:t> %</w:t>
            </w:r>
            <w:r w:rsidRPr="00A01519">
              <w:rPr>
                <w:spacing w:val="-4"/>
              </w:rPr>
              <w:t xml:space="preserve">. </w:t>
            </w:r>
            <w:proofErr w:type="spellStart"/>
            <w:r w:rsidRPr="00A01519">
              <w:rPr>
                <w:spacing w:val="-4"/>
              </w:rPr>
              <w:t>Mezikvartální</w:t>
            </w:r>
            <w:proofErr w:type="spellEnd"/>
            <w:r w:rsidRPr="00A01519">
              <w:rPr>
                <w:spacing w:val="-4"/>
              </w:rPr>
              <w:t xml:space="preserve"> tempa během letošního roku mírně zrychlovala, což odpovídalo i postupnému zotavování ekonomiky. Poprvé od počátku pandemie však poskytuje v zásadě nerozostřený obraz dynamiky mezd i</w:t>
            </w:r>
            <w:r>
              <w:rPr>
                <w:spacing w:val="-4"/>
              </w:rPr>
              <w:t> </w:t>
            </w:r>
            <w:r w:rsidRPr="00A01519">
              <w:rPr>
                <w:spacing w:val="-4"/>
              </w:rPr>
              <w:t>jejich meziroční srovnání. Ve 3.</w:t>
            </w:r>
            <w:r>
              <w:rPr>
                <w:spacing w:val="-4"/>
              </w:rPr>
              <w:t> čt</w:t>
            </w:r>
            <w:r w:rsidRPr="00A01519">
              <w:rPr>
                <w:spacing w:val="-4"/>
              </w:rPr>
              <w:t>vrtletí nebyly letos ani loni v oblasti veřejných služeb vyplaceny mimořádné odměny ve významnějším objemu. Rovněž průměrná odpracovan</w:t>
            </w:r>
            <w:r>
              <w:rPr>
                <w:spacing w:val="-4"/>
              </w:rPr>
              <w:t>á</w:t>
            </w:r>
            <w:r w:rsidRPr="00A01519">
              <w:rPr>
                <w:spacing w:val="-4"/>
              </w:rPr>
              <w:t xml:space="preserve"> doba připadající na zaměstnance </w:t>
            </w:r>
            <w:r>
              <w:rPr>
                <w:spacing w:val="-4"/>
              </w:rPr>
              <w:t xml:space="preserve">se </w:t>
            </w:r>
            <w:r w:rsidRPr="00A01519">
              <w:rPr>
                <w:spacing w:val="-4"/>
              </w:rPr>
              <w:t>v celé ekonomice meziročně téměř nezměnila a</w:t>
            </w:r>
            <w:r>
              <w:rPr>
                <w:spacing w:val="-4"/>
              </w:rPr>
              <w:t> </w:t>
            </w:r>
            <w:r w:rsidRPr="00A01519">
              <w:rPr>
                <w:spacing w:val="-4"/>
              </w:rPr>
              <w:t>blížila se</w:t>
            </w:r>
            <w:r>
              <w:rPr>
                <w:spacing w:val="-4"/>
              </w:rPr>
              <w:t xml:space="preserve"> běžné úrovni před pandemií.</w:t>
            </w:r>
          </w:p>
        </w:tc>
      </w:tr>
      <w:tr w:rsidR="00B34750" w:rsidRPr="00FB0AE4" w14:paraId="4F570255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5B094911" w14:textId="77777777" w:rsidR="00B34750" w:rsidRDefault="00B34750" w:rsidP="009112E3">
            <w:pPr>
              <w:pStyle w:val="Marginlie"/>
              <w:spacing w:after="120"/>
            </w:pPr>
            <w:r>
              <w:t>Mzdové tempo ovlivňoval mix protisměrně působících faktorů.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E44F3B6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06463B21" w14:textId="77777777" w:rsidR="00B34750" w:rsidRPr="00FB0AE4" w:rsidRDefault="00B34750" w:rsidP="009112E3">
            <w:pPr>
              <w:rPr>
                <w:spacing w:val="-4"/>
              </w:rPr>
            </w:pPr>
            <w:proofErr w:type="spellStart"/>
            <w:r w:rsidRPr="00FB0AE4">
              <w:rPr>
                <w:spacing w:val="-4"/>
              </w:rPr>
              <w:t>Prorůstově</w:t>
            </w:r>
            <w:proofErr w:type="spellEnd"/>
            <w:r w:rsidRPr="00FB0AE4">
              <w:rPr>
                <w:spacing w:val="-4"/>
              </w:rPr>
              <w:t xml:space="preserve"> působilo ve 3.</w:t>
            </w:r>
            <w:r>
              <w:rPr>
                <w:spacing w:val="-4"/>
              </w:rPr>
              <w:t> čt</w:t>
            </w:r>
            <w:r w:rsidRPr="00FB0AE4">
              <w:rPr>
                <w:spacing w:val="-4"/>
              </w:rPr>
              <w:t>vrtletí na výši mezd zvyšující se napětí na pracovním trhu spojené jak s nízkou nezaměstnaností, tak s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vysokým a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dále rostoucím počtem volných pracovních míst. Nedostatek zaměstnanců limitoval produkci ve většině významných odvětví. Opačný vliv mělo patrně snížení efektivního zdanění u pracovníků, jež firmám umožnilo udržet vysokou zaměstnanost při nižším tlaku na růst nákladů práce. Část zaměstnavatelů zejména v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tržních odvětvích tak zohlednila fakt, že lidem stoupnou čisté výdělky i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bez zvyšování hrubých</w:t>
            </w:r>
            <w:r>
              <w:rPr>
                <w:spacing w:val="-4"/>
              </w:rPr>
              <w:t xml:space="preserve"> </w:t>
            </w:r>
            <w:r w:rsidRPr="00FB0AE4">
              <w:rPr>
                <w:spacing w:val="-4"/>
              </w:rPr>
              <w:t xml:space="preserve">mezd. Kromě toho se mnohé firmy v odvětvích silně zasažených pandemií navzdory vládním stabilizačním programům potýkaly s finančními problémy, což jim snižovalo možnosti </w:t>
            </w:r>
            <w:r>
              <w:rPr>
                <w:spacing w:val="-4"/>
              </w:rPr>
              <w:t>lepšího</w:t>
            </w:r>
            <w:r w:rsidRPr="00FB0AE4">
              <w:rPr>
                <w:spacing w:val="-4"/>
              </w:rPr>
              <w:t xml:space="preserve"> ohodnocení nových i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stávajících pracovníků.</w:t>
            </w:r>
          </w:p>
        </w:tc>
      </w:tr>
      <w:tr w:rsidR="00B34750" w:rsidRPr="005F1893" w14:paraId="1DFC4D8E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58014A33" w14:textId="77777777" w:rsidR="00B34750" w:rsidRDefault="00B34750" w:rsidP="009112E3">
            <w:pPr>
              <w:pStyle w:val="Marginlie"/>
              <w:spacing w:after="120"/>
            </w:pPr>
            <w:r>
              <w:t>Ve zpracovatelském průmyslu zůstávalo tempo mzdového růstu podprůměrné.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4885FC4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3ECEC8DB" w14:textId="77777777" w:rsidR="00B34750" w:rsidRPr="005F1893" w:rsidRDefault="00B34750" w:rsidP="009112E3">
            <w:pPr>
              <w:rPr>
                <w:spacing w:val="-6"/>
              </w:rPr>
            </w:pPr>
            <w:r w:rsidRPr="005F1893">
              <w:rPr>
                <w:spacing w:val="-6"/>
              </w:rPr>
              <w:t>Ve váhově dominantním odvětví zpracovatelského průmyslu se ve 3.</w:t>
            </w:r>
            <w:r>
              <w:rPr>
                <w:spacing w:val="-6"/>
              </w:rPr>
              <w:t> čt</w:t>
            </w:r>
            <w:r w:rsidRPr="005F1893">
              <w:rPr>
                <w:spacing w:val="-6"/>
              </w:rPr>
              <w:t>vrtletí průměrné mzdy meziročně zvýšily o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>podprůměrných 5,4</w:t>
            </w:r>
            <w:r>
              <w:rPr>
                <w:spacing w:val="-6"/>
              </w:rPr>
              <w:t> %</w:t>
            </w:r>
            <w:r w:rsidRPr="005F1893">
              <w:rPr>
                <w:spacing w:val="-6"/>
              </w:rPr>
              <w:t>. Mzdová tempa zde za úrovní celé ekonomiky zaostávala i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 xml:space="preserve">v období 2018 až 2020. Poprvé od roku 2018 zde však narostl evidenční počet </w:t>
            </w:r>
            <w:r w:rsidRPr="005F1893">
              <w:rPr>
                <w:spacing w:val="-7"/>
              </w:rPr>
              <w:t>zaměstnanců. Ten se ve 3. čtvrtletí meziročně zvyšoval ve většině významnějších průmyslových</w:t>
            </w:r>
            <w:r w:rsidRPr="005F1893">
              <w:rPr>
                <w:spacing w:val="-6"/>
              </w:rPr>
              <w:t xml:space="preserve"> oborů – vyjma strojírenství a potravinářství. Dlouhodobý úbytek pracovních míst v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>těžbě a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>dobývání zrychlil, průměrná mzda zde vzrostla o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>7,5 % a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>držela se již jen tě</w:t>
            </w:r>
            <w:r>
              <w:rPr>
                <w:spacing w:val="-6"/>
              </w:rPr>
              <w:t>s</w:t>
            </w:r>
            <w:r w:rsidRPr="005F1893">
              <w:rPr>
                <w:spacing w:val="-6"/>
              </w:rPr>
              <w:t>ně nad úrovní celé ekonomiky. V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>zemědělství a</w:t>
            </w:r>
            <w:r>
              <w:rPr>
                <w:spacing w:val="-6"/>
              </w:rPr>
              <w:t> </w:t>
            </w:r>
            <w:r w:rsidRPr="005F1893">
              <w:rPr>
                <w:spacing w:val="-6"/>
              </w:rPr>
              <w:t>lesnictví, stejně jako ve stavebnictví naopak poptávka po pracovní síle rostla</w:t>
            </w:r>
            <w:r>
              <w:rPr>
                <w:spacing w:val="-6"/>
              </w:rPr>
              <w:t>, p</w:t>
            </w:r>
            <w:r w:rsidRPr="005F1893">
              <w:rPr>
                <w:spacing w:val="-6"/>
              </w:rPr>
              <w:t>rocentní růst mezd ale zůstával podprůměrný, obdobně jako jejich výše.</w:t>
            </w:r>
          </w:p>
        </w:tc>
      </w:tr>
      <w:tr w:rsidR="00B34750" w:rsidRPr="00716203" w14:paraId="4BA3B00F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73380BD0" w14:textId="77777777" w:rsidR="00B34750" w:rsidRDefault="00B34750" w:rsidP="009112E3">
            <w:pPr>
              <w:pStyle w:val="Marginlie"/>
              <w:spacing w:after="120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82A127D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11141CDB" w14:textId="77777777" w:rsidR="00B34750" w:rsidRPr="00716203" w:rsidRDefault="00B34750" w:rsidP="009112E3">
            <w:pPr>
              <w:spacing w:after="0"/>
              <w:rPr>
                <w:spacing w:val="-4"/>
              </w:rPr>
            </w:pPr>
            <w:r>
              <w:rPr>
                <w:b/>
                <w:spacing w:val="-4"/>
              </w:rPr>
              <w:t>Graf č. 14</w:t>
            </w:r>
            <w:r w:rsidRPr="003E01D3">
              <w:rPr>
                <w:b/>
                <w:spacing w:val="-4"/>
              </w:rPr>
              <w:t xml:space="preserve">  Průměrná nominální</w:t>
            </w:r>
            <w:r>
              <w:rPr>
                <w:b/>
                <w:spacing w:val="-4"/>
              </w:rPr>
              <w:t xml:space="preserve"> a </w:t>
            </w:r>
            <w:r w:rsidRPr="003E01D3">
              <w:rPr>
                <w:b/>
                <w:spacing w:val="-4"/>
              </w:rPr>
              <w:t>reálná mzda a</w:t>
            </w:r>
            <w:r>
              <w:rPr>
                <w:b/>
                <w:spacing w:val="-4"/>
              </w:rPr>
              <w:t> </w:t>
            </w:r>
            <w:r w:rsidRPr="003E01D3">
              <w:rPr>
                <w:b/>
                <w:spacing w:val="-4"/>
              </w:rPr>
              <w:t>mzdový medián</w:t>
            </w:r>
            <w:r>
              <w:rPr>
                <w:spacing w:val="-4"/>
              </w:rPr>
              <w:t xml:space="preserve"> </w:t>
            </w:r>
            <w:r w:rsidRPr="003E01D3">
              <w:rPr>
                <w:spacing w:val="-4"/>
              </w:rPr>
              <w:t>(meziročně, v %)</w:t>
            </w:r>
          </w:p>
        </w:tc>
      </w:tr>
      <w:tr w:rsidR="00B34750" w:rsidRPr="003E01D3" w14:paraId="64A7863F" w14:textId="77777777" w:rsidTr="009112E3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698" w:type="dxa"/>
            <w:shd w:val="clear" w:color="auto" w:fill="auto"/>
          </w:tcPr>
          <w:p w14:paraId="61A6199F" w14:textId="77777777" w:rsidR="00B34750" w:rsidRDefault="00B34750" w:rsidP="009112E3">
            <w:pPr>
              <w:pStyle w:val="Marginlie"/>
              <w:spacing w:after="120"/>
            </w:pPr>
          </w:p>
        </w:tc>
        <w:tc>
          <w:tcPr>
            <w:tcW w:w="206" w:type="dxa"/>
            <w:shd w:val="clear" w:color="auto" w:fill="auto"/>
          </w:tcPr>
          <w:p w14:paraId="3C31D15D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</w:tcPr>
          <w:p w14:paraId="5E39A623" w14:textId="77777777" w:rsidR="00B34750" w:rsidRPr="003E01D3" w:rsidRDefault="00B34750" w:rsidP="009112E3">
            <w:pPr>
              <w:spacing w:after="0"/>
              <w:rPr>
                <w:b/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6F727AE5" wp14:editId="4134D59B">
                  <wp:extent cx="4751705" cy="3587750"/>
                  <wp:effectExtent l="0" t="0" r="0" b="0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B34750" w:rsidRPr="00F6560A" w14:paraId="03C607CB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09D6108E" w14:textId="77777777" w:rsidR="00B34750" w:rsidRDefault="00B34750" w:rsidP="009112E3">
            <w:pPr>
              <w:pStyle w:val="Marginlie"/>
              <w:spacing w:after="120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7445E01D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37B3B225" w14:textId="77777777" w:rsidR="00B34750" w:rsidRPr="00F6560A" w:rsidRDefault="00B34750" w:rsidP="009112E3">
            <w:pPr>
              <w:tabs>
                <w:tab w:val="right" w:pos="7683"/>
              </w:tabs>
              <w:spacing w:after="0"/>
              <w:rPr>
                <w:noProof/>
                <w:sz w:val="14"/>
                <w:szCs w:val="14"/>
              </w:rPr>
            </w:pPr>
            <w:r w:rsidRPr="00F6560A">
              <w:rPr>
                <w:bCs/>
                <w:sz w:val="14"/>
                <w:szCs w:val="14"/>
              </w:rPr>
              <w:t>*Zahrnuje odvětví s významnou rolí státu: Veřejná správa a obrana, povinné sociální zabezpečení; Vzdělávání; Zdravotní a sociální péče; Kulturní, zábavní a rekreační činnosti.</w:t>
            </w:r>
            <w:r w:rsidRPr="00F6560A">
              <w:rPr>
                <w:bCs/>
                <w:sz w:val="14"/>
                <w:szCs w:val="14"/>
              </w:rPr>
              <w:tab/>
            </w:r>
            <w:r w:rsidRPr="00F6560A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</w:t>
            </w:r>
          </w:p>
        </w:tc>
      </w:tr>
      <w:tr w:rsidR="00B34750" w:rsidRPr="001071B0" w14:paraId="1B589F95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5F259BC2" w14:textId="77777777" w:rsidR="00B34750" w:rsidRDefault="00B34750" w:rsidP="009112E3">
            <w:pPr>
              <w:pStyle w:val="Marginlie"/>
              <w:spacing w:after="120"/>
            </w:pPr>
            <w:r>
              <w:lastRenderedPageBreak/>
              <w:t>V rámci služeb vzrostla průměrná mzda nejvíce v činnostech v oblasti nemovitostí. Byla podpořena i vyšším počtem odpracovaných hodin.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0D55757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538473BB" w14:textId="77777777" w:rsidR="00B34750" w:rsidRPr="001071B0" w:rsidRDefault="00B34750" w:rsidP="009112E3">
            <w:pPr>
              <w:tabs>
                <w:tab w:val="right" w:pos="7683"/>
              </w:tabs>
              <w:rPr>
                <w:bCs/>
                <w:szCs w:val="20"/>
              </w:rPr>
            </w:pPr>
            <w:r w:rsidRPr="005F1893">
              <w:rPr>
                <w:spacing w:val="-5"/>
              </w:rPr>
              <w:t>Průměrná mzda v celém sektoru služeb dosáhla ve 3.</w:t>
            </w:r>
            <w:r>
              <w:rPr>
                <w:spacing w:val="-5"/>
              </w:rPr>
              <w:t> čt</w:t>
            </w:r>
            <w:r w:rsidRPr="005F1893">
              <w:rPr>
                <w:spacing w:val="-5"/>
              </w:rPr>
              <w:t>vrtletí téměř 39</w:t>
            </w:r>
            <w:r>
              <w:rPr>
                <w:spacing w:val="-5"/>
              </w:rPr>
              <w:t> tis.</w:t>
            </w:r>
            <w:r w:rsidRPr="005F1893">
              <w:rPr>
                <w:spacing w:val="-5"/>
              </w:rPr>
              <w:t xml:space="preserve"> korun a</w:t>
            </w:r>
            <w:r w:rsidRPr="005F1893">
              <w:rPr>
                <w:bCs/>
                <w:spacing w:val="-5"/>
              </w:rPr>
              <w:t> </w:t>
            </w:r>
            <w:r w:rsidRPr="005F1893">
              <w:rPr>
                <w:spacing w:val="-5"/>
              </w:rPr>
              <w:t>meziročně se zvýšila o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rovných 6</w:t>
            </w:r>
            <w:r>
              <w:rPr>
                <w:spacing w:val="-5"/>
              </w:rPr>
              <w:t> %</w:t>
            </w:r>
            <w:r w:rsidRPr="005F1893">
              <w:rPr>
                <w:spacing w:val="-5"/>
              </w:rPr>
              <w:t>. Nejvíce vzrostla v činnostech v oblasti nemovitostí (11,8</w:t>
            </w:r>
            <w:r>
              <w:rPr>
                <w:spacing w:val="-5"/>
              </w:rPr>
              <w:t> %</w:t>
            </w:r>
            <w:r w:rsidRPr="005F1893">
              <w:rPr>
                <w:spacing w:val="-5"/>
              </w:rPr>
              <w:t>),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to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 xml:space="preserve">díky vyššímu počtu odpracovaných hodin. V klíčovém odvětví obchodu byl mzdový růst lehce nadprůměrný </w:t>
            </w:r>
            <w:r>
              <w:rPr>
                <w:spacing w:val="-5"/>
              </w:rPr>
              <w:t>(</w:t>
            </w:r>
            <w:r w:rsidRPr="005F1893">
              <w:rPr>
                <w:spacing w:val="-5"/>
              </w:rPr>
              <w:t>6,6</w:t>
            </w:r>
            <w:r>
              <w:rPr>
                <w:spacing w:val="-5"/>
              </w:rPr>
              <w:t> %)</w:t>
            </w:r>
            <w:r w:rsidRPr="005F1893">
              <w:rPr>
                <w:spacing w:val="-5"/>
              </w:rPr>
              <w:t>, zčásti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vlivem nižší loňské základny. Mzdové tempo v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dopravě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skladování činilo 4,4</w:t>
            </w:r>
            <w:r>
              <w:rPr>
                <w:spacing w:val="-5"/>
              </w:rPr>
              <w:t> %</w:t>
            </w:r>
            <w:r w:rsidRPr="005F1893">
              <w:rPr>
                <w:spacing w:val="-5"/>
              </w:rPr>
              <w:t xml:space="preserve">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bylo jedn</w:t>
            </w:r>
            <w:r>
              <w:rPr>
                <w:spacing w:val="-5"/>
              </w:rPr>
              <w:t>ím</w:t>
            </w:r>
            <w:r w:rsidRPr="005F1893">
              <w:rPr>
                <w:spacing w:val="-5"/>
              </w:rPr>
              <w:t xml:space="preserve"> z nejslabších ze všech tržních odvětví. Druhým rokem v řadě zde klesal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počet zaměstnanců, což souviselo s problémy v dodavatelských řetězcích v průmyslu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s pomalým oživováním příjezdového cestovního ruchu. Pracovní místa stále mírně ztrácelo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ubytování, stravování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pohostinství. Průměrné mzdy zde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díky navýšení minimální mzdy posílily o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7,1</w:t>
            </w:r>
            <w:r>
              <w:rPr>
                <w:spacing w:val="-5"/>
              </w:rPr>
              <w:t> %</w:t>
            </w:r>
            <w:r w:rsidRPr="005F1893">
              <w:rPr>
                <w:spacing w:val="-5"/>
              </w:rPr>
              <w:t>. Jejich výše ale dosahovala jen třetiny úrovně výdělků v informačních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komunikačních činnostech, kde činila 64,8</w:t>
            </w:r>
            <w:r>
              <w:rPr>
                <w:spacing w:val="-5"/>
              </w:rPr>
              <w:t> tis.</w:t>
            </w:r>
            <w:r w:rsidRPr="005F1893">
              <w:rPr>
                <w:spacing w:val="-5"/>
              </w:rPr>
              <w:t xml:space="preserve"> korun měsíčně. Dynamický rozvoj ICT</w:t>
            </w:r>
            <w:r>
              <w:rPr>
                <w:spacing w:val="-5"/>
              </w:rPr>
              <w:t>,</w:t>
            </w:r>
            <w:r w:rsidRPr="005F1893">
              <w:rPr>
                <w:spacing w:val="-5"/>
              </w:rPr>
              <w:t xml:space="preserve"> zvýrazněný během pandemie</w:t>
            </w:r>
            <w:r>
              <w:rPr>
                <w:spacing w:val="-5"/>
              </w:rPr>
              <w:t>,</w:t>
            </w:r>
            <w:r w:rsidRPr="005F1893">
              <w:rPr>
                <w:spacing w:val="-5"/>
              </w:rPr>
              <w:t xml:space="preserve"> se v tomto odvětví odrazil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ve svižném růstu zaměstnanosti (3,2</w:t>
            </w:r>
            <w:r>
              <w:rPr>
                <w:spacing w:val="-5"/>
              </w:rPr>
              <w:t> %</w:t>
            </w:r>
            <w:r w:rsidRPr="005F1893">
              <w:rPr>
                <w:spacing w:val="-5"/>
              </w:rPr>
              <w:t>) i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průměrných mezd (6,5</w:t>
            </w:r>
            <w:r>
              <w:rPr>
                <w:spacing w:val="-5"/>
              </w:rPr>
              <w:t> %</w:t>
            </w:r>
            <w:r w:rsidRPr="005F1893">
              <w:rPr>
                <w:spacing w:val="-5"/>
              </w:rPr>
              <w:t>). Peněžnictví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pojišťovnictví naopak pracovní místa mírně ztrácelo a</w:t>
            </w:r>
            <w:r>
              <w:rPr>
                <w:spacing w:val="-5"/>
              </w:rPr>
              <w:t> </w:t>
            </w:r>
            <w:r w:rsidRPr="005F1893">
              <w:rPr>
                <w:spacing w:val="-5"/>
              </w:rPr>
              <w:t>také mzdové tempo zde za oblastí ICT dále zaostávalo.</w:t>
            </w:r>
          </w:p>
        </w:tc>
      </w:tr>
      <w:tr w:rsidR="00B34750" w:rsidRPr="001071B0" w14:paraId="6E3D5CEC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31EED805" w14:textId="77777777" w:rsidR="00B34750" w:rsidRDefault="00B34750" w:rsidP="009112E3">
            <w:pPr>
              <w:pStyle w:val="Marginlie"/>
              <w:spacing w:after="120"/>
            </w:pPr>
            <w:r>
              <w:t>Mzdový růst ve veřejných službách byl nadále výrazně diferencovaný.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32E1F6D5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21C71A01" w14:textId="77777777" w:rsidR="00B34750" w:rsidRPr="001071B0" w:rsidRDefault="00B34750" w:rsidP="009112E3">
            <w:pPr>
              <w:tabs>
                <w:tab w:val="right" w:pos="7683"/>
              </w:tabs>
              <w:rPr>
                <w:bCs/>
                <w:szCs w:val="20"/>
              </w:rPr>
            </w:pPr>
            <w:r w:rsidRPr="00FB0AE4">
              <w:rPr>
                <w:spacing w:val="-4"/>
              </w:rPr>
              <w:t>Pokračoval i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rozvoj veřejných služeb, kde přibývala pracovní místa ve všech hlavních odvětvích – nejvíce ve vzdělávání. Mzdový růst byl i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ve 3.</w:t>
            </w:r>
            <w:r>
              <w:rPr>
                <w:spacing w:val="-4"/>
              </w:rPr>
              <w:t> čt</w:t>
            </w:r>
            <w:r w:rsidRPr="00FB0AE4">
              <w:rPr>
                <w:spacing w:val="-4"/>
              </w:rPr>
              <w:t>vrtletí výrazně rozrůzněný, na rozdíl od předchozích období se projevil hlavně vliv selektivního navyšování platových tabulek. Ve zdravotní a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sociální péči mzda vzrostla o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rovných 8</w:t>
            </w:r>
            <w:r>
              <w:rPr>
                <w:spacing w:val="-4"/>
              </w:rPr>
              <w:t> %</w:t>
            </w:r>
            <w:r w:rsidRPr="00FB0AE4">
              <w:rPr>
                <w:spacing w:val="-4"/>
              </w:rPr>
              <w:t>, ve veřejné správě, obraně a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sociálním zabezpečení o</w:t>
            </w:r>
            <w:r>
              <w:rPr>
                <w:spacing w:val="-4"/>
              </w:rPr>
              <w:t> </w:t>
            </w:r>
            <w:r w:rsidRPr="00FB0AE4">
              <w:rPr>
                <w:spacing w:val="-4"/>
              </w:rPr>
              <w:t>2,3</w:t>
            </w:r>
            <w:r>
              <w:rPr>
                <w:spacing w:val="-4"/>
              </w:rPr>
              <w:t> %</w:t>
            </w:r>
            <w:r w:rsidRPr="00FB0AE4">
              <w:rPr>
                <w:spacing w:val="-4"/>
              </w:rPr>
              <w:t>.</w:t>
            </w:r>
          </w:p>
        </w:tc>
      </w:tr>
      <w:tr w:rsidR="00B34750" w:rsidRPr="001071B0" w14:paraId="1C0F5E24" w14:textId="77777777" w:rsidTr="009112E3">
        <w:trPr>
          <w:trHeight w:val="145"/>
        </w:trPr>
        <w:tc>
          <w:tcPr>
            <w:tcW w:w="1698" w:type="dxa"/>
            <w:shd w:val="clear" w:color="auto" w:fill="auto"/>
            <w:tcMar>
              <w:left w:w="0" w:type="dxa"/>
            </w:tcMar>
          </w:tcPr>
          <w:p w14:paraId="4322AB4B" w14:textId="77777777" w:rsidR="00B34750" w:rsidRDefault="00B34750" w:rsidP="009112E3">
            <w:pPr>
              <w:pStyle w:val="Marginlie"/>
              <w:spacing w:after="120"/>
            </w:pPr>
            <w:r>
              <w:t>Mzdová diferenciace se ve 3. čtvrtletí příliš nezměnila.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41222E8" w14:textId="77777777" w:rsidR="00B34750" w:rsidRPr="00B43216" w:rsidRDefault="00B34750" w:rsidP="009112E3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60" w:type="dxa"/>
            <w:shd w:val="clear" w:color="auto" w:fill="auto"/>
            <w:tcMar>
              <w:left w:w="0" w:type="dxa"/>
            </w:tcMar>
          </w:tcPr>
          <w:p w14:paraId="66D1DCC5" w14:textId="77777777" w:rsidR="00B34750" w:rsidRPr="001071B0" w:rsidRDefault="00B34750" w:rsidP="009112E3">
            <w:pPr>
              <w:tabs>
                <w:tab w:val="right" w:pos="7683"/>
              </w:tabs>
              <w:rPr>
                <w:bCs/>
                <w:szCs w:val="20"/>
              </w:rPr>
            </w:pPr>
            <w:r w:rsidRPr="00FB0AE4">
              <w:rPr>
                <w:bCs/>
              </w:rPr>
              <w:t>Medián mezd čítal ve 3.</w:t>
            </w:r>
            <w:r>
              <w:rPr>
                <w:bCs/>
              </w:rPr>
              <w:t> čt</w:t>
            </w:r>
            <w:r w:rsidRPr="00FB0AE4">
              <w:rPr>
                <w:bCs/>
              </w:rPr>
              <w:t>vrtletí u</w:t>
            </w:r>
            <w:r>
              <w:rPr>
                <w:bCs/>
              </w:rPr>
              <w:t> </w:t>
            </w:r>
            <w:r w:rsidRPr="00FB0AE4">
              <w:rPr>
                <w:bCs/>
              </w:rPr>
              <w:t>mužů 35,1</w:t>
            </w:r>
            <w:r>
              <w:rPr>
                <w:bCs/>
              </w:rPr>
              <w:t> tis.</w:t>
            </w:r>
            <w:r w:rsidRPr="00FB0AE4">
              <w:rPr>
                <w:bCs/>
              </w:rPr>
              <w:t xml:space="preserve"> </w:t>
            </w:r>
            <w:r w:rsidRPr="00FB0AE4">
              <w:rPr>
                <w:bCs/>
                <w:spacing w:val="-2"/>
              </w:rPr>
              <w:t>korun</w:t>
            </w:r>
            <w:r w:rsidRPr="00FB0AE4">
              <w:rPr>
                <w:bCs/>
              </w:rPr>
              <w:t>, u</w:t>
            </w:r>
            <w:r>
              <w:rPr>
                <w:bCs/>
              </w:rPr>
              <w:t> </w:t>
            </w:r>
            <w:r w:rsidRPr="00FB0AE4">
              <w:rPr>
                <w:bCs/>
              </w:rPr>
              <w:t>žen 30,4</w:t>
            </w:r>
            <w:r>
              <w:rPr>
                <w:bCs/>
              </w:rPr>
              <w:t> tis.</w:t>
            </w:r>
            <w:r w:rsidRPr="00FB0AE4">
              <w:rPr>
                <w:bCs/>
              </w:rPr>
              <w:t xml:space="preserve"> </w:t>
            </w:r>
            <w:r w:rsidRPr="00FB0AE4">
              <w:rPr>
                <w:bCs/>
                <w:spacing w:val="-2"/>
              </w:rPr>
              <w:t>korun. U</w:t>
            </w:r>
            <w:r>
              <w:rPr>
                <w:bCs/>
                <w:spacing w:val="-2"/>
              </w:rPr>
              <w:t> </w:t>
            </w:r>
            <w:r w:rsidRPr="00FB0AE4">
              <w:rPr>
                <w:bCs/>
                <w:spacing w:val="-2"/>
              </w:rPr>
              <w:t xml:space="preserve">obou pohlaví vzrostl meziročně shodně </w:t>
            </w:r>
            <w:r>
              <w:rPr>
                <w:bCs/>
                <w:spacing w:val="-2"/>
              </w:rPr>
              <w:t xml:space="preserve">o hodnotu </w:t>
            </w:r>
            <w:r w:rsidRPr="00FB0AE4">
              <w:rPr>
                <w:bCs/>
                <w:spacing w:val="-2"/>
              </w:rPr>
              <w:t>mírně přes 5,5</w:t>
            </w:r>
            <w:r>
              <w:rPr>
                <w:bCs/>
                <w:spacing w:val="-2"/>
              </w:rPr>
              <w:t> %</w:t>
            </w:r>
            <w:r w:rsidRPr="00FB0AE4">
              <w:rPr>
                <w:bCs/>
                <w:spacing w:val="-2"/>
              </w:rPr>
              <w:t>. Podobně jako v předchozí části letošního roku se mzdové rozpětí nepatrně rozšířilo. Loni tomu bylo opačně, neboť mzdy zaměstnanců s nejnižšími výdělky narůstaly vyšším procentuálním tempem nežli</w:t>
            </w:r>
            <w:r w:rsidRPr="00FB0AE4">
              <w:rPr>
                <w:bCs/>
              </w:rPr>
              <w:t xml:space="preserve"> výdělky </w:t>
            </w:r>
            <w:proofErr w:type="spellStart"/>
            <w:r w:rsidRPr="00FB0AE4">
              <w:rPr>
                <w:bCs/>
              </w:rPr>
              <w:t>vysokopříjmových</w:t>
            </w:r>
            <w:proofErr w:type="spellEnd"/>
            <w:r w:rsidRPr="00FB0AE4">
              <w:rPr>
                <w:bCs/>
              </w:rPr>
              <w:t xml:space="preserve"> </w:t>
            </w:r>
            <w:r w:rsidRPr="00FB0AE4">
              <w:t>zaměstnanců, a</w:t>
            </w:r>
            <w:r w:rsidRPr="00FB0AE4">
              <w:rPr>
                <w:bCs/>
                <w:spacing w:val="-4"/>
              </w:rPr>
              <w:t> </w:t>
            </w:r>
            <w:r w:rsidRPr="00FB0AE4">
              <w:t>to především v 1. a</w:t>
            </w:r>
            <w:r>
              <w:t> </w:t>
            </w:r>
            <w:r w:rsidRPr="00FB0AE4">
              <w:t>3.</w:t>
            </w:r>
            <w:r>
              <w:t> čt</w:t>
            </w:r>
            <w:r w:rsidRPr="00FB0AE4">
              <w:t>vrtletí</w:t>
            </w:r>
            <w:r>
              <w:t>.</w:t>
            </w:r>
          </w:p>
        </w:tc>
      </w:tr>
    </w:tbl>
    <w:p w14:paraId="253EFF02" w14:textId="77777777" w:rsidR="00866074" w:rsidRDefault="00866074" w:rsidP="0070658E">
      <w:pPr>
        <w:pStyle w:val="Nadpis11"/>
        <w:spacing w:after="120"/>
      </w:pPr>
      <w:r>
        <w:br w:type="page"/>
      </w:r>
    </w:p>
    <w:p w14:paraId="707D7227" w14:textId="77777777" w:rsidR="006017C1" w:rsidRDefault="006017C1" w:rsidP="006017C1">
      <w:pPr>
        <w:pStyle w:val="Nadpis11"/>
        <w:spacing w:after="120"/>
      </w:pPr>
      <w:bookmarkStart w:id="29" w:name="_Toc74643859"/>
      <w:bookmarkStart w:id="30" w:name="_Toc74643860"/>
      <w:bookmarkStart w:id="31" w:name="_Toc90456607"/>
      <w:r>
        <w:lastRenderedPageBreak/>
        <w:t>7. Měnové podmínky</w:t>
      </w:r>
      <w:bookmarkEnd w:id="29"/>
      <w:bookmarkEnd w:id="31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6017C1" w14:paraId="52AB9103" w14:textId="77777777" w:rsidTr="00B86EB1">
        <w:trPr>
          <w:trHeight w:val="145"/>
        </w:trPr>
        <w:tc>
          <w:tcPr>
            <w:tcW w:w="1802" w:type="dxa"/>
          </w:tcPr>
          <w:p w14:paraId="17913962" w14:textId="77777777" w:rsidR="006017C1" w:rsidRDefault="006017C1" w:rsidP="00B86EB1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 xml:space="preserve">Ve 3. čtvrtletí se zvyšovaly </w:t>
            </w:r>
            <w:proofErr w:type="spellStart"/>
            <w:r>
              <w:rPr>
                <w:lang w:eastAsia="en-US"/>
              </w:rPr>
              <w:t>měnověpolitické</w:t>
            </w:r>
            <w:proofErr w:type="spellEnd"/>
            <w:r>
              <w:rPr>
                <w:lang w:eastAsia="en-US"/>
              </w:rPr>
              <w:t xml:space="preserve"> úrokové sazby.</w:t>
            </w:r>
          </w:p>
        </w:tc>
        <w:tc>
          <w:tcPr>
            <w:tcW w:w="229" w:type="dxa"/>
          </w:tcPr>
          <w:p w14:paraId="395317C7" w14:textId="77777777" w:rsidR="006017C1" w:rsidRDefault="006017C1" w:rsidP="00B86EB1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43C40974" w14:textId="77777777" w:rsidR="006017C1" w:rsidRDefault="006017C1" w:rsidP="00B86EB1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Nastavení základních </w:t>
            </w:r>
            <w:proofErr w:type="spellStart"/>
            <w:r>
              <w:rPr>
                <w:spacing w:val="-2"/>
                <w:lang w:eastAsia="en-US"/>
              </w:rPr>
              <w:t>měnověpolitických</w:t>
            </w:r>
            <w:proofErr w:type="spellEnd"/>
            <w:r>
              <w:rPr>
                <w:spacing w:val="-2"/>
                <w:lang w:eastAsia="en-US"/>
              </w:rPr>
              <w:t xml:space="preserve"> sazeb se v průběhu 3. čtvrtletí změnilo jednou. Pokračující posilování inflace motivovalo k navýšení základní dvoutýdenní </w:t>
            </w:r>
            <w:proofErr w:type="spellStart"/>
            <w:r>
              <w:rPr>
                <w:spacing w:val="-2"/>
                <w:lang w:eastAsia="en-US"/>
              </w:rPr>
              <w:t>repo</w:t>
            </w:r>
            <w:proofErr w:type="spellEnd"/>
            <w:r>
              <w:rPr>
                <w:spacing w:val="-2"/>
                <w:lang w:eastAsia="en-US"/>
              </w:rPr>
              <w:t xml:space="preserve"> sazby na 0,75 %</w:t>
            </w:r>
            <w:r>
              <w:rPr>
                <w:rStyle w:val="Znakapoznpodarou"/>
                <w:spacing w:val="-2"/>
                <w:lang w:eastAsia="en-US"/>
              </w:rPr>
              <w:footnoteReference w:id="65"/>
            </w:r>
            <w:r>
              <w:rPr>
                <w:spacing w:val="-2"/>
                <w:lang w:eastAsia="en-US"/>
              </w:rPr>
              <w:t>, ke kterému došlo v průběhu srpna. Diskontní sazba zůstala na 0,05 % a lombardní byla navýšena na 1,75 %. Kurz koruny vůči euru ve 3. čtvrtletí 2021 dosáhl průměrné hodnoty 25,496 CZK/EUR. Meziročně tak posílil o 3,7 % a mezičtvrtletně o 0,6 %. Kurz koruny vůči dolaru ve 3. čtvrtletí dosáhl průměru 21,629 CZK/USD. Kurz byl tak oproti loňskému 3. kvartálu silnější o 4,5 %. Ve srovnání s letošním 2. čtvrtletím ale dolarový kurz oslabil o 1,7 %. Meziroční posilování kurzu koruny mírně tlumilo inflační tlaky ze zahraničí, na druhé straně ale ztěžovalo pozici domácích exportérů.</w:t>
            </w:r>
          </w:p>
        </w:tc>
      </w:tr>
      <w:tr w:rsidR="006017C1" w14:paraId="4E91A195" w14:textId="77777777" w:rsidTr="00B86EB1">
        <w:trPr>
          <w:trHeight w:val="145"/>
        </w:trPr>
        <w:tc>
          <w:tcPr>
            <w:tcW w:w="1802" w:type="dxa"/>
          </w:tcPr>
          <w:p w14:paraId="1AE7132F" w14:textId="77777777" w:rsidR="006017C1" w:rsidRDefault="006017C1" w:rsidP="00B86EB1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Rostly také výnosy vládních dluhopisů.</w:t>
            </w:r>
          </w:p>
        </w:tc>
        <w:tc>
          <w:tcPr>
            <w:tcW w:w="229" w:type="dxa"/>
          </w:tcPr>
          <w:p w14:paraId="2DD7A58D" w14:textId="77777777" w:rsidR="006017C1" w:rsidRDefault="006017C1" w:rsidP="00B86EB1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44F6E3E5" w14:textId="77777777" w:rsidR="006017C1" w:rsidRDefault="006017C1" w:rsidP="00B86EB1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Na zvyšování </w:t>
            </w:r>
            <w:proofErr w:type="spellStart"/>
            <w:r>
              <w:rPr>
                <w:spacing w:val="-1"/>
                <w:lang w:eastAsia="en-US"/>
              </w:rPr>
              <w:t>měnověpolitických</w:t>
            </w:r>
            <w:proofErr w:type="spellEnd"/>
            <w:r>
              <w:rPr>
                <w:spacing w:val="-1"/>
                <w:lang w:eastAsia="en-US"/>
              </w:rPr>
              <w:t xml:space="preserve"> úrokových sazeb reagoval navýšením i mezibankovní trh. Tříměsíční sazba PRIBOR se v průběhu 3. čtvrtletí zvýšila o 0,63 p. b.</w:t>
            </w:r>
            <w:r>
              <w:rPr>
                <w:rStyle w:val="Znakapoznpodarou"/>
                <w:spacing w:val="-1"/>
                <w:lang w:eastAsia="en-US"/>
              </w:rPr>
              <w:footnoteReference w:id="66"/>
            </w:r>
            <w:r>
              <w:rPr>
                <w:spacing w:val="-1"/>
                <w:lang w:eastAsia="en-US"/>
              </w:rPr>
              <w:t xml:space="preserve"> na 1,11 % a podobným směrem se vyvíjely všechny typy sazeb. Co se týká úročení vládních dluhopisů, to v případě domácích dluhopisů narostlo u všech typů splatností. Nejvíce se zvýšila průměrná úroková sazba u krátkodobých dluhopisů (o 0,91 p. b. </w:t>
            </w:r>
            <w:proofErr w:type="gramStart"/>
            <w:r>
              <w:rPr>
                <w:spacing w:val="-1"/>
                <w:lang w:eastAsia="en-US"/>
              </w:rPr>
              <w:t>na</w:t>
            </w:r>
            <w:proofErr w:type="gramEnd"/>
            <w:r>
              <w:rPr>
                <w:spacing w:val="-1"/>
                <w:lang w:eastAsia="en-US"/>
              </w:rPr>
              <w:t xml:space="preserve"> 1,6 %). Střednědobé dluhopisy byly úročeny 1,87 % (+0,32 p. b.) a dlouhodobé 1,9 % (+0,23 p. b.). Prohloubil se tak rozdíl mezi výnosy domácích dluhopisů a dluhopisů eurozóny. Jejich výnosy totiž v průběhu 3. čtvrtletí klesaly.</w:t>
            </w:r>
          </w:p>
        </w:tc>
      </w:tr>
      <w:tr w:rsidR="006017C1" w14:paraId="3AA5C304" w14:textId="77777777" w:rsidTr="00B86EB1">
        <w:trPr>
          <w:trHeight w:val="145"/>
        </w:trPr>
        <w:tc>
          <w:tcPr>
            <w:tcW w:w="1802" w:type="dxa"/>
            <w:hideMark/>
          </w:tcPr>
          <w:p w14:paraId="43F09F5B" w14:textId="77777777" w:rsidR="006017C1" w:rsidRDefault="006017C1" w:rsidP="00B86EB1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Zvýšily se úrokové sazby vkladů s dohodnutou splatností.</w:t>
            </w:r>
          </w:p>
        </w:tc>
        <w:tc>
          <w:tcPr>
            <w:tcW w:w="229" w:type="dxa"/>
          </w:tcPr>
          <w:p w14:paraId="011E31D1" w14:textId="77777777" w:rsidR="006017C1" w:rsidRDefault="006017C1" w:rsidP="00B86EB1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7E69C489" w14:textId="77777777" w:rsidR="006017C1" w:rsidRDefault="006017C1" w:rsidP="00B86EB1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 xml:space="preserve">Pohyb </w:t>
            </w:r>
            <w:proofErr w:type="spellStart"/>
            <w:r>
              <w:rPr>
                <w:spacing w:val="-3"/>
                <w:lang w:eastAsia="en-US"/>
              </w:rPr>
              <w:t>měnověpolitických</w:t>
            </w:r>
            <w:proofErr w:type="spellEnd"/>
            <w:r>
              <w:rPr>
                <w:spacing w:val="-3"/>
                <w:lang w:eastAsia="en-US"/>
              </w:rPr>
              <w:t xml:space="preserve"> sazeb se promítl do části úrokových sazeb klientských vkladů. U běžných účtů domácností se sice situace neměnila a jejich úročení zůstávalo prakticky nulové, ale zvýšila se průměrná sazba vkladů s dohodnutou splatností (na 0,73 %). Rostly zejména úrokové sazby vkladů se splatností do jednoho roku. Velmi podobná byla situace v případě vkladů nefinančních podniků. Úrokové sazby na běžných účtech se v zásadě nezměnily, průměrné úročení vkladů s dohodnutou splatností se ale zvýšilo na 0,56 %. Objem vkladů přijatých bankami se za 3. čtvrtletí zvýšil o 93,7 mld. korun, z toho domácnosti</w:t>
            </w:r>
            <w:r>
              <w:rPr>
                <w:rStyle w:val="Znakapoznpodarou"/>
                <w:spacing w:val="-3"/>
                <w:lang w:eastAsia="en-US"/>
              </w:rPr>
              <w:footnoteReference w:id="67"/>
            </w:r>
            <w:r>
              <w:rPr>
                <w:spacing w:val="-3"/>
                <w:lang w:eastAsia="en-US"/>
              </w:rPr>
              <w:t xml:space="preserve"> uložily 39,2 mld. Meziročně bylo vkladů k 30. září o 399,0 mld. korun (7,2 %) více. Domácnosti se na tomto přírůstku podílely 277,7 mld. korun. Nadále se zvyšoval zejména objem netermínovaných vkladů.</w:t>
            </w:r>
          </w:p>
        </w:tc>
      </w:tr>
      <w:tr w:rsidR="006017C1" w14:paraId="72279818" w14:textId="77777777" w:rsidTr="00B86EB1">
        <w:trPr>
          <w:trHeight w:val="145"/>
        </w:trPr>
        <w:tc>
          <w:tcPr>
            <w:tcW w:w="1802" w:type="dxa"/>
          </w:tcPr>
          <w:p w14:paraId="04375097" w14:textId="77777777" w:rsidR="006017C1" w:rsidRDefault="006017C1" w:rsidP="00B86EB1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Zrychloval růst objemu poskytnutých půjček na bydlení.</w:t>
            </w:r>
          </w:p>
        </w:tc>
        <w:tc>
          <w:tcPr>
            <w:tcW w:w="229" w:type="dxa"/>
          </w:tcPr>
          <w:p w14:paraId="591B660E" w14:textId="77777777" w:rsidR="006017C1" w:rsidRDefault="006017C1" w:rsidP="00B86EB1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0B26FF94" w14:textId="77777777" w:rsidR="006017C1" w:rsidRDefault="006017C1" w:rsidP="00B86E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Ve 3. čtvrtletí se zvyšovaly i úrokové sazby úvěrů pro domácnosti. V případě úvěrů na spotřebu dosáhla průměrná úroková sazba 7,59 % a mezičtvrtletně vzrostla o 0,28 p. b. Navýšily se také sazby úvěrů na bydlení, a to u všech fixací. Celkový průměr dosáhl 2,45 % a mezičtvrtletně byl vyšší o 0,26 p. b. Nejrazantnější byl nárůst u kategorie </w:t>
            </w:r>
            <w:proofErr w:type="spellStart"/>
            <w:r>
              <w:rPr>
                <w:lang w:eastAsia="en-US"/>
              </w:rPr>
              <w:t>floating</w:t>
            </w:r>
            <w:proofErr w:type="spellEnd"/>
            <w:r>
              <w:rPr>
                <w:lang w:eastAsia="en-US"/>
              </w:rPr>
              <w:t xml:space="preserve"> a fixace do jednoho roku – průměrná sazba byla vyšší o 0,53 </w:t>
            </w:r>
            <w:proofErr w:type="gramStart"/>
            <w:r>
              <w:rPr>
                <w:lang w:eastAsia="en-US"/>
              </w:rPr>
              <w:t>p. b. a dosáhla</w:t>
            </w:r>
            <w:proofErr w:type="gramEnd"/>
            <w:r>
              <w:rPr>
                <w:lang w:eastAsia="en-US"/>
              </w:rPr>
              <w:t xml:space="preserve"> 2,9 %. Meziroční dynamika objemu poskytnutých úvěrů na spotřebu domácností po loňském propadu postupně posiluje – ve 3. čtvrtletí nárůst dosáhl 4,1 %. Poměrně mírný nárůst patrně souvisí s přebytkem peněžních prostředků, které domácnosti naakumulovaly během období, kdy byly omezené jejich nákupní možnosti. V průběhu 3. čtvrtletí se u domácností také mírně zvýšily obavy ohledně ekonomické situace. Meziroční růst objemu poskytnutých úvěrů na bydlení naopak zrychlil na 10,5 %. Tempo tak zrychluje sedm čtvrtletí v řadě. Podle údajů o nových hypotečních úvěrech ale po červnovém vrcholu (61,9 mld. korun, z toho 39,4 mld. byly čisté nové úvěry</w:t>
            </w:r>
            <w:r>
              <w:rPr>
                <w:rStyle w:val="Znakapoznpodarou"/>
                <w:lang w:eastAsia="en-US"/>
              </w:rPr>
              <w:footnoteReference w:id="68"/>
            </w:r>
            <w:r>
              <w:rPr>
                <w:lang w:eastAsia="en-US"/>
              </w:rPr>
              <w:t>) došlo v průběhu 3.</w:t>
            </w:r>
            <w:r>
              <w:t> </w:t>
            </w:r>
            <w:r>
              <w:rPr>
                <w:lang w:eastAsia="en-US"/>
              </w:rPr>
              <w:t>čtvrtletí k ochlazení a objem nových úvěrů již nerostl tak silně (ke konci září činil 46,0 mld., z toho 29,</w:t>
            </w:r>
            <w:r w:rsidRPr="00284DA5">
              <w:t>6</w:t>
            </w:r>
            <w:r>
              <w:t> </w:t>
            </w:r>
            <w:r w:rsidRPr="00284DA5">
              <w:t>mld</w:t>
            </w:r>
            <w:r>
              <w:rPr>
                <w:lang w:eastAsia="en-US"/>
              </w:rPr>
              <w:t xml:space="preserve">. tvořily čisté nové úvěry). Netypicky silný byl zejména pokles u čistých nových úvěrů. Celkové zadlužení domácností ke </w:t>
            </w:r>
            <w:r>
              <w:rPr>
                <w:lang w:eastAsia="en-US"/>
              </w:rPr>
              <w:lastRenderedPageBreak/>
              <w:t>konci 3. čtvrtletí činilo 2 056,7 mld. korun a meziročně bylo vyšší o 162,7 mld. (8,6 %). Zadlužení na spotřebu bylo vyšší o 2,5 % a na bydlení o 10,5 %.</w:t>
            </w:r>
          </w:p>
        </w:tc>
      </w:tr>
      <w:tr w:rsidR="006017C1" w14:paraId="7A5471DB" w14:textId="77777777" w:rsidTr="00B86EB1">
        <w:trPr>
          <w:trHeight w:val="145"/>
        </w:trPr>
        <w:tc>
          <w:tcPr>
            <w:tcW w:w="1802" w:type="dxa"/>
          </w:tcPr>
          <w:p w14:paraId="7402CDEC" w14:textId="77777777" w:rsidR="006017C1" w:rsidRDefault="006017C1" w:rsidP="00B86EB1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Úrokové sazby úvěrů pro podniky rostly.</w:t>
            </w:r>
          </w:p>
        </w:tc>
        <w:tc>
          <w:tcPr>
            <w:tcW w:w="229" w:type="dxa"/>
          </w:tcPr>
          <w:p w14:paraId="2AA2C4A8" w14:textId="77777777" w:rsidR="006017C1" w:rsidRDefault="006017C1" w:rsidP="00B86EB1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415F267D" w14:textId="77777777" w:rsidR="006017C1" w:rsidRDefault="006017C1" w:rsidP="00B86E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Úročení úvěrů pro nefinanční podniky během 3. čtvrtletí také rostlo. Průměrná úroková sazba na úvěrech do 7,5 milionu korun se zvýšila o 0,33 p. b. </w:t>
            </w:r>
            <w:proofErr w:type="gramStart"/>
            <w:r>
              <w:rPr>
                <w:lang w:eastAsia="en-US"/>
              </w:rPr>
              <w:t>na</w:t>
            </w:r>
            <w:proofErr w:type="gramEnd"/>
            <w:r>
              <w:rPr>
                <w:lang w:eastAsia="en-US"/>
              </w:rPr>
              <w:t xml:space="preserve"> 3,77 %, u objemu mezi 7,5 a 30 miliony o 0,59 p. b. na 2,94 % a v kategorii nad 30 milionů korun o 0,55 p. b. na 1,74 %. Celkový objem úvěrů poskytnutých nefinančním podnikům vzrostl meziročně o 1,9 %. Vyšší byl výhradně objem úvěrů poskytnutých v korunách (7,0 %). Pokles objemu úvěrů poskytnutých v cizí měně o 6,9 % byl zčásti spojen s meziročním posílením kurzu. Výraznější meziroční přírůstek ve 3. kvartálu měly krátkodobé a střednědobé úvěry. Z hlediska jednotlivých odvětví pokračoval masivní nárůst půjček v dopravě a skladování (meziročně o 37,3 %). Vyšší byl i objem úvěrů profesním, vědeckým a technickým činnostem a administrativním činnostem (6,6 %), v odvětvích s převahou vládního sektoru (6,4 %), ve velkoobchodě, maloobchodě a opravách a údržbě motorových vozidel (3,5 %), ve stavebnictví (3,2 %), v zemědělství, lesnictví a rybářství (1,3 %) a u činností v oblasti nemovitostí (1,2 %). Trval meziroční pokles objemu úvěrů poskytnutých ve zpracovatelském </w:t>
            </w:r>
            <w:proofErr w:type="gramStart"/>
            <w:r>
              <w:rPr>
                <w:lang w:eastAsia="en-US"/>
              </w:rPr>
              <w:t xml:space="preserve">průmyslu </w:t>
            </w:r>
            <w:r>
              <w:rPr>
                <w:lang w:eastAsia="en-US"/>
              </w:rPr>
              <w:br/>
              <w:t>(–5,5</w:t>
            </w:r>
            <w:proofErr w:type="gramEnd"/>
            <w:r>
              <w:rPr>
                <w:lang w:eastAsia="en-US"/>
              </w:rPr>
              <w:t> %), propad byl patrný také v ubytování, stravování a pohostinství (–8,4 %) a dál klesal objem úvěrů v informačních a komunikačních činnostech (–4,2 %).</w:t>
            </w:r>
          </w:p>
        </w:tc>
      </w:tr>
      <w:tr w:rsidR="006017C1" w14:paraId="75F28CCA" w14:textId="77777777" w:rsidTr="00B86EB1">
        <w:trPr>
          <w:trHeight w:val="304"/>
        </w:trPr>
        <w:tc>
          <w:tcPr>
            <w:tcW w:w="1802" w:type="dxa"/>
            <w:vMerge w:val="restart"/>
          </w:tcPr>
          <w:p w14:paraId="14A0E6B5" w14:textId="77777777" w:rsidR="006017C1" w:rsidRDefault="006017C1" w:rsidP="00B86EB1">
            <w:pPr>
              <w:pStyle w:val="Marginlie"/>
              <w:rPr>
                <w:lang w:eastAsia="en-US"/>
              </w:rPr>
            </w:pPr>
          </w:p>
        </w:tc>
        <w:tc>
          <w:tcPr>
            <w:tcW w:w="229" w:type="dxa"/>
            <w:vMerge w:val="restart"/>
          </w:tcPr>
          <w:p w14:paraId="7BBF62E0" w14:textId="77777777" w:rsidR="006017C1" w:rsidRDefault="006017C1" w:rsidP="00B86EB1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78412342" w14:textId="77777777" w:rsidR="006017C1" w:rsidRPr="00D721B4" w:rsidRDefault="006017C1" w:rsidP="00B86EB1">
            <w:pPr>
              <w:spacing w:after="0"/>
              <w:rPr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Graf č. 15</w:t>
            </w:r>
            <w:r w:rsidRPr="00D721B4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 </w:t>
            </w:r>
            <w:r w:rsidRPr="00D721B4">
              <w:rPr>
                <w:b/>
                <w:spacing w:val="-4"/>
                <w:szCs w:val="20"/>
                <w:lang w:eastAsia="en-US"/>
              </w:rPr>
              <w:t xml:space="preserve">Tržní úrokové sazby </w:t>
            </w:r>
            <w:r w:rsidRPr="00D721B4">
              <w:rPr>
                <w:bCs/>
                <w:spacing w:val="-4"/>
                <w:szCs w:val="20"/>
                <w:lang w:eastAsia="en-US"/>
              </w:rPr>
              <w:t>(v</w:t>
            </w:r>
            <w:r>
              <w:rPr>
                <w:bCs/>
                <w:spacing w:val="-4"/>
                <w:szCs w:val="20"/>
                <w:lang w:eastAsia="en-US"/>
              </w:rPr>
              <w:t> %</w:t>
            </w:r>
            <w:r w:rsidRPr="00D721B4">
              <w:rPr>
                <w:bCs/>
                <w:spacing w:val="-4"/>
                <w:szCs w:val="20"/>
                <w:lang w:eastAsia="en-US"/>
              </w:rPr>
              <w:t>)</w:t>
            </w:r>
          </w:p>
        </w:tc>
      </w:tr>
      <w:tr w:rsidR="006017C1" w14:paraId="4D88945E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vAlign w:val="center"/>
            <w:hideMark/>
          </w:tcPr>
          <w:p w14:paraId="75101E49" w14:textId="77777777" w:rsidR="006017C1" w:rsidRDefault="006017C1" w:rsidP="00B86EB1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14:paraId="0666CEEF" w14:textId="77777777" w:rsidR="006017C1" w:rsidRDefault="006017C1" w:rsidP="00B86EB1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311D5668" w14:textId="77777777" w:rsidR="006017C1" w:rsidRDefault="006017C1" w:rsidP="00B86EB1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DBEB957" wp14:editId="38D9094F">
                  <wp:extent cx="4737600" cy="3553200"/>
                  <wp:effectExtent l="0" t="0" r="6350" b="0"/>
                  <wp:docPr id="33" name="Graf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6017C1" w14:paraId="1C698328" w14:textId="77777777" w:rsidTr="00B86EB1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0BB0CA05" w14:textId="77777777" w:rsidR="006017C1" w:rsidRDefault="006017C1" w:rsidP="00B86EB1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42DC90" w14:textId="77777777" w:rsidR="006017C1" w:rsidRDefault="006017C1" w:rsidP="00B86EB1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5814435F" w14:textId="77777777" w:rsidR="006017C1" w:rsidRDefault="006017C1" w:rsidP="006017C1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ČNB</w:t>
            </w:r>
          </w:p>
        </w:tc>
      </w:tr>
      <w:bookmarkEnd w:id="30"/>
    </w:tbl>
    <w:p w14:paraId="7F537424" w14:textId="77777777" w:rsidR="006017C1" w:rsidRDefault="006017C1" w:rsidP="00BB50C0">
      <w:pPr>
        <w:pStyle w:val="Nadpis11"/>
        <w:rPr>
          <w:szCs w:val="32"/>
          <w:highlight w:val="yellow"/>
        </w:rPr>
      </w:pPr>
    </w:p>
    <w:p w14:paraId="49A596C5" w14:textId="77777777" w:rsidR="006017C1" w:rsidRDefault="006017C1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32"/>
          <w:highlight w:val="yellow"/>
        </w:rPr>
      </w:pPr>
      <w:r>
        <w:rPr>
          <w:szCs w:val="32"/>
          <w:highlight w:val="yellow"/>
        </w:rPr>
        <w:br w:type="page"/>
      </w:r>
    </w:p>
    <w:p w14:paraId="265BB1E2" w14:textId="77777777" w:rsidR="00F00535" w:rsidRDefault="00F00535" w:rsidP="00F00535">
      <w:pPr>
        <w:pStyle w:val="Nadpis11"/>
      </w:pPr>
      <w:bookmarkStart w:id="32" w:name="_Toc90456608"/>
      <w:r w:rsidRPr="00787441">
        <w:rPr>
          <w:szCs w:val="32"/>
        </w:rPr>
        <w:lastRenderedPageBreak/>
        <w:t>8</w:t>
      </w:r>
      <w:r>
        <w:t>. St</w:t>
      </w:r>
      <w:r w:rsidRPr="009110F7">
        <w:t>átní rozpočet</w:t>
      </w:r>
      <w:bookmarkEnd w:id="32"/>
    </w:p>
    <w:tbl>
      <w:tblPr>
        <w:tblW w:w="966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2"/>
        <w:gridCol w:w="217"/>
        <w:gridCol w:w="7720"/>
      </w:tblGrid>
      <w:tr w:rsidR="00F00535" w:rsidRPr="003C07E6" w14:paraId="33A2AE1D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6C3FFB3" w14:textId="77777777" w:rsidR="00F00535" w:rsidRPr="00D033C0" w:rsidRDefault="00F00535" w:rsidP="00B86EB1">
            <w:pPr>
              <w:pStyle w:val="Marginlie"/>
              <w:rPr>
                <w:spacing w:val="-3"/>
              </w:rPr>
            </w:pPr>
            <w:r w:rsidRPr="00D033C0">
              <w:rPr>
                <w:spacing w:val="-3"/>
              </w:rPr>
              <w:t xml:space="preserve">Schodek SR byl zásadně ovlivněn hospodařením v prvních pěti měsících roku, kdy dominoval vliv </w:t>
            </w:r>
            <w:proofErr w:type="spellStart"/>
            <w:r w:rsidRPr="00D033C0">
              <w:rPr>
                <w:spacing w:val="-3"/>
              </w:rPr>
              <w:t>protipandemických</w:t>
            </w:r>
            <w:proofErr w:type="spellEnd"/>
            <w:r w:rsidRPr="00D033C0">
              <w:rPr>
                <w:spacing w:val="-3"/>
              </w:rPr>
              <w:t xml:space="preserve"> restrikcí.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48352C46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AF066C0" w14:textId="77777777" w:rsidR="00F00535" w:rsidRPr="009B277E" w:rsidRDefault="00F00535" w:rsidP="00B86EB1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>Hospodaření</w:t>
            </w:r>
            <w:r w:rsidRPr="009B277E">
              <w:rPr>
                <w:spacing w:val="-2"/>
              </w:rPr>
              <w:t xml:space="preserve"> státní</w:t>
            </w:r>
            <w:r>
              <w:rPr>
                <w:spacing w:val="-2"/>
              </w:rPr>
              <w:t>ho</w:t>
            </w:r>
            <w:r w:rsidRPr="009B277E">
              <w:rPr>
                <w:spacing w:val="-2"/>
              </w:rPr>
              <w:t xml:space="preserve"> </w:t>
            </w:r>
            <w:r>
              <w:rPr>
                <w:spacing w:val="-2"/>
              </w:rPr>
              <w:t>rozpoč</w:t>
            </w:r>
            <w:r w:rsidRPr="009B277E">
              <w:rPr>
                <w:spacing w:val="-2"/>
              </w:rPr>
              <w:t>t</w:t>
            </w:r>
            <w:r>
              <w:rPr>
                <w:spacing w:val="-2"/>
              </w:rPr>
              <w:t>u</w:t>
            </w:r>
            <w:r w:rsidRPr="009B277E">
              <w:rPr>
                <w:spacing w:val="-2"/>
              </w:rPr>
              <w:t xml:space="preserve"> (SR)</w:t>
            </w:r>
            <w:r w:rsidRPr="009B277E">
              <w:rPr>
                <w:rStyle w:val="Znakapoznpodarou"/>
                <w:spacing w:val="-2"/>
              </w:rPr>
              <w:footnoteReference w:id="69"/>
            </w:r>
            <w:r>
              <w:rPr>
                <w:spacing w:val="-2"/>
              </w:rPr>
              <w:t xml:space="preserve"> skončilo za 1. až 3. čtvrtletí 2021 rekordním deficitem ve výši 326 mld. korun, jenž byl meziročně o 74 mld. vyšší. Výrazně se na něm podepsal hluboký rozpočtový schodek během prvních pěti měsíců letošního roku (255 mld. korun). Deficit v samotném 3. čtvrtletí, kdy již výkon ekonomiky nebyl výrazně tlumen </w:t>
            </w:r>
            <w:proofErr w:type="spellStart"/>
            <w:r>
              <w:rPr>
                <w:spacing w:val="-2"/>
              </w:rPr>
              <w:t>protipandemickými</w:t>
            </w:r>
            <w:proofErr w:type="spellEnd"/>
            <w:r>
              <w:rPr>
                <w:spacing w:val="-2"/>
              </w:rPr>
              <w:t xml:space="preserve"> restrikcemi, přesáhl jen mírně 60 mld. korun a byl srovnatelný se shodným loňským obdobím.</w:t>
            </w:r>
          </w:p>
        </w:tc>
      </w:tr>
      <w:tr w:rsidR="00F00535" w:rsidRPr="003C07E6" w14:paraId="10C1C290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02FE6AA0" w14:textId="77777777" w:rsidR="00F00535" w:rsidRDefault="00F00535" w:rsidP="00B86EB1">
            <w:pPr>
              <w:pStyle w:val="Marginlie"/>
            </w:pPr>
            <w:r>
              <w:t>Celkové příjmy SR vlivem snížené loňské základny meziročně vzrostly, úrovně z roku 2019 ale zatím nedosáhly.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754D38AA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E83C8F9" w14:textId="77777777" w:rsidR="00F00535" w:rsidRPr="009B277E" w:rsidRDefault="00F00535" w:rsidP="00B86EB1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 xml:space="preserve">Celkové příjmy SR se letos za tři čtvrtletí </w:t>
            </w:r>
            <w:r w:rsidRPr="009B277E">
              <w:rPr>
                <w:spacing w:val="-2"/>
              </w:rPr>
              <w:t>meziročně mírně zvýšily</w:t>
            </w:r>
            <w:r>
              <w:rPr>
                <w:spacing w:val="-2"/>
              </w:rPr>
              <w:t xml:space="preserve"> o 2,0 % (resp. 21</w:t>
            </w:r>
            <w:r w:rsidRPr="009B277E">
              <w:rPr>
                <w:spacing w:val="-2"/>
              </w:rPr>
              <w:t> mld. korun).</w:t>
            </w:r>
            <w:r>
              <w:rPr>
                <w:spacing w:val="-2"/>
              </w:rPr>
              <w:t xml:space="preserve"> Zásadně k tomu přispěla nízká srovnávací základna, neboť zejména v loňském 2. čtvrtletí došlo k mimořádnému odkladu zákonných termínů splatnosti váhově významných daní i pojistného na sociální zabezpečení (SZ). Za 1. až 3. čtvrtletím roku 2019 tak celkové příjmy stále mírně zaostávaly (o 2,2 %). V letošních příjmech SR se negativně projevilo zejména snížení</w:t>
            </w:r>
            <w:r w:rsidRPr="009B277E">
              <w:rPr>
                <w:spacing w:val="-2"/>
              </w:rPr>
              <w:t xml:space="preserve"> daňového zatížení práce</w:t>
            </w:r>
            <w:r>
              <w:rPr>
                <w:spacing w:val="-2"/>
              </w:rPr>
              <w:t>, kapitálu i majetku a také změna</w:t>
            </w:r>
            <w:r w:rsidRPr="009B277E">
              <w:rPr>
                <w:spacing w:val="-2"/>
              </w:rPr>
              <w:t xml:space="preserve"> rozpočtového určení daní ve prospěch územních rozpočtů</w:t>
            </w:r>
            <w:r w:rsidRPr="009B277E">
              <w:rPr>
                <w:rStyle w:val="Znakapoznpodarou"/>
                <w:spacing w:val="-2"/>
              </w:rPr>
              <w:footnoteReference w:id="70"/>
            </w:r>
            <w:r>
              <w:rPr>
                <w:spacing w:val="-2"/>
              </w:rPr>
              <w:t xml:space="preserve">. </w:t>
            </w:r>
            <w:r w:rsidRPr="009B277E">
              <w:rPr>
                <w:spacing w:val="-2"/>
              </w:rPr>
              <w:t>Souhrnný celostátní výběr daní (bez pojistného</w:t>
            </w:r>
            <w:r>
              <w:rPr>
                <w:spacing w:val="-2"/>
              </w:rPr>
              <w:t xml:space="preserve"> na SZ</w:t>
            </w:r>
            <w:r w:rsidRPr="009B277E">
              <w:rPr>
                <w:spacing w:val="-2"/>
              </w:rPr>
              <w:t>) na úr</w:t>
            </w:r>
            <w:r>
              <w:rPr>
                <w:spacing w:val="-2"/>
              </w:rPr>
              <w:t>ovni všech veřejných rozpočtů sice</w:t>
            </w:r>
            <w:r w:rsidRPr="009B277E">
              <w:rPr>
                <w:spacing w:val="-2"/>
              </w:rPr>
              <w:t xml:space="preserve"> letos</w:t>
            </w:r>
            <w:r>
              <w:rPr>
                <w:spacing w:val="-2"/>
              </w:rPr>
              <w:t xml:space="preserve"> převýšil úroveň 1. až 3. čtvrtletí 2020 o rovná 2 %, oproti roku 2019 byl ale o 5,8 % nižší. Díky oživení soukromé spotřeby však v samotném 3. čtvrtletí za rokem 2019 zaostal již pouze o 0,7 % (obdobně jako letos v říjnu).</w:t>
            </w:r>
          </w:p>
        </w:tc>
      </w:tr>
      <w:tr w:rsidR="00F00535" w:rsidRPr="003C07E6" w14:paraId="69BFC720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451DA70" w14:textId="77777777" w:rsidR="00F00535" w:rsidRDefault="00F00535" w:rsidP="00B86EB1">
            <w:pPr>
              <w:pStyle w:val="Marginlie"/>
            </w:pPr>
            <w:r>
              <w:t>Na rostoucí výběr DPH měla vliv široká škála protisměrně působících faktorů.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335E983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64BEC94" w14:textId="77777777" w:rsidR="00F00535" w:rsidRPr="009B277E" w:rsidRDefault="00F00535" w:rsidP="00B86EB1">
            <w:pPr>
              <w:spacing w:after="200"/>
              <w:rPr>
                <w:spacing w:val="-2"/>
              </w:rPr>
            </w:pPr>
            <w:r>
              <w:rPr>
                <w:spacing w:val="-4"/>
              </w:rPr>
              <w:t xml:space="preserve">Z váhově dominantní daně – DPH – plynulo do SR v 1. až 3. čtvrtletí meziročně o 2,3 % (resp. 4,8 mld. korun) více. Na úrovni všech veřejných rozpočtů posílilo inkaso dokonce o 7,4 % (za dva roky o 5,3 %). Meziroční srovnání je však ovlivněno slabou loňskou základnou v důsledku citelného omezení provozoven obchodu a dalších služeb. Dílčí dopad na letošní </w:t>
            </w:r>
            <w:r>
              <w:rPr>
                <w:spacing w:val="-5"/>
              </w:rPr>
              <w:t>výběr DPH mělo i snížení</w:t>
            </w:r>
            <w:r w:rsidRPr="00F033DA">
              <w:rPr>
                <w:spacing w:val="-5"/>
              </w:rPr>
              <w:t xml:space="preserve"> saz</w:t>
            </w:r>
            <w:r>
              <w:rPr>
                <w:spacing w:val="-5"/>
              </w:rPr>
              <w:t>eb daně u některých služeb</w:t>
            </w:r>
            <w:r>
              <w:rPr>
                <w:rStyle w:val="Znakapoznpodarou"/>
                <w:spacing w:val="-5"/>
              </w:rPr>
              <w:footnoteReference w:id="71"/>
            </w:r>
            <w:r>
              <w:rPr>
                <w:spacing w:val="-5"/>
              </w:rPr>
              <w:t>, pozitivně v tomto ohledu naopak stále více působil cenový růst v ekonomice.</w:t>
            </w:r>
          </w:p>
        </w:tc>
      </w:tr>
      <w:tr w:rsidR="00F00535" w:rsidRPr="003C07E6" w14:paraId="1284F5B5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D4713E7" w14:textId="77777777" w:rsidR="00F00535" w:rsidRDefault="00F00535" w:rsidP="00B86EB1">
            <w:pPr>
              <w:pStyle w:val="Marginlie"/>
            </w:pPr>
            <w:r>
              <w:t>Na propadu inkasa spotřebních daní se rovnoměrně podílel nižší výběr u minerálních olejů i tabákových výrobků. Ve 3. čtvrtletí ale došlo k oživení.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AD379BC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DF1DBAB" w14:textId="265F5BEF" w:rsidR="00F00535" w:rsidRPr="00D4578E" w:rsidRDefault="00F00535" w:rsidP="00FC1070">
            <w:pPr>
              <w:spacing w:after="200"/>
              <w:rPr>
                <w:spacing w:val="-4"/>
              </w:rPr>
            </w:pPr>
            <w:r w:rsidRPr="00460F0F">
              <w:rPr>
                <w:color w:val="0D0D0D" w:themeColor="text1" w:themeTint="F2"/>
                <w:spacing w:val="-5"/>
              </w:rPr>
              <w:t>Celkové příjmy SR ze spotřebních daní</w:t>
            </w:r>
            <w:r>
              <w:rPr>
                <w:spacing w:val="-4"/>
              </w:rPr>
              <w:t xml:space="preserve"> poklesly letos za tři čtvrtletí meziročně o 5,6 %. Podílelo se na tom shodně nižší inkaso daně z minerálních olejů (s poklesem o 6,1 %, za dva roky o 14,7 %) i z tabákových </w:t>
            </w:r>
            <w:proofErr w:type="gramStart"/>
            <w:r>
              <w:rPr>
                <w:spacing w:val="-4"/>
              </w:rPr>
              <w:t>výrobků (–7,8</w:t>
            </w:r>
            <w:proofErr w:type="gramEnd"/>
            <w:r>
              <w:rPr>
                <w:spacing w:val="-4"/>
              </w:rPr>
              <w:t> %, resp. –0,5 %). Projevily se slabší přepravní výkony v osobní dopravě, což naznačuje i nižší spotřeba některých ropných produktů</w:t>
            </w:r>
            <w:r>
              <w:rPr>
                <w:rStyle w:val="Znakapoznpodarou"/>
                <w:spacing w:val="-4"/>
              </w:rPr>
              <w:footnoteReference w:id="72"/>
            </w:r>
            <w:r>
              <w:rPr>
                <w:spacing w:val="-4"/>
              </w:rPr>
              <w:t xml:space="preserve">. Negativně působil i pokles sazby daně u motorové nafty (o 1 korunu), opačný vliv mělo 10% navýšení </w:t>
            </w:r>
            <w:r>
              <w:rPr>
                <w:color w:val="0D0D0D" w:themeColor="text1" w:themeTint="F2"/>
                <w:spacing w:val="-5"/>
              </w:rPr>
              <w:t>daňové sazby u tabákových výro</w:t>
            </w:r>
            <w:r w:rsidR="00FC1070">
              <w:rPr>
                <w:color w:val="0D0D0D" w:themeColor="text1" w:themeTint="F2"/>
                <w:spacing w:val="-5"/>
              </w:rPr>
              <w:t>bků. V samotném 3. čtvrtletí ale díky vyšší ekonomické aktivitě</w:t>
            </w:r>
            <w:r>
              <w:rPr>
                <w:color w:val="0D0D0D" w:themeColor="text1" w:themeTint="F2"/>
                <w:spacing w:val="-5"/>
              </w:rPr>
              <w:t xml:space="preserve"> inkaso obou výše uvedených daní meziročn</w:t>
            </w:r>
            <w:r w:rsidR="00FC1070">
              <w:rPr>
                <w:color w:val="0D0D0D" w:themeColor="text1" w:themeTint="F2"/>
                <w:spacing w:val="-5"/>
              </w:rPr>
              <w:t>ě mírně vzrostlo (shodně o 2 %)</w:t>
            </w:r>
            <w:r>
              <w:rPr>
                <w:color w:val="0D0D0D" w:themeColor="text1" w:themeTint="F2"/>
                <w:spacing w:val="-5"/>
              </w:rPr>
              <w:t xml:space="preserve">. </w:t>
            </w:r>
            <w:r>
              <w:rPr>
                <w:spacing w:val="-4"/>
              </w:rPr>
              <w:t>Navzdory letnímu oživení výběr obou váhově významných položek spotřební daně zatím letos – na rozdíl od DPH – za rozpočtovým očekáváním znatelně zaostával.</w:t>
            </w:r>
          </w:p>
        </w:tc>
      </w:tr>
      <w:tr w:rsidR="00F00535" w:rsidRPr="003C07E6" w14:paraId="47D363B4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1D2D847" w14:textId="77777777" w:rsidR="00F00535" w:rsidRDefault="00F00535" w:rsidP="00B86EB1">
            <w:pPr>
              <w:pStyle w:val="Marginlie"/>
            </w:pPr>
            <w:r>
              <w:t>Výběr většiny váhově méně významných spotřebních daní vzrostl.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0BFE61F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CEC144B" w14:textId="77777777" w:rsidR="00F00535" w:rsidRPr="00460F0F" w:rsidRDefault="00F00535" w:rsidP="00B86EB1">
            <w:pPr>
              <w:spacing w:after="200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Inkaso ostatních, váhově méně významných spotřebních daní meziročně mírně rostlo, především vlivem nově zavedené daně z digitálních služeb, vyššího výběru energetických daní či daně z lihu (i</w:t>
            </w:r>
            <w:r w:rsidRPr="009B277E">
              <w:rPr>
                <w:spacing w:val="-2"/>
              </w:rPr>
              <w:t> </w:t>
            </w:r>
            <w:r>
              <w:rPr>
                <w:color w:val="0D0D0D" w:themeColor="text1" w:themeTint="F2"/>
                <w:spacing w:val="-5"/>
              </w:rPr>
              <w:t>díky zvýšené sazbě). Za tři čtvrtletí naopak klesl výběr u daně z piva (o 7,5 %), v samotném 3. čtvrtletí se však již dostal na loňskou úroveň, protože se projevilo i pozvolné oživení příjezdového cestovního ruchu.</w:t>
            </w:r>
          </w:p>
        </w:tc>
      </w:tr>
      <w:tr w:rsidR="00F00535" w:rsidRPr="003C07E6" w14:paraId="45884518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3A4BDCB" w14:textId="77777777" w:rsidR="00F00535" w:rsidRDefault="00F00535" w:rsidP="00B86EB1">
            <w:pPr>
              <w:pStyle w:val="Marginlie"/>
            </w:pPr>
            <w:r>
              <w:t>Inkaso daně z příjmů právnických osob po loňském propadu vzrostlo skoro o třetinu.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211E093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72E13A58" w14:textId="77777777" w:rsidR="00F00535" w:rsidRPr="00460F0F" w:rsidRDefault="00F00535" w:rsidP="00B86EB1">
            <w:pPr>
              <w:spacing w:after="200"/>
              <w:rPr>
                <w:color w:val="0D0D0D" w:themeColor="text1" w:themeTint="F2"/>
                <w:spacing w:val="-5"/>
              </w:rPr>
            </w:pPr>
            <w:r w:rsidRPr="00A66749">
              <w:rPr>
                <w:spacing w:val="-5"/>
              </w:rPr>
              <w:t>N</w:t>
            </w:r>
            <w:r>
              <w:rPr>
                <w:spacing w:val="-5"/>
              </w:rPr>
              <w:t>a korporátní dani získal SR letos za tři čtvrtletí</w:t>
            </w:r>
            <w:r w:rsidRPr="00A66749">
              <w:rPr>
                <w:spacing w:val="-5"/>
              </w:rPr>
              <w:t xml:space="preserve"> meziročně o</w:t>
            </w:r>
            <w:r>
              <w:rPr>
                <w:spacing w:val="-5"/>
              </w:rPr>
              <w:t> 31 % (24 mld.</w:t>
            </w:r>
            <w:r w:rsidRPr="00A66749">
              <w:rPr>
                <w:spacing w:val="-5"/>
              </w:rPr>
              <w:t xml:space="preserve"> korun) více</w:t>
            </w:r>
            <w:r>
              <w:rPr>
                <w:spacing w:val="-5"/>
              </w:rPr>
              <w:t xml:space="preserve">. Společně s vyšším inkasem pojistného na SZ (+41 mld.) šlo o položky, které letos přispěly k růstu celkových příjmů SR nejvíce. Loňské inkaso korporátní daně se ovšem nacházelo na </w:t>
            </w:r>
            <w:r>
              <w:rPr>
                <w:spacing w:val="-5"/>
              </w:rPr>
              <w:lastRenderedPageBreak/>
              <w:t xml:space="preserve">pětiletém minimu (zejména vlivem prominutí </w:t>
            </w:r>
            <w:r w:rsidRPr="00A66749">
              <w:rPr>
                <w:spacing w:val="-5"/>
              </w:rPr>
              <w:t xml:space="preserve">červnové </w:t>
            </w:r>
            <w:r>
              <w:rPr>
                <w:spacing w:val="-5"/>
              </w:rPr>
              <w:t>zálohy na tuto daň i </w:t>
            </w:r>
            <w:r w:rsidRPr="00A66749">
              <w:rPr>
                <w:spacing w:val="-5"/>
              </w:rPr>
              <w:t>individuální</w:t>
            </w:r>
            <w:r>
              <w:rPr>
                <w:spacing w:val="-5"/>
              </w:rPr>
              <w:t>ch</w:t>
            </w:r>
            <w:r w:rsidRPr="00A66749">
              <w:rPr>
                <w:spacing w:val="-5"/>
              </w:rPr>
              <w:t xml:space="preserve"> žádost</w:t>
            </w:r>
            <w:r>
              <w:rPr>
                <w:spacing w:val="-5"/>
              </w:rPr>
              <w:t>í</w:t>
            </w:r>
            <w:r w:rsidRPr="00A66749">
              <w:rPr>
                <w:spacing w:val="-5"/>
              </w:rPr>
              <w:t xml:space="preserve"> firem o</w:t>
            </w:r>
            <w:r>
              <w:rPr>
                <w:spacing w:val="-5"/>
              </w:rPr>
              <w:t> úpravu záloh daně</w:t>
            </w:r>
            <w:r w:rsidRPr="00A66749">
              <w:rPr>
                <w:rStyle w:val="Znakapoznpodarou"/>
                <w:spacing w:val="-5"/>
              </w:rPr>
              <w:footnoteReference w:id="73"/>
            </w:r>
            <w:r>
              <w:rPr>
                <w:spacing w:val="-5"/>
              </w:rPr>
              <w:t>). I tak ale letos převýšil celostátní výběr korporátní daně</w:t>
            </w:r>
            <w:r w:rsidRPr="00A66749">
              <w:rPr>
                <w:spacing w:val="-5"/>
              </w:rPr>
              <w:t xml:space="preserve"> úroveň z</w:t>
            </w:r>
            <w:r>
              <w:rPr>
                <w:spacing w:val="-5"/>
              </w:rPr>
              <w:t> </w:t>
            </w:r>
            <w:r w:rsidRPr="00A66749">
              <w:rPr>
                <w:spacing w:val="-5"/>
              </w:rPr>
              <w:t>1.</w:t>
            </w:r>
            <w:r>
              <w:rPr>
                <w:spacing w:val="-5"/>
              </w:rPr>
              <w:t> až 3. čtvrtletí</w:t>
            </w:r>
            <w:r w:rsidRPr="00A66749">
              <w:rPr>
                <w:spacing w:val="-5"/>
              </w:rPr>
              <w:t xml:space="preserve"> 2019 o</w:t>
            </w:r>
            <w:r>
              <w:rPr>
                <w:spacing w:val="-5"/>
              </w:rPr>
              <w:t> desetinu. Dosavadní letošní inkaso již zároveň znatelně přesáhlo rozpočtem očekávanou celoroční výši.</w:t>
            </w:r>
          </w:p>
        </w:tc>
      </w:tr>
      <w:tr w:rsidR="00F00535" w:rsidRPr="003C07E6" w14:paraId="3BCB786B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7CF7EC4" w14:textId="77777777" w:rsidR="00F00535" w:rsidRDefault="00F00535" w:rsidP="00B86EB1">
            <w:pPr>
              <w:pStyle w:val="Marginlie"/>
            </w:pPr>
            <w:r>
              <w:lastRenderedPageBreak/>
              <w:t>Celostátní inkaso daně z příjmů fyzických osob ze závislé činnosti propadlo meziročně o třetinu a dosáhlo nejnižšího objemu za posledních sedm let.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E3EDEE7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1CF9F227" w14:textId="77777777" w:rsidR="00F00535" w:rsidRPr="00A66749" w:rsidRDefault="00F00535" w:rsidP="00B86EB1">
            <w:pPr>
              <w:spacing w:after="200"/>
              <w:rPr>
                <w:spacing w:val="-5"/>
              </w:rPr>
            </w:pPr>
            <w:r>
              <w:rPr>
                <w:spacing w:val="-5"/>
              </w:rPr>
              <w:t>Přestože z daně z příjmů fyzických osob plynulo letos za tři čtvrtletí do SR meziročně o 29 % méně</w:t>
            </w:r>
            <w:r>
              <w:rPr>
                <w:rStyle w:val="Znakapoznpodarou"/>
                <w:spacing w:val="-5"/>
              </w:rPr>
              <w:footnoteReference w:id="74"/>
            </w:r>
            <w:r>
              <w:rPr>
                <w:spacing w:val="-5"/>
              </w:rPr>
              <w:t xml:space="preserve">, stále šlo o výsledek významně převyšující rozpočtové očekávání. Propad inkasa odrážel v prvé řadě </w:t>
            </w:r>
            <w:r>
              <w:rPr>
                <w:spacing w:val="-4"/>
              </w:rPr>
              <w:t>s</w:t>
            </w:r>
            <w:r w:rsidRPr="0095443E">
              <w:rPr>
                <w:spacing w:val="-4"/>
              </w:rPr>
              <w:t>nížení daňového zatížení práce</w:t>
            </w:r>
            <w:r w:rsidRPr="00285F04">
              <w:rPr>
                <w:vertAlign w:val="superscript"/>
              </w:rPr>
              <w:footnoteReference w:id="75"/>
            </w:r>
            <w:r>
              <w:rPr>
                <w:spacing w:val="-4"/>
              </w:rPr>
              <w:t>. Na výši inkasa stále působily také záchranné programy (kompenzační bonusy – zejména OSVČ), jejich negativní rozpočtový dopad byl ale letos ve srovnání s </w:t>
            </w:r>
            <w:r>
              <w:rPr>
                <w:spacing w:val="-5"/>
              </w:rPr>
              <w:t>1. až 3. čtvrtletím 2020</w:t>
            </w:r>
            <w:r>
              <w:rPr>
                <w:spacing w:val="-4"/>
              </w:rPr>
              <w:t xml:space="preserve"> slabší. Propad inkasa byl tlumen </w:t>
            </w:r>
            <w:r w:rsidRPr="00CF0E31">
              <w:rPr>
                <w:spacing w:val="-6"/>
              </w:rPr>
              <w:t>rostoucí zaměstnaností, dalším navyšováním minimální mzdy, jakož i</w:t>
            </w:r>
            <w:r>
              <w:rPr>
                <w:spacing w:val="-6"/>
              </w:rPr>
              <w:t xml:space="preserve"> jarní </w:t>
            </w:r>
            <w:r w:rsidRPr="00CF0E31">
              <w:rPr>
                <w:spacing w:val="-6"/>
              </w:rPr>
              <w:t>výplatou mimořádných odměn pracovníkům veřejného sektoru stojící</w:t>
            </w:r>
            <w:r>
              <w:rPr>
                <w:spacing w:val="-6"/>
              </w:rPr>
              <w:t>m</w:t>
            </w:r>
            <w:r w:rsidRPr="00CF0E31">
              <w:rPr>
                <w:spacing w:val="-6"/>
              </w:rPr>
              <w:t xml:space="preserve"> v první linii </w:t>
            </w:r>
            <w:r>
              <w:rPr>
                <w:spacing w:val="-6"/>
              </w:rPr>
              <w:t>boje</w:t>
            </w:r>
            <w:r w:rsidRPr="00CF0E31">
              <w:rPr>
                <w:spacing w:val="-6"/>
              </w:rPr>
              <w:t xml:space="preserve"> proti pandemii.</w:t>
            </w:r>
            <w:r>
              <w:rPr>
                <w:spacing w:val="-4"/>
              </w:rPr>
              <w:t xml:space="preserve"> </w:t>
            </w:r>
          </w:p>
        </w:tc>
      </w:tr>
      <w:tr w:rsidR="00F00535" w:rsidRPr="003C07E6" w14:paraId="4223DE22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07D767D5" w14:textId="77777777" w:rsidR="00F00535" w:rsidRDefault="00F00535" w:rsidP="00B86EB1">
            <w:pPr>
              <w:pStyle w:val="Marginlie"/>
            </w:pPr>
            <w:r>
              <w:t>Růst příjmů z rozpočtu EU se letos zastavil.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DB70A60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2160754" w14:textId="77777777" w:rsidR="00F00535" w:rsidRDefault="00F00535" w:rsidP="00B86EB1">
            <w:pPr>
              <w:spacing w:after="200"/>
              <w:rPr>
                <w:spacing w:val="-5"/>
              </w:rPr>
            </w:pPr>
            <w:r w:rsidRPr="009B277E">
              <w:rPr>
                <w:spacing w:val="-2"/>
              </w:rPr>
              <w:t>Nedaňové a kap</w:t>
            </w:r>
            <w:r>
              <w:rPr>
                <w:spacing w:val="-2"/>
              </w:rPr>
              <w:t>itálové příjmy a transfery SR se letos za tři čtvrtletí o desetinu snížily a</w:t>
            </w:r>
            <w:r w:rsidRPr="009B277E">
              <w:rPr>
                <w:spacing w:val="-2"/>
              </w:rPr>
              <w:t> </w:t>
            </w:r>
            <w:r>
              <w:rPr>
                <w:spacing w:val="-2"/>
              </w:rPr>
              <w:t>zaznamenaly tak první meziroční pokles od roku 2017. V pozadí stály zejména příjmy z rozpočtu EU na krytí již státem předfinancovaných výdajů, jež se snížily o 12 mld. korun (na 89 mld.)</w:t>
            </w:r>
            <w:r>
              <w:rPr>
                <w:rStyle w:val="Znakapoznpodarou"/>
                <w:spacing w:val="-2"/>
              </w:rPr>
              <w:footnoteReference w:id="76"/>
            </w:r>
            <w:r>
              <w:rPr>
                <w:spacing w:val="-2"/>
              </w:rPr>
              <w:t>. Vliv mělo i to, že p</w:t>
            </w:r>
            <w:r w:rsidRPr="009B277E">
              <w:rPr>
                <w:spacing w:val="-2"/>
              </w:rPr>
              <w:t>lánovaný převod prostřed</w:t>
            </w:r>
            <w:r>
              <w:rPr>
                <w:spacing w:val="-2"/>
              </w:rPr>
              <w:t xml:space="preserve">ků privatizačního účtu do SR se letos dosud neuskutečnil (loni se jednalo 13 mld. korun). To bylo zčásti kompenzováno </w:t>
            </w:r>
            <w:r w:rsidRPr="00444DB0">
              <w:rPr>
                <w:spacing w:val="-2"/>
              </w:rPr>
              <w:t xml:space="preserve">mimořádnými letošními výnosy z aukce </w:t>
            </w:r>
            <w:r>
              <w:rPr>
                <w:spacing w:val="-2"/>
              </w:rPr>
              <w:t xml:space="preserve">rádiových </w:t>
            </w:r>
            <w:r w:rsidRPr="00444DB0">
              <w:rPr>
                <w:spacing w:val="-2"/>
              </w:rPr>
              <w:t>kmitočtů (+5,6 mld.).</w:t>
            </w:r>
          </w:p>
        </w:tc>
      </w:tr>
      <w:tr w:rsidR="00F00535" w:rsidRPr="00F704D2" w14:paraId="21B0E6F5" w14:textId="77777777" w:rsidTr="00B86EB1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750D962A" w14:textId="77777777" w:rsidR="00F00535" w:rsidRDefault="00F00535" w:rsidP="00B86EB1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2546C4F7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6FF0D60" w14:textId="77777777" w:rsidR="00F00535" w:rsidRPr="00A66749" w:rsidRDefault="00F00535" w:rsidP="00B86EB1">
            <w:pPr>
              <w:spacing w:after="0" w:line="240" w:lineRule="auto"/>
              <w:rPr>
                <w:rFonts w:cs="Arial"/>
                <w:bCs/>
                <w:spacing w:val="-4"/>
              </w:rPr>
            </w:pPr>
            <w:r w:rsidRPr="00A66749">
              <w:rPr>
                <w:rFonts w:cs="Arial"/>
                <w:b/>
                <w:bCs/>
                <w:color w:val="000000"/>
                <w:spacing w:val="-4"/>
                <w:szCs w:val="20"/>
              </w:rPr>
              <w:t>Graf č. 16  Příspěvek dílčích příjmů k</w:t>
            </w:r>
            <w:r>
              <w:rPr>
                <w:rFonts w:cs="Arial"/>
                <w:b/>
                <w:bCs/>
                <w:color w:val="000000"/>
                <w:spacing w:val="-4"/>
                <w:szCs w:val="20"/>
              </w:rPr>
              <w:t> </w:t>
            </w:r>
            <w:r w:rsidRPr="00A66749">
              <w:rPr>
                <w:rFonts w:cs="Arial"/>
                <w:b/>
                <w:bCs/>
                <w:color w:val="000000"/>
                <w:spacing w:val="-4"/>
                <w:szCs w:val="20"/>
              </w:rPr>
              <w:t xml:space="preserve">růstu </w:t>
            </w:r>
            <w:r w:rsidRPr="00A66749">
              <w:rPr>
                <w:rFonts w:cs="Arial"/>
                <w:b/>
                <w:bCs/>
                <w:spacing w:val="-4"/>
                <w:szCs w:val="20"/>
              </w:rPr>
              <w:t>celostátního</w:t>
            </w:r>
            <w:r w:rsidRPr="00A66749">
              <w:rPr>
                <w:rFonts w:cs="Arial"/>
                <w:b/>
                <w:bCs/>
                <w:spacing w:val="-4"/>
              </w:rPr>
              <w:t xml:space="preserve"> daňového inkasa* </w:t>
            </w:r>
            <w:r w:rsidRPr="00A66749">
              <w:rPr>
                <w:rFonts w:cs="Arial"/>
                <w:bCs/>
                <w:spacing w:val="-4"/>
              </w:rPr>
              <w:t>(</w:t>
            </w:r>
            <w:r w:rsidRPr="00A66749">
              <w:rPr>
                <w:spacing w:val="-4"/>
              </w:rPr>
              <w:t>meziročně</w:t>
            </w:r>
            <w:r w:rsidRPr="00A66749">
              <w:rPr>
                <w:bCs/>
                <w:spacing w:val="-4"/>
              </w:rPr>
              <w:t xml:space="preserve"> v p.</w:t>
            </w:r>
            <w:r>
              <w:rPr>
                <w:bCs/>
                <w:spacing w:val="-4"/>
              </w:rPr>
              <w:t> </w:t>
            </w:r>
            <w:r w:rsidRPr="00A66749">
              <w:rPr>
                <w:bCs/>
                <w:spacing w:val="-4"/>
              </w:rPr>
              <w:t xml:space="preserve">b.) </w:t>
            </w:r>
            <w:r w:rsidRPr="00A66749">
              <w:rPr>
                <w:rFonts w:cs="Arial"/>
                <w:b/>
                <w:bCs/>
                <w:spacing w:val="-4"/>
              </w:rPr>
              <w:t>a saldo státn</w:t>
            </w:r>
            <w:r>
              <w:rPr>
                <w:rFonts w:cs="Arial"/>
                <w:b/>
                <w:bCs/>
                <w:spacing w:val="-4"/>
              </w:rPr>
              <w:t>ího rozpočtu v rámci 1. </w:t>
            </w:r>
            <w:r w:rsidRPr="009E555E">
              <w:rPr>
                <w:rFonts w:cs="Arial"/>
                <w:b/>
                <w:bCs/>
                <w:spacing w:val="-2"/>
              </w:rPr>
              <w:t>až 3.</w:t>
            </w:r>
            <w:r>
              <w:rPr>
                <w:rFonts w:cs="Arial"/>
                <w:b/>
                <w:bCs/>
                <w:spacing w:val="-2"/>
              </w:rPr>
              <w:t> čtvrtlet</w:t>
            </w:r>
            <w:r w:rsidRPr="009E555E">
              <w:rPr>
                <w:rFonts w:cs="Arial"/>
                <w:b/>
                <w:bCs/>
                <w:spacing w:val="-2"/>
              </w:rPr>
              <w:t>í</w:t>
            </w:r>
            <w:r w:rsidRPr="00A66749">
              <w:rPr>
                <w:spacing w:val="-4"/>
              </w:rPr>
              <w:t xml:space="preserve"> </w:t>
            </w:r>
            <w:r w:rsidRPr="00A66749">
              <w:rPr>
                <w:rFonts w:cs="Arial"/>
                <w:bCs/>
                <w:spacing w:val="-4"/>
              </w:rPr>
              <w:t>(v mld. korun, pravá osa)</w:t>
            </w:r>
          </w:p>
        </w:tc>
      </w:tr>
      <w:tr w:rsidR="00F00535" w14:paraId="7543CE7B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1A98F8A2" w14:textId="77777777" w:rsidR="00F00535" w:rsidRDefault="00F00535" w:rsidP="00B86EB1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79871818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4EB4483B" w14:textId="77777777" w:rsidR="00F00535" w:rsidRPr="0067514E" w:rsidRDefault="00F00535" w:rsidP="00B86EB1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279A8BCC" wp14:editId="6EF1DDD5">
                  <wp:extent cx="4735195" cy="3403600"/>
                  <wp:effectExtent l="0" t="0" r="8255" b="6350"/>
                  <wp:docPr id="7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F00535" w:rsidRPr="007B3A78" w14:paraId="0168406F" w14:textId="77777777" w:rsidTr="00B86EB1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455536B9" w14:textId="77777777" w:rsidR="00F00535" w:rsidRDefault="00F00535" w:rsidP="00B86EB1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712142BA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409CC83" w14:textId="77777777" w:rsidR="00F00535" w:rsidRDefault="00F00535" w:rsidP="00B86EB1">
            <w:pPr>
              <w:tabs>
                <w:tab w:val="right" w:pos="7683"/>
              </w:tabs>
              <w:spacing w:after="0" w:line="240" w:lineRule="auto"/>
              <w:jc w:val="lef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* Zahrnuje d</w:t>
            </w:r>
            <w:r w:rsidRPr="00A66749">
              <w:rPr>
                <w:spacing w:val="-2"/>
                <w:sz w:val="14"/>
                <w:szCs w:val="14"/>
              </w:rPr>
              <w:t>aňové příjmy bez pojistného na sociální zabezpečení.</w:t>
            </w:r>
            <w:r>
              <w:rPr>
                <w:spacing w:val="-2"/>
                <w:sz w:val="14"/>
                <w:szCs w:val="14"/>
              </w:rPr>
              <w:tab/>
            </w:r>
          </w:p>
          <w:p w14:paraId="26F789A5" w14:textId="77777777" w:rsidR="00F00535" w:rsidRPr="00A66749" w:rsidRDefault="00F00535" w:rsidP="00B86EB1">
            <w:pPr>
              <w:tabs>
                <w:tab w:val="right" w:pos="7683"/>
              </w:tabs>
              <w:spacing w:after="180" w:line="240" w:lineRule="auto"/>
              <w:jc w:val="left"/>
              <w:rPr>
                <w:spacing w:val="-2"/>
                <w:sz w:val="14"/>
                <w:szCs w:val="14"/>
              </w:rPr>
            </w:pPr>
            <w:r w:rsidRPr="00A66749">
              <w:rPr>
                <w:spacing w:val="-2"/>
                <w:sz w:val="14"/>
                <w:szCs w:val="14"/>
              </w:rPr>
              <w:t>Zdroj: MF ČR</w:t>
            </w:r>
          </w:p>
        </w:tc>
      </w:tr>
      <w:tr w:rsidR="00F00535" w:rsidRPr="008266F0" w14:paraId="16C51335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77C8C5D" w14:textId="77777777" w:rsidR="00F00535" w:rsidRPr="00A87E3B" w:rsidRDefault="00F00535" w:rsidP="00B86EB1">
            <w:pPr>
              <w:pStyle w:val="Marginlie"/>
              <w:rPr>
                <w:spacing w:val="-5"/>
              </w:rPr>
            </w:pPr>
            <w:r w:rsidRPr="00A87E3B">
              <w:rPr>
                <w:spacing w:val="-5"/>
              </w:rPr>
              <w:t xml:space="preserve">Nižší potřeba podpůrných </w:t>
            </w:r>
            <w:r w:rsidRPr="00A87E3B">
              <w:rPr>
                <w:spacing w:val="-4"/>
              </w:rPr>
              <w:t>programů a</w:t>
            </w:r>
            <w:r>
              <w:rPr>
                <w:spacing w:val="-4"/>
              </w:rPr>
              <w:t> </w:t>
            </w:r>
            <w:r w:rsidRPr="00A87E3B">
              <w:rPr>
                <w:spacing w:val="-4"/>
              </w:rPr>
              <w:t>opatření</w:t>
            </w:r>
            <w:r w:rsidRPr="00A87E3B">
              <w:rPr>
                <w:spacing w:val="-5"/>
              </w:rPr>
              <w:t xml:space="preserve"> </w:t>
            </w:r>
            <w:r>
              <w:t>díky</w:t>
            </w:r>
            <w:r w:rsidRPr="00A87E3B">
              <w:t xml:space="preserve"> </w:t>
            </w:r>
            <w:r>
              <w:t xml:space="preserve">zlepšené epidemické </w:t>
            </w:r>
            <w:r>
              <w:lastRenderedPageBreak/>
              <w:t>situaci</w:t>
            </w:r>
            <w:r w:rsidRPr="00A87E3B">
              <w:t xml:space="preserve"> se během léta odrazila v</w:t>
            </w:r>
            <w:r>
              <w:t> </w:t>
            </w:r>
            <w:r w:rsidRPr="00A87E3B">
              <w:t>citelném zvolnění růstu běžných výdajů</w:t>
            </w:r>
            <w:r>
              <w:t> </w:t>
            </w:r>
            <w:r w:rsidRPr="00A87E3B">
              <w:t>SR</w:t>
            </w:r>
            <w:r>
              <w:t>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0217B71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F89711C" w14:textId="77777777" w:rsidR="00F00535" w:rsidRDefault="00F00535" w:rsidP="00B86EB1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 xml:space="preserve">Jestliže v 1. pololetí 2021 posílily celkové výdaje SR meziročně o 9,3 %, ve 3. čtvrtletí toto tempo zvolnilo na 2,7 %. To souviselo s výrazným rozvolněním </w:t>
            </w:r>
            <w:proofErr w:type="spellStart"/>
            <w:r>
              <w:rPr>
                <w:spacing w:val="-2"/>
              </w:rPr>
              <w:t>protipandemických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lastRenderedPageBreak/>
              <w:t>opatření. Ze širokého spektra podpůrných programů a opatření</w:t>
            </w:r>
            <w:r w:rsidRPr="00456B08">
              <w:rPr>
                <w:rStyle w:val="Znakapoznpodarou"/>
                <w:spacing w:val="-5"/>
              </w:rPr>
              <w:footnoteReference w:id="77"/>
            </w:r>
            <w:r>
              <w:rPr>
                <w:spacing w:val="-2"/>
              </w:rPr>
              <w:t xml:space="preserve"> tak byly některé z nich na počátku léta fakticky pozastaveny, případně výrazně utlumeny (např. ošetřovné či program Antivirus). I tak narostly veškeré běžné výdaje SR v 1. až 3. čtvrtletí ve srovnání se shodným obdobím roku 2019 o 26 % (+267 mld. korun), z toho ve 3. čtvrtletí o 21 %.</w:t>
            </w:r>
          </w:p>
        </w:tc>
      </w:tr>
      <w:tr w:rsidR="00F00535" w:rsidRPr="008266F0" w14:paraId="2AD693F3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17E93C0" w14:textId="77777777" w:rsidR="00F00535" w:rsidRPr="00A87E3B" w:rsidRDefault="00F00535" w:rsidP="00B86EB1">
            <w:pPr>
              <w:pStyle w:val="Marginlie"/>
              <w:rPr>
                <w:spacing w:val="-3"/>
              </w:rPr>
            </w:pPr>
            <w:r w:rsidRPr="00A87E3B">
              <w:rPr>
                <w:spacing w:val="-3"/>
              </w:rPr>
              <w:lastRenderedPageBreak/>
              <w:t>Nárůst běžných výdajů SR za tři čtvrtletí byl z více než poloviny tažen transfery podnikatelským subjektům a</w:t>
            </w:r>
            <w:r>
              <w:rPr>
                <w:spacing w:val="-3"/>
              </w:rPr>
              <w:t> </w:t>
            </w:r>
            <w:r w:rsidRPr="00A87E3B">
              <w:rPr>
                <w:spacing w:val="-3"/>
              </w:rPr>
              <w:t>platbami za státní pojištěnce</w:t>
            </w:r>
            <w:r>
              <w:rPr>
                <w:spacing w:val="-3"/>
              </w:rPr>
              <w:t>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FF6E8C5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E4C9401" w14:textId="77777777" w:rsidR="00F00535" w:rsidRDefault="00F00535" w:rsidP="00B86EB1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 xml:space="preserve">K meziročnímu posílení běžných výdajů (za tři čtvrtletí o 101 mld. korun) přispěly letos ze třetiny </w:t>
            </w:r>
            <w:r w:rsidRPr="00456B08">
              <w:rPr>
                <w:color w:val="0D0D0D" w:themeColor="text1" w:themeTint="F2"/>
                <w:spacing w:val="-5"/>
              </w:rPr>
              <w:t>neinvestiční trans</w:t>
            </w:r>
            <w:r>
              <w:rPr>
                <w:color w:val="0D0D0D" w:themeColor="text1" w:themeTint="F2"/>
                <w:spacing w:val="-5"/>
              </w:rPr>
              <w:t>fery podnikatelským subjektům (růst o 45 %)</w:t>
            </w:r>
            <w:r>
              <w:rPr>
                <w:spacing w:val="-5"/>
              </w:rPr>
              <w:t xml:space="preserve"> soustřeďující rozhodující část </w:t>
            </w:r>
            <w:r w:rsidRPr="00456B08">
              <w:rPr>
                <w:spacing w:val="-5"/>
              </w:rPr>
              <w:t>podpůrných opatření (program Antivirus, podpora firem v nejvíce</w:t>
            </w:r>
            <w:r>
              <w:rPr>
                <w:spacing w:val="-5"/>
              </w:rPr>
              <w:t xml:space="preserve"> zasažených odvětvích, ošetřovné pro OSVČ). Čtvrtinou pak přispěly k růstu vyšší platby za státní pojištěnce (+37 %). Vyšší běžné transfery územním rozpočtům (+7 %, +13 mld.) souvisely s pokračujícím růstem platů v regionálním školství</w:t>
            </w:r>
            <w:r>
              <w:rPr>
                <w:rStyle w:val="Znakapoznpodarou"/>
                <w:spacing w:val="-5"/>
              </w:rPr>
              <w:footnoteReference w:id="78"/>
            </w:r>
            <w:r>
              <w:rPr>
                <w:spacing w:val="-5"/>
              </w:rPr>
              <w:t>, s navýšením prostředků na sociální služby a z menší části také s mimořádnými odměnami zaměstnancům v lůžkové péči. Tyto odměny se promítly i do transferů příspěvkovým organizacím. Ty však celkově vzrostly jen o 0,4 %, neboť loňské výdaje na oddlužení části nemocnic se letos neopakovaly. S pandemií souvisely i výdaje na neinvestiční nákupy</w:t>
            </w:r>
            <w:r>
              <w:rPr>
                <w:rStyle w:val="Znakapoznpodarou"/>
                <w:spacing w:val="-5"/>
              </w:rPr>
              <w:footnoteReference w:id="79"/>
            </w:r>
            <w:r>
              <w:rPr>
                <w:spacing w:val="-5"/>
              </w:rPr>
              <w:t>. Ty oproti rekordní loňské výši (51 mld. korun) letos klesly jen mírně (o 1,4 %), neboť nižší potřeba ochranných pomůcek a zdravotnického materiálu byla z velké části nahrazena vyššími výdaji za nákupy vakcín.</w:t>
            </w:r>
          </w:p>
        </w:tc>
      </w:tr>
      <w:tr w:rsidR="00F00535" w:rsidRPr="008266F0" w14:paraId="567D9F84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04F6A3DA" w14:textId="77777777" w:rsidR="00F00535" w:rsidRDefault="00F00535" w:rsidP="00B86EB1">
            <w:pPr>
              <w:pStyle w:val="Marginlie"/>
            </w:pPr>
            <w:r>
              <w:t>Za meziroční růst výdajů na sociální dávky zodpovídaly téměř výhradně výplaty důchodů.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4F89C1E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089EE09" w14:textId="77777777" w:rsidR="00F00535" w:rsidRPr="004725AE" w:rsidRDefault="00F00535" w:rsidP="00B86EB1">
            <w:pPr>
              <w:spacing w:after="200"/>
              <w:rPr>
                <w:color w:val="0D0D0D" w:themeColor="text1" w:themeTint="F2"/>
                <w:spacing w:val="-5"/>
              </w:rPr>
            </w:pPr>
            <w:r>
              <w:rPr>
                <w:spacing w:val="-3"/>
              </w:rPr>
              <w:t>Prostředky na sociální dávky, které dlouhodobě představují</w:t>
            </w:r>
            <w:r w:rsidRPr="008E078C">
              <w:rPr>
                <w:spacing w:val="-3"/>
              </w:rPr>
              <w:t xml:space="preserve"> váhově dominantní výdaj SR</w:t>
            </w:r>
            <w:r w:rsidRPr="008E078C">
              <w:rPr>
                <w:rStyle w:val="Znakapoznpodarou"/>
                <w:spacing w:val="-3"/>
              </w:rPr>
              <w:footnoteReference w:id="80"/>
            </w:r>
            <w:r w:rsidRPr="008E078C">
              <w:rPr>
                <w:spacing w:val="-3"/>
              </w:rPr>
              <w:t xml:space="preserve">, </w:t>
            </w:r>
            <w:r>
              <w:rPr>
                <w:spacing w:val="-3"/>
              </w:rPr>
              <w:t>vzrostly v 1. až 3. čtvrtletí 2021 meziročně o 3,1 % (o rok dříve eskalovaly na 12,6</w:t>
            </w:r>
            <w:r>
              <w:rPr>
                <w:spacing w:val="-5"/>
              </w:rPr>
              <w:t> </w:t>
            </w:r>
            <w:r>
              <w:rPr>
                <w:spacing w:val="-3"/>
              </w:rPr>
              <w:t>%</w:t>
            </w:r>
            <w:r>
              <w:rPr>
                <w:rStyle w:val="Znakapoznpodarou"/>
                <w:spacing w:val="-3"/>
              </w:rPr>
              <w:footnoteReference w:id="81"/>
            </w:r>
            <w:r>
              <w:rPr>
                <w:spacing w:val="-3"/>
              </w:rPr>
              <w:t xml:space="preserve">). Na rozdíl od roku 2020 táhly letošní růst takřka výhradně vyšší výdaje na důchody (+5,5 %). Projevila se v nich pravidelná lednová valorizace, v opačném směru působil pokles počtu příjemců důchodů (o 0,8 %). </w:t>
            </w:r>
            <w:r w:rsidRPr="00AC6ABB">
              <w:rPr>
                <w:spacing w:val="-5"/>
              </w:rPr>
              <w:t>P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>říjmy důchodového pojištění se oproti slabší loňské základně</w:t>
            </w:r>
            <w:r w:rsidRPr="00AC6ABB">
              <w:rPr>
                <w:rStyle w:val="Znakapoznpodarou"/>
                <w:color w:val="0D0D0D" w:themeColor="text1" w:themeTint="F2"/>
                <w:spacing w:val="-5"/>
              </w:rPr>
              <w:footnoteReference w:id="82"/>
            </w:r>
            <w:r>
              <w:rPr>
                <w:rFonts w:cs="Arial"/>
                <w:color w:val="0D0D0D" w:themeColor="text1" w:themeTint="F2"/>
                <w:spacing w:val="-5"/>
              </w:rPr>
              <w:t xml:space="preserve"> navýšily o 11,7 %. S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>aldo důchodového účtu</w:t>
            </w:r>
            <w:r w:rsidRPr="00AC6ABB">
              <w:rPr>
                <w:rStyle w:val="Znakapoznpodarou"/>
                <w:color w:val="0D0D0D" w:themeColor="text1" w:themeTint="F2"/>
                <w:spacing w:val="-5"/>
              </w:rPr>
              <w:footnoteReference w:id="83"/>
            </w:r>
            <w:r>
              <w:rPr>
                <w:rFonts w:cs="Arial"/>
                <w:color w:val="0D0D0D" w:themeColor="text1" w:themeTint="F2"/>
                <w:spacing w:val="-5"/>
              </w:rPr>
              <w:t xml:space="preserve"> se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5"/>
              </w:rPr>
              <w:t>za tři čtvrtletí meziročně vylepšilo o více než 20 mld. korun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>. Ve 2.</w:t>
            </w:r>
            <w:r>
              <w:rPr>
                <w:rFonts w:cs="Arial"/>
                <w:color w:val="0D0D0D" w:themeColor="text1" w:themeTint="F2"/>
                <w:spacing w:val="-5"/>
              </w:rPr>
              <w:t xml:space="preserve"> i 3. čtvrtletí 2021 se 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>dí</w:t>
            </w:r>
            <w:r>
              <w:rPr>
                <w:rFonts w:cs="Arial"/>
                <w:color w:val="0D0D0D" w:themeColor="text1" w:themeTint="F2"/>
                <w:spacing w:val="-5"/>
              </w:rPr>
              <w:t>ky oživení ekonomické aktivity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5"/>
              </w:rPr>
              <w:t>dokonce tento účet vrátil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 xml:space="preserve"> do mírného přebytku (</w:t>
            </w:r>
            <w:r>
              <w:rPr>
                <w:rFonts w:cs="Arial"/>
                <w:color w:val="0D0D0D" w:themeColor="text1" w:themeTint="F2"/>
                <w:spacing w:val="-5"/>
              </w:rPr>
              <w:t>v úhrnu +4 mld.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 xml:space="preserve">), </w:t>
            </w:r>
            <w:r>
              <w:rPr>
                <w:rFonts w:cs="Arial"/>
                <w:color w:val="0D0D0D" w:themeColor="text1" w:themeTint="F2"/>
                <w:spacing w:val="-5"/>
              </w:rPr>
              <w:t xml:space="preserve">a to </w:t>
            </w:r>
            <w:r w:rsidRPr="00AC6ABB">
              <w:rPr>
                <w:rFonts w:cs="Arial"/>
                <w:color w:val="0D0D0D" w:themeColor="text1" w:themeTint="F2"/>
                <w:spacing w:val="-5"/>
              </w:rPr>
              <w:t>poprvé od konce roku 2019.</w:t>
            </w:r>
          </w:p>
        </w:tc>
      </w:tr>
      <w:tr w:rsidR="00F00535" w:rsidRPr="008266F0" w14:paraId="5A0AD8E9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C5D7966" w14:textId="77777777" w:rsidR="00F00535" w:rsidRDefault="00F00535" w:rsidP="00B86EB1">
            <w:pPr>
              <w:pStyle w:val="Marginlie"/>
            </w:pPr>
            <w:r>
              <w:t>Jarní oživení ekonomické aktivity snížilo potřebu čerpání krizového ošetřovného, nižší byly i výdaje na nezaměstnané a též na většinu dávek státní sociální podpory.</w:t>
            </w:r>
          </w:p>
          <w:p w14:paraId="19070DDB" w14:textId="77777777" w:rsidR="00F00535" w:rsidRDefault="00F00535" w:rsidP="00B86EB1">
            <w:pPr>
              <w:pStyle w:val="Marginlie"/>
            </w:pPr>
          </w:p>
          <w:p w14:paraId="3EAB4F31" w14:textId="77777777" w:rsidR="00F00535" w:rsidRDefault="00F00535" w:rsidP="00B86EB1">
            <w:pPr>
              <w:pStyle w:val="Marginlie"/>
            </w:pPr>
          </w:p>
          <w:p w14:paraId="4D09F353" w14:textId="77777777" w:rsidR="00F00535" w:rsidRDefault="00F00535" w:rsidP="00B86EB1">
            <w:pPr>
              <w:pStyle w:val="Marginlie"/>
            </w:pPr>
          </w:p>
          <w:p w14:paraId="11C89FE8" w14:textId="77777777" w:rsidR="00F00535" w:rsidRDefault="00F00535" w:rsidP="00B86EB1">
            <w:pPr>
              <w:pStyle w:val="Marginlie"/>
            </w:pPr>
            <w:r>
              <w:t>Růst výdajů na dávky hmotné nouze ale pokračoval.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8AB3835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B983A8C" w14:textId="77777777" w:rsidR="00F00535" w:rsidRPr="00C53C31" w:rsidRDefault="00F00535" w:rsidP="00B86EB1">
            <w:pPr>
              <w:spacing w:after="0"/>
              <w:rPr>
                <w:spacing w:val="-3"/>
              </w:rPr>
            </w:pPr>
            <w:r>
              <w:rPr>
                <w:color w:val="0D0D0D" w:themeColor="text1" w:themeTint="F2"/>
                <w:spacing w:val="-5"/>
              </w:rPr>
              <w:t xml:space="preserve">Na nedůchodové sociální dávky směřovalo </w:t>
            </w:r>
            <w:r>
              <w:rPr>
                <w:spacing w:val="-3"/>
              </w:rPr>
              <w:t>v 1. až 3. čtvrtletí meziročně o 4,1 % méně (ve dvouletém srovnání ovšem výdaje o více než čtvrtinu stouply). Projevilo se zejména nižší čerpání ošetřovného, které ve srovnání s rekordní loňskou úrovní o více než polovinu propadlo. Objemově významnější nemocenské dávky ale i letos dále pokračovaly v růstu (4,3</w:t>
            </w:r>
            <w:r>
              <w:rPr>
                <w:rFonts w:cs="Arial"/>
                <w:color w:val="0D0D0D" w:themeColor="text1" w:themeTint="F2"/>
                <w:spacing w:val="-5"/>
              </w:rPr>
              <w:t> </w:t>
            </w:r>
            <w:r>
              <w:rPr>
                <w:spacing w:val="-3"/>
              </w:rPr>
              <w:t xml:space="preserve">%). V srpnu i září 2021 se čerpání všech dávek nemocenského pojištění dočasně vrátilo k normálu. Růst objemu dávek státní sociální podpory se po loňském skokovém navýšení </w:t>
            </w:r>
            <w:proofErr w:type="gramStart"/>
            <w:r>
              <w:rPr>
                <w:spacing w:val="-3"/>
              </w:rPr>
              <w:t>zastavil (</w:t>
            </w:r>
            <w:r>
              <w:rPr>
                <w:spacing w:val="-4"/>
              </w:rPr>
              <w:t>–</w:t>
            </w:r>
            <w:r>
              <w:rPr>
                <w:spacing w:val="-3"/>
              </w:rPr>
              <w:t>5,4</w:t>
            </w:r>
            <w:proofErr w:type="gramEnd"/>
            <w:r>
              <w:rPr>
                <w:spacing w:val="-3"/>
              </w:rPr>
              <w:t> %), neboť klesly klíčové výdaje na rodičovské příspěvky při současném vyšším čerpání přídavku na dítě (vlivem legislativní úpravy od 1. 7. 2021)</w:t>
            </w:r>
            <w:r>
              <w:rPr>
                <w:rStyle w:val="Znakapoznpodarou"/>
                <w:spacing w:val="-3"/>
              </w:rPr>
              <w:footnoteReference w:id="84"/>
            </w:r>
            <w:r>
              <w:rPr>
                <w:spacing w:val="-3"/>
              </w:rPr>
              <w:t xml:space="preserve">. Zlepšení </w:t>
            </w:r>
            <w:r w:rsidRPr="008E078C">
              <w:rPr>
                <w:spacing w:val="-3"/>
              </w:rPr>
              <w:t>situace na trhu práce ve vaz</w:t>
            </w:r>
            <w:r>
              <w:rPr>
                <w:spacing w:val="-3"/>
              </w:rPr>
              <w:t xml:space="preserve">bě na ústup pandemie vyústilo do nižšího objemu </w:t>
            </w:r>
            <w:r w:rsidRPr="008E078C">
              <w:rPr>
                <w:spacing w:val="-3"/>
              </w:rPr>
              <w:t>vypla</w:t>
            </w:r>
            <w:r>
              <w:rPr>
                <w:spacing w:val="-3"/>
              </w:rPr>
              <w:t xml:space="preserve">cených podpor v nezaměstnanosti (o 2,8 %). </w:t>
            </w:r>
            <w:r w:rsidRPr="008E078C">
              <w:rPr>
                <w:spacing w:val="-3"/>
              </w:rPr>
              <w:t>Zhoršenou příjmovou situaci někt</w:t>
            </w:r>
            <w:r>
              <w:rPr>
                <w:spacing w:val="-3"/>
              </w:rPr>
              <w:t>erých domácností ale naznačuje</w:t>
            </w:r>
            <w:r w:rsidRPr="008E078C">
              <w:rPr>
                <w:spacing w:val="-3"/>
              </w:rPr>
              <w:t xml:space="preserve"> vyšší čerpání dávek hmotné</w:t>
            </w:r>
            <w:r>
              <w:rPr>
                <w:spacing w:val="-3"/>
              </w:rPr>
              <w:t xml:space="preserve"> nouze, patrné již šestý</w:t>
            </w:r>
            <w:r w:rsidRPr="008E078C">
              <w:rPr>
                <w:spacing w:val="-3"/>
              </w:rPr>
              <w:t xml:space="preserve"> kvartál v řadě. </w:t>
            </w:r>
            <w:r>
              <w:rPr>
                <w:spacing w:val="-3"/>
              </w:rPr>
              <w:t>Za tři letošní čtvrtletí na ně putovalo meziročně o 14,6 % více, k růstu zčásti přispěla i mimořádná pomoc osobám poškozeným živelní událostí (červnovým tornádem).</w:t>
            </w:r>
          </w:p>
        </w:tc>
      </w:tr>
      <w:tr w:rsidR="00F00535" w:rsidRPr="008266F0" w14:paraId="3A54BFE3" w14:textId="77777777" w:rsidTr="00B86EB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6D304A7E" w14:textId="77777777" w:rsidR="00F00535" w:rsidRDefault="00F00535" w:rsidP="00B86EB1">
            <w:pPr>
              <w:pStyle w:val="Marginlie"/>
            </w:pPr>
            <w:r>
              <w:lastRenderedPageBreak/>
              <w:t>Investiční výdaje meziročně klesly a za rozpočtovým očekáváním zatím citelně zaostávaly.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70A6BA88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74EEFDD" w14:textId="77777777" w:rsidR="00F00535" w:rsidRPr="008E078C" w:rsidRDefault="00F00535" w:rsidP="00B86EB1">
            <w:pPr>
              <w:spacing w:after="210"/>
              <w:rPr>
                <w:spacing w:val="-3"/>
              </w:rPr>
            </w:pPr>
            <w:r w:rsidRPr="003060BC">
              <w:rPr>
                <w:color w:val="0D0D0D" w:themeColor="text1" w:themeTint="F2"/>
                <w:spacing w:val="-4"/>
              </w:rPr>
              <w:t xml:space="preserve">Kapitálové výdaje </w:t>
            </w:r>
            <w:r>
              <w:rPr>
                <w:color w:val="0D0D0D" w:themeColor="text1" w:themeTint="F2"/>
                <w:spacing w:val="-4"/>
              </w:rPr>
              <w:t>SR dosáhly téměř 10</w:t>
            </w:r>
            <w:r w:rsidRPr="003060BC">
              <w:rPr>
                <w:color w:val="0D0D0D" w:themeColor="text1" w:themeTint="F2"/>
                <w:spacing w:val="-4"/>
              </w:rPr>
              <w:t>0 mld. korun</w:t>
            </w:r>
            <w:r>
              <w:rPr>
                <w:color w:val="0D0D0D" w:themeColor="text1" w:themeTint="F2"/>
                <w:spacing w:val="-4"/>
              </w:rPr>
              <w:t xml:space="preserve">. </w:t>
            </w:r>
            <w:r>
              <w:rPr>
                <w:color w:val="0D0D0D" w:themeColor="text1" w:themeTint="F2"/>
                <w:spacing w:val="-5"/>
              </w:rPr>
              <w:t>Po třech letech silného meziročního růstu se letos snížily o 5,9 %. Schválený SR ovšem předpokládá pro celý letošní rok 7% růst. Za tři čtvrtletí tak čerpání investic dosáhlo jen 54 % celoroční rozpočtované částky</w:t>
            </w:r>
            <w:r>
              <w:rPr>
                <w:rStyle w:val="Znakapoznpodarou"/>
                <w:color w:val="0D0D0D" w:themeColor="text1" w:themeTint="F2"/>
                <w:spacing w:val="-5"/>
              </w:rPr>
              <w:footnoteReference w:id="85"/>
            </w:r>
            <w:r>
              <w:rPr>
                <w:color w:val="0D0D0D" w:themeColor="text1" w:themeTint="F2"/>
                <w:spacing w:val="-5"/>
              </w:rPr>
              <w:t xml:space="preserve">, tedy zhruba o 10 p. b. </w:t>
            </w:r>
            <w:proofErr w:type="gramStart"/>
            <w:r>
              <w:rPr>
                <w:color w:val="0D0D0D" w:themeColor="text1" w:themeTint="F2"/>
                <w:spacing w:val="-5"/>
              </w:rPr>
              <w:t>méně</w:t>
            </w:r>
            <w:proofErr w:type="gramEnd"/>
            <w:r>
              <w:rPr>
                <w:color w:val="0D0D0D" w:themeColor="text1" w:themeTint="F2"/>
                <w:spacing w:val="-5"/>
              </w:rPr>
              <w:t>, než bylo v předchozích letech na konci září obvyklé. Meziročně se mírně snížily výdaje jak na společné programy ČR a EU (o 2,4 mld. korun na 52,0 mld.), tak na čistě národní projekty. Veškeré investice se na souhrnných výdajích SR podílely 7,1 %.</w:t>
            </w:r>
          </w:p>
        </w:tc>
      </w:tr>
      <w:tr w:rsidR="00F00535" w:rsidRPr="00F704D2" w14:paraId="6F09D279" w14:textId="77777777" w:rsidTr="00B86EB1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60522FB2" w14:textId="77777777" w:rsidR="00F00535" w:rsidRDefault="00F00535" w:rsidP="00B86EB1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4BFC9D66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52F34D0" w14:textId="77777777" w:rsidR="00F00535" w:rsidRPr="009E555E" w:rsidRDefault="00F00535" w:rsidP="00B86EB1">
            <w:pPr>
              <w:spacing w:after="20" w:line="240" w:lineRule="auto"/>
              <w:jc w:val="left"/>
              <w:rPr>
                <w:rFonts w:cs="Arial"/>
                <w:bCs/>
                <w:spacing w:val="-2"/>
              </w:rPr>
            </w:pPr>
            <w:r w:rsidRPr="009E555E">
              <w:rPr>
                <w:b/>
                <w:spacing w:val="-2"/>
              </w:rPr>
              <w:t xml:space="preserve">Graf č. 17  </w:t>
            </w:r>
            <w:r w:rsidRPr="009E555E">
              <w:rPr>
                <w:rFonts w:cs="Arial"/>
                <w:b/>
                <w:bCs/>
                <w:spacing w:val="-2"/>
              </w:rPr>
              <w:t>Vybrané výdaje státního rozpočtu v rámci 1</w:t>
            </w:r>
            <w:r>
              <w:rPr>
                <w:rFonts w:cs="Arial"/>
                <w:b/>
                <w:bCs/>
                <w:spacing w:val="-2"/>
              </w:rPr>
              <w:t>. </w:t>
            </w:r>
            <w:r w:rsidRPr="009E555E">
              <w:rPr>
                <w:rFonts w:cs="Arial"/>
                <w:b/>
                <w:bCs/>
                <w:spacing w:val="-2"/>
              </w:rPr>
              <w:t>až 3.</w:t>
            </w:r>
            <w:r>
              <w:rPr>
                <w:rFonts w:cs="Arial"/>
                <w:b/>
                <w:bCs/>
                <w:spacing w:val="-2"/>
              </w:rPr>
              <w:t> čtvrtlet</w:t>
            </w:r>
            <w:r w:rsidRPr="009E555E">
              <w:rPr>
                <w:rFonts w:cs="Arial"/>
                <w:b/>
                <w:bCs/>
                <w:spacing w:val="-2"/>
              </w:rPr>
              <w:t>í</w:t>
            </w:r>
            <w:r w:rsidRPr="009E555E">
              <w:rPr>
                <w:rFonts w:cs="Arial"/>
                <w:spacing w:val="-2"/>
              </w:rPr>
              <w:t xml:space="preserve"> (v mld. korun)</w:t>
            </w:r>
          </w:p>
        </w:tc>
      </w:tr>
      <w:tr w:rsidR="00F00535" w14:paraId="6072DDE0" w14:textId="77777777" w:rsidTr="00B86EB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66DC4DA9" w14:textId="77777777" w:rsidR="00F00535" w:rsidRDefault="00F00535" w:rsidP="00B86EB1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2C9C4734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02646492" w14:textId="77777777" w:rsidR="00F00535" w:rsidRPr="0067514E" w:rsidRDefault="00F00535" w:rsidP="00B86EB1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4FD83495" wp14:editId="346609E0">
                  <wp:extent cx="4759876" cy="3401149"/>
                  <wp:effectExtent l="0" t="0" r="3175" b="8890"/>
                  <wp:docPr id="6" name="Graf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F00535" w:rsidRPr="00343AC1" w14:paraId="1DEAC47E" w14:textId="77777777" w:rsidTr="00B86EB1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31B6B3FE" w14:textId="77777777" w:rsidR="00F00535" w:rsidRDefault="00F00535" w:rsidP="00B86EB1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4923EB0B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1FCE1B0" w14:textId="77777777" w:rsidR="00F00535" w:rsidRPr="008F2BE2" w:rsidRDefault="00F00535" w:rsidP="00B86EB1">
            <w:pPr>
              <w:pStyle w:val="Textpoznpodarou"/>
              <w:rPr>
                <w:spacing w:val="-4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*Pokrývají výdaje na platy v organizačních složkách státu. Nezahrnují například mzdové výdaje na regionální školství.</w:t>
            </w:r>
          </w:p>
          <w:p w14:paraId="5D6AC480" w14:textId="77777777" w:rsidR="00F00535" w:rsidRDefault="00F00535" w:rsidP="00B86EB1">
            <w:pPr>
              <w:pStyle w:val="Textpoznpodarou"/>
              <w:tabs>
                <w:tab w:val="right" w:pos="7683"/>
              </w:tabs>
              <w:rPr>
                <w:spacing w:val="-6"/>
                <w:sz w:val="14"/>
                <w:szCs w:val="14"/>
              </w:rPr>
            </w:pPr>
            <w:r w:rsidRPr="008F2BE2">
              <w:rPr>
                <w:spacing w:val="-4"/>
                <w:sz w:val="14"/>
                <w:szCs w:val="14"/>
              </w:rPr>
              <w:t>**Zahrnuje i dávky pěstounské péče</w:t>
            </w:r>
            <w:r>
              <w:rPr>
                <w:spacing w:val="-4"/>
                <w:sz w:val="14"/>
                <w:szCs w:val="14"/>
              </w:rPr>
              <w:t xml:space="preserve"> a náhradní výživné</w:t>
            </w:r>
            <w:r w:rsidRPr="008F2BE2">
              <w:rPr>
                <w:spacing w:val="-4"/>
                <w:sz w:val="14"/>
                <w:szCs w:val="14"/>
              </w:rPr>
              <w:t>.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 w:rsidRPr="008F2BE2">
              <w:rPr>
                <w:spacing w:val="-4"/>
                <w:sz w:val="14"/>
                <w:szCs w:val="14"/>
              </w:rPr>
              <w:t>***Zahrnují dávky pomoci v hmotné nouzi, dávky osobám se zdravotním postižením, příspěvek na péči dle zákona o soc. službách.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 w:rsidRPr="008F2BE2">
              <w:rPr>
                <w:spacing w:val="-4"/>
                <w:sz w:val="14"/>
                <w:szCs w:val="14"/>
              </w:rPr>
              <w:t>****Obsahují zejména výdaje na nákup služeb, materiálu, energií či ostatních služeb (například výdaje na opravy a udržování).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 w:rsidRPr="0067514E">
              <w:rPr>
                <w:spacing w:val="-6"/>
                <w:sz w:val="14"/>
                <w:szCs w:val="14"/>
              </w:rPr>
              <w:t>*****Odpovídá saldu rozpočtové kapitoly Státní dluh.</w:t>
            </w:r>
          </w:p>
          <w:p w14:paraId="640138BE" w14:textId="77777777" w:rsidR="00F00535" w:rsidRPr="008F2BE2" w:rsidRDefault="00F00535" w:rsidP="00B86EB1">
            <w:pPr>
              <w:pStyle w:val="Textpoznpodarou"/>
              <w:tabs>
                <w:tab w:val="right" w:pos="7683"/>
              </w:tabs>
              <w:spacing w:after="200"/>
              <w:rPr>
                <w:spacing w:val="-4"/>
                <w:sz w:val="14"/>
                <w:szCs w:val="14"/>
              </w:rPr>
            </w:pPr>
            <w:r w:rsidRPr="0067514E">
              <w:rPr>
                <w:spacing w:val="-6"/>
                <w:sz w:val="14"/>
                <w:szCs w:val="14"/>
              </w:rPr>
              <w:t>Zdroj: MF ČR, MPSV</w:t>
            </w:r>
          </w:p>
        </w:tc>
      </w:tr>
      <w:tr w:rsidR="00F00535" w:rsidRPr="00343AC1" w14:paraId="54A87052" w14:textId="77777777" w:rsidTr="00B86EB1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280C5BA" w14:textId="77777777" w:rsidR="00F00535" w:rsidRDefault="00F00535" w:rsidP="00B86EB1">
            <w:pPr>
              <w:pStyle w:val="Marginlie"/>
            </w:pPr>
            <w:r>
              <w:t>Dynamický růst státního dluhu pokračoval. V úhrnu za 1. až 3. čtvrtletí ale vzrostl méně než ve stejném období vloni.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12E5400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9595F43" w14:textId="554912F1" w:rsidR="00F00535" w:rsidRPr="0039757C" w:rsidRDefault="00F00535" w:rsidP="00FC1070">
            <w:pPr>
              <w:rPr>
                <w:spacing w:val="-4"/>
              </w:rPr>
            </w:pPr>
            <w:r w:rsidRPr="00794328">
              <w:rPr>
                <w:color w:val="0D0D0D" w:themeColor="text1" w:themeTint="F2"/>
                <w:spacing w:val="-4"/>
              </w:rPr>
              <w:t>Silně rostoucí</w:t>
            </w:r>
            <w:r>
              <w:rPr>
                <w:color w:val="0D0D0D" w:themeColor="text1" w:themeTint="F2"/>
                <w:spacing w:val="-4"/>
              </w:rPr>
              <w:t xml:space="preserve"> potřeba financování vázaná na </w:t>
            </w:r>
            <w:r w:rsidRPr="00794328">
              <w:rPr>
                <w:color w:val="0D0D0D" w:themeColor="text1" w:themeTint="F2"/>
                <w:spacing w:val="-4"/>
              </w:rPr>
              <w:t>nutnos</w:t>
            </w:r>
            <w:r>
              <w:rPr>
                <w:color w:val="0D0D0D" w:themeColor="text1" w:themeTint="F2"/>
                <w:spacing w:val="-4"/>
              </w:rPr>
              <w:t xml:space="preserve">t pokrytí krizového schodku SR vyústila během pandemického období v akceleraci </w:t>
            </w:r>
            <w:r w:rsidRPr="00794328">
              <w:rPr>
                <w:color w:val="0D0D0D" w:themeColor="text1" w:themeTint="F2"/>
                <w:spacing w:val="-4"/>
              </w:rPr>
              <w:t>státního dluhu</w:t>
            </w:r>
            <w:r>
              <w:rPr>
                <w:color w:val="0D0D0D" w:themeColor="text1" w:themeTint="F2"/>
                <w:spacing w:val="-4"/>
              </w:rPr>
              <w:t>. Ten činil letos na</w:t>
            </w:r>
            <w:r>
              <w:rPr>
                <w:spacing w:val="-4"/>
              </w:rPr>
              <w:t xml:space="preserve"> konci září 2 334 mld. korun a od počátku roku vystoupal o 284 mld., což ovšem bylo o třetinu méně než za shodné období vloni. Výpůjční operace oblasti státních dluhopisů</w:t>
            </w:r>
            <w:r>
              <w:rPr>
                <w:rStyle w:val="Znakapoznpodarou"/>
                <w:spacing w:val="-4"/>
              </w:rPr>
              <w:footnoteReference w:id="86"/>
            </w:r>
            <w:r>
              <w:rPr>
                <w:spacing w:val="-4"/>
              </w:rPr>
              <w:t xml:space="preserve"> byly tradičně soustředěny do prvních měsíců roku a umožnily tak plně pokrýt letos plánované splátky dluhu. Ve 2. i 3. čtvrtletí se stát orientoval již převážně na krátkodobé dluhové nástroje, jež pomohly předfinancovat významnou část očekávaného letošního schodku SR. Během 2. čtvrtletí celková výše dluhu stagnovala a za 3. kvartál se snížila o 82 mld. korun.. Korunová hodnota vnějšího dluhu se letos od ledna do září mírně snížila (o 2,5 %), takřka výhradně vlivem posílení české koruny k euru.</w:t>
            </w:r>
            <w:r w:rsidR="00FC1070">
              <w:rPr>
                <w:spacing w:val="-4"/>
              </w:rPr>
              <w:t xml:space="preserve"> Vnější dluh </w:t>
            </w:r>
            <w:proofErr w:type="gramStart"/>
            <w:r w:rsidR="00FC1070">
              <w:rPr>
                <w:spacing w:val="-4"/>
              </w:rPr>
              <w:t>se</w:t>
            </w:r>
            <w:proofErr w:type="gramEnd"/>
            <w:r w:rsidR="00FC1070">
              <w:rPr>
                <w:spacing w:val="-4"/>
              </w:rPr>
              <w:t xml:space="preserve"> na celkové zadluženosti podíl pouze 7 %.</w:t>
            </w:r>
          </w:p>
        </w:tc>
      </w:tr>
      <w:tr w:rsidR="00F00535" w:rsidRPr="00343AC1" w14:paraId="74BAB044" w14:textId="77777777" w:rsidTr="00B86EB1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CE9D19B" w14:textId="77777777" w:rsidR="00F00535" w:rsidRDefault="00F00535" w:rsidP="00B86EB1">
            <w:pPr>
              <w:pStyle w:val="Marginlie"/>
            </w:pPr>
            <w:r>
              <w:t>Výdaje na obsluhu státního dluhu posílily.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111AFCA8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35B683C" w14:textId="77777777" w:rsidR="00F00535" w:rsidRPr="003B388E" w:rsidRDefault="00F00535" w:rsidP="00B86EB1">
            <w:pPr>
              <w:spacing w:after="0"/>
              <w:rPr>
                <w:spacing w:val="-4"/>
              </w:rPr>
            </w:pPr>
            <w:r>
              <w:rPr>
                <w:spacing w:val="-4"/>
              </w:rPr>
              <w:t>Čisté výdaje na obsluhu státního dluhu</w:t>
            </w:r>
            <w:r>
              <w:rPr>
                <w:rStyle w:val="Znakapoznpodarou"/>
                <w:spacing w:val="-4"/>
              </w:rPr>
              <w:footnoteReference w:id="87"/>
            </w:r>
            <w:r>
              <w:rPr>
                <w:spacing w:val="-4"/>
              </w:rPr>
              <w:t xml:space="preserve"> dosáhly v 1. až 3. čtvrtletí 34,6 mld. korun, meziročně skoro o 7,6 % více. To souviselo s nárůstem </w:t>
            </w:r>
            <w:r w:rsidRPr="00603665">
              <w:rPr>
                <w:spacing w:val="-5"/>
              </w:rPr>
              <w:t>celkové zadluženosti i</w:t>
            </w:r>
            <w:r>
              <w:rPr>
                <w:spacing w:val="-5"/>
              </w:rPr>
              <w:t> s trendem zvyšujících se</w:t>
            </w:r>
            <w:r w:rsidRPr="00603665">
              <w:rPr>
                <w:spacing w:val="-5"/>
              </w:rPr>
              <w:t xml:space="preserve"> výn</w:t>
            </w:r>
            <w:r>
              <w:rPr>
                <w:spacing w:val="-5"/>
              </w:rPr>
              <w:t>osů tuzemských státních dluhopisů patrným</w:t>
            </w:r>
            <w:r w:rsidRPr="00603665">
              <w:rPr>
                <w:spacing w:val="-5"/>
              </w:rPr>
              <w:t xml:space="preserve"> již na konci loňského roku.</w:t>
            </w:r>
          </w:p>
        </w:tc>
      </w:tr>
      <w:tr w:rsidR="00F00535" w:rsidRPr="00343AC1" w14:paraId="2EA14942" w14:textId="77777777" w:rsidTr="00B86EB1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3909252D" w14:textId="77777777" w:rsidR="00F00535" w:rsidRDefault="00F00535" w:rsidP="00B86EB1">
            <w:pPr>
              <w:pStyle w:val="Marginlie"/>
            </w:pPr>
            <w:r>
              <w:lastRenderedPageBreak/>
              <w:t>Schodek hospodaření sektoru vládních institucí (VI) v Česku se v 1. pololetí prohloubil na bezmála 200 mld. korun.</w:t>
            </w:r>
          </w:p>
          <w:p w14:paraId="2EE40E95" w14:textId="77777777" w:rsidR="00F00535" w:rsidRDefault="00F00535" w:rsidP="00B86EB1">
            <w:pPr>
              <w:pStyle w:val="Marginlie"/>
            </w:pPr>
          </w:p>
          <w:p w14:paraId="7E103ECB" w14:textId="77777777" w:rsidR="00F00535" w:rsidRDefault="00F00535" w:rsidP="00B86EB1">
            <w:pPr>
              <w:pStyle w:val="Marginlie"/>
            </w:pPr>
          </w:p>
          <w:p w14:paraId="5045FBB0" w14:textId="77777777" w:rsidR="00F00535" w:rsidRDefault="00F00535" w:rsidP="00B86EB1">
            <w:pPr>
              <w:pStyle w:val="Marginlie"/>
            </w:pPr>
          </w:p>
          <w:p w14:paraId="27D57837" w14:textId="77777777" w:rsidR="00F00535" w:rsidRDefault="00F00535" w:rsidP="00B86EB1">
            <w:pPr>
              <w:pStyle w:val="Marginlie"/>
            </w:pPr>
            <w:r>
              <w:t>Na vyšších příjmech VI se nejvíce podílely sociální příspěvky, na růstu výdajů pak sociální dávky včetně naturálních sociálních transferů.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43719153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76E0F198" w14:textId="77777777" w:rsidR="00F00535" w:rsidRDefault="00F00535" w:rsidP="00B86EB1">
            <w:pPr>
              <w:rPr>
                <w:spacing w:val="-4"/>
              </w:rPr>
            </w:pPr>
            <w:r w:rsidRPr="009D20C8">
              <w:rPr>
                <w:spacing w:val="-4"/>
              </w:rPr>
              <w:t>Sektor vládních institucí (VI) v ČR hospodařil v 1.</w:t>
            </w:r>
            <w:r>
              <w:rPr>
                <w:spacing w:val="-4"/>
              </w:rPr>
              <w:t> pololetí</w:t>
            </w:r>
            <w:r w:rsidRPr="009D20C8">
              <w:rPr>
                <w:spacing w:val="-4"/>
              </w:rPr>
              <w:t xml:space="preserve"> 2021</w:t>
            </w:r>
            <w:r w:rsidRPr="009D20C8">
              <w:rPr>
                <w:rStyle w:val="Znakapoznpodarou"/>
                <w:spacing w:val="-4"/>
              </w:rPr>
              <w:footnoteReference w:id="88"/>
            </w:r>
            <w:r>
              <w:rPr>
                <w:spacing w:val="-4"/>
              </w:rPr>
              <w:t xml:space="preserve"> se schodkem 199,7</w:t>
            </w:r>
            <w:r w:rsidRPr="009D20C8">
              <w:rPr>
                <w:spacing w:val="-4"/>
              </w:rPr>
              <w:t> mld. korun</w:t>
            </w:r>
            <w:r>
              <w:rPr>
                <w:spacing w:val="-4"/>
              </w:rPr>
              <w:t>, meziročně o 56,1 mld. hlubším. Růst celkových příjmů VI (6,0</w:t>
            </w:r>
            <w:r w:rsidRPr="009D20C8">
              <w:rPr>
                <w:spacing w:val="-4"/>
              </w:rPr>
              <w:t xml:space="preserve"> %) byl </w:t>
            </w:r>
            <w:r>
              <w:rPr>
                <w:spacing w:val="-4"/>
              </w:rPr>
              <w:t>zásadně ovlivněn p</w:t>
            </w:r>
            <w:r>
              <w:t xml:space="preserve">řijatými čistými sociálními příspěvky (+56,0 mld. korun), </w:t>
            </w:r>
            <w:r>
              <w:rPr>
                <w:spacing w:val="-4"/>
              </w:rPr>
              <w:t xml:space="preserve">neboť díky vládní stabilizační podpoře ekonomiky během pandemie nedošlo k významnějšímu poklesu zaměstnanosti. Meziročně mírně vzrostl příjem z daní z výroby a z dovozu, za úrovní z první půle roku 2019 ovšem stále lehce zaostával. Příjem z běžných daní z důchodů a jmění </w:t>
            </w:r>
            <w:r>
              <w:t xml:space="preserve">vlivem zrušení </w:t>
            </w:r>
            <w:proofErr w:type="spellStart"/>
            <w:r>
              <w:t>superhrubé</w:t>
            </w:r>
            <w:proofErr w:type="spellEnd"/>
            <w:r>
              <w:t xml:space="preserve"> mzdy meziročně klesl a zároveň dosáhl pětiletého minima. Meziroční </w:t>
            </w:r>
            <w:r>
              <w:rPr>
                <w:spacing w:val="-4"/>
              </w:rPr>
              <w:t>růst celkových výdajů VI byl letos za 1. pololetí navzdory svižnému tempu (9,7 %) mírnější než o rok dříve. Vlivem vysoké loňské základny zmírnil růst u sociálních dávek a</w:t>
            </w:r>
            <w:r w:rsidRPr="009D20C8">
              <w:rPr>
                <w:spacing w:val="-4"/>
              </w:rPr>
              <w:t> </w:t>
            </w:r>
            <w:r>
              <w:rPr>
                <w:spacing w:val="-4"/>
              </w:rPr>
              <w:t xml:space="preserve">naturálních sociálních transferů, přesto ale zůstal vysoký (9,0 %) a k posílení celkových výdajů přispěl nejvíce (+44,1 mld. korun). Významný byl i příspěvek vyplacených dotací (+36,9 mld., šlo hlavně o pomoc zasaženým podnikům během pandemie) a náhrad zaměstnancům (+33,9 mld., v nich se významně projevilo </w:t>
            </w:r>
            <w:r>
              <w:t>vyplacení odměn zdravotníkům a dalším složkám podílejícím se na řešení pandemie).</w:t>
            </w:r>
          </w:p>
        </w:tc>
      </w:tr>
      <w:tr w:rsidR="00F00535" w:rsidRPr="00343AC1" w14:paraId="2982B51D" w14:textId="77777777" w:rsidTr="00B86EB1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C843852" w14:textId="77777777" w:rsidR="00F00535" w:rsidRDefault="00F00535" w:rsidP="00B86EB1">
            <w:pPr>
              <w:pStyle w:val="Marginlie"/>
            </w:pPr>
            <w:r>
              <w:t xml:space="preserve">Schodek hospodaření VI se ve 2. čtvrtletí </w:t>
            </w:r>
            <w:proofErr w:type="spellStart"/>
            <w:r>
              <w:t>mezikvartálně</w:t>
            </w:r>
            <w:proofErr w:type="spellEnd"/>
            <w:r>
              <w:t xml:space="preserve"> snížil na 5,8 % HDP.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7771AFB3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F6E676D" w14:textId="77777777" w:rsidR="00F00535" w:rsidRDefault="00F00535" w:rsidP="00B86EB1">
            <w:pPr>
              <w:spacing w:after="200"/>
              <w:rPr>
                <w:spacing w:val="-4"/>
              </w:rPr>
            </w:pPr>
            <w:r w:rsidRPr="009D20C8">
              <w:rPr>
                <w:spacing w:val="-4"/>
              </w:rPr>
              <w:t>Sezónně očištěné saldo hospodaření</w:t>
            </w:r>
            <w:r>
              <w:rPr>
                <w:spacing w:val="-4"/>
              </w:rPr>
              <w:t> </w:t>
            </w:r>
            <w:r w:rsidRPr="009D20C8">
              <w:rPr>
                <w:spacing w:val="-4"/>
              </w:rPr>
              <w:t>VI činilo</w:t>
            </w:r>
            <w:r>
              <w:rPr>
                <w:spacing w:val="-4"/>
              </w:rPr>
              <w:t xml:space="preserve"> letos</w:t>
            </w:r>
            <w:r w:rsidRPr="009D20C8">
              <w:rPr>
                <w:spacing w:val="-4"/>
              </w:rPr>
              <w:t xml:space="preserve"> </w:t>
            </w:r>
            <w:r>
              <w:rPr>
                <w:spacing w:val="-4"/>
              </w:rPr>
              <w:t>ve 2. </w:t>
            </w:r>
            <w:proofErr w:type="gramStart"/>
            <w:r>
              <w:rPr>
                <w:spacing w:val="-4"/>
              </w:rPr>
              <w:t>čtvrtletí</w:t>
            </w:r>
            <w:proofErr w:type="gramEnd"/>
            <w:r>
              <w:rPr>
                <w:spacing w:val="-4"/>
              </w:rPr>
              <w:t xml:space="preserve"> </w:t>
            </w:r>
            <w:r w:rsidRPr="00E65CA0">
              <w:rPr>
                <w:spacing w:val="-4"/>
              </w:rPr>
              <w:t>–</w:t>
            </w:r>
            <w:proofErr w:type="gramStart"/>
            <w:r>
              <w:rPr>
                <w:spacing w:val="-4"/>
              </w:rPr>
              <w:t>5,8</w:t>
            </w:r>
            <w:proofErr w:type="gramEnd"/>
            <w:r>
              <w:rPr>
                <w:spacing w:val="-4"/>
              </w:rPr>
              <w:t> % HDP. To sice znamenalo oproti předchozímu kvartálu dílčí zlepšení (o 2,4 p. b.), ale ve srovnání s hlubokým schodkem z 2. loňského čtvrtletí (7,8 % HDP) nešlo zatím o zásadnější posun.</w:t>
            </w:r>
            <w:r w:rsidRPr="00E65CA0">
              <w:rPr>
                <w:spacing w:val="-4"/>
              </w:rPr>
              <w:t xml:space="preserve"> Nominální dluh</w:t>
            </w:r>
            <w:r>
              <w:rPr>
                <w:spacing w:val="-4"/>
              </w:rPr>
              <w:t> </w:t>
            </w:r>
            <w:r w:rsidRPr="00E65CA0">
              <w:rPr>
                <w:spacing w:val="-4"/>
              </w:rPr>
              <w:t xml:space="preserve">VI dosáhl letos na </w:t>
            </w:r>
            <w:r>
              <w:rPr>
                <w:spacing w:val="-4"/>
              </w:rPr>
              <w:t>konci 2. čtvrtletí</w:t>
            </w:r>
            <w:r w:rsidRPr="00E65CA0">
              <w:rPr>
                <w:spacing w:val="-4"/>
              </w:rPr>
              <w:t xml:space="preserve"> 2</w:t>
            </w:r>
            <w:r w:rsidRPr="009D20C8">
              <w:rPr>
                <w:spacing w:val="-4"/>
              </w:rPr>
              <w:t> </w:t>
            </w:r>
            <w:r>
              <w:rPr>
                <w:spacing w:val="-4"/>
              </w:rPr>
              <w:t>517,0 mld. korun,</w:t>
            </w:r>
            <w:r>
              <w:t xml:space="preserve"> meziročně o 252,2 mld. více. Jde sice o nejmírnější přírůstek za posledních pět kvartálů, ale stále mimořádně vysoký nárůst ve srovnání s předkrizovým obdobím. </w:t>
            </w:r>
            <w:r w:rsidRPr="00E65CA0">
              <w:rPr>
                <w:spacing w:val="-4"/>
              </w:rPr>
              <w:t>Míra zadlužení</w:t>
            </w:r>
            <w:r>
              <w:rPr>
                <w:spacing w:val="-4"/>
              </w:rPr>
              <w:t xml:space="preserve"> dosáhla 42,7 % HDP, o rok dříve činila 39,6 % HDP. Růst zadluženosti byl zčásti tlumen nominálním zvýšením HDP (</w:t>
            </w:r>
            <w:proofErr w:type="gramStart"/>
            <w:r>
              <w:rPr>
                <w:spacing w:val="-4"/>
              </w:rPr>
              <w:t>příspěvek</w:t>
            </w:r>
            <w:proofErr w:type="gramEnd"/>
            <w:r>
              <w:rPr>
                <w:spacing w:val="-4"/>
              </w:rPr>
              <w:t xml:space="preserve"> </w:t>
            </w:r>
            <w:r w:rsidRPr="00E65CA0">
              <w:rPr>
                <w:spacing w:val="-4"/>
              </w:rPr>
              <w:t>–</w:t>
            </w:r>
            <w:proofErr w:type="gramStart"/>
            <w:r>
              <w:rPr>
                <w:spacing w:val="-4"/>
              </w:rPr>
              <w:t>1,1</w:t>
            </w:r>
            <w:proofErr w:type="gramEnd"/>
            <w:r>
              <w:rPr>
                <w:spacing w:val="-4"/>
              </w:rPr>
              <w:t> p. b.).</w:t>
            </w:r>
          </w:p>
        </w:tc>
      </w:tr>
      <w:tr w:rsidR="00F00535" w:rsidRPr="00E65CA0" w14:paraId="4DC2F37F" w14:textId="77777777" w:rsidTr="00B86EB1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66ADE52" w14:textId="77777777" w:rsidR="00F00535" w:rsidRDefault="00F00535" w:rsidP="00B86EB1">
            <w:pPr>
              <w:pStyle w:val="Marginlie"/>
            </w:pPr>
            <w:r>
              <w:t>Schodek hospodaření VI v Unii se během 1. pololetí 2021 mírně snižoval.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1CDFBFE4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ED147F9" w14:textId="77777777" w:rsidR="00F00535" w:rsidRPr="00E65CA0" w:rsidRDefault="00F00535" w:rsidP="00B86EB1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Schodek hospodaření sektoru vládních institucí v zemích EU (po sezónním očištění) se během první poloviny letošního roku mírně snižoval. Ve 2. čtvrtletí čítal 6,3 % HDP, na podobné úrovni se pohyboval i v letech 2009 a 2010. Oproti rekordnímu deficitu z 2. čtvrtletí loňského roku (12,0 % HDP) šlo o znatelný posun, související s postupným oživováním ekonomické aktivity. Podle dostupných údajů</w:t>
            </w:r>
            <w:r>
              <w:rPr>
                <w:rStyle w:val="Znakapoznpodarou"/>
                <w:spacing w:val="-4"/>
              </w:rPr>
              <w:footnoteReference w:id="89"/>
            </w:r>
            <w:r>
              <w:rPr>
                <w:spacing w:val="-4"/>
              </w:rPr>
              <w:t xml:space="preserve"> vykázaly letos ve 2. čtvrtletí nejvyšší deficit Francie (9,6 %), Španělsko (7,3 %) a také Lotyšsko (7,0 %), které jako jediný stát Unie zaznamenalo prohloubení schodku v meziročním pohledu. Naopak s mírným přebytkem hospodařil vládní sektor jen v Dánsku (0,4 % HDP), kde však v předkrizových letech 2017 až 2019 vykazoval významné přebytky. Z větších ekonomik EU citelněji utlumily proti loňsku své deficity Polsko (na 1,3 % HDP) či Nizozemsko (2,7 %). Relativně malého posunu však docílilo Německo, jehož schodek hospodaření se navíc během první části letošního roku prohluboval (4. čtvrtletí 2020: 4,5 % HDP, 2. čtvrtletí 2021: 6,0 % HDP).</w:t>
            </w:r>
          </w:p>
        </w:tc>
      </w:tr>
      <w:tr w:rsidR="00F00535" w:rsidRPr="000D151F" w14:paraId="7A9E0F5F" w14:textId="77777777" w:rsidTr="00B86EB1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4B043962" w14:textId="77777777" w:rsidR="00F00535" w:rsidRDefault="00F00535" w:rsidP="00B86EB1">
            <w:pPr>
              <w:pStyle w:val="Marginlie"/>
            </w:pPr>
            <w:proofErr w:type="spellStart"/>
            <w:r>
              <w:t>Mezikvartální</w:t>
            </w:r>
            <w:proofErr w:type="spellEnd"/>
            <w:r>
              <w:t xml:space="preserve"> růst míry zadlužení VI v Unii se ve 2. čtvrtletí zastavil.</w:t>
            </w:r>
          </w:p>
          <w:p w14:paraId="7C1A542B" w14:textId="77777777" w:rsidR="00F00535" w:rsidRDefault="00F00535" w:rsidP="00B86EB1">
            <w:pPr>
              <w:pStyle w:val="Marginlie"/>
            </w:pPr>
          </w:p>
          <w:p w14:paraId="191BE139" w14:textId="77777777" w:rsidR="00F00535" w:rsidRDefault="00F00535" w:rsidP="00B86EB1">
            <w:pPr>
              <w:pStyle w:val="Marginlie"/>
            </w:pPr>
          </w:p>
          <w:p w14:paraId="5D9BF4E3" w14:textId="77777777" w:rsidR="00F00535" w:rsidRDefault="00F00535" w:rsidP="00B86EB1">
            <w:pPr>
              <w:pStyle w:val="Marginlie"/>
            </w:pPr>
          </w:p>
          <w:p w14:paraId="430E969C" w14:textId="77777777" w:rsidR="00F00535" w:rsidRDefault="00F00535" w:rsidP="00B86EB1">
            <w:pPr>
              <w:pStyle w:val="Marginlie"/>
            </w:pPr>
          </w:p>
          <w:p w14:paraId="21B4B8F6" w14:textId="77777777" w:rsidR="00F00535" w:rsidRDefault="00F00535" w:rsidP="00B86EB1">
            <w:pPr>
              <w:pStyle w:val="Marginlie"/>
            </w:pPr>
            <w:r>
              <w:t>Nejvýraznější nárůst zadlužení během pandemického období vykázaly státy s větší rolí cestovního ruchu.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D288A7D" w14:textId="77777777" w:rsidR="00F00535" w:rsidRDefault="00F00535" w:rsidP="00B86EB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7559E14" w14:textId="77777777" w:rsidR="00F00535" w:rsidRDefault="00F00535" w:rsidP="00B86EB1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Míra zadlužení VI v EU dosáhla letos na konci 2. čtvrtletí 90,9 % HDP a poprvé od sklonku roku 2019 se v </w:t>
            </w:r>
            <w:proofErr w:type="spellStart"/>
            <w:r>
              <w:rPr>
                <w:spacing w:val="-4"/>
              </w:rPr>
              <w:t>mezikvartálním</w:t>
            </w:r>
            <w:proofErr w:type="spellEnd"/>
            <w:r>
              <w:rPr>
                <w:spacing w:val="-4"/>
              </w:rPr>
              <w:t xml:space="preserve"> pohledu snížila (o 1,5 p. b.). Oproti konci roku 2019 se zadlužení zvýšilo ve všech státech Unie, nejvíce v zemích jižního křídla eurozóny, které s výjimkou Malty patřily v tomto ohledu k nejpostiženějším ještě před vzplanutím pandemie. Nejvyšší zadluženost v EU si stále drželo Řecko, kde došlo v tomto období k prohloubení dluhu ze 181 % na 207 % HDP. Ze středně zadlužených ekonomik zaznamenaly analogicky nejméně příznivý vývoj státy s významnou rolí cestovního ruchu v ekonomice (Rakousko, Slovinsko a Chorvatsko). V Česku se za poslední rok a půl míra zadlužení navýšila o 12,7 p. b., tedy srovnatelně jako na Slovensku, v Maďarsku či Polsku, ale o něco méně než v EU (13,7 p. b.). Jen minimální zhoršení naopak vykázalo Irsko (o 1,9 p. b.) a společně s dalšími dvanácti státy Unie drželo míru zadlužení pod 60 % HDP.</w:t>
            </w:r>
          </w:p>
        </w:tc>
      </w:tr>
    </w:tbl>
    <w:p w14:paraId="1CC0B2DD" w14:textId="77777777" w:rsidR="00F00535" w:rsidRPr="00E42054" w:rsidRDefault="00F00535" w:rsidP="00F00535">
      <w:pPr>
        <w:pStyle w:val="Nadpis11"/>
        <w:rPr>
          <w:b w:val="0"/>
          <w:sz w:val="2"/>
          <w:szCs w:val="2"/>
        </w:rPr>
      </w:pPr>
    </w:p>
    <w:p w14:paraId="39E9959F" w14:textId="7916E8DF" w:rsidR="000663F0" w:rsidRPr="00E42054" w:rsidRDefault="000663F0" w:rsidP="00AB3BA7">
      <w:pPr>
        <w:pStyle w:val="Nadpis11"/>
        <w:rPr>
          <w:b w:val="0"/>
          <w:sz w:val="2"/>
          <w:szCs w:val="2"/>
        </w:rPr>
      </w:pPr>
    </w:p>
    <w:sectPr w:rsidR="000663F0" w:rsidRPr="00E42054" w:rsidSect="00A03B10">
      <w:headerReference w:type="even" r:id="rId26"/>
      <w:headerReference w:type="default" r:id="rId27"/>
      <w:footerReference w:type="even" r:id="rId28"/>
      <w:footerReference w:type="default" r:id="rId29"/>
      <w:pgSz w:w="11906" w:h="16838" w:code="9"/>
      <w:pgMar w:top="1134" w:right="1134" w:bottom="1418" w:left="1134" w:header="680" w:footer="7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5233" w16cex:dateUtc="2021-12-12T09:49:00Z"/>
  <w16cex:commentExtensible w16cex:durableId="25605965" w16cex:dateUtc="2021-12-12T10:20:00Z"/>
  <w16cex:commentExtensible w16cex:durableId="256059E5" w16cex:dateUtc="2021-12-12T10:22:00Z"/>
  <w16cex:commentExtensible w16cex:durableId="255E05D5" w16cex:dateUtc="2021-12-10T15:59:00Z"/>
  <w16cex:commentExtensible w16cex:durableId="2560964B" w16cex:dateUtc="2021-12-12T14:39:00Z"/>
  <w16cex:commentExtensible w16cex:durableId="255E068F" w16cex:dateUtc="2021-12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02D9A" w16cid:durableId="25605233"/>
  <w16cid:commentId w16cid:paraId="47A2534C" w16cid:durableId="25605965"/>
  <w16cid:commentId w16cid:paraId="39626918" w16cid:durableId="256059E5"/>
  <w16cid:commentId w16cid:paraId="0F66996F" w16cid:durableId="255E05D5"/>
  <w16cid:commentId w16cid:paraId="6E18F763" w16cid:durableId="2560964B"/>
  <w16cid:commentId w16cid:paraId="3AE6BE9D" w16cid:durableId="255E0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A9BC" w14:textId="77777777" w:rsidR="009112E3" w:rsidRDefault="009112E3" w:rsidP="00E71A58">
      <w:r>
        <w:separator/>
      </w:r>
    </w:p>
  </w:endnote>
  <w:endnote w:type="continuationSeparator" w:id="0">
    <w:p w14:paraId="6D76B327" w14:textId="77777777" w:rsidR="009112E3" w:rsidRDefault="009112E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4D7A5AA1" w:rsidR="009112E3" w:rsidRPr="00932443" w:rsidRDefault="009112E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871A7">
      <w:rPr>
        <w:szCs w:val="16"/>
      </w:rPr>
      <w:t>22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7542B1F9" w:rsidR="009112E3" w:rsidRPr="00932443" w:rsidRDefault="009112E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871A7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0601" w14:textId="77777777" w:rsidR="009112E3" w:rsidRDefault="009112E3" w:rsidP="00A21B4D">
      <w:pPr>
        <w:spacing w:after="0"/>
      </w:pPr>
      <w:r>
        <w:separator/>
      </w:r>
    </w:p>
  </w:footnote>
  <w:footnote w:type="continuationSeparator" w:id="0">
    <w:p w14:paraId="5EDF8C8E" w14:textId="77777777" w:rsidR="009112E3" w:rsidRDefault="009112E3" w:rsidP="00E71A58">
      <w:r>
        <w:continuationSeparator/>
      </w:r>
    </w:p>
  </w:footnote>
  <w:footnote w:id="1">
    <w:p w14:paraId="7078FBE4" w14:textId="77777777" w:rsidR="009112E3" w:rsidRPr="00957140" w:rsidRDefault="009112E3" w:rsidP="005A7ABD">
      <w:pPr>
        <w:pStyle w:val="Textpoznpodarou"/>
        <w:rPr>
          <w:spacing w:val="-2"/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Data o HDP, hrubé přidané hodnotě a jejich složkách jsou vyjádřena ve stálých cenách a v očištění o sezónní a kalendářní vlivy.</w:t>
      </w:r>
    </w:p>
  </w:footnote>
  <w:footnote w:id="2">
    <w:p w14:paraId="6C644AAB" w14:textId="77777777" w:rsidR="009112E3" w:rsidRPr="00957140" w:rsidRDefault="009112E3" w:rsidP="005A7ABD">
      <w:pPr>
        <w:pStyle w:val="Textpoznpodarou"/>
        <w:rPr>
          <w:sz w:val="16"/>
          <w:szCs w:val="16"/>
        </w:rPr>
      </w:pPr>
      <w:r w:rsidRPr="00957140">
        <w:rPr>
          <w:rStyle w:val="Znakapoznpodarou"/>
          <w:sz w:val="16"/>
          <w:szCs w:val="16"/>
        </w:rPr>
        <w:footnoteRef/>
      </w:r>
      <w:r w:rsidRPr="00957140">
        <w:rPr>
          <w:sz w:val="16"/>
          <w:szCs w:val="16"/>
        </w:rPr>
        <w:t xml:space="preserve"> Podle metodiky čtvrtletních národních účtů (vývoz a dovoz v ocenění FOB/FOB).</w:t>
      </w:r>
    </w:p>
  </w:footnote>
  <w:footnote w:id="3">
    <w:p w14:paraId="5E91713D" w14:textId="77777777" w:rsidR="009112E3" w:rsidRPr="00957140" w:rsidRDefault="009112E3" w:rsidP="005A7ABD">
      <w:pPr>
        <w:pStyle w:val="Textpoznpodarou"/>
        <w:jc w:val="both"/>
        <w:rPr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  <w:footnote w:id="4">
    <w:p w14:paraId="7A5D793A" w14:textId="77777777" w:rsidR="009112E3" w:rsidRPr="000348AF" w:rsidRDefault="009112E3" w:rsidP="00FE431E">
      <w:pPr>
        <w:pStyle w:val="Textpoznpodarou"/>
        <w:rPr>
          <w:sz w:val="16"/>
          <w:szCs w:val="16"/>
        </w:rPr>
      </w:pPr>
      <w:r w:rsidRPr="000348AF">
        <w:rPr>
          <w:rStyle w:val="Znakapoznpodarou"/>
          <w:sz w:val="16"/>
          <w:szCs w:val="16"/>
        </w:rPr>
        <w:footnoteRef/>
      </w:r>
      <w:r w:rsidRPr="000348AF">
        <w:rPr>
          <w:sz w:val="16"/>
          <w:szCs w:val="16"/>
        </w:rPr>
        <w:t xml:space="preserve"> Vývoj HDP, hrubé přidané hodnoty a jejich složek je vyjádřen prostřednictvím objemových indexů (tj. očištěn o vliv cen) a po očištění o sezónní a kalendářní vlivy. Údaje jsou platné k </w:t>
      </w:r>
      <w:r>
        <w:rPr>
          <w:sz w:val="16"/>
          <w:szCs w:val="16"/>
        </w:rPr>
        <w:t>30</w:t>
      </w:r>
      <w:r w:rsidRPr="000348AF">
        <w:rPr>
          <w:sz w:val="16"/>
          <w:szCs w:val="16"/>
        </w:rPr>
        <w:t>. </w:t>
      </w:r>
      <w:r>
        <w:rPr>
          <w:sz w:val="16"/>
          <w:szCs w:val="16"/>
        </w:rPr>
        <w:t>11</w:t>
      </w:r>
      <w:r w:rsidRPr="000348AF">
        <w:rPr>
          <w:sz w:val="16"/>
          <w:szCs w:val="16"/>
        </w:rPr>
        <w:t>. 2021.</w:t>
      </w:r>
    </w:p>
  </w:footnote>
  <w:footnote w:id="5">
    <w:p w14:paraId="4AF125C7" w14:textId="77777777" w:rsidR="009112E3" w:rsidRPr="001E74E3" w:rsidRDefault="009112E3" w:rsidP="00FE5466">
      <w:pPr>
        <w:pStyle w:val="Textpoznpodarou"/>
        <w:rPr>
          <w:sz w:val="16"/>
          <w:szCs w:val="16"/>
        </w:rPr>
      </w:pPr>
      <w:r w:rsidRPr="001E74E3">
        <w:rPr>
          <w:rStyle w:val="Znakapoznpodarou"/>
          <w:sz w:val="16"/>
          <w:szCs w:val="16"/>
        </w:rPr>
        <w:footnoteRef/>
      </w:r>
      <w:r w:rsidRPr="001E74E3">
        <w:rPr>
          <w:sz w:val="16"/>
          <w:szCs w:val="16"/>
        </w:rPr>
        <w:t xml:space="preserve"> Data za Bulharsko, Irsko, a</w:t>
      </w:r>
      <w:r>
        <w:rPr>
          <w:sz w:val="16"/>
          <w:szCs w:val="16"/>
        </w:rPr>
        <w:t> </w:t>
      </w:r>
      <w:r w:rsidRPr="001E74E3">
        <w:rPr>
          <w:sz w:val="16"/>
          <w:szCs w:val="16"/>
        </w:rPr>
        <w:t>Řecko nebyla dostupná.</w:t>
      </w:r>
    </w:p>
  </w:footnote>
  <w:footnote w:id="6">
    <w:p w14:paraId="20431DE2" w14:textId="77777777" w:rsidR="009112E3" w:rsidRPr="001E74E3" w:rsidRDefault="009112E3" w:rsidP="00FE5466">
      <w:pPr>
        <w:pStyle w:val="Textpoznpodarou"/>
        <w:rPr>
          <w:sz w:val="16"/>
          <w:szCs w:val="16"/>
        </w:rPr>
      </w:pPr>
      <w:r w:rsidRPr="001E74E3">
        <w:rPr>
          <w:rStyle w:val="Znakapoznpodarou"/>
          <w:sz w:val="16"/>
          <w:szCs w:val="16"/>
        </w:rPr>
        <w:footnoteRef/>
      </w:r>
      <w:r w:rsidRPr="001E74E3">
        <w:rPr>
          <w:sz w:val="16"/>
          <w:szCs w:val="16"/>
        </w:rPr>
        <w:t xml:space="preserve"> Srovnání HDP v cenách roku 2015.</w:t>
      </w:r>
    </w:p>
  </w:footnote>
  <w:footnote w:id="7">
    <w:p w14:paraId="086185AB" w14:textId="77777777" w:rsidR="009112E3" w:rsidRDefault="009112E3" w:rsidP="00FE431E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> pojetí národních účtů</w:t>
      </w:r>
      <w:r>
        <w:rPr>
          <w:sz w:val="16"/>
          <w:szCs w:val="16"/>
        </w:rPr>
        <w:t xml:space="preserve"> (osoby)</w:t>
      </w:r>
      <w:r w:rsidRPr="009C6EA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údaj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8">
    <w:p w14:paraId="2051988A" w14:textId="77777777" w:rsidR="009112E3" w:rsidRPr="00771972" w:rsidRDefault="009112E3" w:rsidP="00FE431E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obrana, vzdělávání, zdravotní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sociální péče.</w:t>
      </w:r>
    </w:p>
  </w:footnote>
  <w:footnote w:id="9">
    <w:p w14:paraId="75559F11" w14:textId="77777777" w:rsidR="009112E3" w:rsidRPr="003764DF" w:rsidRDefault="009112E3" w:rsidP="00FE431E">
      <w:pPr>
        <w:pStyle w:val="Textpoznpodarou"/>
        <w:rPr>
          <w:sz w:val="16"/>
          <w:szCs w:val="16"/>
        </w:rPr>
      </w:pPr>
      <w:r w:rsidRPr="003764DF">
        <w:rPr>
          <w:rStyle w:val="Znakapoznpodarou"/>
          <w:sz w:val="16"/>
          <w:szCs w:val="16"/>
        </w:rPr>
        <w:footnoteRef/>
      </w:r>
      <w:r w:rsidRPr="003764DF">
        <w:rPr>
          <w:sz w:val="16"/>
          <w:szCs w:val="16"/>
        </w:rPr>
        <w:t xml:space="preserve"> Projevila se zejména vysoká základna 2.</w:t>
      </w:r>
      <w:r>
        <w:rPr>
          <w:sz w:val="16"/>
          <w:szCs w:val="16"/>
        </w:rPr>
        <w:t> čtvrtlet</w:t>
      </w:r>
      <w:r w:rsidRPr="003764DF">
        <w:rPr>
          <w:sz w:val="16"/>
          <w:szCs w:val="16"/>
        </w:rPr>
        <w:t>í, kdy byly vypláceny mimořádné odměny zdravotníkům.</w:t>
      </w:r>
    </w:p>
  </w:footnote>
  <w:footnote w:id="10">
    <w:p w14:paraId="70C441ED" w14:textId="77777777" w:rsidR="009112E3" w:rsidRPr="005F75B1" w:rsidRDefault="009112E3" w:rsidP="00FE431E">
      <w:pPr>
        <w:pStyle w:val="Textpoznpodarou"/>
        <w:rPr>
          <w:sz w:val="16"/>
          <w:szCs w:val="16"/>
        </w:rPr>
      </w:pPr>
      <w:r w:rsidRPr="005F75B1">
        <w:rPr>
          <w:rStyle w:val="Znakapoznpodarou"/>
          <w:sz w:val="16"/>
          <w:szCs w:val="16"/>
        </w:rPr>
        <w:footnoteRef/>
      </w:r>
      <w:r w:rsidRPr="005F75B1">
        <w:rPr>
          <w:sz w:val="16"/>
          <w:szCs w:val="16"/>
        </w:rPr>
        <w:t xml:space="preserve"> Do reálného vyjádření převedeno s pomocí deflátoru spotřeby domácností.</w:t>
      </w:r>
    </w:p>
  </w:footnote>
  <w:footnote w:id="11">
    <w:p w14:paraId="3422152A" w14:textId="77777777" w:rsidR="009112E3" w:rsidRPr="00954992" w:rsidRDefault="009112E3" w:rsidP="00FE431E">
      <w:pPr>
        <w:pStyle w:val="Textpoznpodarou"/>
        <w:rPr>
          <w:sz w:val="16"/>
          <w:szCs w:val="16"/>
        </w:rPr>
      </w:pPr>
      <w:r w:rsidRPr="00954992">
        <w:rPr>
          <w:rStyle w:val="Znakapoznpodarou"/>
          <w:sz w:val="16"/>
          <w:szCs w:val="16"/>
        </w:rPr>
        <w:footnoteRef/>
      </w:r>
      <w:r w:rsidRPr="00954992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spotřebě dle trvanlivosti jsou v domácím pojetí</w:t>
      </w:r>
      <w:r>
        <w:rPr>
          <w:sz w:val="16"/>
          <w:szCs w:val="16"/>
        </w:rPr>
        <w:t>.</w:t>
      </w:r>
    </w:p>
  </w:footnote>
  <w:footnote w:id="12">
    <w:p w14:paraId="1A92ADAC" w14:textId="77777777" w:rsidR="009112E3" w:rsidRPr="00AA3676" w:rsidRDefault="009112E3" w:rsidP="00FE431E">
      <w:pPr>
        <w:pStyle w:val="Textpoznpodarou"/>
        <w:rPr>
          <w:sz w:val="16"/>
          <w:szCs w:val="16"/>
        </w:rPr>
      </w:pPr>
      <w:r w:rsidRPr="00AA3676">
        <w:rPr>
          <w:rStyle w:val="Znakapoznpodarou"/>
          <w:sz w:val="16"/>
          <w:szCs w:val="16"/>
        </w:rPr>
        <w:footnoteRef/>
      </w:r>
      <w:r w:rsidRPr="00AA3676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AA3676">
        <w:rPr>
          <w:spacing w:val="-2"/>
          <w:sz w:val="16"/>
          <w:szCs w:val="16"/>
        </w:rPr>
        <w:t>o</w:t>
      </w:r>
      <w:r>
        <w:rPr>
          <w:spacing w:val="-2"/>
          <w:sz w:val="16"/>
          <w:szCs w:val="16"/>
        </w:rPr>
        <w:t xml:space="preserve"> střednědobé</w:t>
      </w:r>
      <w:r w:rsidRPr="00AA3676">
        <w:rPr>
          <w:spacing w:val="-2"/>
          <w:sz w:val="16"/>
          <w:szCs w:val="16"/>
        </w:rPr>
        <w:t xml:space="preserve"> kategorie spadá velká část omezeného maloobchodu</w:t>
      </w:r>
      <w:r>
        <w:rPr>
          <w:spacing w:val="-2"/>
          <w:sz w:val="16"/>
          <w:szCs w:val="16"/>
        </w:rPr>
        <w:t> </w:t>
      </w:r>
      <w:r w:rsidRPr="00AA3676">
        <w:rPr>
          <w:spacing w:val="-2"/>
          <w:sz w:val="16"/>
          <w:szCs w:val="16"/>
        </w:rPr>
        <w:t>– oděvy, rekreační a</w:t>
      </w:r>
      <w:r>
        <w:rPr>
          <w:spacing w:val="-2"/>
          <w:sz w:val="16"/>
          <w:szCs w:val="16"/>
        </w:rPr>
        <w:t> </w:t>
      </w:r>
      <w:r w:rsidRPr="00AA3676">
        <w:rPr>
          <w:spacing w:val="-2"/>
          <w:sz w:val="16"/>
          <w:szCs w:val="16"/>
        </w:rPr>
        <w:t>sportovní potřeby a</w:t>
      </w:r>
      <w:r>
        <w:rPr>
          <w:spacing w:val="-2"/>
          <w:sz w:val="16"/>
          <w:szCs w:val="16"/>
        </w:rPr>
        <w:t> </w:t>
      </w:r>
      <w:r w:rsidRPr="00AA3676">
        <w:rPr>
          <w:spacing w:val="-2"/>
          <w:sz w:val="16"/>
          <w:szCs w:val="16"/>
        </w:rPr>
        <w:t>pod</w:t>
      </w:r>
      <w:r>
        <w:rPr>
          <w:spacing w:val="-2"/>
          <w:sz w:val="16"/>
          <w:szCs w:val="16"/>
        </w:rPr>
        <w:t>obně</w:t>
      </w:r>
      <w:r w:rsidRPr="00AA3676">
        <w:rPr>
          <w:spacing w:val="-2"/>
          <w:sz w:val="16"/>
          <w:szCs w:val="16"/>
        </w:rPr>
        <w:t>.</w:t>
      </w:r>
    </w:p>
  </w:footnote>
  <w:footnote w:id="13">
    <w:p w14:paraId="081D68EB" w14:textId="77777777" w:rsidR="009112E3" w:rsidRPr="009C6EA8" w:rsidRDefault="009112E3" w:rsidP="00FE431E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14">
    <w:p w14:paraId="6B4EB325" w14:textId="77777777" w:rsidR="009112E3" w:rsidRPr="004831F6" w:rsidRDefault="009112E3" w:rsidP="00FE431E">
      <w:pPr>
        <w:pStyle w:val="Textpoznpodarou"/>
        <w:rPr>
          <w:sz w:val="16"/>
          <w:szCs w:val="16"/>
        </w:rPr>
      </w:pPr>
      <w:r w:rsidRPr="004831F6">
        <w:rPr>
          <w:rStyle w:val="Znakapoznpodarou"/>
          <w:sz w:val="16"/>
          <w:szCs w:val="16"/>
        </w:rPr>
        <w:footnoteRef/>
      </w:r>
      <w:r w:rsidRPr="004831F6">
        <w:rPr>
          <w:sz w:val="16"/>
          <w:szCs w:val="16"/>
        </w:rPr>
        <w:t xml:space="preserve"> Změna zásob (v</w:t>
      </w:r>
      <w:r>
        <w:rPr>
          <w:sz w:val="16"/>
          <w:szCs w:val="16"/>
        </w:rPr>
        <w:t> </w:t>
      </w:r>
      <w:r w:rsidRPr="004831F6">
        <w:rPr>
          <w:sz w:val="16"/>
          <w:szCs w:val="16"/>
        </w:rPr>
        <w:t>běžných cenách a</w:t>
      </w:r>
      <w:r>
        <w:rPr>
          <w:sz w:val="16"/>
          <w:szCs w:val="16"/>
        </w:rPr>
        <w:t> </w:t>
      </w:r>
      <w:r w:rsidRPr="004831F6">
        <w:rPr>
          <w:sz w:val="16"/>
          <w:szCs w:val="16"/>
        </w:rPr>
        <w:t>sezónně neočištěná) dosáhla ve 2.</w:t>
      </w:r>
      <w:r>
        <w:rPr>
          <w:sz w:val="16"/>
          <w:szCs w:val="16"/>
        </w:rPr>
        <w:t> čtvrtlet</w:t>
      </w:r>
      <w:r w:rsidRPr="004831F6">
        <w:rPr>
          <w:sz w:val="16"/>
          <w:szCs w:val="16"/>
        </w:rPr>
        <w:t>í +</w:t>
      </w:r>
      <w:r>
        <w:rPr>
          <w:sz w:val="16"/>
          <w:szCs w:val="16"/>
        </w:rPr>
        <w:t>114,0 mld.</w:t>
      </w:r>
      <w:r w:rsidRPr="004831F6">
        <w:rPr>
          <w:sz w:val="16"/>
          <w:szCs w:val="16"/>
        </w:rPr>
        <w:t xml:space="preserve"> korun.</w:t>
      </w:r>
    </w:p>
  </w:footnote>
  <w:footnote w:id="15">
    <w:p w14:paraId="453B7FFD" w14:textId="77777777" w:rsidR="009112E3" w:rsidRPr="00167B30" w:rsidRDefault="009112E3" w:rsidP="00FE431E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>.</w:t>
      </w:r>
    </w:p>
  </w:footnote>
  <w:footnote w:id="16">
    <w:p w14:paraId="16A9D5F8" w14:textId="77777777" w:rsidR="009112E3" w:rsidRPr="00200302" w:rsidRDefault="009112E3" w:rsidP="00FE431E">
      <w:pPr>
        <w:pStyle w:val="Textpoznpodarou"/>
        <w:rPr>
          <w:sz w:val="16"/>
          <w:szCs w:val="16"/>
        </w:rPr>
      </w:pPr>
      <w:r w:rsidRPr="00200302">
        <w:rPr>
          <w:rStyle w:val="Znakapoznpodarou"/>
          <w:sz w:val="16"/>
          <w:szCs w:val="16"/>
        </w:rPr>
        <w:footnoteRef/>
      </w:r>
      <w:r w:rsidRPr="00200302">
        <w:rPr>
          <w:sz w:val="16"/>
          <w:szCs w:val="16"/>
        </w:rPr>
        <w:t xml:space="preserve"> To je více než v loňském 2.</w:t>
      </w:r>
      <w:r>
        <w:rPr>
          <w:sz w:val="16"/>
          <w:szCs w:val="16"/>
        </w:rPr>
        <w:t> čtvrtlet</w:t>
      </w:r>
      <w:r w:rsidRPr="00200302">
        <w:rPr>
          <w:sz w:val="16"/>
          <w:szCs w:val="16"/>
        </w:rPr>
        <w:t xml:space="preserve">í, kdy byl zahraniční obchod paralyzován </w:t>
      </w:r>
      <w:r>
        <w:rPr>
          <w:sz w:val="16"/>
          <w:szCs w:val="16"/>
        </w:rPr>
        <w:t>odstávkami a </w:t>
      </w:r>
      <w:proofErr w:type="spellStart"/>
      <w:r w:rsidRPr="00200302">
        <w:rPr>
          <w:sz w:val="16"/>
          <w:szCs w:val="16"/>
        </w:rPr>
        <w:t>protipandemickými</w:t>
      </w:r>
      <w:proofErr w:type="spellEnd"/>
      <w:r w:rsidRPr="00200302">
        <w:rPr>
          <w:sz w:val="16"/>
          <w:szCs w:val="16"/>
        </w:rPr>
        <w:t xml:space="preserve"> restrikcemi.</w:t>
      </w:r>
    </w:p>
  </w:footnote>
  <w:footnote w:id="17">
    <w:p w14:paraId="412B5B69" w14:textId="77777777" w:rsidR="009112E3" w:rsidRPr="00FB58F4" w:rsidRDefault="009112E3" w:rsidP="00700E8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HPH jsou vyjádřeny ve stálých cenách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v očištění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sezónní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kalendářní vlivy.</w:t>
      </w:r>
    </w:p>
  </w:footnote>
  <w:footnote w:id="18">
    <w:p w14:paraId="375EA4D6" w14:textId="77777777" w:rsidR="009112E3" w:rsidRPr="00B72813" w:rsidRDefault="009112E3" w:rsidP="00700E8A">
      <w:pPr>
        <w:pStyle w:val="Textpoznpodarou"/>
        <w:rPr>
          <w:sz w:val="16"/>
          <w:szCs w:val="16"/>
        </w:rPr>
      </w:pPr>
      <w:r w:rsidRPr="00B72813">
        <w:rPr>
          <w:rStyle w:val="Znakapoznpodarou"/>
          <w:sz w:val="16"/>
          <w:szCs w:val="16"/>
        </w:rPr>
        <w:footnoteRef/>
      </w:r>
      <w:r w:rsidRPr="00B72813">
        <w:rPr>
          <w:sz w:val="16"/>
          <w:szCs w:val="16"/>
        </w:rPr>
        <w:t xml:space="preserve"> V EU i</w:t>
      </w:r>
      <w:r>
        <w:rPr>
          <w:sz w:val="16"/>
          <w:szCs w:val="16"/>
        </w:rPr>
        <w:t> </w:t>
      </w:r>
      <w:r w:rsidRPr="00B72813">
        <w:rPr>
          <w:sz w:val="16"/>
          <w:szCs w:val="16"/>
        </w:rPr>
        <w:t xml:space="preserve">v zemích eurozóny probíhalo letos </w:t>
      </w:r>
      <w:proofErr w:type="spellStart"/>
      <w:r w:rsidRPr="00B72813">
        <w:rPr>
          <w:sz w:val="16"/>
          <w:szCs w:val="16"/>
        </w:rPr>
        <w:t>pokrizové</w:t>
      </w:r>
      <w:proofErr w:type="spellEnd"/>
      <w:r>
        <w:rPr>
          <w:sz w:val="16"/>
          <w:szCs w:val="16"/>
        </w:rPr>
        <w:t xml:space="preserve"> oživení </w:t>
      </w:r>
      <w:r w:rsidRPr="00B72813">
        <w:rPr>
          <w:sz w:val="16"/>
          <w:szCs w:val="16"/>
        </w:rPr>
        <w:t xml:space="preserve">svižněji. </w:t>
      </w:r>
      <w:proofErr w:type="spellStart"/>
      <w:r w:rsidRPr="00B72813">
        <w:rPr>
          <w:sz w:val="16"/>
          <w:szCs w:val="16"/>
        </w:rPr>
        <w:t>Mezikvartální</w:t>
      </w:r>
      <w:proofErr w:type="spellEnd"/>
      <w:r w:rsidRPr="00B72813">
        <w:rPr>
          <w:sz w:val="16"/>
          <w:szCs w:val="16"/>
        </w:rPr>
        <w:t xml:space="preserve"> růst HPH v celé Unii činil ve 2.</w:t>
      </w:r>
      <w:r>
        <w:rPr>
          <w:sz w:val="16"/>
          <w:szCs w:val="16"/>
        </w:rPr>
        <w:t> čt</w:t>
      </w:r>
      <w:r w:rsidRPr="00B72813">
        <w:rPr>
          <w:sz w:val="16"/>
          <w:szCs w:val="16"/>
        </w:rPr>
        <w:t>vrtletí 1,8</w:t>
      </w:r>
      <w:r>
        <w:rPr>
          <w:sz w:val="16"/>
          <w:szCs w:val="16"/>
        </w:rPr>
        <w:t> %</w:t>
      </w:r>
      <w:r w:rsidRPr="00B72813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B72813">
        <w:rPr>
          <w:sz w:val="16"/>
          <w:szCs w:val="16"/>
        </w:rPr>
        <w:t>ve 3.</w:t>
      </w:r>
      <w:r>
        <w:rPr>
          <w:sz w:val="16"/>
          <w:szCs w:val="16"/>
        </w:rPr>
        <w:t> čt</w:t>
      </w:r>
      <w:r w:rsidRPr="00B72813">
        <w:rPr>
          <w:sz w:val="16"/>
          <w:szCs w:val="16"/>
        </w:rPr>
        <w:t>vrtletí 2,1</w:t>
      </w:r>
      <w:r>
        <w:rPr>
          <w:sz w:val="16"/>
          <w:szCs w:val="16"/>
        </w:rPr>
        <w:t> %</w:t>
      </w:r>
      <w:r w:rsidRPr="00B72813">
        <w:rPr>
          <w:sz w:val="16"/>
          <w:szCs w:val="16"/>
        </w:rPr>
        <w:t xml:space="preserve">. </w:t>
      </w:r>
      <w:r>
        <w:rPr>
          <w:sz w:val="16"/>
          <w:szCs w:val="16"/>
        </w:rPr>
        <w:t>Vyšší dynamika HPH (ve srovnání s tuzemskem) souvisela s významnější rolí sektoru služeb v ekonomice.</w:t>
      </w:r>
    </w:p>
  </w:footnote>
  <w:footnote w:id="19">
    <w:p w14:paraId="44E6697A" w14:textId="77777777" w:rsidR="009112E3" w:rsidRPr="006D398F" w:rsidRDefault="009112E3" w:rsidP="00700E8A">
      <w:pPr>
        <w:pStyle w:val="Textpoznpodarou"/>
        <w:rPr>
          <w:sz w:val="16"/>
          <w:szCs w:val="16"/>
        </w:rPr>
      </w:pPr>
      <w:r w:rsidRPr="006D398F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Jedná s</w:t>
      </w:r>
      <w:r w:rsidRPr="006D398F">
        <w:rPr>
          <w:sz w:val="16"/>
          <w:szCs w:val="16"/>
        </w:rPr>
        <w:t xml:space="preserve">e např. </w:t>
      </w:r>
      <w:r>
        <w:rPr>
          <w:sz w:val="16"/>
          <w:szCs w:val="16"/>
        </w:rPr>
        <w:t>o </w:t>
      </w:r>
      <w:r w:rsidRPr="006D398F">
        <w:rPr>
          <w:sz w:val="16"/>
          <w:szCs w:val="16"/>
        </w:rPr>
        <w:t xml:space="preserve">kadeřnictví, kosmetické služby, </w:t>
      </w:r>
      <w:r w:rsidRPr="006D398F">
        <w:rPr>
          <w:rFonts w:cs="Arial"/>
          <w:color w:val="0D0D0D" w:themeColor="text1" w:themeTint="F2"/>
          <w:spacing w:val="-2"/>
          <w:sz w:val="16"/>
          <w:szCs w:val="16"/>
        </w:rPr>
        <w:t>čisticí služby či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o </w:t>
      </w:r>
      <w:r w:rsidRPr="006D398F">
        <w:rPr>
          <w:sz w:val="16"/>
          <w:szCs w:val="16"/>
        </w:rPr>
        <w:t>opravy výrobků pro osobní potřebu a převážně pro domácnost.</w:t>
      </w:r>
    </w:p>
  </w:footnote>
  <w:footnote w:id="20">
    <w:p w14:paraId="56694EF3" w14:textId="77777777" w:rsidR="009112E3" w:rsidRPr="00387FDE" w:rsidRDefault="009112E3" w:rsidP="00700E8A">
      <w:pPr>
        <w:pStyle w:val="Textpoznpodarou"/>
        <w:rPr>
          <w:sz w:val="16"/>
          <w:szCs w:val="16"/>
        </w:rPr>
      </w:pPr>
      <w:r w:rsidRPr="00387FDE">
        <w:rPr>
          <w:rStyle w:val="Znakapoznpodarou"/>
          <w:sz w:val="16"/>
          <w:szCs w:val="16"/>
        </w:rPr>
        <w:footnoteRef/>
      </w:r>
      <w:r w:rsidRPr="00387FDE">
        <w:rPr>
          <w:sz w:val="16"/>
          <w:szCs w:val="16"/>
        </w:rPr>
        <w:t xml:space="preserve"> HPH ve zpracovatelském průmyslu se ve srovnání s 2.</w:t>
      </w:r>
      <w:r>
        <w:rPr>
          <w:sz w:val="16"/>
          <w:szCs w:val="16"/>
        </w:rPr>
        <w:t> čt</w:t>
      </w:r>
      <w:r w:rsidRPr="00387FDE">
        <w:rPr>
          <w:sz w:val="16"/>
          <w:szCs w:val="16"/>
        </w:rPr>
        <w:t>vrtletím 2021 snížila o</w:t>
      </w:r>
      <w:r>
        <w:rPr>
          <w:sz w:val="16"/>
          <w:szCs w:val="16"/>
        </w:rPr>
        <w:t> </w:t>
      </w:r>
      <w:r w:rsidRPr="00387FDE">
        <w:rPr>
          <w:sz w:val="16"/>
          <w:szCs w:val="16"/>
        </w:rPr>
        <w:t>3,1</w:t>
      </w:r>
      <w:r>
        <w:rPr>
          <w:sz w:val="16"/>
          <w:szCs w:val="16"/>
        </w:rPr>
        <w:t> %</w:t>
      </w:r>
      <w:r w:rsidRPr="00387FDE">
        <w:rPr>
          <w:sz w:val="16"/>
          <w:szCs w:val="16"/>
        </w:rPr>
        <w:t>. Problém s váznoucím</w:t>
      </w:r>
      <w:r>
        <w:rPr>
          <w:sz w:val="16"/>
          <w:szCs w:val="16"/>
        </w:rPr>
        <w:t>i dodávkami výrobních komponent je</w:t>
      </w:r>
      <w:r w:rsidRPr="00387FDE">
        <w:rPr>
          <w:sz w:val="16"/>
          <w:szCs w:val="16"/>
        </w:rPr>
        <w:t xml:space="preserve"> </w:t>
      </w:r>
      <w:r>
        <w:rPr>
          <w:sz w:val="16"/>
          <w:szCs w:val="16"/>
        </w:rPr>
        <w:t>sice globální povahy,</w:t>
      </w:r>
      <w:r w:rsidRPr="00387FDE">
        <w:rPr>
          <w:sz w:val="16"/>
          <w:szCs w:val="16"/>
        </w:rPr>
        <w:t xml:space="preserve"> citelně </w:t>
      </w:r>
      <w:r>
        <w:rPr>
          <w:sz w:val="16"/>
          <w:szCs w:val="16"/>
        </w:rPr>
        <w:t>ale dopadá hlavně</w:t>
      </w:r>
      <w:r w:rsidRPr="00387FDE">
        <w:rPr>
          <w:sz w:val="16"/>
          <w:szCs w:val="16"/>
        </w:rPr>
        <w:t xml:space="preserve"> na automobilový průmysl v Evropě. V zemích s jeho vysokým podílem </w:t>
      </w:r>
      <w:r>
        <w:rPr>
          <w:sz w:val="16"/>
          <w:szCs w:val="16"/>
        </w:rPr>
        <w:t xml:space="preserve">to vedlo k tomu, že výkon celého zpracovatelského průmyslu ve 3. čtvrtletí </w:t>
      </w:r>
      <w:proofErr w:type="spellStart"/>
      <w:r>
        <w:rPr>
          <w:sz w:val="16"/>
          <w:szCs w:val="16"/>
        </w:rPr>
        <w:t>mezikvartálně</w:t>
      </w:r>
      <w:proofErr w:type="spellEnd"/>
      <w:r>
        <w:rPr>
          <w:sz w:val="16"/>
          <w:szCs w:val="16"/>
        </w:rPr>
        <w:t xml:space="preserve"> klesl (v </w:t>
      </w:r>
      <w:r w:rsidRPr="00387FDE">
        <w:rPr>
          <w:sz w:val="16"/>
          <w:szCs w:val="16"/>
        </w:rPr>
        <w:t>Ma</w:t>
      </w:r>
      <w:r>
        <w:rPr>
          <w:sz w:val="16"/>
          <w:szCs w:val="16"/>
        </w:rPr>
        <w:t>ďarsku o 2,8 %, v </w:t>
      </w:r>
      <w:r w:rsidRPr="00387FDE">
        <w:rPr>
          <w:sz w:val="16"/>
          <w:szCs w:val="16"/>
        </w:rPr>
        <w:t>N</w:t>
      </w:r>
      <w:r>
        <w:rPr>
          <w:sz w:val="16"/>
          <w:szCs w:val="16"/>
        </w:rPr>
        <w:t>ěmecku o 2,2 %).</w:t>
      </w:r>
    </w:p>
  </w:footnote>
  <w:footnote w:id="21">
    <w:p w14:paraId="2106B41E" w14:textId="77777777" w:rsidR="009112E3" w:rsidRPr="00C70024" w:rsidRDefault="009112E3" w:rsidP="00700E8A">
      <w:pPr>
        <w:pStyle w:val="Textpoznpodarou"/>
        <w:rPr>
          <w:sz w:val="16"/>
          <w:szCs w:val="16"/>
        </w:rPr>
      </w:pPr>
      <w:r w:rsidRPr="00C70024">
        <w:rPr>
          <w:rStyle w:val="Znakapoznpodarou"/>
          <w:sz w:val="16"/>
          <w:szCs w:val="16"/>
        </w:rPr>
        <w:footnoteRef/>
      </w:r>
      <w:r w:rsidRPr="00C70024">
        <w:rPr>
          <w:sz w:val="16"/>
          <w:szCs w:val="16"/>
        </w:rPr>
        <w:t xml:space="preserve"> To platilo analogicky i</w:t>
      </w:r>
      <w:r>
        <w:rPr>
          <w:sz w:val="16"/>
          <w:szCs w:val="16"/>
        </w:rPr>
        <w:t> </w:t>
      </w:r>
      <w:r w:rsidRPr="00C70024">
        <w:rPr>
          <w:sz w:val="16"/>
          <w:szCs w:val="16"/>
        </w:rPr>
        <w:t xml:space="preserve">pro </w:t>
      </w:r>
      <w:proofErr w:type="gramStart"/>
      <w:r w:rsidRPr="00C70024">
        <w:rPr>
          <w:sz w:val="16"/>
          <w:szCs w:val="16"/>
        </w:rPr>
        <w:t>EU (</w:t>
      </w:r>
      <w:r>
        <w:rPr>
          <w:sz w:val="16"/>
          <w:szCs w:val="16"/>
        </w:rPr>
        <w:t>–0,3</w:t>
      </w:r>
      <w:proofErr w:type="gramEnd"/>
      <w:r>
        <w:rPr>
          <w:sz w:val="16"/>
          <w:szCs w:val="16"/>
        </w:rPr>
        <w:t> %), včetně všech čtyř</w:t>
      </w:r>
      <w:r w:rsidRPr="00C70024">
        <w:rPr>
          <w:sz w:val="16"/>
          <w:szCs w:val="16"/>
        </w:rPr>
        <w:t xml:space="preserve"> nejvýznamnějších </w:t>
      </w:r>
      <w:r>
        <w:rPr>
          <w:sz w:val="16"/>
          <w:szCs w:val="16"/>
        </w:rPr>
        <w:t xml:space="preserve">unijních </w:t>
      </w:r>
      <w:r w:rsidRPr="00C70024">
        <w:rPr>
          <w:sz w:val="16"/>
          <w:szCs w:val="16"/>
        </w:rPr>
        <w:t xml:space="preserve">ekonomik. </w:t>
      </w:r>
      <w:r>
        <w:rPr>
          <w:sz w:val="16"/>
          <w:szCs w:val="16"/>
        </w:rPr>
        <w:t xml:space="preserve">Naopak své maximum z období </w:t>
      </w:r>
      <w:proofErr w:type="spellStart"/>
      <w:r>
        <w:rPr>
          <w:sz w:val="16"/>
          <w:szCs w:val="16"/>
        </w:rPr>
        <w:t>předpandemické</w:t>
      </w:r>
      <w:proofErr w:type="spellEnd"/>
      <w:r>
        <w:rPr>
          <w:sz w:val="16"/>
          <w:szCs w:val="16"/>
        </w:rPr>
        <w:t xml:space="preserve"> konjunktury z pohledu HPH již během dosavadní části letošního roku překonaly dvě třetiny členských států, zejména Irsko (+23 %), Lucembursko (+6 %), dále pobaltské státy, severské státy, ale také např. Polsko, Maďarsko, Slovinsko, Rumunsko či Nizozemsko – tedy země, v jejichž ekonomikách hrají služby vázané na cestovní ruch vesměs menší roli.</w:t>
      </w:r>
    </w:p>
  </w:footnote>
  <w:footnote w:id="22">
    <w:p w14:paraId="1938B5B2" w14:textId="77777777" w:rsidR="009112E3" w:rsidRPr="007E3B83" w:rsidRDefault="009112E3" w:rsidP="00700E8A">
      <w:pPr>
        <w:pStyle w:val="Textpoznpodarou"/>
        <w:rPr>
          <w:sz w:val="16"/>
          <w:szCs w:val="16"/>
        </w:rPr>
      </w:pPr>
      <w:r w:rsidRPr="007E3B83">
        <w:rPr>
          <w:rStyle w:val="Znakapoznpodarou"/>
          <w:sz w:val="16"/>
          <w:szCs w:val="16"/>
        </w:rPr>
        <w:footnoteRef/>
      </w:r>
      <w:r w:rsidRPr="007E3B83">
        <w:rPr>
          <w:sz w:val="16"/>
          <w:szCs w:val="16"/>
        </w:rPr>
        <w:t xml:space="preserve"> Celková odpracovaná doba ve zpracovatelském průmyslu vzrostla letos za tři čtvrtletí meziročně o</w:t>
      </w:r>
      <w:r>
        <w:rPr>
          <w:sz w:val="16"/>
          <w:szCs w:val="16"/>
        </w:rPr>
        <w:t> </w:t>
      </w:r>
      <w:r w:rsidRPr="007E3B83">
        <w:rPr>
          <w:sz w:val="16"/>
          <w:szCs w:val="16"/>
        </w:rPr>
        <w:t>3,5</w:t>
      </w:r>
      <w:r>
        <w:rPr>
          <w:sz w:val="16"/>
          <w:szCs w:val="16"/>
        </w:rPr>
        <w:t> %</w:t>
      </w:r>
      <w:r w:rsidRPr="007E3B83">
        <w:rPr>
          <w:sz w:val="16"/>
          <w:szCs w:val="16"/>
        </w:rPr>
        <w:t>, tedy skoro třikrát vyšším tempem než v celé ekonomice.</w:t>
      </w:r>
    </w:p>
  </w:footnote>
  <w:footnote w:id="23">
    <w:p w14:paraId="2F9F3C7D" w14:textId="77777777" w:rsidR="009112E3" w:rsidRPr="00DF11EC" w:rsidRDefault="009112E3" w:rsidP="00700E8A">
      <w:pPr>
        <w:pStyle w:val="Textpoznpodarou"/>
        <w:rPr>
          <w:sz w:val="16"/>
          <w:szCs w:val="16"/>
        </w:rPr>
      </w:pPr>
      <w:r w:rsidRPr="00DF11EC">
        <w:rPr>
          <w:rStyle w:val="Znakapoznpodarou"/>
          <w:sz w:val="16"/>
          <w:szCs w:val="16"/>
        </w:rPr>
        <w:footnoteRef/>
      </w:r>
      <w:r w:rsidRPr="00DF11EC">
        <w:rPr>
          <w:sz w:val="16"/>
          <w:szCs w:val="16"/>
        </w:rPr>
        <w:t xml:space="preserve"> Zahrnuj</w:t>
      </w:r>
      <w:r>
        <w:rPr>
          <w:sz w:val="16"/>
          <w:szCs w:val="16"/>
        </w:rPr>
        <w:t>í</w:t>
      </w:r>
      <w:r w:rsidRPr="00DF11EC">
        <w:rPr>
          <w:sz w:val="16"/>
          <w:szCs w:val="16"/>
        </w:rPr>
        <w:t xml:space="preserve"> veřejnou správu a</w:t>
      </w:r>
      <w:r>
        <w:rPr>
          <w:sz w:val="16"/>
          <w:szCs w:val="16"/>
        </w:rPr>
        <w:t> </w:t>
      </w:r>
      <w:r w:rsidRPr="00DF11EC">
        <w:rPr>
          <w:sz w:val="16"/>
          <w:szCs w:val="16"/>
        </w:rPr>
        <w:t>obranu, vzdělávání, zdravotní a</w:t>
      </w:r>
      <w:r>
        <w:rPr>
          <w:sz w:val="16"/>
          <w:szCs w:val="16"/>
        </w:rPr>
        <w:t> </w:t>
      </w:r>
      <w:r w:rsidRPr="00DF11EC">
        <w:rPr>
          <w:sz w:val="16"/>
          <w:szCs w:val="16"/>
        </w:rPr>
        <w:t>sociální péči.</w:t>
      </w:r>
    </w:p>
  </w:footnote>
  <w:footnote w:id="24">
    <w:p w14:paraId="0AE0648D" w14:textId="77777777" w:rsidR="009112E3" w:rsidRPr="00E257EB" w:rsidRDefault="009112E3" w:rsidP="00700E8A">
      <w:pPr>
        <w:pStyle w:val="Textpoznpodarou"/>
        <w:rPr>
          <w:sz w:val="16"/>
          <w:szCs w:val="16"/>
        </w:rPr>
      </w:pPr>
      <w:r w:rsidRPr="00E257EB">
        <w:rPr>
          <w:rStyle w:val="Znakapoznpodarou"/>
          <w:sz w:val="16"/>
          <w:szCs w:val="16"/>
        </w:rPr>
        <w:footnoteRef/>
      </w:r>
      <w:r w:rsidRPr="00E257EB">
        <w:rPr>
          <w:sz w:val="16"/>
          <w:szCs w:val="16"/>
        </w:rPr>
        <w:t xml:space="preserve"> Projevily se zde dopady </w:t>
      </w:r>
      <w:proofErr w:type="spellStart"/>
      <w:r w:rsidRPr="00E257EB">
        <w:rPr>
          <w:sz w:val="16"/>
          <w:szCs w:val="16"/>
        </w:rPr>
        <w:t>protipandemických</w:t>
      </w:r>
      <w:proofErr w:type="spellEnd"/>
      <w:r w:rsidRPr="00E257EB">
        <w:rPr>
          <w:sz w:val="16"/>
          <w:szCs w:val="16"/>
        </w:rPr>
        <w:t xml:space="preserve"> restrikcí z 1.</w:t>
      </w:r>
      <w:r>
        <w:rPr>
          <w:sz w:val="16"/>
          <w:szCs w:val="16"/>
        </w:rPr>
        <w:t> čt</w:t>
      </w:r>
      <w:r w:rsidRPr="00E257EB">
        <w:rPr>
          <w:sz w:val="16"/>
          <w:szCs w:val="16"/>
        </w:rPr>
        <w:t xml:space="preserve">vrtletí 2021, kdy počet odpracovaných hodin v tomto </w:t>
      </w:r>
      <w:r>
        <w:rPr>
          <w:sz w:val="16"/>
          <w:szCs w:val="16"/>
        </w:rPr>
        <w:t>odvětví meziročně propadl</w:t>
      </w:r>
      <w:r w:rsidRPr="00E257EB">
        <w:rPr>
          <w:sz w:val="16"/>
          <w:szCs w:val="16"/>
        </w:rPr>
        <w:t xml:space="preserve"> o</w:t>
      </w:r>
      <w:r>
        <w:rPr>
          <w:sz w:val="16"/>
          <w:szCs w:val="16"/>
        </w:rPr>
        <w:t> </w:t>
      </w:r>
      <w:r w:rsidRPr="00E257EB">
        <w:rPr>
          <w:sz w:val="16"/>
          <w:szCs w:val="16"/>
        </w:rPr>
        <w:t>více než desetinu.</w:t>
      </w:r>
    </w:p>
  </w:footnote>
  <w:footnote w:id="25">
    <w:p w14:paraId="5D7E203B" w14:textId="77777777" w:rsidR="009112E3" w:rsidRPr="00330737" w:rsidRDefault="009112E3" w:rsidP="00700E8A">
      <w:pPr>
        <w:pStyle w:val="Textpoznpodarou"/>
        <w:rPr>
          <w:sz w:val="16"/>
          <w:szCs w:val="16"/>
        </w:rPr>
      </w:pPr>
      <w:r w:rsidRPr="00330737">
        <w:rPr>
          <w:rStyle w:val="Znakapoznpodarou"/>
          <w:sz w:val="16"/>
          <w:szCs w:val="16"/>
        </w:rPr>
        <w:footnoteRef/>
      </w:r>
      <w:r w:rsidRPr="00330737">
        <w:rPr>
          <w:sz w:val="16"/>
          <w:szCs w:val="16"/>
        </w:rPr>
        <w:t xml:space="preserve"> Letošní sklize</w:t>
      </w:r>
      <w:r>
        <w:rPr>
          <w:sz w:val="16"/>
          <w:szCs w:val="16"/>
        </w:rPr>
        <w:t>ň</w:t>
      </w:r>
      <w:r w:rsidRPr="00330737">
        <w:rPr>
          <w:sz w:val="16"/>
          <w:szCs w:val="16"/>
        </w:rPr>
        <w:t xml:space="preserve"> obilovin (</w:t>
      </w:r>
      <w:r>
        <w:rPr>
          <w:sz w:val="16"/>
          <w:szCs w:val="16"/>
        </w:rPr>
        <w:t>včetně</w:t>
      </w:r>
      <w:r w:rsidRPr="00330737">
        <w:rPr>
          <w:sz w:val="16"/>
          <w:szCs w:val="16"/>
        </w:rPr>
        <w:t xml:space="preserve"> kukuřice) činila dle odhadu z 15</w:t>
      </w:r>
      <w:r>
        <w:rPr>
          <w:sz w:val="16"/>
          <w:szCs w:val="16"/>
        </w:rPr>
        <w:t>. </w:t>
      </w:r>
      <w:r w:rsidRPr="00330737">
        <w:rPr>
          <w:sz w:val="16"/>
          <w:szCs w:val="16"/>
        </w:rPr>
        <w:t>září 8,0</w:t>
      </w:r>
      <w:r>
        <w:rPr>
          <w:sz w:val="16"/>
          <w:szCs w:val="16"/>
        </w:rPr>
        <w:t> mil.</w:t>
      </w:r>
      <w:r w:rsidRPr="00330737">
        <w:rPr>
          <w:sz w:val="16"/>
          <w:szCs w:val="16"/>
        </w:rPr>
        <w:t xml:space="preserve"> tun a</w:t>
      </w:r>
      <w:r>
        <w:rPr>
          <w:sz w:val="16"/>
          <w:szCs w:val="16"/>
        </w:rPr>
        <w:t> </w:t>
      </w:r>
      <w:r w:rsidRPr="00330737">
        <w:rPr>
          <w:sz w:val="16"/>
          <w:szCs w:val="16"/>
        </w:rPr>
        <w:t xml:space="preserve">ve srovnání </w:t>
      </w:r>
      <w:r>
        <w:rPr>
          <w:sz w:val="16"/>
          <w:szCs w:val="16"/>
        </w:rPr>
        <w:t>s</w:t>
      </w:r>
      <w:r w:rsidRPr="00330737">
        <w:rPr>
          <w:sz w:val="16"/>
          <w:szCs w:val="16"/>
        </w:rPr>
        <w:t> průměrem z let 2011 až 2020 byla vyšší o</w:t>
      </w:r>
      <w:r>
        <w:rPr>
          <w:sz w:val="16"/>
          <w:szCs w:val="16"/>
        </w:rPr>
        <w:t> </w:t>
      </w:r>
      <w:r w:rsidRPr="00330737">
        <w:rPr>
          <w:sz w:val="16"/>
          <w:szCs w:val="16"/>
        </w:rPr>
        <w:t>2,6</w:t>
      </w:r>
      <w:r>
        <w:rPr>
          <w:sz w:val="16"/>
          <w:szCs w:val="16"/>
        </w:rPr>
        <w:t> %</w:t>
      </w:r>
      <w:r w:rsidRPr="00330737">
        <w:rPr>
          <w:sz w:val="16"/>
          <w:szCs w:val="16"/>
        </w:rPr>
        <w:t xml:space="preserve">. </w:t>
      </w:r>
      <w:r>
        <w:rPr>
          <w:sz w:val="16"/>
          <w:szCs w:val="16"/>
        </w:rPr>
        <w:t>Dlouhodobý průměr lehce překročila také u brambor (+3,4 %), technické cukrovky (+2,6 %), více pak u kukuřice na zeleno a siláž (+8,0</w:t>
      </w:r>
      <w:r w:rsidRPr="00330737">
        <w:rPr>
          <w:sz w:val="16"/>
          <w:szCs w:val="16"/>
        </w:rPr>
        <w:t> </w:t>
      </w:r>
      <w:r>
        <w:rPr>
          <w:sz w:val="16"/>
          <w:szCs w:val="16"/>
        </w:rPr>
        <w:t xml:space="preserve">%), příznivě na tom vzhledem k letošnímu deštivějšímu vegetačnímu období byly i ostatní pícniny. Z významnějších plodin se loni nedařilo pouze </w:t>
      </w:r>
      <w:proofErr w:type="gramStart"/>
      <w:r>
        <w:rPr>
          <w:sz w:val="16"/>
          <w:szCs w:val="16"/>
        </w:rPr>
        <w:t>řepce (–19,2</w:t>
      </w:r>
      <w:proofErr w:type="gramEnd"/>
      <w:r>
        <w:rPr>
          <w:sz w:val="16"/>
          <w:szCs w:val="16"/>
        </w:rPr>
        <w:t> %), na čemž se podepsal významný pokles hektarových výnosů i osevní plochy.</w:t>
      </w:r>
    </w:p>
  </w:footnote>
  <w:footnote w:id="26">
    <w:p w14:paraId="4AA75B50" w14:textId="77777777" w:rsidR="009112E3" w:rsidRPr="00263B79" w:rsidRDefault="009112E3" w:rsidP="00700E8A">
      <w:pPr>
        <w:pStyle w:val="Textpoznpodarou"/>
        <w:rPr>
          <w:sz w:val="16"/>
          <w:szCs w:val="16"/>
        </w:rPr>
      </w:pPr>
      <w:r w:rsidRPr="00263B79">
        <w:rPr>
          <w:rStyle w:val="Znakapoznpodarou"/>
          <w:sz w:val="16"/>
          <w:szCs w:val="16"/>
        </w:rPr>
        <w:footnoteRef/>
      </w:r>
      <w:r w:rsidRPr="00263B79">
        <w:rPr>
          <w:sz w:val="16"/>
          <w:szCs w:val="16"/>
        </w:rPr>
        <w:t xml:space="preserve"> Sklizeň obilovin byla letos oproti roku 2020</w:t>
      </w:r>
      <w:r>
        <w:rPr>
          <w:sz w:val="16"/>
          <w:szCs w:val="16"/>
        </w:rPr>
        <w:t xml:space="preserve"> nižší o 1,4 %, brambor o 3,5 %, a řepky dokonce o 17,5 % (v absolutní výši se jednalo o</w:t>
      </w:r>
      <w:r w:rsidRPr="007E3B83">
        <w:rPr>
          <w:sz w:val="16"/>
          <w:szCs w:val="16"/>
        </w:rPr>
        <w:t> </w:t>
      </w:r>
      <w:r>
        <w:rPr>
          <w:sz w:val="16"/>
          <w:szCs w:val="16"/>
        </w:rPr>
        <w:t xml:space="preserve">nejslabší sklizeň od roku 2006). Dařilo se naopak ostatním olejninám (především díky rozšíření osevní plochy), luskovinám, cukrovce (+8,8 %), chmelu (+39 %) a více se sklidilo u drtivé většiny druhů zeleniny. Horší výsledky zaznamenalo ovocnářství, především vlivem nižší úrody </w:t>
      </w:r>
      <w:proofErr w:type="gramStart"/>
      <w:r>
        <w:rPr>
          <w:sz w:val="16"/>
          <w:szCs w:val="16"/>
        </w:rPr>
        <w:t>jablek (–3,1</w:t>
      </w:r>
      <w:proofErr w:type="gramEnd"/>
      <w:r>
        <w:rPr>
          <w:sz w:val="16"/>
          <w:szCs w:val="16"/>
        </w:rPr>
        <w:t> %).</w:t>
      </w:r>
    </w:p>
  </w:footnote>
  <w:footnote w:id="27">
    <w:p w14:paraId="1166EAC6" w14:textId="77777777" w:rsidR="009112E3" w:rsidRPr="00CE71E4" w:rsidRDefault="009112E3" w:rsidP="00700E8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CE71E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CE71E4">
        <w:rPr>
          <w:rFonts w:cs="Arial"/>
          <w:color w:val="0D0D0D" w:themeColor="text1" w:themeTint="F2"/>
          <w:spacing w:val="-2"/>
          <w:sz w:val="16"/>
          <w:szCs w:val="16"/>
        </w:rPr>
        <w:t xml:space="preserve"> Zahrnuje odvětví těžby a dobývání, zpracovatelského průmyslu a také energetiky (zde pojímané jako odvětví výroby a rozvodu elektřiny, plynu, tepla a klimatizovaného vzduchu). Všechna meziroční tempa produkce (na úrovni odvětvových sekcí i oddílů) jsou očištěna o kalendářní vlivy, mezičtvrtletní i meziměsíční tempa pak také o vliv sezónnosti.</w:t>
      </w:r>
    </w:p>
  </w:footnote>
  <w:footnote w:id="28">
    <w:p w14:paraId="3449782F" w14:textId="77777777" w:rsidR="009112E3" w:rsidRPr="00EB7CEF" w:rsidRDefault="009112E3" w:rsidP="00700E8A">
      <w:pPr>
        <w:pStyle w:val="Textpoznpodarou"/>
        <w:rPr>
          <w:sz w:val="16"/>
          <w:szCs w:val="16"/>
        </w:rPr>
      </w:pPr>
      <w:r w:rsidRPr="00EB7CEF">
        <w:rPr>
          <w:rStyle w:val="Znakapoznpodarou"/>
          <w:sz w:val="16"/>
          <w:szCs w:val="16"/>
        </w:rPr>
        <w:footnoteRef/>
      </w:r>
      <w:r w:rsidRPr="00EB7CEF">
        <w:rPr>
          <w:sz w:val="16"/>
          <w:szCs w:val="16"/>
        </w:rPr>
        <w:t xml:space="preserve"> Do Německa směřovalo ve 2.</w:t>
      </w:r>
      <w:r>
        <w:rPr>
          <w:sz w:val="16"/>
          <w:szCs w:val="16"/>
        </w:rPr>
        <w:t> čtvrtlet</w:t>
      </w:r>
      <w:r w:rsidRPr="00EB7CEF">
        <w:rPr>
          <w:sz w:val="16"/>
          <w:szCs w:val="16"/>
        </w:rPr>
        <w:t>í 30,8</w:t>
      </w:r>
      <w:r>
        <w:rPr>
          <w:sz w:val="16"/>
          <w:szCs w:val="16"/>
        </w:rPr>
        <w:t> %</w:t>
      </w:r>
      <w:r w:rsidRPr="00EB7CEF">
        <w:rPr>
          <w:sz w:val="16"/>
          <w:szCs w:val="16"/>
        </w:rPr>
        <w:t xml:space="preserve"> hodnoty celkového tuzemského exportu průmyslového zboží, do EU pak rovných 80</w:t>
      </w:r>
      <w:r>
        <w:rPr>
          <w:sz w:val="16"/>
          <w:szCs w:val="16"/>
        </w:rPr>
        <w:t> %</w:t>
      </w:r>
      <w:r w:rsidRPr="00EB7CEF">
        <w:rPr>
          <w:sz w:val="16"/>
          <w:szCs w:val="16"/>
        </w:rPr>
        <w:t>.</w:t>
      </w:r>
    </w:p>
  </w:footnote>
  <w:footnote w:id="29">
    <w:p w14:paraId="01947D24" w14:textId="77777777" w:rsidR="009112E3" w:rsidRPr="00203249" w:rsidRDefault="009112E3" w:rsidP="00700E8A">
      <w:pPr>
        <w:pStyle w:val="Textpoznpodarou"/>
        <w:rPr>
          <w:sz w:val="16"/>
          <w:szCs w:val="16"/>
        </w:rPr>
      </w:pPr>
      <w:r w:rsidRPr="00203249">
        <w:rPr>
          <w:rStyle w:val="Znakapoznpodarou"/>
          <w:sz w:val="16"/>
          <w:szCs w:val="16"/>
        </w:rPr>
        <w:footnoteRef/>
      </w:r>
      <w:r w:rsidRPr="00203249">
        <w:rPr>
          <w:sz w:val="16"/>
          <w:szCs w:val="16"/>
        </w:rPr>
        <w:t xml:space="preserve"> Od června do října 2021 činil kumulovaný schodek ČR v</w:t>
      </w:r>
      <w:r>
        <w:rPr>
          <w:sz w:val="16"/>
          <w:szCs w:val="16"/>
        </w:rPr>
        <w:t> </w:t>
      </w:r>
      <w:r w:rsidRPr="00203249">
        <w:rPr>
          <w:sz w:val="16"/>
          <w:szCs w:val="16"/>
        </w:rPr>
        <w:t>zahraniční</w:t>
      </w:r>
      <w:r>
        <w:rPr>
          <w:sz w:val="16"/>
          <w:szCs w:val="16"/>
        </w:rPr>
        <w:t>m</w:t>
      </w:r>
      <w:r w:rsidRPr="00203249">
        <w:rPr>
          <w:sz w:val="16"/>
          <w:szCs w:val="16"/>
        </w:rPr>
        <w:t xml:space="preserve"> obchodu se zbožím </w:t>
      </w:r>
      <w:r>
        <w:rPr>
          <w:sz w:val="16"/>
          <w:szCs w:val="16"/>
        </w:rPr>
        <w:t>78 mld. korun, ve stejném období předchozího roku dosahoval zahraniční obchod přebytku ve výši 120 mld. Přebytek obchodu s motorovými vozidly (včetně dílů) se analogicky snížil z loňských 205 mld. korun na letošních 148 mld. Vývoz vozidel se letos od června do října meziročně propadl o pětinu a jeho výše (342 mld. korun) byla za toto období nejnižší za posledních sedm let.</w:t>
      </w:r>
    </w:p>
  </w:footnote>
  <w:footnote w:id="30">
    <w:p w14:paraId="38918E4B" w14:textId="77777777" w:rsidR="009112E3" w:rsidRPr="00296ED1" w:rsidRDefault="009112E3" w:rsidP="00700E8A">
      <w:pPr>
        <w:pStyle w:val="Textpoznpodarou"/>
        <w:rPr>
          <w:sz w:val="16"/>
          <w:szCs w:val="16"/>
        </w:rPr>
      </w:pPr>
      <w:r w:rsidRPr="0017398B">
        <w:rPr>
          <w:rStyle w:val="Znakapoznpodarou"/>
          <w:sz w:val="16"/>
          <w:szCs w:val="16"/>
        </w:rPr>
        <w:footnoteRef/>
      </w:r>
      <w:r w:rsidRPr="0017398B">
        <w:rPr>
          <w:sz w:val="16"/>
          <w:szCs w:val="16"/>
        </w:rPr>
        <w:t xml:space="preserve"> Za celý rok 2020 se produkce propadla o</w:t>
      </w:r>
      <w:r>
        <w:rPr>
          <w:sz w:val="16"/>
          <w:szCs w:val="16"/>
        </w:rPr>
        <w:t> </w:t>
      </w:r>
      <w:r w:rsidRPr="0017398B">
        <w:rPr>
          <w:sz w:val="16"/>
          <w:szCs w:val="16"/>
        </w:rPr>
        <w:t>šestinu</w:t>
      </w:r>
      <w:r>
        <w:rPr>
          <w:sz w:val="16"/>
          <w:szCs w:val="16"/>
        </w:rPr>
        <w:t>,</w:t>
      </w:r>
      <w:r w:rsidRPr="0017398B">
        <w:rPr>
          <w:sz w:val="16"/>
          <w:szCs w:val="16"/>
        </w:rPr>
        <w:t xml:space="preserve"> tedy </w:t>
      </w:r>
      <w:r>
        <w:rPr>
          <w:sz w:val="16"/>
          <w:szCs w:val="16"/>
        </w:rPr>
        <w:t>nejvíce v</w:t>
      </w:r>
      <w:r w:rsidRPr="0017398B">
        <w:rPr>
          <w:sz w:val="16"/>
          <w:szCs w:val="16"/>
        </w:rPr>
        <w:t>e srovnatelné řadě od roku 2000.</w:t>
      </w:r>
      <w:r>
        <w:rPr>
          <w:sz w:val="16"/>
          <w:szCs w:val="16"/>
        </w:rPr>
        <w:t xml:space="preserve"> Souviselo to</w:t>
      </w:r>
      <w:r w:rsidRPr="00E76D96">
        <w:rPr>
          <w:sz w:val="16"/>
          <w:szCs w:val="16"/>
        </w:rPr>
        <w:t xml:space="preserve"> s</w:t>
      </w:r>
      <w:r>
        <w:rPr>
          <w:sz w:val="16"/>
          <w:szCs w:val="16"/>
        </w:rPr>
        <w:t> </w:t>
      </w:r>
      <w:r w:rsidRPr="00E76D96">
        <w:rPr>
          <w:sz w:val="16"/>
          <w:szCs w:val="16"/>
        </w:rPr>
        <w:t>dlouho</w:t>
      </w:r>
      <w:r>
        <w:rPr>
          <w:sz w:val="16"/>
          <w:szCs w:val="16"/>
        </w:rPr>
        <w:t>d</w:t>
      </w:r>
      <w:r w:rsidRPr="00E76D96">
        <w:rPr>
          <w:sz w:val="16"/>
          <w:szCs w:val="16"/>
        </w:rPr>
        <w:t>obou proměnou energetického mixu ekonomiky</w:t>
      </w:r>
      <w:r>
        <w:rPr>
          <w:sz w:val="16"/>
          <w:szCs w:val="16"/>
        </w:rPr>
        <w:t>,</w:t>
      </w:r>
      <w:r w:rsidRPr="00E76D96">
        <w:rPr>
          <w:sz w:val="16"/>
          <w:szCs w:val="16"/>
        </w:rPr>
        <w:t xml:space="preserve"> urychlenou i svižným růstem cen emisních povolenek</w:t>
      </w:r>
      <w:r>
        <w:rPr>
          <w:sz w:val="16"/>
          <w:szCs w:val="16"/>
        </w:rPr>
        <w:t>.</w:t>
      </w:r>
    </w:p>
  </w:footnote>
  <w:footnote w:id="31">
    <w:p w14:paraId="430CA046" w14:textId="77777777" w:rsidR="009112E3" w:rsidRPr="00296ED1" w:rsidRDefault="009112E3" w:rsidP="00700E8A">
      <w:pPr>
        <w:pStyle w:val="Textpoznpodarou"/>
        <w:rPr>
          <w:sz w:val="16"/>
          <w:szCs w:val="16"/>
        </w:rPr>
      </w:pPr>
      <w:r w:rsidRPr="00296ED1">
        <w:rPr>
          <w:rStyle w:val="Znakapoznpodarou"/>
          <w:sz w:val="16"/>
          <w:szCs w:val="16"/>
        </w:rPr>
        <w:footnoteRef/>
      </w:r>
      <w:r w:rsidRPr="00296E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Dle údajů Energetického regulačního úřadu </w:t>
      </w:r>
      <w:r w:rsidRPr="00296ED1">
        <w:rPr>
          <w:sz w:val="16"/>
          <w:szCs w:val="16"/>
        </w:rPr>
        <w:t xml:space="preserve">dosáhla letos od ledna do září </w:t>
      </w:r>
      <w:r>
        <w:rPr>
          <w:sz w:val="16"/>
          <w:szCs w:val="16"/>
        </w:rPr>
        <w:t>h</w:t>
      </w:r>
      <w:r w:rsidRPr="00296ED1">
        <w:rPr>
          <w:sz w:val="16"/>
          <w:szCs w:val="16"/>
        </w:rPr>
        <w:t>rubá tuzemská výroba elektřiny 60,3</w:t>
      </w:r>
      <w:r>
        <w:rPr>
          <w:sz w:val="16"/>
          <w:szCs w:val="16"/>
        </w:rPr>
        <w:t> tis. </w:t>
      </w:r>
      <w:proofErr w:type="spellStart"/>
      <w:r w:rsidRPr="00296ED1">
        <w:rPr>
          <w:sz w:val="16"/>
          <w:szCs w:val="16"/>
        </w:rPr>
        <w:t>GWh</w:t>
      </w:r>
      <w:proofErr w:type="spellEnd"/>
      <w:r w:rsidRPr="00296ED1">
        <w:rPr>
          <w:sz w:val="16"/>
          <w:szCs w:val="16"/>
        </w:rPr>
        <w:t xml:space="preserve"> </w:t>
      </w:r>
      <w:r>
        <w:rPr>
          <w:sz w:val="16"/>
          <w:szCs w:val="16"/>
        </w:rPr>
        <w:t>a meziročně vzrostla o 2,4 % (ve shodném období loni propadla o 6,8 %). Na růstu se podílely zejména parní, z menší části i vodní elektrárny. Hrubá tuzemská spotřeba činila letos 53,5 </w:t>
      </w:r>
      <w:proofErr w:type="spellStart"/>
      <w:r>
        <w:rPr>
          <w:sz w:val="16"/>
          <w:szCs w:val="16"/>
        </w:rPr>
        <w:t>GWh</w:t>
      </w:r>
      <w:proofErr w:type="spellEnd"/>
      <w:r>
        <w:rPr>
          <w:sz w:val="16"/>
          <w:szCs w:val="16"/>
        </w:rPr>
        <w:t xml:space="preserve"> a proti loňsku vzrostla o 2,8 %. Klíčovou roli v tom sehrály domácnosti (+10,3 %) a velkoodběratelé z podniků (+5,3 %). Naopak maloodběratelé z řad podnikatelů spotřebovali meziročně o 0,9 % méně, za dva roky o 3,3 %. Celková spotřeba plynu v ČR se letos za tři čtvrtletí meziročně zvýšila o 13,2 %, a to i díky chladnější zimě (po přepočtu na teplotní normál vzrostla o 6,9 %). Ve stejném období roku 2020 se ale i vlivem poklesu ekonomické aktivity spotřeba snížila o 1,6 % (po přepočtu o 2,4 %).</w:t>
      </w:r>
    </w:p>
  </w:footnote>
  <w:footnote w:id="32">
    <w:p w14:paraId="566D783E" w14:textId="77777777" w:rsidR="009112E3" w:rsidRPr="004670E0" w:rsidRDefault="009112E3" w:rsidP="00700E8A">
      <w:pPr>
        <w:pStyle w:val="Textpoznpodarou"/>
        <w:rPr>
          <w:sz w:val="16"/>
          <w:szCs w:val="16"/>
        </w:rPr>
      </w:pPr>
      <w:r w:rsidRPr="004670E0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M</w:t>
      </w:r>
      <w:r w:rsidRPr="00CE71E4">
        <w:rPr>
          <w:rFonts w:cs="Arial"/>
          <w:color w:val="0D0D0D" w:themeColor="text1" w:themeTint="F2"/>
          <w:spacing w:val="-2"/>
          <w:sz w:val="16"/>
          <w:szCs w:val="16"/>
        </w:rPr>
        <w:t>eziroční tempa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tržeb</w:t>
      </w:r>
      <w:r w:rsidRPr="00CE71E4">
        <w:rPr>
          <w:rFonts w:cs="Arial"/>
          <w:color w:val="0D0D0D" w:themeColor="text1" w:themeTint="F2"/>
          <w:spacing w:val="-2"/>
          <w:sz w:val="16"/>
          <w:szCs w:val="16"/>
        </w:rPr>
        <w:t xml:space="preserve"> jsou očištěna o kalendářní vli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vy, mezičtvrtletní</w:t>
      </w:r>
      <w:r w:rsidRPr="00CE71E4">
        <w:rPr>
          <w:rFonts w:cs="Arial"/>
          <w:color w:val="0D0D0D" w:themeColor="text1" w:themeTint="F2"/>
          <w:spacing w:val="-2"/>
          <w:sz w:val="16"/>
          <w:szCs w:val="16"/>
        </w:rPr>
        <w:t xml:space="preserve"> tempa pak také o vliv sezónnosti.</w:t>
      </w:r>
    </w:p>
  </w:footnote>
  <w:footnote w:id="33">
    <w:p w14:paraId="40AAC20F" w14:textId="77777777" w:rsidR="009112E3" w:rsidRPr="00FB58F4" w:rsidRDefault="009112E3" w:rsidP="00700E8A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7A20EB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7A20EB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 w:rsidRPr="007A20EB">
        <w:rPr>
          <w:rFonts w:cs="Arial"/>
          <w:color w:val="0D0D0D" w:themeColor="text1" w:themeTint="F2"/>
          <w:sz w:val="16"/>
          <w:szCs w:val="16"/>
        </w:rPr>
        <w:t>Zjišťování zaká</w:t>
      </w:r>
      <w:r>
        <w:rPr>
          <w:rFonts w:cs="Arial"/>
          <w:color w:val="0D0D0D" w:themeColor="text1" w:themeTint="F2"/>
          <w:sz w:val="16"/>
          <w:szCs w:val="16"/>
        </w:rPr>
        <w:t xml:space="preserve">zek probíhá jen ve 12 zpracovatelských odvětvích </w:t>
      </w:r>
      <w:r w:rsidRPr="007A20EB">
        <w:rPr>
          <w:rFonts w:cs="Arial"/>
          <w:color w:val="0D0D0D" w:themeColor="text1" w:themeTint="F2"/>
          <w:sz w:val="16"/>
          <w:szCs w:val="16"/>
        </w:rPr>
        <w:t>vyrábějí</w:t>
      </w:r>
      <w:r>
        <w:rPr>
          <w:rFonts w:cs="Arial"/>
          <w:color w:val="0D0D0D" w:themeColor="text1" w:themeTint="F2"/>
          <w:sz w:val="16"/>
          <w:szCs w:val="16"/>
        </w:rPr>
        <w:t>cích</w:t>
      </w:r>
      <w:r w:rsidRPr="007A20EB">
        <w:rPr>
          <w:rFonts w:cs="Arial"/>
          <w:color w:val="0D0D0D" w:themeColor="text1" w:themeTint="F2"/>
          <w:sz w:val="16"/>
          <w:szCs w:val="16"/>
        </w:rPr>
        <w:t xml:space="preserve"> převážně na zakázku, s dlouhodobějším výrobním cyklem a s většími zásobami zakázek.</w:t>
      </w:r>
      <w:r>
        <w:rPr>
          <w:rFonts w:cs="Arial"/>
          <w:color w:val="0D0D0D" w:themeColor="text1" w:themeTint="F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M</w:t>
      </w:r>
      <w:r w:rsidRPr="00CE71E4">
        <w:rPr>
          <w:rFonts w:cs="Arial"/>
          <w:color w:val="0D0D0D" w:themeColor="text1" w:themeTint="F2"/>
          <w:spacing w:val="-2"/>
          <w:sz w:val="16"/>
          <w:szCs w:val="16"/>
        </w:rPr>
        <w:t>eziroční tempa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zakázek</w:t>
      </w:r>
      <w:r w:rsidRPr="00CE71E4">
        <w:rPr>
          <w:rFonts w:cs="Arial"/>
          <w:color w:val="0D0D0D" w:themeColor="text1" w:themeTint="F2"/>
          <w:spacing w:val="-2"/>
          <w:sz w:val="16"/>
          <w:szCs w:val="16"/>
        </w:rPr>
        <w:t xml:space="preserve"> jsou očištěna o kalendářní vli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vy.</w:t>
      </w:r>
    </w:p>
  </w:footnote>
  <w:footnote w:id="34">
    <w:p w14:paraId="71E383A0" w14:textId="77777777" w:rsidR="009112E3" w:rsidRPr="000A1518" w:rsidRDefault="009112E3" w:rsidP="00700E8A">
      <w:pPr>
        <w:pStyle w:val="Textpoznpodarou"/>
        <w:rPr>
          <w:sz w:val="16"/>
          <w:szCs w:val="16"/>
        </w:rPr>
      </w:pPr>
      <w:r w:rsidRPr="000A1518">
        <w:rPr>
          <w:rStyle w:val="Znakapoznpodarou"/>
          <w:sz w:val="16"/>
          <w:szCs w:val="16"/>
        </w:rPr>
        <w:footnoteRef/>
      </w:r>
      <w:r w:rsidRPr="000A1518">
        <w:rPr>
          <w:sz w:val="16"/>
          <w:szCs w:val="16"/>
        </w:rPr>
        <w:t xml:space="preserve"> P</w:t>
      </w:r>
      <w:r>
        <w:rPr>
          <w:sz w:val="16"/>
          <w:szCs w:val="16"/>
        </w:rPr>
        <w:t>odniky mohly uv</w:t>
      </w:r>
      <w:r w:rsidRPr="000A1518">
        <w:rPr>
          <w:sz w:val="16"/>
          <w:szCs w:val="16"/>
        </w:rPr>
        <w:t>ést více bariér současně.</w:t>
      </w:r>
    </w:p>
  </w:footnote>
  <w:footnote w:id="35">
    <w:p w14:paraId="403D8A96" w14:textId="77777777" w:rsidR="009112E3" w:rsidRPr="000454BD" w:rsidRDefault="009112E3" w:rsidP="00700E8A">
      <w:pPr>
        <w:pStyle w:val="Textpoznpodarou"/>
        <w:rPr>
          <w:sz w:val="16"/>
          <w:szCs w:val="16"/>
        </w:rPr>
      </w:pPr>
      <w:r w:rsidRPr="00DC4AC4">
        <w:rPr>
          <w:rStyle w:val="Znakapoznpodarou"/>
          <w:sz w:val="16"/>
          <w:szCs w:val="16"/>
        </w:rPr>
        <w:footnoteRef/>
      </w:r>
      <w:r w:rsidRPr="00DC4AC4">
        <w:rPr>
          <w:sz w:val="16"/>
          <w:szCs w:val="16"/>
        </w:rPr>
        <w:t xml:space="preserve"> </w:t>
      </w:r>
      <w:r w:rsidRPr="00DC4AC4">
        <w:rPr>
          <w:spacing w:val="-4"/>
          <w:sz w:val="16"/>
          <w:szCs w:val="16"/>
        </w:rPr>
        <w:t>Kromě</w:t>
      </w:r>
      <w:r>
        <w:rPr>
          <w:spacing w:val="-4"/>
          <w:sz w:val="16"/>
          <w:szCs w:val="16"/>
        </w:rPr>
        <w:t xml:space="preserve"> </w:t>
      </w:r>
      <w:r w:rsidRPr="003F0F7D">
        <w:rPr>
          <w:spacing w:val="-4"/>
          <w:sz w:val="16"/>
          <w:szCs w:val="16"/>
        </w:rPr>
        <w:t>automobilové</w:t>
      </w:r>
      <w:r>
        <w:rPr>
          <w:spacing w:val="-4"/>
          <w:sz w:val="16"/>
          <w:szCs w:val="16"/>
        </w:rPr>
        <w:t>ho</w:t>
      </w:r>
      <w:r w:rsidRPr="003F0F7D">
        <w:rPr>
          <w:spacing w:val="-4"/>
          <w:sz w:val="16"/>
          <w:szCs w:val="16"/>
        </w:rPr>
        <w:t xml:space="preserve"> průmyslu</w:t>
      </w:r>
      <w:r>
        <w:rPr>
          <w:spacing w:val="-4"/>
          <w:sz w:val="16"/>
          <w:szCs w:val="16"/>
        </w:rPr>
        <w:t xml:space="preserve"> (98 %) se stále více projevoval i v ostatních důležitých oborech.</w:t>
      </w:r>
      <w:r w:rsidRPr="003F0F7D">
        <w:rPr>
          <w:spacing w:val="-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Limitoval také nadpoloviční podíl podniků ve</w:t>
      </w:r>
      <w:r w:rsidRPr="003F0F7D">
        <w:rPr>
          <w:spacing w:val="-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 xml:space="preserve">strojírenství, hutnictví, elektrotechnice </w:t>
      </w:r>
      <w:r w:rsidRPr="003F0F7D">
        <w:rPr>
          <w:spacing w:val="-4"/>
          <w:sz w:val="16"/>
          <w:szCs w:val="16"/>
        </w:rPr>
        <w:t>či chemickém průmyslu.</w:t>
      </w:r>
      <w:r>
        <w:rPr>
          <w:spacing w:val="-4"/>
          <w:sz w:val="16"/>
          <w:szCs w:val="16"/>
        </w:rPr>
        <w:t xml:space="preserve"> Vysoký byl ale i např. v papírenském (42 %) a tiskařském průmyslu (24 %) či ve výrobě stavebních materiálů (27 %).</w:t>
      </w:r>
    </w:p>
  </w:footnote>
  <w:footnote w:id="36">
    <w:p w14:paraId="13FA60E8" w14:textId="358DA3F9" w:rsidR="009112E3" w:rsidRPr="0015329F" w:rsidRDefault="009112E3" w:rsidP="00700E8A">
      <w:pPr>
        <w:pStyle w:val="Textpoznpodarou"/>
        <w:rPr>
          <w:spacing w:val="-3"/>
          <w:sz w:val="16"/>
          <w:szCs w:val="16"/>
        </w:rPr>
      </w:pPr>
      <w:r w:rsidRPr="0015329F">
        <w:rPr>
          <w:rStyle w:val="Znakapoznpodarou"/>
          <w:spacing w:val="-3"/>
          <w:sz w:val="16"/>
          <w:szCs w:val="16"/>
        </w:rPr>
        <w:footnoteRef/>
      </w:r>
      <w:r w:rsidRPr="0015329F">
        <w:rPr>
          <w:spacing w:val="-3"/>
          <w:sz w:val="16"/>
          <w:szCs w:val="16"/>
        </w:rPr>
        <w:t xml:space="preserve"> V některých vesměs menších oborech slabá poptávka stále představovala nejvýznamnější limitující faktor rozvoje. Šlo o výrobu nápojů (83 %), textilní a tiskárenský průmysl (shodně 71 %), kožedělný průmysl (56 %), farmacii (58 %). Z větších oborů sužovala nejvíce gumárenství a </w:t>
      </w:r>
      <w:proofErr w:type="spellStart"/>
      <w:r w:rsidRPr="0015329F">
        <w:rPr>
          <w:spacing w:val="-3"/>
          <w:sz w:val="16"/>
          <w:szCs w:val="16"/>
        </w:rPr>
        <w:t>plastikářství</w:t>
      </w:r>
      <w:proofErr w:type="spellEnd"/>
      <w:r w:rsidRPr="0015329F">
        <w:rPr>
          <w:spacing w:val="-3"/>
          <w:sz w:val="16"/>
          <w:szCs w:val="16"/>
        </w:rPr>
        <w:t xml:space="preserve"> (68 %), výrobu počítačů, elektronických a optických přístrojů a výrobu elektrických zařízení (shodně téměř 50 %).</w:t>
      </w:r>
    </w:p>
  </w:footnote>
  <w:footnote w:id="37">
    <w:p w14:paraId="0764518B" w14:textId="77777777" w:rsidR="009112E3" w:rsidRPr="007A0D91" w:rsidRDefault="009112E3" w:rsidP="00700E8A">
      <w:pPr>
        <w:pStyle w:val="Textpoznpodarou"/>
        <w:rPr>
          <w:sz w:val="16"/>
          <w:szCs w:val="16"/>
        </w:rPr>
      </w:pPr>
      <w:r w:rsidRPr="007A0D91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Například v nábytkářství, výrobě ostatních dopravních prostředků, kovodělném průmyslu či výrobě stavebních materiálů.</w:t>
      </w:r>
    </w:p>
  </w:footnote>
  <w:footnote w:id="38">
    <w:p w14:paraId="2E98E9E2" w14:textId="77777777" w:rsidR="009112E3" w:rsidRPr="00331A9D" w:rsidRDefault="009112E3" w:rsidP="00700E8A">
      <w:pPr>
        <w:pStyle w:val="Textpoznpodarou"/>
        <w:rPr>
          <w:sz w:val="16"/>
          <w:szCs w:val="16"/>
        </w:rPr>
      </w:pPr>
      <w:r w:rsidRPr="00331A9D">
        <w:rPr>
          <w:rStyle w:val="Znakapoznpodarou"/>
          <w:sz w:val="16"/>
          <w:szCs w:val="16"/>
        </w:rPr>
        <w:footnoteRef/>
      </w:r>
      <w:r w:rsidRPr="00331A9D">
        <w:rPr>
          <w:sz w:val="16"/>
          <w:szCs w:val="16"/>
        </w:rPr>
        <w:t xml:space="preserve"> Např</w:t>
      </w:r>
      <w:r>
        <w:rPr>
          <w:sz w:val="16"/>
          <w:szCs w:val="16"/>
        </w:rPr>
        <w:t>íklad</w:t>
      </w:r>
      <w:r w:rsidRPr="00331A9D">
        <w:rPr>
          <w:sz w:val="16"/>
          <w:szCs w:val="16"/>
        </w:rPr>
        <w:t xml:space="preserve"> rozpočet Státního fondu dopravní infrastruktury počítal (</w:t>
      </w:r>
      <w:r>
        <w:rPr>
          <w:sz w:val="16"/>
          <w:szCs w:val="16"/>
        </w:rPr>
        <w:t>dle první schválené verze</w:t>
      </w:r>
      <w:r w:rsidRPr="00331A9D">
        <w:rPr>
          <w:sz w:val="16"/>
          <w:szCs w:val="16"/>
        </w:rPr>
        <w:t xml:space="preserve"> státního rozpočtu) v roce 2021 s investičními transfery z</w:t>
      </w:r>
      <w:r>
        <w:rPr>
          <w:sz w:val="16"/>
          <w:szCs w:val="16"/>
        </w:rPr>
        <w:t>e státního</w:t>
      </w:r>
      <w:r w:rsidRPr="00331A9D">
        <w:rPr>
          <w:sz w:val="16"/>
          <w:szCs w:val="16"/>
        </w:rPr>
        <w:t xml:space="preserve"> rozpočtu v rekordní výši </w:t>
      </w:r>
      <w:r>
        <w:rPr>
          <w:sz w:val="16"/>
          <w:szCs w:val="16"/>
        </w:rPr>
        <w:t>80,4 mld. korun.</w:t>
      </w:r>
    </w:p>
  </w:footnote>
  <w:footnote w:id="39">
    <w:p w14:paraId="3B515945" w14:textId="77777777" w:rsidR="009112E3" w:rsidRPr="00C94BE8" w:rsidRDefault="009112E3" w:rsidP="00700E8A">
      <w:pPr>
        <w:pStyle w:val="Textpoznpodarou"/>
        <w:jc w:val="both"/>
        <w:rPr>
          <w:spacing w:val="-2"/>
          <w:sz w:val="16"/>
          <w:szCs w:val="16"/>
        </w:rPr>
      </w:pPr>
      <w:r w:rsidRPr="00C94BE8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Ú</w:t>
      </w:r>
      <w:r w:rsidRPr="00C94BE8">
        <w:rPr>
          <w:rFonts w:cs="Arial"/>
          <w:color w:val="0D0D0D" w:themeColor="text1" w:themeTint="F2"/>
          <w:spacing w:val="-2"/>
          <w:sz w:val="16"/>
          <w:szCs w:val="16"/>
        </w:rPr>
        <w:t xml:space="preserve">daje o stavební produkci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jsou ve stálých cenách, meziroční tempa </w:t>
      </w:r>
      <w:r w:rsidRPr="00C94BE8">
        <w:rPr>
          <w:rFonts w:cs="Arial"/>
          <w:color w:val="0D0D0D" w:themeColor="text1" w:themeTint="F2"/>
          <w:spacing w:val="-2"/>
          <w:sz w:val="16"/>
          <w:szCs w:val="16"/>
        </w:rPr>
        <w:t>jsou očištěn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a</w:t>
      </w:r>
      <w:r w:rsidRPr="00C94BE8">
        <w:rPr>
          <w:rFonts w:cs="Arial"/>
          <w:color w:val="0D0D0D" w:themeColor="text1" w:themeTint="F2"/>
          <w:spacing w:val="-2"/>
          <w:sz w:val="16"/>
          <w:szCs w:val="16"/>
        </w:rPr>
        <w:t xml:space="preserve"> o kalendá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řní vlivy, mezičtvrtletní též</w:t>
      </w:r>
      <w:r w:rsidRPr="00C94BE8">
        <w:rPr>
          <w:rFonts w:cs="Arial"/>
          <w:color w:val="0D0D0D" w:themeColor="text1" w:themeTint="F2"/>
          <w:spacing w:val="-2"/>
          <w:sz w:val="16"/>
          <w:szCs w:val="16"/>
        </w:rPr>
        <w:t xml:space="preserve"> o vliv sezónnosti.</w:t>
      </w:r>
    </w:p>
  </w:footnote>
  <w:footnote w:id="40">
    <w:p w14:paraId="3ADA818F" w14:textId="77777777" w:rsidR="009112E3" w:rsidRPr="00DE38E6" w:rsidRDefault="009112E3" w:rsidP="00700E8A">
      <w:pPr>
        <w:spacing w:after="0" w:line="240" w:lineRule="auto"/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>
        <w:rPr>
          <w:color w:val="0D0D0D" w:themeColor="text1" w:themeTint="F2"/>
          <w:sz w:val="16"/>
          <w:szCs w:val="16"/>
        </w:rPr>
        <w:t xml:space="preserve"> </w:t>
      </w:r>
      <w:r w:rsidRPr="004A26AF">
        <w:rPr>
          <w:color w:val="0D0D0D" w:themeColor="text1" w:themeTint="F2"/>
          <w:sz w:val="16"/>
          <w:szCs w:val="16"/>
        </w:rPr>
        <w:t>Bez obchodu, peněžnictví, poji</w:t>
      </w:r>
      <w:r>
        <w:rPr>
          <w:color w:val="0D0D0D" w:themeColor="text1" w:themeTint="F2"/>
          <w:sz w:val="16"/>
          <w:szCs w:val="16"/>
        </w:rPr>
        <w:t>šťovnictví, vědy, výzkumu a veřejných</w:t>
      </w:r>
      <w:r w:rsidRPr="004A26AF">
        <w:rPr>
          <w:color w:val="0D0D0D" w:themeColor="text1" w:themeTint="F2"/>
          <w:sz w:val="16"/>
          <w:szCs w:val="16"/>
        </w:rPr>
        <w:t xml:space="preserve"> služeb. Všechny údaje za služby jsou </w:t>
      </w:r>
      <w:r>
        <w:rPr>
          <w:color w:val="0D0D0D" w:themeColor="text1" w:themeTint="F2"/>
          <w:sz w:val="16"/>
          <w:szCs w:val="16"/>
        </w:rPr>
        <w:t xml:space="preserve">ve stálých cenách, meziroční údaje jsou </w:t>
      </w:r>
      <w:r w:rsidRPr="004A26AF">
        <w:rPr>
          <w:color w:val="0D0D0D" w:themeColor="text1" w:themeTint="F2"/>
          <w:sz w:val="16"/>
          <w:szCs w:val="16"/>
        </w:rPr>
        <w:t>očištěny o</w:t>
      </w:r>
      <w:r>
        <w:rPr>
          <w:color w:val="0D0D0D" w:themeColor="text1" w:themeTint="F2"/>
          <w:sz w:val="16"/>
          <w:szCs w:val="16"/>
        </w:rPr>
        <w:t> </w:t>
      </w:r>
      <w:r w:rsidRPr="004A26AF">
        <w:rPr>
          <w:color w:val="0D0D0D" w:themeColor="text1" w:themeTint="F2"/>
          <w:sz w:val="16"/>
          <w:szCs w:val="16"/>
        </w:rPr>
        <w:t>kal</w:t>
      </w:r>
      <w:r>
        <w:rPr>
          <w:color w:val="0D0D0D" w:themeColor="text1" w:themeTint="F2"/>
          <w:sz w:val="16"/>
          <w:szCs w:val="16"/>
        </w:rPr>
        <w:t>endářní vlivy, mezičtvrtletní i meziměsíční jsou očištěny o 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  <w:footnote w:id="41">
    <w:p w14:paraId="6BA92E74" w14:textId="77777777" w:rsidR="009112E3" w:rsidRPr="00755255" w:rsidRDefault="009112E3" w:rsidP="00700E8A">
      <w:pPr>
        <w:pStyle w:val="Textpoznpodarou"/>
        <w:rPr>
          <w:sz w:val="16"/>
          <w:szCs w:val="16"/>
        </w:rPr>
      </w:pPr>
      <w:r w:rsidRPr="00755255">
        <w:rPr>
          <w:rStyle w:val="Znakapoznpodarou"/>
          <w:sz w:val="16"/>
          <w:szCs w:val="16"/>
        </w:rPr>
        <w:footnoteRef/>
      </w:r>
      <w:r w:rsidRPr="00755255">
        <w:rPr>
          <w:sz w:val="16"/>
          <w:szCs w:val="16"/>
        </w:rPr>
        <w:t xml:space="preserve"> </w:t>
      </w:r>
      <w:r w:rsidRPr="00755255">
        <w:rPr>
          <w:rFonts w:cs="Arial"/>
          <w:bCs/>
          <w:spacing w:val="-2"/>
          <w:sz w:val="16"/>
          <w:szCs w:val="16"/>
        </w:rPr>
        <w:t>Ve 3.</w:t>
      </w:r>
      <w:r>
        <w:rPr>
          <w:rFonts w:cs="Arial"/>
          <w:bCs/>
          <w:spacing w:val="-2"/>
          <w:sz w:val="16"/>
          <w:szCs w:val="16"/>
        </w:rPr>
        <w:t> čt</w:t>
      </w:r>
      <w:r w:rsidRPr="00755255">
        <w:rPr>
          <w:rFonts w:cs="Arial"/>
          <w:bCs/>
          <w:spacing w:val="-2"/>
          <w:sz w:val="16"/>
          <w:szCs w:val="16"/>
        </w:rPr>
        <w:t>vrtletí zavítalo do hromadných ubytovacích zařízení v Česku 6,7</w:t>
      </w:r>
      <w:r>
        <w:rPr>
          <w:rFonts w:cs="Arial"/>
          <w:bCs/>
          <w:spacing w:val="-2"/>
          <w:sz w:val="16"/>
          <w:szCs w:val="16"/>
        </w:rPr>
        <w:t> mil.</w:t>
      </w:r>
      <w:r w:rsidRPr="00755255">
        <w:rPr>
          <w:rFonts w:cs="Arial"/>
          <w:bCs/>
          <w:spacing w:val="-2"/>
          <w:sz w:val="16"/>
          <w:szCs w:val="16"/>
        </w:rPr>
        <w:t xml:space="preserve"> návštěvníků. Meziročně jich přibylo o</w:t>
      </w:r>
      <w:r>
        <w:rPr>
          <w:rFonts w:cs="Arial"/>
          <w:bCs/>
          <w:spacing w:val="-2"/>
          <w:sz w:val="16"/>
          <w:szCs w:val="16"/>
        </w:rPr>
        <w:t> </w:t>
      </w:r>
      <w:r w:rsidRPr="00755255">
        <w:rPr>
          <w:rFonts w:cs="Arial"/>
          <w:bCs/>
          <w:spacing w:val="-2"/>
          <w:sz w:val="16"/>
          <w:szCs w:val="16"/>
        </w:rPr>
        <w:t>12,5</w:t>
      </w:r>
      <w:r>
        <w:rPr>
          <w:rFonts w:cs="Arial"/>
          <w:bCs/>
          <w:spacing w:val="-2"/>
          <w:sz w:val="16"/>
          <w:szCs w:val="16"/>
        </w:rPr>
        <w:t xml:space="preserve"> %, především zásluhou domácí klientely. Zahraniční návštěvnost táhli hlavně občané Slovenska. Poláků a Němců se ubytovalo meziročně skoro o desetinu méně, neboť loni jejich návštěvnost dramaticky nepropadla. Vlivem zhoršené epidemické situace i administrativních překážek v cestování přetrval velmi nízký počet hostů z Ruska, Velké Británie či vzdálených asijských států. </w:t>
      </w:r>
      <w:r w:rsidRPr="00755255">
        <w:rPr>
          <w:rFonts w:cs="Arial"/>
          <w:bCs/>
          <w:spacing w:val="-2"/>
          <w:sz w:val="16"/>
          <w:szCs w:val="16"/>
        </w:rPr>
        <w:t>Ve srovnání se 3.</w:t>
      </w:r>
      <w:r>
        <w:rPr>
          <w:rFonts w:cs="Arial"/>
          <w:bCs/>
          <w:spacing w:val="-2"/>
          <w:sz w:val="16"/>
          <w:szCs w:val="16"/>
        </w:rPr>
        <w:t> čt</w:t>
      </w:r>
      <w:r w:rsidRPr="00755255">
        <w:rPr>
          <w:rFonts w:cs="Arial"/>
          <w:bCs/>
          <w:spacing w:val="-2"/>
          <w:sz w:val="16"/>
          <w:szCs w:val="16"/>
        </w:rPr>
        <w:t>vrtletím 2019, kdy rozvoj turismu v Česku vrcholil, byl letos p</w:t>
      </w:r>
      <w:r>
        <w:rPr>
          <w:rFonts w:cs="Arial"/>
          <w:bCs/>
          <w:spacing w:val="-2"/>
          <w:sz w:val="16"/>
          <w:szCs w:val="16"/>
        </w:rPr>
        <w:t>očet všech zahraničních hostů nižší o</w:t>
      </w:r>
      <w:r>
        <w:rPr>
          <w:color w:val="0D0D0D" w:themeColor="text1" w:themeTint="F2"/>
          <w:sz w:val="16"/>
          <w:szCs w:val="16"/>
        </w:rPr>
        <w:t> </w:t>
      </w:r>
      <w:r w:rsidRPr="00755255">
        <w:rPr>
          <w:rFonts w:cs="Arial"/>
          <w:bCs/>
          <w:spacing w:val="-2"/>
          <w:sz w:val="16"/>
          <w:szCs w:val="16"/>
        </w:rPr>
        <w:t>62</w:t>
      </w:r>
      <w:r>
        <w:rPr>
          <w:rFonts w:cs="Arial"/>
          <w:bCs/>
          <w:spacing w:val="-2"/>
          <w:sz w:val="16"/>
          <w:szCs w:val="16"/>
        </w:rPr>
        <w:t> %</w:t>
      </w:r>
      <w:r w:rsidRPr="00755255">
        <w:rPr>
          <w:rFonts w:cs="Arial"/>
          <w:bCs/>
          <w:spacing w:val="-2"/>
          <w:sz w:val="16"/>
          <w:szCs w:val="16"/>
        </w:rPr>
        <w:t>, návštěvníků z tuzemska ale o 29</w:t>
      </w:r>
      <w:r>
        <w:rPr>
          <w:rFonts w:cs="Arial"/>
          <w:bCs/>
          <w:spacing w:val="-2"/>
          <w:sz w:val="16"/>
          <w:szCs w:val="16"/>
        </w:rPr>
        <w:t> %</w:t>
      </w:r>
      <w:r w:rsidRPr="00755255">
        <w:rPr>
          <w:rFonts w:cs="Arial"/>
          <w:bCs/>
          <w:spacing w:val="-2"/>
          <w:sz w:val="16"/>
          <w:szCs w:val="16"/>
        </w:rPr>
        <w:t xml:space="preserve"> přibylo.</w:t>
      </w:r>
    </w:p>
  </w:footnote>
  <w:footnote w:id="42">
    <w:p w14:paraId="5467FA5F" w14:textId="77777777" w:rsidR="009112E3" w:rsidRPr="00465453" w:rsidRDefault="009112E3" w:rsidP="00700E8A">
      <w:pPr>
        <w:pStyle w:val="Textpoznpodarou"/>
        <w:rPr>
          <w:sz w:val="16"/>
          <w:szCs w:val="16"/>
        </w:rPr>
      </w:pPr>
      <w:r w:rsidRPr="00465453">
        <w:rPr>
          <w:rStyle w:val="Znakapoznpodarou"/>
          <w:sz w:val="16"/>
          <w:szCs w:val="16"/>
        </w:rPr>
        <w:footnoteRef/>
      </w:r>
      <w:r w:rsidRPr="00465453">
        <w:rPr>
          <w:sz w:val="16"/>
          <w:szCs w:val="16"/>
        </w:rPr>
        <w:t xml:space="preserve"> Dokládají to i</w:t>
      </w:r>
      <w:r>
        <w:rPr>
          <w:sz w:val="16"/>
          <w:szCs w:val="16"/>
        </w:rPr>
        <w:t> </w:t>
      </w:r>
      <w:r w:rsidRPr="00465453">
        <w:rPr>
          <w:sz w:val="16"/>
          <w:szCs w:val="16"/>
        </w:rPr>
        <w:t xml:space="preserve">údaje ze segmentu filmové distribuce. Provoz kin byl postupně obnoven </w:t>
      </w:r>
      <w:r>
        <w:rPr>
          <w:sz w:val="16"/>
          <w:szCs w:val="16"/>
        </w:rPr>
        <w:t xml:space="preserve">letos </w:t>
      </w:r>
      <w:r w:rsidRPr="00465453">
        <w:rPr>
          <w:sz w:val="16"/>
          <w:szCs w:val="16"/>
        </w:rPr>
        <w:t>na přelomu května a</w:t>
      </w:r>
      <w:r>
        <w:rPr>
          <w:sz w:val="16"/>
          <w:szCs w:val="16"/>
        </w:rPr>
        <w:t> </w:t>
      </w:r>
      <w:r w:rsidRPr="00465453">
        <w:rPr>
          <w:sz w:val="16"/>
          <w:szCs w:val="16"/>
        </w:rPr>
        <w:t>června. Od července, kdy byla povolena i</w:t>
      </w:r>
      <w:r>
        <w:rPr>
          <w:sz w:val="16"/>
          <w:szCs w:val="16"/>
        </w:rPr>
        <w:t> </w:t>
      </w:r>
      <w:r w:rsidRPr="00465453">
        <w:rPr>
          <w:sz w:val="16"/>
          <w:szCs w:val="16"/>
        </w:rPr>
        <w:t xml:space="preserve">možnost občerstvení v sále, </w:t>
      </w:r>
      <w:r>
        <w:rPr>
          <w:sz w:val="16"/>
          <w:szCs w:val="16"/>
        </w:rPr>
        <w:t xml:space="preserve">se </w:t>
      </w:r>
      <w:r w:rsidRPr="00465453">
        <w:rPr>
          <w:sz w:val="16"/>
          <w:szCs w:val="16"/>
        </w:rPr>
        <w:t xml:space="preserve">počet návštěvníků začal vracet na </w:t>
      </w:r>
      <w:proofErr w:type="spellStart"/>
      <w:r w:rsidRPr="00465453">
        <w:rPr>
          <w:sz w:val="16"/>
          <w:szCs w:val="16"/>
        </w:rPr>
        <w:t>předpandemickou</w:t>
      </w:r>
      <w:proofErr w:type="spellEnd"/>
      <w:r w:rsidRPr="00465453">
        <w:rPr>
          <w:sz w:val="16"/>
          <w:szCs w:val="16"/>
        </w:rPr>
        <w:t xml:space="preserve"> úroveň. Ve 3.</w:t>
      </w:r>
      <w:r>
        <w:rPr>
          <w:sz w:val="16"/>
          <w:szCs w:val="16"/>
        </w:rPr>
        <w:t> čt</w:t>
      </w:r>
      <w:r w:rsidRPr="00465453">
        <w:rPr>
          <w:sz w:val="16"/>
          <w:szCs w:val="16"/>
        </w:rPr>
        <w:t xml:space="preserve">vrtletí </w:t>
      </w:r>
      <w:r>
        <w:rPr>
          <w:sz w:val="16"/>
          <w:szCs w:val="16"/>
        </w:rPr>
        <w:t>tak zavítalo do kin v Česku</w:t>
      </w:r>
      <w:r w:rsidRPr="004654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již </w:t>
      </w:r>
      <w:r w:rsidRPr="00465453">
        <w:rPr>
          <w:sz w:val="16"/>
          <w:szCs w:val="16"/>
        </w:rPr>
        <w:t>3,5</w:t>
      </w:r>
      <w:r>
        <w:rPr>
          <w:sz w:val="16"/>
          <w:szCs w:val="16"/>
        </w:rPr>
        <w:t> mil.</w:t>
      </w:r>
      <w:r w:rsidRPr="00465453">
        <w:rPr>
          <w:sz w:val="16"/>
          <w:szCs w:val="16"/>
        </w:rPr>
        <w:t xml:space="preserve"> diváků, meziročně o</w:t>
      </w:r>
      <w:r>
        <w:rPr>
          <w:sz w:val="16"/>
          <w:szCs w:val="16"/>
        </w:rPr>
        <w:t> </w:t>
      </w:r>
      <w:r w:rsidRPr="00465453">
        <w:rPr>
          <w:sz w:val="16"/>
          <w:szCs w:val="16"/>
        </w:rPr>
        <w:t>polovinu více a</w:t>
      </w:r>
      <w:r>
        <w:rPr>
          <w:sz w:val="16"/>
          <w:szCs w:val="16"/>
        </w:rPr>
        <w:t> </w:t>
      </w:r>
      <w:r w:rsidRPr="00465453">
        <w:rPr>
          <w:sz w:val="16"/>
          <w:szCs w:val="16"/>
        </w:rPr>
        <w:t>ve srovnání se shodným obdobím v roce 2019 o</w:t>
      </w:r>
      <w:r>
        <w:rPr>
          <w:sz w:val="16"/>
          <w:szCs w:val="16"/>
        </w:rPr>
        <w:t> </w:t>
      </w:r>
      <w:r w:rsidRPr="00465453">
        <w:rPr>
          <w:sz w:val="16"/>
          <w:szCs w:val="16"/>
        </w:rPr>
        <w:t>17</w:t>
      </w:r>
      <w:r>
        <w:rPr>
          <w:sz w:val="16"/>
          <w:szCs w:val="16"/>
        </w:rPr>
        <w:t xml:space="preserve"> % </w:t>
      </w:r>
      <w:r w:rsidRPr="00465453">
        <w:rPr>
          <w:sz w:val="16"/>
          <w:szCs w:val="16"/>
        </w:rPr>
        <w:t>méně. Návrat k normálu potvr</w:t>
      </w:r>
      <w:r>
        <w:rPr>
          <w:sz w:val="16"/>
          <w:szCs w:val="16"/>
        </w:rPr>
        <w:t>dila i velmi dobrá návštěvnost v</w:t>
      </w:r>
      <w:r w:rsidRPr="00465453">
        <w:rPr>
          <w:sz w:val="16"/>
          <w:szCs w:val="16"/>
        </w:rPr>
        <w:t> letošním říjnu (1,5</w:t>
      </w:r>
      <w:r>
        <w:rPr>
          <w:sz w:val="16"/>
          <w:szCs w:val="16"/>
        </w:rPr>
        <w:t> mil. diváků</w:t>
      </w:r>
      <w:r w:rsidRPr="00465453">
        <w:rPr>
          <w:sz w:val="16"/>
          <w:szCs w:val="16"/>
        </w:rPr>
        <w:t>).</w:t>
      </w:r>
    </w:p>
  </w:footnote>
  <w:footnote w:id="43">
    <w:p w14:paraId="33FCED72" w14:textId="77777777" w:rsidR="009112E3" w:rsidRPr="000454BD" w:rsidRDefault="009112E3" w:rsidP="00700E8A">
      <w:pPr>
        <w:spacing w:after="0" w:line="240" w:lineRule="auto"/>
        <w:rPr>
          <w:spacing w:val="-2"/>
          <w:sz w:val="16"/>
          <w:szCs w:val="16"/>
        </w:rPr>
      </w:pPr>
      <w:r w:rsidRPr="00BE7370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BE7370">
        <w:rPr>
          <w:color w:val="0D0D0D" w:themeColor="text1" w:themeTint="F2"/>
          <w:spacing w:val="-2"/>
          <w:sz w:val="16"/>
          <w:szCs w:val="16"/>
        </w:rPr>
        <w:t xml:space="preserve"> Všechna meziroční tempa tržeb za maloobchod jsou uvedena ve stálých cenách a očištěna o kalendářní vlivy, mezičtvrtletní či meziměsíční tempa jsou očištěna o sezónní vlivy (včetně vlivu počtu pracovních dnů). Maloobchod zahrnuje odvětví CZ-NACE 47.</w:t>
      </w:r>
    </w:p>
  </w:footnote>
  <w:footnote w:id="44">
    <w:p w14:paraId="092E0D94" w14:textId="71437158" w:rsidR="009112E3" w:rsidRPr="004B01AD" w:rsidRDefault="009112E3" w:rsidP="00700E8A">
      <w:pPr>
        <w:pStyle w:val="Textpoznpodarou"/>
        <w:rPr>
          <w:sz w:val="16"/>
          <w:szCs w:val="16"/>
        </w:rPr>
      </w:pPr>
      <w:r w:rsidRPr="00BE7370">
        <w:rPr>
          <w:rStyle w:val="Znakapoznpodarou"/>
          <w:spacing w:val="-2"/>
          <w:sz w:val="16"/>
          <w:szCs w:val="16"/>
        </w:rPr>
        <w:footnoteRef/>
      </w:r>
      <w:r w:rsidRPr="00BE7370">
        <w:rPr>
          <w:spacing w:val="-2"/>
          <w:sz w:val="16"/>
          <w:szCs w:val="16"/>
        </w:rPr>
        <w:t xml:space="preserve"> Rostly</w:t>
      </w:r>
      <w:r>
        <w:rPr>
          <w:spacing w:val="-2"/>
          <w:sz w:val="16"/>
          <w:szCs w:val="16"/>
        </w:rPr>
        <w:t xml:space="preserve"> tak vyšším tempem než v EU (3,2 %</w:t>
      </w:r>
      <w:r w:rsidRPr="00BE7370">
        <w:rPr>
          <w:spacing w:val="-2"/>
          <w:sz w:val="16"/>
          <w:szCs w:val="16"/>
        </w:rPr>
        <w:t>) i</w:t>
      </w:r>
      <w:r>
        <w:rPr>
          <w:spacing w:val="-2"/>
          <w:sz w:val="16"/>
          <w:szCs w:val="16"/>
        </w:rPr>
        <w:t> </w:t>
      </w:r>
      <w:r w:rsidRPr="00BE7370">
        <w:rPr>
          <w:spacing w:val="-2"/>
          <w:sz w:val="16"/>
          <w:szCs w:val="16"/>
        </w:rPr>
        <w:t>eurozóně (2,4</w:t>
      </w:r>
      <w:r>
        <w:rPr>
          <w:spacing w:val="-2"/>
          <w:sz w:val="16"/>
          <w:szCs w:val="16"/>
        </w:rPr>
        <w:t> %</w:t>
      </w:r>
      <w:r w:rsidRPr="00BE7370">
        <w:rPr>
          <w:spacing w:val="-2"/>
          <w:sz w:val="16"/>
          <w:szCs w:val="16"/>
        </w:rPr>
        <w:t>). Za úrovní z</w:t>
      </w:r>
      <w:r>
        <w:rPr>
          <w:spacing w:val="-2"/>
          <w:sz w:val="16"/>
          <w:szCs w:val="16"/>
        </w:rPr>
        <w:t> </w:t>
      </w:r>
      <w:r w:rsidRPr="00BE7370">
        <w:rPr>
          <w:spacing w:val="-2"/>
          <w:sz w:val="16"/>
          <w:szCs w:val="16"/>
        </w:rPr>
        <w:t>loňského 3.</w:t>
      </w:r>
      <w:r>
        <w:rPr>
          <w:spacing w:val="-2"/>
          <w:sz w:val="16"/>
          <w:szCs w:val="16"/>
        </w:rPr>
        <w:t> čt</w:t>
      </w:r>
      <w:r w:rsidRPr="00BE7370">
        <w:rPr>
          <w:spacing w:val="-2"/>
          <w:sz w:val="16"/>
          <w:szCs w:val="16"/>
        </w:rPr>
        <w:t>vrtletí mírně zaostaly jen v Lucembursku, Španělsku, Belgii a</w:t>
      </w:r>
      <w:r>
        <w:rPr>
          <w:spacing w:val="-2"/>
          <w:sz w:val="16"/>
          <w:szCs w:val="16"/>
        </w:rPr>
        <w:t> </w:t>
      </w:r>
      <w:r w:rsidRPr="00BE7370">
        <w:rPr>
          <w:spacing w:val="-2"/>
          <w:sz w:val="16"/>
          <w:szCs w:val="16"/>
        </w:rPr>
        <w:t>Ra</w:t>
      </w:r>
      <w:r>
        <w:rPr>
          <w:spacing w:val="-2"/>
          <w:sz w:val="16"/>
          <w:szCs w:val="16"/>
        </w:rPr>
        <w:t>kousku (vždy do</w:t>
      </w:r>
      <w:r w:rsidRPr="00BE7370">
        <w:rPr>
          <w:spacing w:val="-2"/>
          <w:sz w:val="16"/>
          <w:szCs w:val="16"/>
        </w:rPr>
        <w:t xml:space="preserve"> 1</w:t>
      </w:r>
      <w:r>
        <w:rPr>
          <w:spacing w:val="-2"/>
          <w:sz w:val="16"/>
          <w:szCs w:val="16"/>
        </w:rPr>
        <w:t> %</w:t>
      </w:r>
      <w:r w:rsidRPr="00BE7370">
        <w:rPr>
          <w:spacing w:val="-2"/>
          <w:sz w:val="16"/>
          <w:szCs w:val="16"/>
        </w:rPr>
        <w:t xml:space="preserve">), </w:t>
      </w:r>
      <w:r>
        <w:rPr>
          <w:spacing w:val="-2"/>
          <w:sz w:val="16"/>
          <w:szCs w:val="16"/>
        </w:rPr>
        <w:t>v</w:t>
      </w:r>
      <w:r w:rsidRPr="00BE7370">
        <w:rPr>
          <w:spacing w:val="-2"/>
          <w:sz w:val="16"/>
          <w:szCs w:val="16"/>
        </w:rPr>
        <w:t> Německu meziročně stagnovaly, na Slovensku vzrostly o</w:t>
      </w:r>
      <w:r>
        <w:rPr>
          <w:spacing w:val="-2"/>
          <w:sz w:val="16"/>
          <w:szCs w:val="16"/>
        </w:rPr>
        <w:t> </w:t>
      </w:r>
      <w:r w:rsidRPr="00BE7370">
        <w:rPr>
          <w:spacing w:val="-2"/>
          <w:sz w:val="16"/>
          <w:szCs w:val="16"/>
        </w:rPr>
        <w:t>3,0</w:t>
      </w:r>
      <w:r>
        <w:rPr>
          <w:spacing w:val="-2"/>
          <w:sz w:val="16"/>
          <w:szCs w:val="16"/>
        </w:rPr>
        <w:t> %, v Polsku o 9,0</w:t>
      </w:r>
      <w:r w:rsidRPr="00BE7370">
        <w:rPr>
          <w:spacing w:val="-2"/>
          <w:sz w:val="16"/>
          <w:szCs w:val="16"/>
        </w:rPr>
        <w:t> %. Tržby za potraviny klesly kromě ČR jen ve třetině států EU, naopak tuzemský růst tržeb za nepotravinářské zboží převyšoval tempo v </w:t>
      </w:r>
      <w:r>
        <w:rPr>
          <w:spacing w:val="-2"/>
          <w:sz w:val="16"/>
          <w:szCs w:val="16"/>
        </w:rPr>
        <w:t>Unii</w:t>
      </w:r>
      <w:r w:rsidRPr="00BE7370">
        <w:rPr>
          <w:spacing w:val="-2"/>
          <w:sz w:val="16"/>
          <w:szCs w:val="16"/>
        </w:rPr>
        <w:t xml:space="preserve"> (5,1</w:t>
      </w:r>
      <w:r>
        <w:rPr>
          <w:spacing w:val="-2"/>
          <w:sz w:val="16"/>
          <w:szCs w:val="16"/>
        </w:rPr>
        <w:t> %</w:t>
      </w:r>
      <w:r w:rsidRPr="00BE7370">
        <w:rPr>
          <w:spacing w:val="-2"/>
          <w:sz w:val="16"/>
          <w:szCs w:val="16"/>
        </w:rPr>
        <w:t>).</w:t>
      </w:r>
    </w:p>
  </w:footnote>
  <w:footnote w:id="45">
    <w:p w14:paraId="46CB8E1A" w14:textId="7D4EC787" w:rsidR="009112E3" w:rsidRPr="00BE7370" w:rsidRDefault="009112E3" w:rsidP="00700E8A">
      <w:pPr>
        <w:pStyle w:val="Textpoznpodarou"/>
        <w:rPr>
          <w:spacing w:val="-4"/>
          <w:sz w:val="16"/>
          <w:szCs w:val="16"/>
        </w:rPr>
      </w:pPr>
      <w:r w:rsidRPr="00BE7370">
        <w:rPr>
          <w:rStyle w:val="Znakapoznpodarou"/>
          <w:spacing w:val="-4"/>
          <w:sz w:val="16"/>
          <w:szCs w:val="16"/>
        </w:rPr>
        <w:footnoteRef/>
      </w:r>
      <w:r>
        <w:rPr>
          <w:spacing w:val="-4"/>
          <w:sz w:val="16"/>
          <w:szCs w:val="16"/>
        </w:rPr>
        <w:t xml:space="preserve"> Protože ani </w:t>
      </w:r>
      <w:r w:rsidRPr="00BE7370">
        <w:rPr>
          <w:spacing w:val="-4"/>
          <w:sz w:val="16"/>
          <w:szCs w:val="16"/>
        </w:rPr>
        <w:t xml:space="preserve">loni </w:t>
      </w:r>
      <w:r>
        <w:rPr>
          <w:spacing w:val="-4"/>
          <w:sz w:val="16"/>
          <w:szCs w:val="16"/>
        </w:rPr>
        <w:t>v </w:t>
      </w:r>
      <w:r w:rsidRPr="00BE7370">
        <w:rPr>
          <w:spacing w:val="-4"/>
          <w:sz w:val="16"/>
          <w:szCs w:val="16"/>
        </w:rPr>
        <w:t xml:space="preserve">létě nebyl obchod v tuzemsku omezen restrikcemi, odráží meziroční tempo dobře nákupní apetit domácností. Ten byl ovlivněn zvyšující se důvěrou spotřebitelů, která letos </w:t>
      </w:r>
      <w:r>
        <w:rPr>
          <w:spacing w:val="-4"/>
          <w:sz w:val="16"/>
          <w:szCs w:val="16"/>
        </w:rPr>
        <w:t>v </w:t>
      </w:r>
      <w:r w:rsidRPr="00BE7370">
        <w:rPr>
          <w:spacing w:val="-4"/>
          <w:sz w:val="16"/>
          <w:szCs w:val="16"/>
        </w:rPr>
        <w:t xml:space="preserve">srpnu vystoupala </w:t>
      </w:r>
      <w:r>
        <w:rPr>
          <w:spacing w:val="-4"/>
          <w:sz w:val="16"/>
          <w:szCs w:val="16"/>
        </w:rPr>
        <w:t>nejvý</w:t>
      </w:r>
      <w:r w:rsidRPr="00BE7370">
        <w:rPr>
          <w:spacing w:val="-4"/>
          <w:sz w:val="16"/>
          <w:szCs w:val="16"/>
        </w:rPr>
        <w:t>še od konce roku 2019. To souviselo s nízkou nezaměstnaností i</w:t>
      </w:r>
      <w:r>
        <w:rPr>
          <w:spacing w:val="-4"/>
          <w:sz w:val="16"/>
          <w:szCs w:val="16"/>
        </w:rPr>
        <w:t> </w:t>
      </w:r>
      <w:r w:rsidRPr="00BE7370">
        <w:rPr>
          <w:spacing w:val="-4"/>
          <w:sz w:val="16"/>
          <w:szCs w:val="16"/>
        </w:rPr>
        <w:t>pokračujícím reálným růstem mezd (podpořeným</w:t>
      </w:r>
      <w:r>
        <w:rPr>
          <w:spacing w:val="-4"/>
          <w:sz w:val="16"/>
          <w:szCs w:val="16"/>
        </w:rPr>
        <w:t xml:space="preserve"> vyplacením</w:t>
      </w:r>
      <w:r w:rsidRPr="00BE7370">
        <w:rPr>
          <w:spacing w:val="-4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 xml:space="preserve">mimořádných </w:t>
      </w:r>
      <w:r w:rsidRPr="00BE7370">
        <w:rPr>
          <w:spacing w:val="-4"/>
          <w:sz w:val="16"/>
          <w:szCs w:val="16"/>
        </w:rPr>
        <w:t>odměn v </w:t>
      </w:r>
      <w:r>
        <w:rPr>
          <w:spacing w:val="-4"/>
          <w:sz w:val="16"/>
          <w:szCs w:val="16"/>
        </w:rPr>
        <w:t>části</w:t>
      </w:r>
      <w:r w:rsidRPr="00BE7370">
        <w:rPr>
          <w:spacing w:val="-4"/>
          <w:sz w:val="16"/>
          <w:szCs w:val="16"/>
        </w:rPr>
        <w:t xml:space="preserve"> veřejného sektoru i</w:t>
      </w:r>
      <w:r>
        <w:rPr>
          <w:spacing w:val="-4"/>
          <w:sz w:val="16"/>
          <w:szCs w:val="16"/>
        </w:rPr>
        <w:t> </w:t>
      </w:r>
      <w:r w:rsidRPr="00BE7370">
        <w:rPr>
          <w:rFonts w:cs="Arial"/>
          <w:color w:val="0D0D0D" w:themeColor="text1" w:themeTint="F2"/>
          <w:spacing w:val="-4"/>
          <w:sz w:val="16"/>
          <w:szCs w:val="16"/>
        </w:rPr>
        <w:t>nižším zdaněním výdělků). Proti rychlejší realizaci odložené spotřeby mohly ale působit vysoké obavy lidí z růstu cen, které měly oporu i v reálném vývoji ekonomiky.</w:t>
      </w:r>
    </w:p>
  </w:footnote>
  <w:footnote w:id="46">
    <w:p w14:paraId="0A176326" w14:textId="77777777" w:rsidR="009112E3" w:rsidRDefault="009112E3" w:rsidP="00700E8A">
      <w:pPr>
        <w:pStyle w:val="Textpoznpodarou"/>
      </w:pPr>
      <w:r w:rsidRPr="00BB636A">
        <w:rPr>
          <w:rStyle w:val="Znakapoznpodarou"/>
          <w:sz w:val="16"/>
          <w:szCs w:val="16"/>
        </w:rPr>
        <w:footnoteRef/>
      </w:r>
      <w:r w:rsidRPr="00BB636A">
        <w:rPr>
          <w:sz w:val="16"/>
          <w:szCs w:val="16"/>
        </w:rPr>
        <w:t xml:space="preserve"> Průměrn</w:t>
      </w:r>
      <w:r>
        <w:rPr>
          <w:sz w:val="16"/>
          <w:szCs w:val="16"/>
        </w:rPr>
        <w:t>á cena benzinu Natural 95 (33,85</w:t>
      </w:r>
      <w:r w:rsidRPr="00BB636A">
        <w:rPr>
          <w:sz w:val="16"/>
          <w:szCs w:val="16"/>
        </w:rPr>
        <w:t> Kč/l) a průměrná cena motorové nafty (31,8</w:t>
      </w:r>
      <w:r>
        <w:rPr>
          <w:sz w:val="16"/>
          <w:szCs w:val="16"/>
        </w:rPr>
        <w:t>1</w:t>
      </w:r>
      <w:r w:rsidRPr="00BB636A">
        <w:rPr>
          <w:sz w:val="16"/>
          <w:szCs w:val="16"/>
        </w:rPr>
        <w:t> Kč/l) byly v září nejvyšší od</w:t>
      </w:r>
      <w:r>
        <w:rPr>
          <w:sz w:val="16"/>
          <w:szCs w:val="16"/>
        </w:rPr>
        <w:t xml:space="preserve"> </w:t>
      </w:r>
      <w:r w:rsidRPr="00BB636A">
        <w:rPr>
          <w:sz w:val="16"/>
          <w:szCs w:val="16"/>
        </w:rPr>
        <w:t>prosince 2014.</w:t>
      </w:r>
    </w:p>
  </w:footnote>
  <w:footnote w:id="47">
    <w:p w14:paraId="5D3C2E24" w14:textId="77777777" w:rsidR="009112E3" w:rsidRPr="003A7B9C" w:rsidRDefault="009112E3" w:rsidP="00FD7D3B">
      <w:pPr>
        <w:pStyle w:val="Textpoznpodarou"/>
        <w:rPr>
          <w:sz w:val="16"/>
          <w:szCs w:val="16"/>
        </w:rPr>
      </w:pPr>
      <w:r w:rsidRPr="003A7B9C">
        <w:rPr>
          <w:rStyle w:val="Znakapoznpodarou"/>
          <w:sz w:val="16"/>
          <w:szCs w:val="16"/>
        </w:rPr>
        <w:footnoteRef/>
      </w:r>
      <w:r w:rsidRPr="003A7B9C">
        <w:rPr>
          <w:sz w:val="16"/>
          <w:szCs w:val="16"/>
        </w:rPr>
        <w:t xml:space="preserve"> Projevilo se </w:t>
      </w:r>
      <w:r>
        <w:rPr>
          <w:sz w:val="16"/>
          <w:szCs w:val="16"/>
        </w:rPr>
        <w:t xml:space="preserve">zejména </w:t>
      </w:r>
      <w:r w:rsidRPr="003A7B9C">
        <w:rPr>
          <w:sz w:val="16"/>
          <w:szCs w:val="16"/>
        </w:rPr>
        <w:t>navýšení hodnoty vývozu kovového odpadu.</w:t>
      </w:r>
    </w:p>
  </w:footnote>
  <w:footnote w:id="48">
    <w:p w14:paraId="68C2FBBC" w14:textId="77777777" w:rsidR="009112E3" w:rsidRPr="009A4676" w:rsidRDefault="009112E3" w:rsidP="00FD7D3B">
      <w:pPr>
        <w:pStyle w:val="Textpoznpodarou"/>
        <w:rPr>
          <w:sz w:val="16"/>
          <w:szCs w:val="16"/>
        </w:rPr>
      </w:pPr>
      <w:r w:rsidRPr="009A4676">
        <w:rPr>
          <w:rStyle w:val="Znakapoznpodarou"/>
          <w:sz w:val="16"/>
          <w:szCs w:val="16"/>
        </w:rPr>
        <w:footnoteRef/>
      </w:r>
      <w:r w:rsidRPr="009A4676">
        <w:rPr>
          <w:sz w:val="16"/>
          <w:szCs w:val="16"/>
        </w:rPr>
        <w:t xml:space="preserve"> V rámci 3.</w:t>
      </w:r>
      <w:r>
        <w:rPr>
          <w:sz w:val="16"/>
          <w:szCs w:val="16"/>
        </w:rPr>
        <w:t> čtvrtlet</w:t>
      </w:r>
      <w:r w:rsidRPr="009A4676">
        <w:rPr>
          <w:sz w:val="16"/>
          <w:szCs w:val="16"/>
        </w:rPr>
        <w:t>í roku skončil zahraniční obchod se zbožím v deficitu v letech 2005–2008, 2010, 2011 a</w:t>
      </w:r>
      <w:r>
        <w:rPr>
          <w:sz w:val="16"/>
          <w:szCs w:val="16"/>
        </w:rPr>
        <w:t> </w:t>
      </w:r>
      <w:r w:rsidRPr="009A4676">
        <w:rPr>
          <w:sz w:val="16"/>
          <w:szCs w:val="16"/>
        </w:rPr>
        <w:t>2018.</w:t>
      </w:r>
    </w:p>
  </w:footnote>
  <w:footnote w:id="49">
    <w:p w14:paraId="1F18692A" w14:textId="77777777" w:rsidR="009112E3" w:rsidRPr="000A4298" w:rsidRDefault="009112E3" w:rsidP="006C3336">
      <w:pPr>
        <w:pStyle w:val="Textpoznpodarou"/>
        <w:rPr>
          <w:sz w:val="16"/>
          <w:szCs w:val="16"/>
        </w:rPr>
      </w:pPr>
      <w:r w:rsidRPr="000A4298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I</w:t>
      </w:r>
      <w:r w:rsidRPr="000A4298">
        <w:rPr>
          <w:sz w:val="16"/>
          <w:szCs w:val="16"/>
        </w:rPr>
        <w:t>mputované nájemné vyjadřuje náklady vlastnického bydlení.</w:t>
      </w:r>
      <w:r>
        <w:rPr>
          <w:sz w:val="16"/>
          <w:szCs w:val="16"/>
        </w:rPr>
        <w:t xml:space="preserve"> Kromě samotných cen bydlení zahrnuje i náklady na výstavbu a renovace a další poplatky. Více </w:t>
      </w:r>
      <w:proofErr w:type="gramStart"/>
      <w:r>
        <w:rPr>
          <w:sz w:val="16"/>
          <w:szCs w:val="16"/>
        </w:rPr>
        <w:t>na</w:t>
      </w:r>
      <w:proofErr w:type="gramEnd"/>
      <w:r>
        <w:rPr>
          <w:sz w:val="16"/>
          <w:szCs w:val="16"/>
        </w:rPr>
        <w:t>:</w:t>
      </w:r>
      <w:r w:rsidRPr="000A4298">
        <w:rPr>
          <w:sz w:val="16"/>
          <w:szCs w:val="16"/>
        </w:rPr>
        <w:t xml:space="preserve"> </w:t>
      </w:r>
      <w:hyperlink r:id="rId1" w:history="1">
        <w:r w:rsidRPr="000A4298">
          <w:rPr>
            <w:rStyle w:val="Hypertextovodkaz"/>
            <w:sz w:val="16"/>
            <w:szCs w:val="16"/>
          </w:rPr>
          <w:t>https://www.czso.cz/csu/czso/metodicka-poznamka-k-indexu-spotrebitelskych-cen-imputovane-najemne</w:t>
        </w:r>
      </w:hyperlink>
    </w:p>
  </w:footnote>
  <w:footnote w:id="50">
    <w:p w14:paraId="068728C2" w14:textId="77777777" w:rsidR="009112E3" w:rsidRPr="00C055FA" w:rsidRDefault="009112E3" w:rsidP="006C3336">
      <w:pPr>
        <w:pStyle w:val="Textpoznpodarou"/>
        <w:rPr>
          <w:sz w:val="16"/>
          <w:szCs w:val="16"/>
        </w:rPr>
      </w:pPr>
      <w:r w:rsidRPr="00C055FA">
        <w:rPr>
          <w:rStyle w:val="Znakapoznpodarou"/>
          <w:sz w:val="16"/>
          <w:szCs w:val="16"/>
        </w:rPr>
        <w:footnoteRef/>
      </w:r>
      <w:r w:rsidRPr="00C055FA">
        <w:rPr>
          <w:sz w:val="16"/>
          <w:szCs w:val="16"/>
        </w:rPr>
        <w:t xml:space="preserve"> HICP neobsahuje imputované nájemné.</w:t>
      </w:r>
    </w:p>
  </w:footnote>
  <w:footnote w:id="51">
    <w:p w14:paraId="0A334C4F" w14:textId="77777777" w:rsidR="009112E3" w:rsidRPr="005F66A4" w:rsidRDefault="009112E3" w:rsidP="006C3336">
      <w:pPr>
        <w:pStyle w:val="Textpoznpodarou"/>
        <w:rPr>
          <w:sz w:val="16"/>
          <w:szCs w:val="16"/>
        </w:rPr>
      </w:pPr>
      <w:r w:rsidRPr="005F66A4">
        <w:rPr>
          <w:rStyle w:val="Znakapoznpodarou"/>
          <w:sz w:val="16"/>
          <w:szCs w:val="16"/>
        </w:rPr>
        <w:footnoteRef/>
      </w:r>
      <w:r w:rsidRPr="005F66A4">
        <w:rPr>
          <w:sz w:val="16"/>
          <w:szCs w:val="16"/>
        </w:rPr>
        <w:t xml:space="preserve"> Individuální data.</w:t>
      </w:r>
    </w:p>
  </w:footnote>
  <w:footnote w:id="52">
    <w:p w14:paraId="6D031E28" w14:textId="77777777" w:rsidR="009112E3" w:rsidRPr="000C5F73" w:rsidRDefault="009112E3" w:rsidP="006C3336">
      <w:pPr>
        <w:pStyle w:val="Textpoznpodarou"/>
        <w:rPr>
          <w:sz w:val="16"/>
          <w:szCs w:val="16"/>
        </w:rPr>
      </w:pPr>
      <w:r w:rsidRPr="000C5F73">
        <w:rPr>
          <w:rStyle w:val="Znakapoznpodarou"/>
          <w:sz w:val="16"/>
          <w:szCs w:val="16"/>
        </w:rPr>
        <w:footnoteRef/>
      </w:r>
      <w:r w:rsidRPr="000C5F73">
        <w:rPr>
          <w:sz w:val="16"/>
          <w:szCs w:val="16"/>
        </w:rPr>
        <w:t xml:space="preserve"> Bez cen zásobování vodou a</w:t>
      </w:r>
      <w:r>
        <w:rPr>
          <w:sz w:val="16"/>
          <w:szCs w:val="16"/>
        </w:rPr>
        <w:t> </w:t>
      </w:r>
      <w:r w:rsidRPr="000C5F73">
        <w:rPr>
          <w:sz w:val="16"/>
          <w:szCs w:val="16"/>
        </w:rPr>
        <w:t>služeb souvisejících s odpadními vodami.</w:t>
      </w:r>
    </w:p>
  </w:footnote>
  <w:footnote w:id="53">
    <w:p w14:paraId="2BA8CBDC" w14:textId="66F96651" w:rsidR="009112E3" w:rsidRPr="00C11C5A" w:rsidRDefault="009112E3" w:rsidP="006C3336">
      <w:pPr>
        <w:pStyle w:val="Textpoznpodarou"/>
        <w:rPr>
          <w:sz w:val="16"/>
          <w:szCs w:val="16"/>
        </w:rPr>
      </w:pPr>
      <w:r w:rsidRPr="00C11C5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údajů ČNB ve 3</w:t>
      </w:r>
      <w:r w:rsidRPr="00C11C5A">
        <w:rPr>
          <w:sz w:val="16"/>
          <w:szCs w:val="16"/>
        </w:rPr>
        <w:t>.</w:t>
      </w:r>
      <w:r>
        <w:rPr>
          <w:sz w:val="16"/>
          <w:szCs w:val="16"/>
        </w:rPr>
        <w:t> čtvrtlet</w:t>
      </w:r>
      <w:r w:rsidRPr="00C11C5A">
        <w:rPr>
          <w:sz w:val="16"/>
          <w:szCs w:val="16"/>
        </w:rPr>
        <w:t>í 2020 průměrný kurz koruny vůči euru dosáhl 2</w:t>
      </w:r>
      <w:r>
        <w:rPr>
          <w:sz w:val="16"/>
          <w:szCs w:val="16"/>
        </w:rPr>
        <w:t>6,465 </w:t>
      </w:r>
      <w:r w:rsidRPr="00C11C5A">
        <w:rPr>
          <w:sz w:val="16"/>
          <w:szCs w:val="16"/>
        </w:rPr>
        <w:t>CZK/EUR. Letos to bylo 25,</w:t>
      </w:r>
      <w:r>
        <w:rPr>
          <w:sz w:val="16"/>
          <w:szCs w:val="16"/>
        </w:rPr>
        <w:t>496 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Silnější byl i kurz</w:t>
      </w:r>
      <w:r w:rsidRPr="00C11C5A">
        <w:rPr>
          <w:sz w:val="16"/>
          <w:szCs w:val="16"/>
        </w:rPr>
        <w:t xml:space="preserve"> vůči dolaru. Loni průměr ve </w:t>
      </w:r>
      <w:r>
        <w:rPr>
          <w:sz w:val="16"/>
          <w:szCs w:val="16"/>
        </w:rPr>
        <w:t>3</w:t>
      </w:r>
      <w:r w:rsidRPr="00C11C5A">
        <w:rPr>
          <w:sz w:val="16"/>
          <w:szCs w:val="16"/>
        </w:rPr>
        <w:t>.</w:t>
      </w:r>
      <w:r>
        <w:rPr>
          <w:sz w:val="16"/>
          <w:szCs w:val="16"/>
        </w:rPr>
        <w:t> čtvrtlet</w:t>
      </w:r>
      <w:r w:rsidRPr="00C11C5A">
        <w:rPr>
          <w:sz w:val="16"/>
          <w:szCs w:val="16"/>
        </w:rPr>
        <w:t>í činil 2</w:t>
      </w:r>
      <w:r>
        <w:rPr>
          <w:sz w:val="16"/>
          <w:szCs w:val="16"/>
        </w:rPr>
        <w:t>2,638 </w:t>
      </w:r>
      <w:r w:rsidRPr="00C11C5A">
        <w:rPr>
          <w:sz w:val="16"/>
          <w:szCs w:val="16"/>
        </w:rPr>
        <w:t>CZK/USD, letos 21,</w:t>
      </w:r>
      <w:r>
        <w:rPr>
          <w:sz w:val="16"/>
          <w:szCs w:val="16"/>
        </w:rPr>
        <w:t>629 </w:t>
      </w:r>
      <w:r w:rsidRPr="00C11C5A">
        <w:rPr>
          <w:sz w:val="16"/>
          <w:szCs w:val="16"/>
        </w:rPr>
        <w:t>CZK/U</w:t>
      </w:r>
      <w:r>
        <w:rPr>
          <w:sz w:val="16"/>
          <w:szCs w:val="16"/>
        </w:rPr>
        <w:t>SD</w:t>
      </w:r>
      <w:r w:rsidRPr="00C11C5A">
        <w:rPr>
          <w:sz w:val="16"/>
          <w:szCs w:val="16"/>
        </w:rPr>
        <w:t>.</w:t>
      </w:r>
    </w:p>
  </w:footnote>
  <w:footnote w:id="54">
    <w:p w14:paraId="05A17CFC" w14:textId="77777777" w:rsidR="009112E3" w:rsidRPr="00940B11" w:rsidRDefault="009112E3" w:rsidP="006C3336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2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suroviny nepoživatelné s výjimkou paliv</w:t>
      </w:r>
    </w:p>
  </w:footnote>
  <w:footnote w:id="55">
    <w:p w14:paraId="1F447CA8" w14:textId="77777777" w:rsidR="009112E3" w:rsidRPr="00940B11" w:rsidRDefault="009112E3" w:rsidP="006C3336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6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tržní výrobky tříděné hlavně podle materiálu</w:t>
      </w:r>
    </w:p>
  </w:footnote>
  <w:footnote w:id="56">
    <w:p w14:paraId="08C553CB" w14:textId="77777777" w:rsidR="009112E3" w:rsidRPr="00383FBE" w:rsidRDefault="009112E3" w:rsidP="00B34750">
      <w:pPr>
        <w:pStyle w:val="Textpoznpodarou"/>
        <w:rPr>
          <w:sz w:val="16"/>
          <w:szCs w:val="16"/>
        </w:rPr>
      </w:pPr>
      <w:r w:rsidRPr="00383FBE">
        <w:rPr>
          <w:rStyle w:val="Znakapoznpodarou"/>
          <w:sz w:val="16"/>
          <w:szCs w:val="16"/>
        </w:rPr>
        <w:footnoteRef/>
      </w:r>
      <w:r w:rsidRPr="00383FBE">
        <w:rPr>
          <w:sz w:val="16"/>
          <w:szCs w:val="16"/>
        </w:rPr>
        <w:t xml:space="preserve"> Šlo např. o</w:t>
      </w:r>
      <w:r>
        <w:rPr>
          <w:sz w:val="16"/>
          <w:szCs w:val="16"/>
        </w:rPr>
        <w:t> </w:t>
      </w:r>
      <w:r w:rsidRPr="00383FBE">
        <w:rPr>
          <w:sz w:val="16"/>
          <w:szCs w:val="16"/>
        </w:rPr>
        <w:t>výplatu krizového ošetřovného či mimořádné „</w:t>
      </w:r>
      <w:proofErr w:type="spellStart"/>
      <w:r w:rsidRPr="00383FBE">
        <w:rPr>
          <w:sz w:val="16"/>
          <w:szCs w:val="16"/>
        </w:rPr>
        <w:t>covidové</w:t>
      </w:r>
      <w:proofErr w:type="spellEnd"/>
      <w:r w:rsidRPr="00383FBE">
        <w:rPr>
          <w:sz w:val="16"/>
          <w:szCs w:val="16"/>
        </w:rPr>
        <w:t>“ odměny ve zdravotnictví a</w:t>
      </w:r>
      <w:r>
        <w:rPr>
          <w:sz w:val="16"/>
          <w:szCs w:val="16"/>
        </w:rPr>
        <w:t> </w:t>
      </w:r>
      <w:r w:rsidRPr="00383FBE">
        <w:rPr>
          <w:sz w:val="16"/>
          <w:szCs w:val="16"/>
        </w:rPr>
        <w:t>sociálních službách.</w:t>
      </w:r>
    </w:p>
  </w:footnote>
  <w:footnote w:id="57">
    <w:p w14:paraId="152C3A29" w14:textId="77777777" w:rsidR="009112E3" w:rsidRPr="00383FBE" w:rsidRDefault="009112E3" w:rsidP="00B34750">
      <w:pPr>
        <w:pStyle w:val="Textpoznpodarou"/>
        <w:jc w:val="both"/>
        <w:rPr>
          <w:spacing w:val="-2"/>
          <w:sz w:val="16"/>
          <w:szCs w:val="16"/>
        </w:rPr>
      </w:pPr>
      <w:r w:rsidRPr="00383FBE">
        <w:rPr>
          <w:rStyle w:val="Znakapoznpodarou"/>
          <w:spacing w:val="-2"/>
          <w:sz w:val="16"/>
          <w:szCs w:val="16"/>
        </w:rPr>
        <w:footnoteRef/>
      </w:r>
      <w:r w:rsidRPr="00383FBE">
        <w:rPr>
          <w:spacing w:val="-2"/>
          <w:sz w:val="16"/>
          <w:szCs w:val="16"/>
        </w:rPr>
        <w:t xml:space="preserve"> Není-li uvedeno jinak, jsou údaje o zaměstnanosti v této kapitole vyjádřeny v pojetí národních ú</w:t>
      </w:r>
      <w:r>
        <w:rPr>
          <w:spacing w:val="-2"/>
          <w:sz w:val="16"/>
          <w:szCs w:val="16"/>
        </w:rPr>
        <w:t>čtů po očištění o sezónní vlivy. Jsou vyjádřeny ve fyzických osobách.</w:t>
      </w:r>
    </w:p>
  </w:footnote>
  <w:footnote w:id="58">
    <w:p w14:paraId="5CBFFF33" w14:textId="77777777" w:rsidR="009112E3" w:rsidRPr="001B09CF" w:rsidRDefault="009112E3" w:rsidP="00B34750">
      <w:pPr>
        <w:pStyle w:val="Textpoznpodarou"/>
        <w:rPr>
          <w:sz w:val="16"/>
          <w:szCs w:val="16"/>
        </w:rPr>
      </w:pPr>
      <w:r w:rsidRPr="00383FBE">
        <w:rPr>
          <w:rStyle w:val="Znakapoznpodarou"/>
          <w:sz w:val="16"/>
          <w:szCs w:val="16"/>
        </w:rPr>
        <w:footnoteRef/>
      </w:r>
      <w:r w:rsidRPr="00383FBE">
        <w:rPr>
          <w:sz w:val="16"/>
          <w:szCs w:val="16"/>
        </w:rPr>
        <w:t xml:space="preserve"> Oproti úrovni ze 4.</w:t>
      </w:r>
      <w:r>
        <w:rPr>
          <w:sz w:val="16"/>
          <w:szCs w:val="16"/>
        </w:rPr>
        <w:t> čt</w:t>
      </w:r>
      <w:r w:rsidRPr="00383FBE">
        <w:rPr>
          <w:sz w:val="16"/>
          <w:szCs w:val="16"/>
        </w:rPr>
        <w:t>vrtletí 2019 byla z jedenácti hlavních odvětvových uskupení zaměstnanost vyšší v</w:t>
      </w:r>
      <w:r>
        <w:rPr>
          <w:sz w:val="16"/>
          <w:szCs w:val="16"/>
        </w:rPr>
        <w:t> </w:t>
      </w:r>
      <w:r w:rsidRPr="00383FBE">
        <w:rPr>
          <w:sz w:val="16"/>
          <w:szCs w:val="16"/>
        </w:rPr>
        <w:t>informačních a</w:t>
      </w:r>
      <w:r>
        <w:rPr>
          <w:sz w:val="16"/>
          <w:szCs w:val="16"/>
        </w:rPr>
        <w:t> </w:t>
      </w:r>
      <w:r w:rsidRPr="00383FBE">
        <w:rPr>
          <w:sz w:val="16"/>
          <w:szCs w:val="16"/>
        </w:rPr>
        <w:t>komunikačních činnostech (+5,3</w:t>
      </w:r>
      <w:r>
        <w:rPr>
          <w:sz w:val="16"/>
          <w:szCs w:val="16"/>
        </w:rPr>
        <w:t> %</w:t>
      </w:r>
      <w:r w:rsidRPr="00383FBE">
        <w:rPr>
          <w:sz w:val="16"/>
          <w:szCs w:val="16"/>
        </w:rPr>
        <w:t>), veřejné správě, obraně, vzdělávání, zdravotní a</w:t>
      </w:r>
      <w:r>
        <w:rPr>
          <w:sz w:val="16"/>
          <w:szCs w:val="16"/>
        </w:rPr>
        <w:t> </w:t>
      </w:r>
      <w:r w:rsidRPr="00383FBE">
        <w:rPr>
          <w:sz w:val="16"/>
          <w:szCs w:val="16"/>
        </w:rPr>
        <w:t>sociální péči (+4,9</w:t>
      </w:r>
      <w:r>
        <w:rPr>
          <w:sz w:val="16"/>
          <w:szCs w:val="16"/>
        </w:rPr>
        <w:t> %</w:t>
      </w:r>
      <w:r w:rsidRPr="00383FBE">
        <w:rPr>
          <w:sz w:val="16"/>
          <w:szCs w:val="16"/>
        </w:rPr>
        <w:t>), činnostech v</w:t>
      </w:r>
      <w:r>
        <w:rPr>
          <w:sz w:val="16"/>
          <w:szCs w:val="16"/>
        </w:rPr>
        <w:t> </w:t>
      </w:r>
      <w:r w:rsidRPr="00383FBE">
        <w:rPr>
          <w:sz w:val="16"/>
          <w:szCs w:val="16"/>
        </w:rPr>
        <w:t>oblasti nemovitostí (+3,7</w:t>
      </w:r>
      <w:r>
        <w:rPr>
          <w:sz w:val="16"/>
          <w:szCs w:val="16"/>
        </w:rPr>
        <w:t> %</w:t>
      </w:r>
      <w:r w:rsidRPr="00383FBE">
        <w:rPr>
          <w:sz w:val="16"/>
          <w:szCs w:val="16"/>
        </w:rPr>
        <w:t>) a</w:t>
      </w:r>
      <w:r>
        <w:rPr>
          <w:sz w:val="16"/>
          <w:szCs w:val="16"/>
        </w:rPr>
        <w:t xml:space="preserve"> ve </w:t>
      </w:r>
      <w:r w:rsidRPr="00383FBE">
        <w:rPr>
          <w:sz w:val="16"/>
          <w:szCs w:val="16"/>
        </w:rPr>
        <w:t>stavebnictví (+0,6</w:t>
      </w:r>
      <w:r>
        <w:rPr>
          <w:sz w:val="16"/>
          <w:szCs w:val="16"/>
        </w:rPr>
        <w:t> %</w:t>
      </w:r>
      <w:r w:rsidRPr="00383FBE">
        <w:rPr>
          <w:sz w:val="16"/>
          <w:szCs w:val="16"/>
        </w:rPr>
        <w:t>).</w:t>
      </w:r>
    </w:p>
  </w:footnote>
  <w:footnote w:id="59">
    <w:p w14:paraId="4CAE2C3B" w14:textId="77777777" w:rsidR="009112E3" w:rsidRPr="00C90344" w:rsidRDefault="009112E3" w:rsidP="00B34750">
      <w:pPr>
        <w:pStyle w:val="Textpoznpodarou"/>
        <w:rPr>
          <w:sz w:val="16"/>
          <w:szCs w:val="16"/>
        </w:rPr>
      </w:pPr>
      <w:r w:rsidRPr="00C90344">
        <w:rPr>
          <w:rStyle w:val="Znakapoznpodarou"/>
          <w:sz w:val="16"/>
          <w:szCs w:val="16"/>
        </w:rPr>
        <w:footnoteRef/>
      </w:r>
      <w:r w:rsidRPr="00C90344">
        <w:rPr>
          <w:sz w:val="16"/>
          <w:szCs w:val="16"/>
        </w:rPr>
        <w:t xml:space="preserve"> K mírnému poklesu počtu </w:t>
      </w:r>
      <w:proofErr w:type="spellStart"/>
      <w:r w:rsidRPr="00C90344">
        <w:rPr>
          <w:sz w:val="16"/>
          <w:szCs w:val="16"/>
        </w:rPr>
        <w:t>sebezaměstnaných</w:t>
      </w:r>
      <w:proofErr w:type="spellEnd"/>
      <w:r w:rsidRPr="00C90344">
        <w:rPr>
          <w:sz w:val="16"/>
          <w:szCs w:val="16"/>
        </w:rPr>
        <w:t xml:space="preserve"> </w:t>
      </w:r>
      <w:r>
        <w:rPr>
          <w:sz w:val="16"/>
          <w:szCs w:val="16"/>
        </w:rPr>
        <w:t>došlo rovněž</w:t>
      </w:r>
      <w:r w:rsidRPr="00C90344">
        <w:rPr>
          <w:sz w:val="16"/>
          <w:szCs w:val="16"/>
        </w:rPr>
        <w:t xml:space="preserve"> v období </w:t>
      </w:r>
      <w:proofErr w:type="spellStart"/>
      <w:r w:rsidRPr="00C90344">
        <w:rPr>
          <w:sz w:val="16"/>
          <w:szCs w:val="16"/>
        </w:rPr>
        <w:t>pokrizové</w:t>
      </w:r>
      <w:proofErr w:type="spellEnd"/>
      <w:r w:rsidRPr="00C90344">
        <w:rPr>
          <w:sz w:val="16"/>
          <w:szCs w:val="16"/>
        </w:rPr>
        <w:t xml:space="preserve"> expanze tuzemské ekonomiky v letech 2014 a</w:t>
      </w:r>
      <w:r>
        <w:rPr>
          <w:sz w:val="16"/>
          <w:szCs w:val="16"/>
        </w:rPr>
        <w:t> </w:t>
      </w:r>
      <w:r w:rsidRPr="00C90344">
        <w:rPr>
          <w:sz w:val="16"/>
          <w:szCs w:val="16"/>
        </w:rPr>
        <w:t>2015.</w:t>
      </w:r>
    </w:p>
  </w:footnote>
  <w:footnote w:id="60">
    <w:p w14:paraId="50E3B211" w14:textId="77777777" w:rsidR="009112E3" w:rsidRPr="00A87505" w:rsidRDefault="009112E3" w:rsidP="00B34750">
      <w:pPr>
        <w:pStyle w:val="Textpoznpodarou"/>
        <w:rPr>
          <w:sz w:val="16"/>
          <w:szCs w:val="16"/>
        </w:rPr>
      </w:pPr>
      <w:r w:rsidRPr="00A87505">
        <w:rPr>
          <w:rStyle w:val="Znakapoznpodarou"/>
          <w:sz w:val="16"/>
          <w:szCs w:val="16"/>
        </w:rPr>
        <w:footnoteRef/>
      </w:r>
      <w:r w:rsidRPr="00A87505">
        <w:rPr>
          <w:sz w:val="16"/>
          <w:szCs w:val="16"/>
        </w:rPr>
        <w:t xml:space="preserve"> Celé uskupení táhly dolů hlavně obory těsně spjaté s cestovním ruchem. Naopak zaměstnanců v samotném obchodu dle údaj</w:t>
      </w:r>
      <w:r>
        <w:rPr>
          <w:sz w:val="16"/>
          <w:szCs w:val="16"/>
        </w:rPr>
        <w:t>ů podnikových statistik oproti 3</w:t>
      </w:r>
      <w:r w:rsidRPr="00A87505">
        <w:rPr>
          <w:sz w:val="16"/>
          <w:szCs w:val="16"/>
        </w:rPr>
        <w:t>.</w:t>
      </w:r>
      <w:r>
        <w:rPr>
          <w:sz w:val="16"/>
          <w:szCs w:val="16"/>
        </w:rPr>
        <w:t> čtvrtlet</w:t>
      </w:r>
      <w:r w:rsidRPr="00A87505">
        <w:rPr>
          <w:sz w:val="16"/>
          <w:szCs w:val="16"/>
        </w:rPr>
        <w:t>í 2020 o</w:t>
      </w:r>
      <w:r>
        <w:rPr>
          <w:sz w:val="16"/>
          <w:szCs w:val="16"/>
        </w:rPr>
        <w:t> 2,2 %</w:t>
      </w:r>
      <w:r w:rsidRPr="00A87505">
        <w:rPr>
          <w:sz w:val="16"/>
          <w:szCs w:val="16"/>
        </w:rPr>
        <w:t xml:space="preserve"> přibylo.</w:t>
      </w:r>
    </w:p>
  </w:footnote>
  <w:footnote w:id="61">
    <w:p w14:paraId="4A331FD3" w14:textId="77777777" w:rsidR="009112E3" w:rsidRPr="00C408FB" w:rsidRDefault="009112E3" w:rsidP="00B34750">
      <w:pPr>
        <w:pStyle w:val="Textpoznpodarou"/>
        <w:rPr>
          <w:sz w:val="16"/>
          <w:szCs w:val="16"/>
        </w:rPr>
      </w:pPr>
      <w:r w:rsidRPr="00C408FB">
        <w:rPr>
          <w:rStyle w:val="Znakapoznpodarou"/>
          <w:sz w:val="16"/>
          <w:szCs w:val="16"/>
        </w:rPr>
        <w:footnoteRef/>
      </w:r>
      <w:r w:rsidRPr="00C408FB">
        <w:rPr>
          <w:sz w:val="16"/>
          <w:szCs w:val="16"/>
        </w:rPr>
        <w:t xml:space="preserve"> Toto uskupení </w:t>
      </w:r>
      <w:r w:rsidRPr="00C408FB">
        <w:rPr>
          <w:spacing w:val="-4"/>
          <w:sz w:val="16"/>
          <w:szCs w:val="16"/>
        </w:rPr>
        <w:t>zahrnuje kulturní, zábavní a</w:t>
      </w:r>
      <w:r>
        <w:rPr>
          <w:spacing w:val="-4"/>
          <w:sz w:val="16"/>
          <w:szCs w:val="16"/>
        </w:rPr>
        <w:t> </w:t>
      </w:r>
      <w:r w:rsidRPr="00C408FB">
        <w:rPr>
          <w:spacing w:val="-4"/>
          <w:sz w:val="16"/>
          <w:szCs w:val="16"/>
        </w:rPr>
        <w:t>rekreační činnost</w:t>
      </w:r>
      <w:r>
        <w:rPr>
          <w:spacing w:val="-4"/>
          <w:sz w:val="16"/>
          <w:szCs w:val="16"/>
        </w:rPr>
        <w:t>i</w:t>
      </w:r>
      <w:r w:rsidRPr="00C408FB">
        <w:rPr>
          <w:spacing w:val="-4"/>
          <w:sz w:val="16"/>
          <w:szCs w:val="16"/>
        </w:rPr>
        <w:t>, ale i</w:t>
      </w:r>
      <w:r>
        <w:rPr>
          <w:spacing w:val="-4"/>
          <w:sz w:val="16"/>
          <w:szCs w:val="16"/>
        </w:rPr>
        <w:t> </w:t>
      </w:r>
      <w:r w:rsidRPr="00C408FB">
        <w:rPr>
          <w:spacing w:val="-4"/>
          <w:sz w:val="16"/>
          <w:szCs w:val="16"/>
        </w:rPr>
        <w:t>osobní služby pro domácnost.</w:t>
      </w:r>
    </w:p>
  </w:footnote>
  <w:footnote w:id="62">
    <w:p w14:paraId="2658BFD7" w14:textId="77777777" w:rsidR="009112E3" w:rsidRPr="004E68B1" w:rsidRDefault="009112E3" w:rsidP="00B34750">
      <w:pPr>
        <w:pStyle w:val="Textpoznpodarou"/>
        <w:jc w:val="both"/>
        <w:rPr>
          <w:spacing w:val="-3"/>
          <w:sz w:val="16"/>
          <w:szCs w:val="16"/>
        </w:rPr>
      </w:pPr>
      <w:r w:rsidRPr="004E68B1">
        <w:rPr>
          <w:rStyle w:val="Znakapoznpodarou"/>
          <w:spacing w:val="-3"/>
          <w:sz w:val="16"/>
          <w:szCs w:val="16"/>
        </w:rPr>
        <w:footnoteRef/>
      </w:r>
      <w:r>
        <w:rPr>
          <w:spacing w:val="-3"/>
          <w:sz w:val="16"/>
          <w:szCs w:val="16"/>
        </w:rPr>
        <w:t xml:space="preserve"> Není-li uvedeno jinak, vycházejí v</w:t>
      </w:r>
      <w:r w:rsidRPr="004E68B1">
        <w:rPr>
          <w:spacing w:val="-3"/>
          <w:sz w:val="16"/>
          <w:szCs w:val="16"/>
        </w:rPr>
        <w:t>šechny údaje o </w:t>
      </w:r>
      <w:r>
        <w:rPr>
          <w:spacing w:val="-3"/>
          <w:sz w:val="16"/>
          <w:szCs w:val="16"/>
        </w:rPr>
        <w:t xml:space="preserve">mírách </w:t>
      </w:r>
      <w:r w:rsidRPr="004E68B1">
        <w:rPr>
          <w:spacing w:val="-3"/>
          <w:sz w:val="16"/>
          <w:szCs w:val="16"/>
        </w:rPr>
        <w:t>nezaměstnanosti z</w:t>
      </w:r>
      <w:r>
        <w:rPr>
          <w:spacing w:val="-3"/>
          <w:sz w:val="16"/>
          <w:szCs w:val="16"/>
        </w:rPr>
        <w:t> VŠPS a jsou očištěny o sezónní vlivy.</w:t>
      </w:r>
    </w:p>
  </w:footnote>
  <w:footnote w:id="63">
    <w:p w14:paraId="35C45AF2" w14:textId="77777777" w:rsidR="009112E3" w:rsidRPr="00041ABB" w:rsidRDefault="009112E3" w:rsidP="00B34750">
      <w:pPr>
        <w:pStyle w:val="Textpoznpodarou"/>
        <w:rPr>
          <w:sz w:val="16"/>
          <w:szCs w:val="16"/>
        </w:rPr>
      </w:pPr>
      <w:r w:rsidRPr="00041ABB">
        <w:rPr>
          <w:rStyle w:val="Znakapoznpodarou"/>
          <w:sz w:val="16"/>
          <w:szCs w:val="16"/>
        </w:rPr>
        <w:footnoteRef/>
      </w:r>
      <w:r w:rsidRPr="00041ABB">
        <w:rPr>
          <w:sz w:val="16"/>
          <w:szCs w:val="16"/>
        </w:rPr>
        <w:t xml:space="preserve"> Zatímco v 1.</w:t>
      </w:r>
      <w:r>
        <w:rPr>
          <w:sz w:val="16"/>
          <w:szCs w:val="16"/>
        </w:rPr>
        <w:t> čtvrtlet</w:t>
      </w:r>
      <w:r w:rsidRPr="00041ABB">
        <w:rPr>
          <w:sz w:val="16"/>
          <w:szCs w:val="16"/>
        </w:rPr>
        <w:t xml:space="preserve">í 2019 pracovalo </w:t>
      </w:r>
      <w:r>
        <w:rPr>
          <w:sz w:val="16"/>
          <w:szCs w:val="16"/>
        </w:rPr>
        <w:t>na zkrácené úvazky 12,3</w:t>
      </w:r>
      <w:r w:rsidRPr="00041ABB">
        <w:rPr>
          <w:sz w:val="16"/>
          <w:szCs w:val="16"/>
        </w:rPr>
        <w:t> % žen ve věku 15</w:t>
      </w:r>
      <w:r>
        <w:rPr>
          <w:sz w:val="16"/>
          <w:szCs w:val="16"/>
        </w:rPr>
        <w:t> </w:t>
      </w:r>
      <w:r w:rsidRPr="00041ABB">
        <w:rPr>
          <w:sz w:val="16"/>
          <w:szCs w:val="16"/>
        </w:rPr>
        <w:t>a</w:t>
      </w:r>
      <w:r>
        <w:rPr>
          <w:sz w:val="16"/>
          <w:szCs w:val="16"/>
        </w:rPr>
        <w:t> více let, ve 2. čtvrtletí 2021 jen 11,0 %</w:t>
      </w:r>
      <w:r w:rsidRPr="00041ABB">
        <w:rPr>
          <w:sz w:val="16"/>
          <w:szCs w:val="16"/>
        </w:rPr>
        <w:t xml:space="preserve">. Mezi ženami ve skupině </w:t>
      </w:r>
      <w:r>
        <w:rPr>
          <w:sz w:val="16"/>
          <w:szCs w:val="16"/>
        </w:rPr>
        <w:t xml:space="preserve">15 až 29 let byl </w:t>
      </w:r>
      <w:r w:rsidRPr="00041ABB">
        <w:rPr>
          <w:sz w:val="16"/>
          <w:szCs w:val="16"/>
        </w:rPr>
        <w:t xml:space="preserve">v tomto období </w:t>
      </w:r>
      <w:r>
        <w:rPr>
          <w:sz w:val="16"/>
          <w:szCs w:val="16"/>
        </w:rPr>
        <w:t xml:space="preserve">pokles </w:t>
      </w:r>
      <w:r w:rsidRPr="00041ABB">
        <w:rPr>
          <w:sz w:val="16"/>
          <w:szCs w:val="16"/>
        </w:rPr>
        <w:t>ještě viditelnější</w:t>
      </w:r>
      <w:r>
        <w:rPr>
          <w:sz w:val="16"/>
          <w:szCs w:val="16"/>
        </w:rPr>
        <w:t xml:space="preserve"> – </w:t>
      </w:r>
      <w:r w:rsidRPr="00041ABB">
        <w:rPr>
          <w:sz w:val="16"/>
          <w:szCs w:val="16"/>
        </w:rPr>
        <w:t>z</w:t>
      </w:r>
      <w:r>
        <w:rPr>
          <w:sz w:val="16"/>
          <w:szCs w:val="16"/>
        </w:rPr>
        <w:t> </w:t>
      </w:r>
      <w:r w:rsidRPr="00041ABB">
        <w:rPr>
          <w:sz w:val="16"/>
          <w:szCs w:val="16"/>
        </w:rPr>
        <w:t>15,0</w:t>
      </w:r>
      <w:r>
        <w:rPr>
          <w:sz w:val="16"/>
          <w:szCs w:val="16"/>
        </w:rPr>
        <w:t> % na 11,8 %</w:t>
      </w:r>
      <w:r w:rsidRPr="00041ABB">
        <w:rPr>
          <w:sz w:val="16"/>
          <w:szCs w:val="16"/>
        </w:rPr>
        <w:t>.</w:t>
      </w:r>
    </w:p>
  </w:footnote>
  <w:footnote w:id="64">
    <w:p w14:paraId="48E1C676" w14:textId="77777777" w:rsidR="009112E3" w:rsidRPr="00F10253" w:rsidRDefault="009112E3" w:rsidP="00B34750">
      <w:pPr>
        <w:pStyle w:val="Textpoznpodarou"/>
        <w:rPr>
          <w:sz w:val="16"/>
          <w:szCs w:val="16"/>
        </w:rPr>
      </w:pPr>
      <w:r w:rsidRPr="00F10253">
        <w:rPr>
          <w:rStyle w:val="Znakapoznpodarou"/>
          <w:sz w:val="16"/>
          <w:szCs w:val="16"/>
        </w:rPr>
        <w:footnoteRef/>
      </w:r>
      <w:r w:rsidRPr="00F10253">
        <w:rPr>
          <w:sz w:val="16"/>
          <w:szCs w:val="16"/>
        </w:rPr>
        <w:t xml:space="preserve"> </w:t>
      </w:r>
      <w:r w:rsidRPr="00F10253">
        <w:rPr>
          <w:color w:val="0D0D0D" w:themeColor="text1" w:themeTint="F2"/>
          <w:spacing w:val="-4"/>
          <w:sz w:val="16"/>
          <w:szCs w:val="16"/>
        </w:rPr>
        <w:t>V listopadu se ovšem v souvislosti s razantním zhoršením epidemické situace opět navýšily, úrovně z počátku roku ale zatím zdaleka nedosáhly.</w:t>
      </w:r>
    </w:p>
  </w:footnote>
  <w:footnote w:id="65">
    <w:p w14:paraId="7946F935" w14:textId="77777777" w:rsidR="009112E3" w:rsidRDefault="009112E3" w:rsidP="006017C1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Není-li uvedeno jinak, je zdrojem údajů v této kapitole databáze ARAD České národní banky. Hodnoty směnných kurzů jsou rovněž převzaty od ČNB.</w:t>
      </w:r>
    </w:p>
  </w:footnote>
  <w:footnote w:id="66">
    <w:p w14:paraId="32D35A78" w14:textId="77777777" w:rsidR="009112E3" w:rsidRPr="001F5F82" w:rsidRDefault="009112E3" w:rsidP="006017C1">
      <w:pPr>
        <w:pStyle w:val="Textpoznpodarou"/>
        <w:rPr>
          <w:sz w:val="16"/>
          <w:szCs w:val="16"/>
        </w:rPr>
      </w:pPr>
      <w:r w:rsidRPr="001F5F82">
        <w:rPr>
          <w:rStyle w:val="Znakapoznpodarou"/>
          <w:sz w:val="16"/>
          <w:szCs w:val="16"/>
        </w:rPr>
        <w:footnoteRef/>
      </w:r>
      <w:r w:rsidRPr="001F5F82">
        <w:rPr>
          <w:sz w:val="16"/>
          <w:szCs w:val="16"/>
        </w:rPr>
        <w:t xml:space="preserve"> Není-li uvedeno jinak, je změnou úrokových sazeb myšlen rozdíl mezi hodnotou ke dni 30</w:t>
      </w:r>
      <w:r>
        <w:rPr>
          <w:sz w:val="16"/>
          <w:szCs w:val="16"/>
        </w:rPr>
        <w:t>. </w:t>
      </w:r>
      <w:r w:rsidRPr="001F5F82">
        <w:rPr>
          <w:sz w:val="16"/>
          <w:szCs w:val="16"/>
        </w:rPr>
        <w:t>9. a</w:t>
      </w:r>
      <w:r>
        <w:rPr>
          <w:sz w:val="16"/>
          <w:szCs w:val="16"/>
        </w:rPr>
        <w:t> </w:t>
      </w:r>
      <w:r w:rsidRPr="001F5F82">
        <w:rPr>
          <w:sz w:val="16"/>
          <w:szCs w:val="16"/>
        </w:rPr>
        <w:t>30</w:t>
      </w:r>
      <w:r>
        <w:rPr>
          <w:sz w:val="16"/>
          <w:szCs w:val="16"/>
        </w:rPr>
        <w:t>. </w:t>
      </w:r>
      <w:r w:rsidRPr="001F5F82">
        <w:rPr>
          <w:sz w:val="16"/>
          <w:szCs w:val="16"/>
        </w:rPr>
        <w:t>6.</w:t>
      </w:r>
    </w:p>
  </w:footnote>
  <w:footnote w:id="67">
    <w:p w14:paraId="71427CF1" w14:textId="77777777" w:rsidR="009112E3" w:rsidRPr="00651A71" w:rsidRDefault="009112E3" w:rsidP="006017C1">
      <w:pPr>
        <w:pStyle w:val="Textpoznpodarou"/>
        <w:rPr>
          <w:sz w:val="16"/>
          <w:szCs w:val="16"/>
        </w:rPr>
      </w:pPr>
      <w:r w:rsidRPr="00651A71">
        <w:rPr>
          <w:rStyle w:val="Znakapoznpodarou"/>
          <w:sz w:val="16"/>
          <w:szCs w:val="16"/>
        </w:rPr>
        <w:footnoteRef/>
      </w:r>
      <w:r w:rsidRPr="00651A71">
        <w:rPr>
          <w:sz w:val="16"/>
          <w:szCs w:val="16"/>
        </w:rPr>
        <w:t xml:space="preserve"> O</w:t>
      </w:r>
      <w:r w:rsidRPr="00651A71">
        <w:rPr>
          <w:spacing w:val="-3"/>
          <w:sz w:val="16"/>
          <w:szCs w:val="16"/>
          <w:lang w:eastAsia="en-US"/>
        </w:rPr>
        <w:t>byvatelstvo bez živnostníků.</w:t>
      </w:r>
    </w:p>
  </w:footnote>
  <w:footnote w:id="68">
    <w:p w14:paraId="1EC0111B" w14:textId="77777777" w:rsidR="009112E3" w:rsidRPr="00284DA5" w:rsidRDefault="009112E3" w:rsidP="006017C1">
      <w:pPr>
        <w:pStyle w:val="Textpoznpodarou"/>
        <w:rPr>
          <w:sz w:val="16"/>
          <w:szCs w:val="16"/>
        </w:rPr>
      </w:pPr>
      <w:r w:rsidRPr="00284DA5">
        <w:rPr>
          <w:rStyle w:val="Znakapoznpodarou"/>
          <w:sz w:val="16"/>
          <w:szCs w:val="16"/>
        </w:rPr>
        <w:footnoteRef/>
      </w:r>
      <w:r w:rsidRPr="00284DA5">
        <w:rPr>
          <w:sz w:val="16"/>
          <w:szCs w:val="16"/>
        </w:rPr>
        <w:t xml:space="preserve"> V nových smlouvách jsou zahrnuty i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refinancované úvěry a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ostatní ujednání (v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posledním roce zejména odklady splátek).</w:t>
      </w:r>
    </w:p>
  </w:footnote>
  <w:footnote w:id="69">
    <w:p w14:paraId="4995B6BC" w14:textId="77777777" w:rsidR="009112E3" w:rsidRPr="004A27B5" w:rsidRDefault="009112E3" w:rsidP="00F00535">
      <w:pPr>
        <w:pStyle w:val="Textpoznpodarou"/>
        <w:jc w:val="both"/>
        <w:rPr>
          <w:spacing w:val="-3"/>
          <w:sz w:val="16"/>
          <w:szCs w:val="16"/>
        </w:rPr>
      </w:pPr>
      <w:r w:rsidRPr="004A27B5">
        <w:rPr>
          <w:rStyle w:val="Znakapoznpodarou"/>
          <w:spacing w:val="-3"/>
          <w:sz w:val="16"/>
          <w:szCs w:val="16"/>
        </w:rPr>
        <w:footnoteRef/>
      </w:r>
      <w:r w:rsidRPr="004A27B5">
        <w:rPr>
          <w:spacing w:val="-3"/>
          <w:sz w:val="16"/>
          <w:szCs w:val="16"/>
        </w:rPr>
        <w:t xml:space="preserve"> </w:t>
      </w:r>
      <w:r w:rsidRPr="004A27B5">
        <w:rPr>
          <w:color w:val="0D0D0D" w:themeColor="text1" w:themeTint="F2"/>
          <w:spacing w:val="-3"/>
          <w:sz w:val="16"/>
          <w:szCs w:val="16"/>
        </w:rPr>
        <w:t xml:space="preserve">Pokud není uvedeno jinak, vycházejí všechny údaje týkající se státního rozpočtu </w:t>
      </w:r>
      <w:r w:rsidRPr="004A27B5">
        <w:rPr>
          <w:rFonts w:cs="Arial"/>
          <w:color w:val="0D0D0D" w:themeColor="text1" w:themeTint="F2"/>
          <w:spacing w:val="-3"/>
          <w:sz w:val="16"/>
          <w:szCs w:val="16"/>
        </w:rPr>
        <w:t>z dat Ministerstva financí o pokladním plnění.</w:t>
      </w:r>
    </w:p>
  </w:footnote>
  <w:footnote w:id="70">
    <w:p w14:paraId="0F901467" w14:textId="77777777" w:rsidR="009112E3" w:rsidRPr="004A27B5" w:rsidRDefault="009112E3" w:rsidP="00F00535">
      <w:pPr>
        <w:pStyle w:val="Textpoznpodarou"/>
        <w:rPr>
          <w:spacing w:val="-2"/>
          <w:sz w:val="16"/>
          <w:szCs w:val="16"/>
        </w:rPr>
      </w:pPr>
      <w:r w:rsidRPr="004A27B5">
        <w:rPr>
          <w:rStyle w:val="Znakapoznpodarou"/>
          <w:spacing w:val="-2"/>
          <w:sz w:val="16"/>
          <w:szCs w:val="16"/>
        </w:rPr>
        <w:footnoteRef/>
      </w:r>
      <w:r w:rsidRPr="004A27B5">
        <w:rPr>
          <w:spacing w:val="-2"/>
          <w:sz w:val="16"/>
          <w:szCs w:val="16"/>
        </w:rPr>
        <w:t xml:space="preserve"> Na sdílených daní</w:t>
      </w:r>
      <w:r>
        <w:rPr>
          <w:spacing w:val="-2"/>
          <w:sz w:val="16"/>
          <w:szCs w:val="16"/>
        </w:rPr>
        <w:t>ch</w:t>
      </w:r>
      <w:r w:rsidRPr="004A27B5">
        <w:rPr>
          <w:spacing w:val="-2"/>
          <w:sz w:val="16"/>
          <w:szCs w:val="16"/>
        </w:rPr>
        <w:t xml:space="preserve"> (DPH, da</w:t>
      </w:r>
      <w:r>
        <w:rPr>
          <w:spacing w:val="-2"/>
          <w:sz w:val="16"/>
          <w:szCs w:val="16"/>
        </w:rPr>
        <w:t>ň</w:t>
      </w:r>
      <w:r w:rsidRPr="004A27B5">
        <w:rPr>
          <w:spacing w:val="-2"/>
          <w:sz w:val="16"/>
          <w:szCs w:val="16"/>
        </w:rPr>
        <w:t xml:space="preserve"> z</w:t>
      </w:r>
      <w:r>
        <w:rPr>
          <w:spacing w:val="-2"/>
          <w:sz w:val="16"/>
          <w:szCs w:val="16"/>
        </w:rPr>
        <w:t> </w:t>
      </w:r>
      <w:r w:rsidRPr="004A27B5">
        <w:rPr>
          <w:spacing w:val="-2"/>
          <w:sz w:val="16"/>
          <w:szCs w:val="16"/>
        </w:rPr>
        <w:t>příjm</w:t>
      </w:r>
      <w:r>
        <w:rPr>
          <w:spacing w:val="-2"/>
          <w:sz w:val="16"/>
          <w:szCs w:val="16"/>
        </w:rPr>
        <w:t>ů fyzických i právnických osob</w:t>
      </w:r>
      <w:r w:rsidRPr="004A27B5">
        <w:rPr>
          <w:spacing w:val="-2"/>
          <w:sz w:val="16"/>
          <w:szCs w:val="16"/>
        </w:rPr>
        <w:t xml:space="preserve">) tak </w:t>
      </w:r>
      <w:r>
        <w:rPr>
          <w:spacing w:val="-2"/>
          <w:sz w:val="16"/>
          <w:szCs w:val="16"/>
        </w:rPr>
        <w:t>letos v 1. až 3. čtvrtletí inkasoval SR</w:t>
      </w:r>
      <w:r w:rsidRPr="004A27B5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meziročně </w:t>
      </w:r>
      <w:r w:rsidRPr="004A27B5">
        <w:rPr>
          <w:spacing w:val="-2"/>
          <w:sz w:val="16"/>
          <w:szCs w:val="16"/>
        </w:rPr>
        <w:t>o</w:t>
      </w:r>
      <w:r>
        <w:rPr>
          <w:spacing w:val="-2"/>
          <w:sz w:val="16"/>
          <w:szCs w:val="16"/>
        </w:rPr>
        <w:t> 19,5 mld.</w:t>
      </w:r>
      <w:r w:rsidRPr="004A27B5">
        <w:rPr>
          <w:spacing w:val="-2"/>
          <w:sz w:val="16"/>
          <w:szCs w:val="16"/>
        </w:rPr>
        <w:t xml:space="preserve"> korun méně.</w:t>
      </w:r>
      <w:r>
        <w:rPr>
          <w:spacing w:val="-2"/>
          <w:sz w:val="16"/>
          <w:szCs w:val="16"/>
        </w:rPr>
        <w:t xml:space="preserve"> Zhruba polovina z této částky připadala na nižší příjmy z DPH.</w:t>
      </w:r>
    </w:p>
  </w:footnote>
  <w:footnote w:id="71">
    <w:p w14:paraId="256B7F8C" w14:textId="77777777" w:rsidR="009112E3" w:rsidRPr="00277984" w:rsidRDefault="009112E3" w:rsidP="00F00535">
      <w:pPr>
        <w:pStyle w:val="Textpoznpodarou"/>
        <w:rPr>
          <w:sz w:val="16"/>
          <w:szCs w:val="16"/>
        </w:rPr>
      </w:pPr>
      <w:r w:rsidRPr="00277984">
        <w:rPr>
          <w:rStyle w:val="Znakapoznpodarou"/>
          <w:sz w:val="16"/>
          <w:szCs w:val="16"/>
        </w:rPr>
        <w:footnoteRef/>
      </w:r>
      <w:r w:rsidRPr="00277984">
        <w:rPr>
          <w:sz w:val="16"/>
          <w:szCs w:val="16"/>
        </w:rPr>
        <w:t xml:space="preserve"> Nižší sazba </w:t>
      </w:r>
      <w:r>
        <w:rPr>
          <w:sz w:val="16"/>
          <w:szCs w:val="16"/>
        </w:rPr>
        <w:t xml:space="preserve">(z 15 % na 10 %) </w:t>
      </w:r>
      <w:r w:rsidRPr="00277984">
        <w:rPr>
          <w:sz w:val="16"/>
          <w:szCs w:val="16"/>
        </w:rPr>
        <w:t>na stravovací a</w:t>
      </w:r>
      <w:r>
        <w:rPr>
          <w:sz w:val="16"/>
          <w:szCs w:val="16"/>
        </w:rPr>
        <w:t> ubytovací</w:t>
      </w:r>
      <w:r w:rsidRPr="00277984">
        <w:rPr>
          <w:sz w:val="16"/>
          <w:szCs w:val="16"/>
        </w:rPr>
        <w:t xml:space="preserve"> služby</w:t>
      </w:r>
      <w:r>
        <w:rPr>
          <w:sz w:val="16"/>
          <w:szCs w:val="16"/>
        </w:rPr>
        <w:t xml:space="preserve">, kulturní a sportovní akce, dále také např. na vodné, stočné, pitnou vodu či točené pivo </w:t>
      </w:r>
      <w:r w:rsidRPr="00277984">
        <w:rPr>
          <w:sz w:val="16"/>
          <w:szCs w:val="16"/>
        </w:rPr>
        <w:t>byla zavedena loni od května a</w:t>
      </w:r>
      <w:r>
        <w:rPr>
          <w:sz w:val="16"/>
          <w:szCs w:val="16"/>
        </w:rPr>
        <w:t> </w:t>
      </w:r>
      <w:r w:rsidRPr="00277984">
        <w:rPr>
          <w:sz w:val="16"/>
          <w:szCs w:val="16"/>
        </w:rPr>
        <w:t xml:space="preserve">července. Letošní inkaso DPH </w:t>
      </w:r>
      <w:r>
        <w:rPr>
          <w:sz w:val="16"/>
          <w:szCs w:val="16"/>
        </w:rPr>
        <w:t>bylo mírně tlumeno i dočasným</w:t>
      </w:r>
      <w:r w:rsidRPr="00277984">
        <w:rPr>
          <w:sz w:val="16"/>
          <w:szCs w:val="16"/>
        </w:rPr>
        <w:t xml:space="preserve"> prominutí</w:t>
      </w:r>
      <w:r>
        <w:rPr>
          <w:sz w:val="16"/>
          <w:szCs w:val="16"/>
        </w:rPr>
        <w:t>m</w:t>
      </w:r>
      <w:r w:rsidRPr="00277984">
        <w:rPr>
          <w:sz w:val="16"/>
          <w:szCs w:val="16"/>
        </w:rPr>
        <w:t xml:space="preserve"> daně u</w:t>
      </w:r>
      <w:r>
        <w:rPr>
          <w:sz w:val="16"/>
          <w:szCs w:val="16"/>
        </w:rPr>
        <w:t> </w:t>
      </w:r>
      <w:r w:rsidRPr="00277984">
        <w:rPr>
          <w:sz w:val="16"/>
          <w:szCs w:val="16"/>
        </w:rPr>
        <w:t>ochranných pomůcek (</w:t>
      </w:r>
      <w:r>
        <w:rPr>
          <w:sz w:val="16"/>
          <w:szCs w:val="16"/>
        </w:rPr>
        <w:t>např. respirátorů) a u testů i </w:t>
      </w:r>
      <w:r w:rsidRPr="00277984">
        <w:rPr>
          <w:sz w:val="16"/>
          <w:szCs w:val="16"/>
        </w:rPr>
        <w:t xml:space="preserve">vakcín souvisejících s epidemií </w:t>
      </w:r>
      <w:r>
        <w:rPr>
          <w:sz w:val="16"/>
          <w:szCs w:val="16"/>
        </w:rPr>
        <w:t>c</w:t>
      </w:r>
      <w:r w:rsidRPr="00277984">
        <w:rPr>
          <w:sz w:val="16"/>
          <w:szCs w:val="16"/>
        </w:rPr>
        <w:t>ovid</w:t>
      </w:r>
      <w:r>
        <w:rPr>
          <w:sz w:val="16"/>
          <w:szCs w:val="16"/>
        </w:rPr>
        <w:t>u</w:t>
      </w:r>
      <w:r w:rsidRPr="00277984">
        <w:rPr>
          <w:sz w:val="16"/>
          <w:szCs w:val="16"/>
        </w:rPr>
        <w:t>-19.</w:t>
      </w:r>
    </w:p>
  </w:footnote>
  <w:footnote w:id="72">
    <w:p w14:paraId="2808E651" w14:textId="77777777" w:rsidR="009112E3" w:rsidRPr="00C108C4" w:rsidRDefault="009112E3" w:rsidP="00F00535">
      <w:pPr>
        <w:pStyle w:val="Textpoznpodarou"/>
        <w:rPr>
          <w:sz w:val="16"/>
          <w:szCs w:val="16"/>
        </w:rPr>
      </w:pPr>
      <w:r w:rsidRPr="00C108C4">
        <w:rPr>
          <w:rStyle w:val="Znakapoznpodarou"/>
          <w:sz w:val="16"/>
          <w:szCs w:val="16"/>
        </w:rPr>
        <w:footnoteRef/>
      </w:r>
      <w:r w:rsidRPr="00C108C4">
        <w:rPr>
          <w:sz w:val="16"/>
          <w:szCs w:val="16"/>
        </w:rPr>
        <w:t xml:space="preserve"> Dle údajů ČSÚ klesla letos od ledna do srpna meziročně spotřeba motorového benz</w:t>
      </w:r>
      <w:r>
        <w:rPr>
          <w:sz w:val="16"/>
          <w:szCs w:val="16"/>
        </w:rPr>
        <w:t>i</w:t>
      </w:r>
      <w:r w:rsidRPr="00C108C4">
        <w:rPr>
          <w:sz w:val="16"/>
          <w:szCs w:val="16"/>
        </w:rPr>
        <w:t>nu o</w:t>
      </w:r>
      <w:r>
        <w:rPr>
          <w:sz w:val="16"/>
          <w:szCs w:val="16"/>
        </w:rPr>
        <w:t> </w:t>
      </w:r>
      <w:r w:rsidRPr="00C108C4">
        <w:rPr>
          <w:sz w:val="16"/>
          <w:szCs w:val="16"/>
        </w:rPr>
        <w:t>2</w:t>
      </w:r>
      <w:r>
        <w:rPr>
          <w:sz w:val="16"/>
          <w:szCs w:val="16"/>
        </w:rPr>
        <w:t> %</w:t>
      </w:r>
      <w:r w:rsidRPr="00C108C4">
        <w:rPr>
          <w:sz w:val="16"/>
          <w:szCs w:val="16"/>
        </w:rPr>
        <w:t>, leteckého petroleje o</w:t>
      </w:r>
      <w:r>
        <w:rPr>
          <w:sz w:val="16"/>
          <w:szCs w:val="16"/>
        </w:rPr>
        <w:t> </w:t>
      </w:r>
      <w:r w:rsidRPr="00C108C4">
        <w:rPr>
          <w:sz w:val="16"/>
          <w:szCs w:val="16"/>
        </w:rPr>
        <w:t>17</w:t>
      </w:r>
      <w:r>
        <w:rPr>
          <w:sz w:val="16"/>
          <w:szCs w:val="16"/>
        </w:rPr>
        <w:t> %</w:t>
      </w:r>
      <w:r w:rsidRPr="00C108C4">
        <w:rPr>
          <w:sz w:val="16"/>
          <w:szCs w:val="16"/>
        </w:rPr>
        <w:t>. Naopak spotřeba motorové nafty vzrostla o</w:t>
      </w:r>
      <w:r>
        <w:rPr>
          <w:sz w:val="16"/>
          <w:szCs w:val="16"/>
        </w:rPr>
        <w:t> </w:t>
      </w:r>
      <w:r w:rsidRPr="00C108C4">
        <w:rPr>
          <w:sz w:val="16"/>
          <w:szCs w:val="16"/>
        </w:rPr>
        <w:t>6</w:t>
      </w:r>
      <w:r>
        <w:rPr>
          <w:sz w:val="16"/>
          <w:szCs w:val="16"/>
        </w:rPr>
        <w:t> %</w:t>
      </w:r>
      <w:r w:rsidRPr="00C108C4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C108C4">
        <w:rPr>
          <w:sz w:val="16"/>
          <w:szCs w:val="16"/>
        </w:rPr>
        <w:t xml:space="preserve">téměř se navrátila na úroveň </w:t>
      </w:r>
      <w:r>
        <w:rPr>
          <w:sz w:val="16"/>
          <w:szCs w:val="16"/>
        </w:rPr>
        <w:t>z </w:t>
      </w:r>
      <w:r w:rsidRPr="00C108C4">
        <w:rPr>
          <w:sz w:val="16"/>
          <w:szCs w:val="16"/>
        </w:rPr>
        <w:t>roku 2019.</w:t>
      </w:r>
    </w:p>
  </w:footnote>
  <w:footnote w:id="73">
    <w:p w14:paraId="78787DB3" w14:textId="77777777" w:rsidR="009112E3" w:rsidRPr="004A27B5" w:rsidRDefault="009112E3" w:rsidP="00F00535">
      <w:pPr>
        <w:pStyle w:val="Textpoznpodarou"/>
        <w:rPr>
          <w:spacing w:val="-2"/>
          <w:sz w:val="16"/>
          <w:szCs w:val="16"/>
        </w:rPr>
      </w:pPr>
      <w:r w:rsidRPr="004A27B5">
        <w:rPr>
          <w:rStyle w:val="Znakapoznpodarou"/>
          <w:spacing w:val="-2"/>
          <w:sz w:val="16"/>
          <w:szCs w:val="16"/>
        </w:rPr>
        <w:footnoteRef/>
      </w:r>
      <w:r w:rsidRPr="004A27B5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Individuální žádosti o snížení záloh daně měly ale významný dopad i v letošním roce. Podle odhadů MF</w:t>
      </w:r>
      <w:r w:rsidRPr="004A27B5">
        <w:rPr>
          <w:spacing w:val="-2"/>
          <w:sz w:val="16"/>
          <w:szCs w:val="16"/>
        </w:rPr>
        <w:t xml:space="preserve"> v</w:t>
      </w:r>
      <w:r>
        <w:rPr>
          <w:spacing w:val="-2"/>
          <w:sz w:val="16"/>
          <w:szCs w:val="16"/>
        </w:rPr>
        <w:t>edly v</w:t>
      </w:r>
      <w:r w:rsidRPr="004A27B5">
        <w:rPr>
          <w:spacing w:val="-2"/>
          <w:sz w:val="16"/>
          <w:szCs w:val="16"/>
        </w:rPr>
        <w:t> 1</w:t>
      </w:r>
      <w:r>
        <w:rPr>
          <w:spacing w:val="-2"/>
          <w:sz w:val="16"/>
          <w:szCs w:val="16"/>
        </w:rPr>
        <w:t>. až 3. čtvrtletí 2021</w:t>
      </w:r>
      <w:r w:rsidRPr="004A27B5">
        <w:rPr>
          <w:spacing w:val="-2"/>
          <w:sz w:val="16"/>
          <w:szCs w:val="16"/>
        </w:rPr>
        <w:t xml:space="preserve"> k poklesu příjmů korporátní daně do</w:t>
      </w:r>
      <w:r>
        <w:rPr>
          <w:spacing w:val="-2"/>
          <w:sz w:val="16"/>
          <w:szCs w:val="16"/>
        </w:rPr>
        <w:t> </w:t>
      </w:r>
      <w:r w:rsidRPr="004A27B5">
        <w:rPr>
          <w:spacing w:val="-2"/>
          <w:sz w:val="16"/>
          <w:szCs w:val="16"/>
        </w:rPr>
        <w:t>SR o</w:t>
      </w:r>
      <w:r>
        <w:rPr>
          <w:spacing w:val="-2"/>
          <w:sz w:val="16"/>
          <w:szCs w:val="16"/>
        </w:rPr>
        <w:t> 11,7 mld. korun, na úrovni veřejných rozpočtů pak o 18,1 mld.</w:t>
      </w:r>
    </w:p>
  </w:footnote>
  <w:footnote w:id="74">
    <w:p w14:paraId="417B38C8" w14:textId="77777777" w:rsidR="009112E3" w:rsidRPr="00513587" w:rsidRDefault="009112E3" w:rsidP="00F00535">
      <w:pPr>
        <w:pStyle w:val="Textpoznpodarou"/>
        <w:rPr>
          <w:sz w:val="16"/>
          <w:szCs w:val="16"/>
        </w:rPr>
      </w:pPr>
      <w:r w:rsidRPr="00513587">
        <w:rPr>
          <w:rStyle w:val="Znakapoznpodarou"/>
          <w:sz w:val="16"/>
          <w:szCs w:val="16"/>
        </w:rPr>
        <w:footnoteRef/>
      </w:r>
      <w:r w:rsidRPr="00513587">
        <w:rPr>
          <w:sz w:val="16"/>
          <w:szCs w:val="16"/>
        </w:rPr>
        <w:t xml:space="preserve"> </w:t>
      </w:r>
      <w:r w:rsidRPr="00513587">
        <w:rPr>
          <w:spacing w:val="-4"/>
          <w:sz w:val="16"/>
          <w:szCs w:val="16"/>
        </w:rPr>
        <w:t>Celostátní inkaso daně z příjmů fyzických osob ze závislé činnosti se snížilo o</w:t>
      </w:r>
      <w:r>
        <w:rPr>
          <w:spacing w:val="-4"/>
          <w:sz w:val="16"/>
          <w:szCs w:val="16"/>
        </w:rPr>
        <w:t> </w:t>
      </w:r>
      <w:r w:rsidRPr="00513587">
        <w:rPr>
          <w:spacing w:val="-4"/>
          <w:sz w:val="16"/>
          <w:szCs w:val="16"/>
        </w:rPr>
        <w:t>celou třetinu a</w:t>
      </w:r>
      <w:r>
        <w:rPr>
          <w:spacing w:val="-4"/>
          <w:sz w:val="16"/>
          <w:szCs w:val="16"/>
        </w:rPr>
        <w:t> </w:t>
      </w:r>
      <w:r w:rsidRPr="00513587">
        <w:rPr>
          <w:spacing w:val="-4"/>
          <w:sz w:val="16"/>
          <w:szCs w:val="16"/>
        </w:rPr>
        <w:t>jeho objem za tři letošní čtvrtletí (96,5</w:t>
      </w:r>
      <w:r>
        <w:rPr>
          <w:spacing w:val="-4"/>
          <w:sz w:val="16"/>
          <w:szCs w:val="16"/>
        </w:rPr>
        <w:t> mld</w:t>
      </w:r>
      <w:r w:rsidRPr="00513587">
        <w:rPr>
          <w:spacing w:val="-4"/>
          <w:sz w:val="16"/>
          <w:szCs w:val="16"/>
        </w:rPr>
        <w:t>. korun) byl nejnižší za posledních sedm let.</w:t>
      </w:r>
    </w:p>
  </w:footnote>
  <w:footnote w:id="75">
    <w:p w14:paraId="2F3E3B21" w14:textId="77777777" w:rsidR="009112E3" w:rsidRPr="00F7045A" w:rsidRDefault="009112E3" w:rsidP="00F00535">
      <w:pPr>
        <w:pStyle w:val="Textpoznpodarou"/>
        <w:rPr>
          <w:spacing w:val="-4"/>
          <w:sz w:val="16"/>
          <w:szCs w:val="16"/>
        </w:rPr>
      </w:pPr>
      <w:r w:rsidRPr="00F7045A">
        <w:rPr>
          <w:rStyle w:val="Znakapoznpodarou"/>
          <w:spacing w:val="-4"/>
          <w:sz w:val="16"/>
          <w:szCs w:val="16"/>
        </w:rPr>
        <w:footnoteRef/>
      </w:r>
      <w:r w:rsidRPr="00F7045A">
        <w:rPr>
          <w:spacing w:val="-4"/>
          <w:sz w:val="16"/>
          <w:szCs w:val="16"/>
        </w:rPr>
        <w:t xml:space="preserve"> Po zrušení </w:t>
      </w:r>
      <w:proofErr w:type="spellStart"/>
      <w:r w:rsidRPr="00F7045A">
        <w:rPr>
          <w:spacing w:val="-4"/>
          <w:sz w:val="16"/>
          <w:szCs w:val="16"/>
        </w:rPr>
        <w:t>superhrubé</w:t>
      </w:r>
      <w:proofErr w:type="spellEnd"/>
      <w:r w:rsidRPr="00F7045A">
        <w:rPr>
          <w:spacing w:val="-4"/>
          <w:sz w:val="16"/>
          <w:szCs w:val="16"/>
        </w:rPr>
        <w:t xml:space="preserve"> mzdy byla od 1. ledna 2021 zavedena základní daňová sazba 15 % (a doplňková 23 %) a navýšena roční daňová sleva na poplatníka (+3 tis. korun). Dle propočtu MF činil dopad těchto opatření na dosavadní letošní inkaso daně na úrovni SR 40</w:t>
      </w:r>
      <w:r>
        <w:rPr>
          <w:spacing w:val="-4"/>
          <w:sz w:val="16"/>
          <w:szCs w:val="16"/>
        </w:rPr>
        <w:t> mld</w:t>
      </w:r>
      <w:r w:rsidRPr="00F7045A">
        <w:rPr>
          <w:spacing w:val="-4"/>
          <w:sz w:val="16"/>
          <w:szCs w:val="16"/>
        </w:rPr>
        <w:t>. korun.</w:t>
      </w:r>
    </w:p>
  </w:footnote>
  <w:footnote w:id="76">
    <w:p w14:paraId="016F3F1A" w14:textId="77777777" w:rsidR="009112E3" w:rsidRPr="00F7045A" w:rsidRDefault="009112E3" w:rsidP="00F00535">
      <w:pPr>
        <w:pStyle w:val="Textpoznpodarou"/>
        <w:rPr>
          <w:spacing w:val="-2"/>
          <w:sz w:val="16"/>
          <w:szCs w:val="16"/>
        </w:rPr>
      </w:pPr>
      <w:r w:rsidRPr="00F7045A">
        <w:rPr>
          <w:rStyle w:val="Znakapoznpodarou"/>
          <w:spacing w:val="-2"/>
          <w:sz w:val="16"/>
          <w:szCs w:val="16"/>
        </w:rPr>
        <w:footnoteRef/>
      </w:r>
      <w:r w:rsidRPr="00F7045A">
        <w:rPr>
          <w:spacing w:val="-2"/>
          <w:sz w:val="16"/>
          <w:szCs w:val="16"/>
        </w:rPr>
        <w:t xml:space="preserve"> Meziroční pokles byl ovlivněn i</w:t>
      </w:r>
      <w:r>
        <w:rPr>
          <w:spacing w:val="-2"/>
          <w:sz w:val="16"/>
          <w:szCs w:val="16"/>
        </w:rPr>
        <w:t> </w:t>
      </w:r>
      <w:r w:rsidRPr="00F7045A">
        <w:rPr>
          <w:spacing w:val="-2"/>
          <w:sz w:val="16"/>
          <w:szCs w:val="16"/>
        </w:rPr>
        <w:t>tím, že loni SR přijal ještě dobíhající platby vázané na programové období 2007 až 2013 (4,2</w:t>
      </w:r>
      <w:r>
        <w:rPr>
          <w:spacing w:val="-2"/>
          <w:sz w:val="16"/>
          <w:szCs w:val="16"/>
        </w:rPr>
        <w:t> mld</w:t>
      </w:r>
      <w:r w:rsidRPr="00F7045A">
        <w:rPr>
          <w:spacing w:val="-2"/>
          <w:sz w:val="16"/>
          <w:szCs w:val="16"/>
        </w:rPr>
        <w:t>. korun). Z plateb vztahujících se k sou</w:t>
      </w:r>
      <w:r>
        <w:rPr>
          <w:spacing w:val="-2"/>
          <w:sz w:val="16"/>
          <w:szCs w:val="16"/>
        </w:rPr>
        <w:t>časnému programovému období získ</w:t>
      </w:r>
      <w:r w:rsidRPr="00F7045A">
        <w:rPr>
          <w:spacing w:val="-2"/>
          <w:sz w:val="16"/>
          <w:szCs w:val="16"/>
        </w:rPr>
        <w:t>al letos SR nejvíce prostředků na přímé platby zemědělců (22</w:t>
      </w:r>
      <w:r>
        <w:rPr>
          <w:spacing w:val="-2"/>
          <w:sz w:val="16"/>
          <w:szCs w:val="16"/>
        </w:rPr>
        <w:t> mld</w:t>
      </w:r>
      <w:r w:rsidRPr="00F7045A">
        <w:rPr>
          <w:spacing w:val="-2"/>
          <w:sz w:val="16"/>
          <w:szCs w:val="16"/>
        </w:rPr>
        <w:t>. korun), dále na Integrovaný regionální operační program (13</w:t>
      </w:r>
      <w:r>
        <w:rPr>
          <w:spacing w:val="-2"/>
          <w:sz w:val="16"/>
          <w:szCs w:val="16"/>
        </w:rPr>
        <w:t> mld</w:t>
      </w:r>
      <w:r w:rsidRPr="00F7045A">
        <w:rPr>
          <w:spacing w:val="-2"/>
          <w:sz w:val="16"/>
          <w:szCs w:val="16"/>
        </w:rPr>
        <w:t>.), OP</w:t>
      </w:r>
      <w:r>
        <w:rPr>
          <w:spacing w:val="-2"/>
          <w:sz w:val="16"/>
          <w:szCs w:val="16"/>
        </w:rPr>
        <w:t> </w:t>
      </w:r>
      <w:r w:rsidRPr="00F7045A">
        <w:rPr>
          <w:spacing w:val="-2"/>
          <w:sz w:val="16"/>
          <w:szCs w:val="16"/>
        </w:rPr>
        <w:t>Doprava (10</w:t>
      </w:r>
      <w:r>
        <w:rPr>
          <w:spacing w:val="-2"/>
          <w:sz w:val="16"/>
          <w:szCs w:val="16"/>
        </w:rPr>
        <w:t> mld</w:t>
      </w:r>
      <w:r w:rsidRPr="00F7045A">
        <w:rPr>
          <w:spacing w:val="-2"/>
          <w:sz w:val="16"/>
          <w:szCs w:val="16"/>
        </w:rPr>
        <w:t xml:space="preserve">.) </w:t>
      </w:r>
      <w:r>
        <w:rPr>
          <w:spacing w:val="-2"/>
          <w:sz w:val="16"/>
          <w:szCs w:val="16"/>
        </w:rPr>
        <w:t>a </w:t>
      </w:r>
      <w:r w:rsidRPr="00F7045A">
        <w:rPr>
          <w:spacing w:val="-2"/>
          <w:sz w:val="16"/>
          <w:szCs w:val="16"/>
        </w:rPr>
        <w:t>OP</w:t>
      </w:r>
      <w:r>
        <w:rPr>
          <w:spacing w:val="-2"/>
          <w:sz w:val="16"/>
          <w:szCs w:val="16"/>
        </w:rPr>
        <w:t> Podnikání a inovace (9 mld.). N</w:t>
      </w:r>
      <w:r w:rsidRPr="00F7045A">
        <w:rPr>
          <w:spacing w:val="-2"/>
          <w:sz w:val="16"/>
          <w:szCs w:val="16"/>
        </w:rPr>
        <w:t xml:space="preserve">a Program rozvoje </w:t>
      </w:r>
      <w:r>
        <w:rPr>
          <w:spacing w:val="-2"/>
          <w:sz w:val="16"/>
          <w:szCs w:val="16"/>
        </w:rPr>
        <w:t>venkova putovalo 8 mld. a obdobná výše pak rovněž</w:t>
      </w:r>
      <w:r w:rsidRPr="00F7045A">
        <w:rPr>
          <w:spacing w:val="-2"/>
          <w:sz w:val="16"/>
          <w:szCs w:val="16"/>
        </w:rPr>
        <w:t xml:space="preserve"> na </w:t>
      </w:r>
      <w:proofErr w:type="gramStart"/>
      <w:r w:rsidRPr="00F7045A">
        <w:rPr>
          <w:spacing w:val="-2"/>
          <w:sz w:val="16"/>
          <w:szCs w:val="16"/>
        </w:rPr>
        <w:t>OP</w:t>
      </w:r>
      <w:proofErr w:type="gramEnd"/>
      <w:r>
        <w:rPr>
          <w:spacing w:val="-2"/>
          <w:sz w:val="16"/>
          <w:szCs w:val="16"/>
        </w:rPr>
        <w:t> </w:t>
      </w:r>
      <w:r w:rsidRPr="00F7045A">
        <w:rPr>
          <w:spacing w:val="-2"/>
          <w:sz w:val="16"/>
          <w:szCs w:val="16"/>
        </w:rPr>
        <w:t>Výzkum, vývoj, vzdělávání či OP</w:t>
      </w:r>
      <w:r>
        <w:rPr>
          <w:spacing w:val="-2"/>
          <w:sz w:val="16"/>
          <w:szCs w:val="16"/>
        </w:rPr>
        <w:t> </w:t>
      </w:r>
      <w:r w:rsidRPr="00F7045A">
        <w:rPr>
          <w:spacing w:val="-2"/>
          <w:sz w:val="16"/>
          <w:szCs w:val="16"/>
        </w:rPr>
        <w:t>Životní prostředí.</w:t>
      </w:r>
    </w:p>
  </w:footnote>
  <w:footnote w:id="77">
    <w:p w14:paraId="23D48151" w14:textId="77777777" w:rsidR="009112E3" w:rsidRDefault="009112E3" w:rsidP="00F00535">
      <w:pPr>
        <w:pStyle w:val="Textpoznpodarou"/>
        <w:jc w:val="both"/>
        <w:rPr>
          <w:color w:val="0D0D0D" w:themeColor="text1" w:themeTint="F2"/>
          <w:spacing w:val="-4"/>
          <w:sz w:val="16"/>
          <w:szCs w:val="16"/>
        </w:rPr>
      </w:pPr>
      <w:r w:rsidRPr="00813E8A">
        <w:rPr>
          <w:rStyle w:val="Znakapoznpodarou"/>
          <w:spacing w:val="-4"/>
          <w:sz w:val="16"/>
          <w:szCs w:val="16"/>
        </w:rPr>
        <w:footnoteRef/>
      </w:r>
      <w:r>
        <w:rPr>
          <w:spacing w:val="-4"/>
          <w:sz w:val="16"/>
          <w:szCs w:val="16"/>
        </w:rPr>
        <w:t xml:space="preserve"> Šlo</w:t>
      </w:r>
      <w:r>
        <w:rPr>
          <w:color w:val="0D0D0D" w:themeColor="text1" w:themeTint="F2"/>
          <w:spacing w:val="-4"/>
          <w:sz w:val="16"/>
          <w:szCs w:val="16"/>
        </w:rPr>
        <w:t xml:space="preserve"> zejména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 </w:t>
      </w:r>
      <w:r>
        <w:rPr>
          <w:color w:val="0D0D0D" w:themeColor="text1" w:themeTint="F2"/>
          <w:spacing w:val="-4"/>
          <w:sz w:val="16"/>
          <w:szCs w:val="16"/>
        </w:rPr>
        <w:t>o </w:t>
      </w:r>
      <w:r w:rsidRPr="00813E8A">
        <w:rPr>
          <w:color w:val="0D0D0D" w:themeColor="text1" w:themeTint="F2"/>
          <w:spacing w:val="-4"/>
          <w:sz w:val="16"/>
          <w:szCs w:val="16"/>
        </w:rPr>
        <w:t>náhradu části mezd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13E8A">
        <w:rPr>
          <w:color w:val="0D0D0D" w:themeColor="text1" w:themeTint="F2"/>
          <w:spacing w:val="-4"/>
          <w:sz w:val="16"/>
          <w:szCs w:val="16"/>
        </w:rPr>
        <w:t>povinných odvodů v rámci programu Antivirus A, A+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13E8A">
        <w:rPr>
          <w:color w:val="0D0D0D" w:themeColor="text1" w:themeTint="F2"/>
          <w:spacing w:val="-4"/>
          <w:sz w:val="16"/>
          <w:szCs w:val="16"/>
        </w:rPr>
        <w:t>B</w:t>
      </w:r>
      <w:r>
        <w:rPr>
          <w:color w:val="0D0D0D" w:themeColor="text1" w:themeTint="F2"/>
          <w:spacing w:val="-4"/>
          <w:sz w:val="16"/>
          <w:szCs w:val="16"/>
        </w:rPr>
        <w:t xml:space="preserve"> (v 1. až 3. čtvrtletí 2021 vyplaceno ze SR 25,6</w:t>
      </w:r>
      <w:r w:rsidRPr="00813E8A">
        <w:rPr>
          <w:color w:val="0D0D0D" w:themeColor="text1" w:themeTint="F2"/>
          <w:spacing w:val="-4"/>
          <w:sz w:val="16"/>
          <w:szCs w:val="16"/>
        </w:rPr>
        <w:t> mld.</w:t>
      </w:r>
      <w:r>
        <w:rPr>
          <w:color w:val="0D0D0D" w:themeColor="text1" w:themeTint="F2"/>
          <w:spacing w:val="-4"/>
          <w:sz w:val="16"/>
          <w:szCs w:val="16"/>
        </w:rPr>
        <w:t xml:space="preserve"> korun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), speciální programy na přímou podporu zasažených sektorů ekonomiky, např. v oblasti pohostinství, cestovního ruchu, kultury, vzdělávání, sportu, </w:t>
      </w:r>
      <w:r>
        <w:rPr>
          <w:color w:val="0D0D0D" w:themeColor="text1" w:themeTint="F2"/>
          <w:spacing w:val="-4"/>
          <w:sz w:val="16"/>
          <w:szCs w:val="16"/>
        </w:rPr>
        <w:t xml:space="preserve">dopravy, </w:t>
      </w:r>
      <w:r w:rsidRPr="00813E8A">
        <w:rPr>
          <w:color w:val="0D0D0D" w:themeColor="text1" w:themeTint="F2"/>
          <w:spacing w:val="-4"/>
          <w:sz w:val="16"/>
          <w:szCs w:val="16"/>
        </w:rPr>
        <w:t>zemědělství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13E8A">
        <w:rPr>
          <w:color w:val="0D0D0D" w:themeColor="text1" w:themeTint="F2"/>
          <w:spacing w:val="-4"/>
          <w:sz w:val="16"/>
          <w:szCs w:val="16"/>
        </w:rPr>
        <w:t>potravinářství (v</w:t>
      </w:r>
      <w:r>
        <w:rPr>
          <w:color w:val="0D0D0D" w:themeColor="text1" w:themeTint="F2"/>
          <w:spacing w:val="-4"/>
          <w:sz w:val="16"/>
          <w:szCs w:val="16"/>
        </w:rPr>
        <w:t>četně novějších programů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 CO</w:t>
      </w:r>
      <w:r>
        <w:rPr>
          <w:color w:val="0D0D0D" w:themeColor="text1" w:themeTint="F2"/>
          <w:spacing w:val="-4"/>
          <w:sz w:val="16"/>
          <w:szCs w:val="16"/>
        </w:rPr>
        <w:t xml:space="preserve">VID 2021, </w:t>
      </w:r>
      <w:r w:rsidRPr="00813E8A">
        <w:rPr>
          <w:color w:val="0D0D0D" w:themeColor="text1" w:themeTint="F2"/>
          <w:spacing w:val="-4"/>
          <w:sz w:val="16"/>
          <w:szCs w:val="16"/>
        </w:rPr>
        <w:t>CO</w:t>
      </w:r>
      <w:r>
        <w:rPr>
          <w:color w:val="0D0D0D" w:themeColor="text1" w:themeTint="F2"/>
          <w:spacing w:val="-4"/>
          <w:sz w:val="16"/>
          <w:szCs w:val="16"/>
        </w:rPr>
        <w:t xml:space="preserve">VID Nájemné, </w:t>
      </w:r>
      <w:r w:rsidRPr="00813E8A">
        <w:rPr>
          <w:color w:val="0D0D0D" w:themeColor="text1" w:themeTint="F2"/>
          <w:spacing w:val="-4"/>
          <w:sz w:val="16"/>
          <w:szCs w:val="16"/>
        </w:rPr>
        <w:t>CO</w:t>
      </w:r>
      <w:r>
        <w:rPr>
          <w:color w:val="0D0D0D" w:themeColor="text1" w:themeTint="F2"/>
          <w:spacing w:val="-4"/>
          <w:sz w:val="16"/>
          <w:szCs w:val="16"/>
        </w:rPr>
        <w:t>VID</w:t>
      </w:r>
      <w:r w:rsidRPr="009263AE">
        <w:rPr>
          <w:color w:val="0D0D0D" w:themeColor="text1" w:themeTint="F2"/>
          <w:spacing w:val="-4"/>
          <w:sz w:val="16"/>
          <w:szCs w:val="16"/>
        </w:rPr>
        <w:t xml:space="preserve"> Nepokryté náklady</w:t>
      </w:r>
      <w:r>
        <w:rPr>
          <w:color w:val="0D0D0D" w:themeColor="text1" w:themeTint="F2"/>
          <w:spacing w:val="-4"/>
          <w:sz w:val="16"/>
          <w:szCs w:val="16"/>
        </w:rPr>
        <w:t>) v celkové výši 33,7 mld. D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ále </w:t>
      </w:r>
      <w:r>
        <w:rPr>
          <w:color w:val="0D0D0D" w:themeColor="text1" w:themeTint="F2"/>
          <w:spacing w:val="-4"/>
          <w:sz w:val="16"/>
          <w:szCs w:val="16"/>
        </w:rPr>
        <w:t xml:space="preserve">to byly </w:t>
      </w:r>
      <w:r w:rsidRPr="00813E8A">
        <w:rPr>
          <w:color w:val="0D0D0D" w:themeColor="text1" w:themeTint="F2"/>
          <w:spacing w:val="-4"/>
          <w:sz w:val="16"/>
          <w:szCs w:val="16"/>
        </w:rPr>
        <w:t>vyšší vý</w:t>
      </w:r>
      <w:r>
        <w:rPr>
          <w:color w:val="0D0D0D" w:themeColor="text1" w:themeTint="F2"/>
          <w:spacing w:val="-4"/>
          <w:sz w:val="16"/>
          <w:szCs w:val="16"/>
        </w:rPr>
        <w:t>daje ve zdravotnictví, zejména posílené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 platby státu za tzv.</w:t>
      </w:r>
      <w:r>
        <w:rPr>
          <w:color w:val="0D0D0D" w:themeColor="text1" w:themeTint="F2"/>
          <w:spacing w:val="-4"/>
          <w:sz w:val="16"/>
          <w:szCs w:val="16"/>
        </w:rPr>
        <w:t> státního pojištěnce (37,6 mld.</w:t>
      </w:r>
      <w:r w:rsidRPr="00813E8A">
        <w:rPr>
          <w:color w:val="0D0D0D" w:themeColor="text1" w:themeTint="F2"/>
          <w:spacing w:val="-4"/>
          <w:sz w:val="16"/>
          <w:szCs w:val="16"/>
        </w:rPr>
        <w:t>)</w:t>
      </w:r>
      <w:r>
        <w:rPr>
          <w:color w:val="0D0D0D" w:themeColor="text1" w:themeTint="F2"/>
          <w:spacing w:val="-4"/>
          <w:sz w:val="16"/>
          <w:szCs w:val="16"/>
        </w:rPr>
        <w:t>, z</w:t>
      </w:r>
      <w:r w:rsidRPr="009263AE">
        <w:rPr>
          <w:color w:val="0D0D0D" w:themeColor="text1" w:themeTint="F2"/>
          <w:spacing w:val="-4"/>
          <w:sz w:val="16"/>
          <w:szCs w:val="16"/>
        </w:rPr>
        <w:t>výšené osobní náklady pracovníků ve zdravotnictví a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9263AE">
        <w:rPr>
          <w:color w:val="0D0D0D" w:themeColor="text1" w:themeTint="F2"/>
          <w:spacing w:val="-4"/>
          <w:sz w:val="16"/>
          <w:szCs w:val="16"/>
        </w:rPr>
        <w:t>sociálních službách</w:t>
      </w:r>
      <w:r>
        <w:rPr>
          <w:color w:val="0D0D0D" w:themeColor="text1" w:themeTint="F2"/>
          <w:spacing w:val="-4"/>
          <w:sz w:val="16"/>
          <w:szCs w:val="16"/>
        </w:rPr>
        <w:t xml:space="preserve"> (16,5 mld.),</w:t>
      </w:r>
      <w:r w:rsidRPr="00813E8A">
        <w:rPr>
          <w:color w:val="0D0D0D" w:themeColor="text1" w:themeTint="F2"/>
          <w:spacing w:val="-4"/>
          <w:sz w:val="16"/>
          <w:szCs w:val="16"/>
        </w:rPr>
        <w:t xml:space="preserve"> n</w:t>
      </w:r>
      <w:r>
        <w:rPr>
          <w:color w:val="0D0D0D" w:themeColor="text1" w:themeTint="F2"/>
          <w:spacing w:val="-4"/>
          <w:sz w:val="16"/>
          <w:szCs w:val="16"/>
        </w:rPr>
        <w:t>ákupy ochranných prostředků, včetně vakcín (6,3 mld.) a konečně i zvýšené výdaje na některé sociální dávky – ošetřovné,</w:t>
      </w:r>
      <w:r w:rsidRPr="002B0A36">
        <w:t xml:space="preserve"> </w:t>
      </w:r>
      <w:r>
        <w:rPr>
          <w:color w:val="0D0D0D" w:themeColor="text1" w:themeTint="F2"/>
          <w:spacing w:val="-4"/>
          <w:sz w:val="16"/>
          <w:szCs w:val="16"/>
        </w:rPr>
        <w:t>m</w:t>
      </w:r>
      <w:r w:rsidRPr="002B0A36">
        <w:rPr>
          <w:color w:val="0D0D0D" w:themeColor="text1" w:themeTint="F2"/>
          <w:spacing w:val="-4"/>
          <w:sz w:val="16"/>
          <w:szCs w:val="16"/>
        </w:rPr>
        <w:t>imořádný příspě</w:t>
      </w:r>
      <w:r>
        <w:rPr>
          <w:color w:val="0D0D0D" w:themeColor="text1" w:themeTint="F2"/>
          <w:spacing w:val="-4"/>
          <w:sz w:val="16"/>
          <w:szCs w:val="16"/>
        </w:rPr>
        <w:t xml:space="preserve">vek pro zaměstnance v karanténě či </w:t>
      </w:r>
      <w:r w:rsidRPr="002B0A36">
        <w:rPr>
          <w:color w:val="0D0D0D" w:themeColor="text1" w:themeTint="F2"/>
          <w:spacing w:val="-4"/>
          <w:sz w:val="16"/>
          <w:szCs w:val="16"/>
        </w:rPr>
        <w:t>izolaci</w:t>
      </w:r>
      <w:r>
        <w:rPr>
          <w:color w:val="0D0D0D" w:themeColor="text1" w:themeTint="F2"/>
          <w:spacing w:val="-4"/>
          <w:sz w:val="16"/>
          <w:szCs w:val="16"/>
        </w:rPr>
        <w:t xml:space="preserve"> (5,5 mld.).</w:t>
      </w:r>
    </w:p>
    <w:p w14:paraId="2A71D519" w14:textId="77777777" w:rsidR="009112E3" w:rsidRPr="00813E8A" w:rsidRDefault="009112E3" w:rsidP="00F00535">
      <w:pPr>
        <w:pStyle w:val="Textpoznpodarou"/>
        <w:jc w:val="both"/>
        <w:rPr>
          <w:color w:val="0D0D0D" w:themeColor="text1" w:themeTint="F2"/>
          <w:spacing w:val="-4"/>
          <w:sz w:val="16"/>
          <w:szCs w:val="16"/>
        </w:rPr>
      </w:pPr>
      <w:r>
        <w:rPr>
          <w:color w:val="0D0D0D" w:themeColor="text1" w:themeTint="F2"/>
          <w:spacing w:val="-4"/>
          <w:sz w:val="16"/>
          <w:szCs w:val="16"/>
        </w:rPr>
        <w:t>Většina z výše uvedených výdajů ve srovnání s 1. až 3. čtvrtletím 2020 významně narostla. Výjimkou byly ošetřovné, nákupy ochranných pomůcek a oddlužení nemocnic. Drtivá většina uvedených podpor byla letos čerpána v 1. pololetí, v samotném 3. čtvrtletí pokračovaly ve svižném tempu jen platby za státní pojištěnce a ke zrychlení došlo u výdajů na ochranné pomůcky.</w:t>
      </w:r>
    </w:p>
  </w:footnote>
  <w:footnote w:id="78">
    <w:p w14:paraId="6C08E8CC" w14:textId="77777777" w:rsidR="009112E3" w:rsidRPr="00813E8A" w:rsidRDefault="009112E3" w:rsidP="00F00535">
      <w:pPr>
        <w:pStyle w:val="Textpoznpodarou"/>
        <w:rPr>
          <w:spacing w:val="-2"/>
          <w:sz w:val="16"/>
          <w:szCs w:val="16"/>
        </w:rPr>
      </w:pPr>
      <w:r w:rsidRPr="00813E8A">
        <w:rPr>
          <w:rStyle w:val="Znakapoznpodarou"/>
          <w:spacing w:val="-2"/>
          <w:sz w:val="16"/>
          <w:szCs w:val="16"/>
        </w:rPr>
        <w:footnoteRef/>
      </w:r>
      <w:r w:rsidRPr="00813E8A">
        <w:rPr>
          <w:spacing w:val="-2"/>
          <w:sz w:val="16"/>
          <w:szCs w:val="16"/>
        </w:rPr>
        <w:t xml:space="preserve"> Odráží schválený </w:t>
      </w:r>
      <w:r>
        <w:rPr>
          <w:spacing w:val="-2"/>
          <w:sz w:val="16"/>
          <w:szCs w:val="16"/>
        </w:rPr>
        <w:t xml:space="preserve">letošní </w:t>
      </w:r>
      <w:r w:rsidRPr="00813E8A">
        <w:rPr>
          <w:spacing w:val="-2"/>
          <w:sz w:val="16"/>
          <w:szCs w:val="16"/>
        </w:rPr>
        <w:t>meziroční nárůst u</w:t>
      </w:r>
      <w:r>
        <w:rPr>
          <w:spacing w:val="-2"/>
          <w:sz w:val="16"/>
          <w:szCs w:val="16"/>
        </w:rPr>
        <w:t> </w:t>
      </w:r>
      <w:r w:rsidRPr="00813E8A">
        <w:rPr>
          <w:spacing w:val="-2"/>
          <w:sz w:val="16"/>
          <w:szCs w:val="16"/>
        </w:rPr>
        <w:t>pedagogických i</w:t>
      </w:r>
      <w:r>
        <w:rPr>
          <w:spacing w:val="-2"/>
          <w:sz w:val="16"/>
          <w:szCs w:val="16"/>
        </w:rPr>
        <w:t> </w:t>
      </w:r>
      <w:r w:rsidRPr="00813E8A">
        <w:rPr>
          <w:spacing w:val="-2"/>
          <w:sz w:val="16"/>
          <w:szCs w:val="16"/>
        </w:rPr>
        <w:t>nepedagogických pracovníků (o</w:t>
      </w:r>
      <w:r>
        <w:rPr>
          <w:spacing w:val="-2"/>
          <w:sz w:val="16"/>
          <w:szCs w:val="16"/>
        </w:rPr>
        <w:t> </w:t>
      </w:r>
      <w:r w:rsidRPr="00813E8A">
        <w:rPr>
          <w:spacing w:val="-2"/>
          <w:sz w:val="16"/>
          <w:szCs w:val="16"/>
        </w:rPr>
        <w:t>9</w:t>
      </w:r>
      <w:r>
        <w:rPr>
          <w:spacing w:val="-2"/>
          <w:sz w:val="16"/>
          <w:szCs w:val="16"/>
        </w:rPr>
        <w:t> %</w:t>
      </w:r>
      <w:r w:rsidRPr="00813E8A">
        <w:rPr>
          <w:spacing w:val="-2"/>
          <w:sz w:val="16"/>
          <w:szCs w:val="16"/>
        </w:rPr>
        <w:t>, resp. 4,3</w:t>
      </w:r>
      <w:r>
        <w:rPr>
          <w:spacing w:val="-2"/>
          <w:sz w:val="16"/>
          <w:szCs w:val="16"/>
        </w:rPr>
        <w:t> %</w:t>
      </w:r>
      <w:r w:rsidRPr="00813E8A">
        <w:rPr>
          <w:spacing w:val="-2"/>
          <w:sz w:val="16"/>
          <w:szCs w:val="16"/>
        </w:rPr>
        <w:t>).</w:t>
      </w:r>
    </w:p>
  </w:footnote>
  <w:footnote w:id="79">
    <w:p w14:paraId="2CD7D1F5" w14:textId="77777777" w:rsidR="009112E3" w:rsidRPr="00D671AC" w:rsidRDefault="009112E3" w:rsidP="00F00535">
      <w:pPr>
        <w:pStyle w:val="Textpoznpodarou"/>
        <w:rPr>
          <w:sz w:val="16"/>
          <w:szCs w:val="16"/>
        </w:rPr>
      </w:pPr>
      <w:r w:rsidRPr="00813E8A"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V těchto výdajích nejsou zahrnuty výdaje na obsluhu státního dluhu a též v posledních letech okrajovou položku výdajů na realizaci záruk.</w:t>
      </w:r>
    </w:p>
  </w:footnote>
  <w:footnote w:id="80">
    <w:p w14:paraId="6E9E7F30" w14:textId="77777777" w:rsidR="009112E3" w:rsidRPr="00FA3B92" w:rsidRDefault="009112E3" w:rsidP="00F00535">
      <w:pPr>
        <w:pStyle w:val="Textpoznpodarou"/>
        <w:rPr>
          <w:sz w:val="16"/>
          <w:szCs w:val="16"/>
        </w:rPr>
      </w:pPr>
      <w:r w:rsidRPr="00FA3B92">
        <w:rPr>
          <w:rStyle w:val="Znakapoznpodarou"/>
          <w:sz w:val="16"/>
          <w:szCs w:val="16"/>
        </w:rPr>
        <w:footnoteRef/>
      </w:r>
      <w:r w:rsidRPr="00FA3B92">
        <w:rPr>
          <w:sz w:val="16"/>
          <w:szCs w:val="16"/>
        </w:rPr>
        <w:t xml:space="preserve"> </w:t>
      </w:r>
      <w:r w:rsidRPr="00FA3B92">
        <w:rPr>
          <w:spacing w:val="-5"/>
          <w:sz w:val="16"/>
          <w:szCs w:val="16"/>
        </w:rPr>
        <w:t>Podíl sociálníc</w:t>
      </w:r>
      <w:r>
        <w:rPr>
          <w:spacing w:val="-5"/>
          <w:sz w:val="16"/>
          <w:szCs w:val="16"/>
        </w:rPr>
        <w:t xml:space="preserve">h dávek na všech výdajích SR </w:t>
      </w:r>
      <w:r w:rsidRPr="00FA3B92">
        <w:rPr>
          <w:spacing w:val="-5"/>
          <w:sz w:val="16"/>
          <w:szCs w:val="16"/>
        </w:rPr>
        <w:t>v rámci 1</w:t>
      </w:r>
      <w:r>
        <w:rPr>
          <w:spacing w:val="-5"/>
          <w:sz w:val="16"/>
          <w:szCs w:val="16"/>
        </w:rPr>
        <w:t>. až 3. čtvrtletí klesal popáté v řadě (na letošních 37,1 %, minimum za posledních 10 let).</w:t>
      </w:r>
    </w:p>
  </w:footnote>
  <w:footnote w:id="81">
    <w:p w14:paraId="518256D0" w14:textId="77777777" w:rsidR="009112E3" w:rsidRPr="00502763" w:rsidRDefault="009112E3" w:rsidP="00F00535">
      <w:pPr>
        <w:pStyle w:val="Textpoznpodarou"/>
        <w:rPr>
          <w:sz w:val="16"/>
          <w:szCs w:val="16"/>
        </w:rPr>
      </w:pPr>
      <w:r w:rsidRPr="00502763">
        <w:rPr>
          <w:rStyle w:val="Znakapoznpodarou"/>
          <w:sz w:val="16"/>
          <w:szCs w:val="16"/>
        </w:rPr>
        <w:footnoteRef/>
      </w:r>
      <w:r w:rsidRPr="00502763">
        <w:rPr>
          <w:sz w:val="16"/>
          <w:szCs w:val="16"/>
        </w:rPr>
        <w:t xml:space="preserve"> Ve vysokém loňském růstu se projevilo zejména zavedení krizového ošetřovného (souvisejí</w:t>
      </w:r>
      <w:r>
        <w:rPr>
          <w:sz w:val="16"/>
          <w:szCs w:val="16"/>
        </w:rPr>
        <w:t>cího</w:t>
      </w:r>
      <w:r w:rsidRPr="00502763">
        <w:rPr>
          <w:sz w:val="16"/>
          <w:szCs w:val="16"/>
        </w:rPr>
        <w:t xml:space="preserve"> s domácí péč</w:t>
      </w:r>
      <w:r>
        <w:rPr>
          <w:sz w:val="16"/>
          <w:szCs w:val="16"/>
        </w:rPr>
        <w:t>í</w:t>
      </w:r>
      <w:r w:rsidRPr="00502763">
        <w:rPr>
          <w:sz w:val="16"/>
          <w:szCs w:val="16"/>
        </w:rPr>
        <w:t xml:space="preserve"> o</w:t>
      </w:r>
      <w:r>
        <w:rPr>
          <w:sz w:val="16"/>
          <w:szCs w:val="16"/>
        </w:rPr>
        <w:t> </w:t>
      </w:r>
      <w:r w:rsidRPr="00502763">
        <w:rPr>
          <w:sz w:val="16"/>
          <w:szCs w:val="16"/>
        </w:rPr>
        <w:t xml:space="preserve">děti z důvodu nuceného uzavření škol či </w:t>
      </w:r>
      <w:r>
        <w:rPr>
          <w:sz w:val="16"/>
          <w:szCs w:val="16"/>
        </w:rPr>
        <w:t xml:space="preserve">kvůli </w:t>
      </w:r>
      <w:r w:rsidRPr="00502763">
        <w:rPr>
          <w:sz w:val="16"/>
          <w:szCs w:val="16"/>
        </w:rPr>
        <w:t>karantén</w:t>
      </w:r>
      <w:r>
        <w:rPr>
          <w:sz w:val="16"/>
          <w:szCs w:val="16"/>
        </w:rPr>
        <w:t>ě</w:t>
      </w:r>
      <w:r w:rsidRPr="00502763">
        <w:rPr>
          <w:sz w:val="16"/>
          <w:szCs w:val="16"/>
        </w:rPr>
        <w:t>), n</w:t>
      </w:r>
      <w:r>
        <w:rPr>
          <w:sz w:val="16"/>
          <w:szCs w:val="16"/>
        </w:rPr>
        <w:t>avýšení rodičovského příspěvku a vyšší tempo valorizace důchodů.</w:t>
      </w:r>
    </w:p>
  </w:footnote>
  <w:footnote w:id="82">
    <w:p w14:paraId="10494581" w14:textId="77777777" w:rsidR="009112E3" w:rsidRPr="00813E8A" w:rsidRDefault="009112E3" w:rsidP="00F00535">
      <w:pPr>
        <w:pStyle w:val="Textpoznpodarou"/>
        <w:rPr>
          <w:spacing w:val="-4"/>
          <w:sz w:val="16"/>
          <w:szCs w:val="16"/>
        </w:rPr>
      </w:pPr>
      <w:r w:rsidRPr="00813E8A">
        <w:rPr>
          <w:rStyle w:val="Znakapoznpodarou"/>
          <w:spacing w:val="-4"/>
          <w:sz w:val="16"/>
          <w:szCs w:val="16"/>
        </w:rPr>
        <w:footnoteRef/>
      </w:r>
      <w:r w:rsidRPr="00813E8A">
        <w:rPr>
          <w:spacing w:val="-4"/>
          <w:sz w:val="16"/>
          <w:szCs w:val="16"/>
        </w:rPr>
        <w:t xml:space="preserve"> Objem vybraného pojistného </w:t>
      </w:r>
      <w:r>
        <w:rPr>
          <w:spacing w:val="-4"/>
          <w:sz w:val="16"/>
          <w:szCs w:val="16"/>
        </w:rPr>
        <w:t>byl ve 2. i 3. čtvrtletí 2020</w:t>
      </w:r>
      <w:r w:rsidRPr="00813E8A">
        <w:rPr>
          <w:spacing w:val="-4"/>
          <w:sz w:val="16"/>
          <w:szCs w:val="16"/>
        </w:rPr>
        <w:t xml:space="preserve"> negativně poznamenán zrušením minimálních záloh pro osoby samostatně výdělečně činné a</w:t>
      </w:r>
      <w:r>
        <w:rPr>
          <w:spacing w:val="-4"/>
          <w:sz w:val="16"/>
          <w:szCs w:val="16"/>
        </w:rPr>
        <w:t> </w:t>
      </w:r>
      <w:r w:rsidRPr="00813E8A">
        <w:rPr>
          <w:spacing w:val="-4"/>
          <w:sz w:val="16"/>
          <w:szCs w:val="16"/>
        </w:rPr>
        <w:t>též prominutím pojistného placeného zaměstnavatelem (program Antivirus</w:t>
      </w:r>
      <w:r>
        <w:rPr>
          <w:spacing w:val="-4"/>
          <w:sz w:val="16"/>
          <w:szCs w:val="16"/>
        </w:rPr>
        <w:t> </w:t>
      </w:r>
      <w:r w:rsidRPr="00813E8A">
        <w:rPr>
          <w:spacing w:val="-4"/>
          <w:sz w:val="16"/>
          <w:szCs w:val="16"/>
        </w:rPr>
        <w:t>C).</w:t>
      </w:r>
    </w:p>
  </w:footnote>
  <w:footnote w:id="83">
    <w:p w14:paraId="65FC1477" w14:textId="77777777" w:rsidR="009112E3" w:rsidRPr="00EC2E06" w:rsidRDefault="009112E3" w:rsidP="00F00535">
      <w:pPr>
        <w:pStyle w:val="Textpoznpodarou"/>
        <w:jc w:val="both"/>
        <w:rPr>
          <w:spacing w:val="-4"/>
        </w:rPr>
      </w:pPr>
      <w:r w:rsidRPr="00EC2E06">
        <w:rPr>
          <w:rStyle w:val="Znakapoznpodarou"/>
          <w:spacing w:val="-4"/>
          <w:sz w:val="16"/>
          <w:szCs w:val="16"/>
        </w:rPr>
        <w:footnoteRef/>
      </w:r>
      <w:r w:rsidRPr="00EC2E06">
        <w:rPr>
          <w:spacing w:val="-4"/>
          <w:sz w:val="16"/>
          <w:szCs w:val="16"/>
        </w:rPr>
        <w:t xml:space="preserve"> Je vyjádřeno </w:t>
      </w:r>
      <w:r w:rsidRPr="00EC2E06">
        <w:rPr>
          <w:rFonts w:cs="Arial"/>
          <w:color w:val="000000" w:themeColor="text1"/>
          <w:spacing w:val="-4"/>
          <w:sz w:val="16"/>
          <w:szCs w:val="16"/>
        </w:rPr>
        <w:t xml:space="preserve">rozdílem mezi příjmy a výdaji na důchody ze SR. Ve výdajích nejsou zahrnuty náklady na správu systému důchodového </w:t>
      </w:r>
      <w:r w:rsidRPr="00EC2E06">
        <w:rPr>
          <w:rFonts w:cs="Arial"/>
          <w:color w:val="0D0D0D" w:themeColor="text1" w:themeTint="F2"/>
          <w:spacing w:val="-4"/>
          <w:sz w:val="16"/>
          <w:szCs w:val="16"/>
        </w:rPr>
        <w:t>pojištění.</w:t>
      </w:r>
    </w:p>
  </w:footnote>
  <w:footnote w:id="84">
    <w:p w14:paraId="12AA18B0" w14:textId="77777777" w:rsidR="009112E3" w:rsidRPr="00F73096" w:rsidRDefault="009112E3" w:rsidP="00F00535">
      <w:pPr>
        <w:pStyle w:val="Textpoznpodarou"/>
        <w:rPr>
          <w:spacing w:val="-2"/>
          <w:sz w:val="16"/>
          <w:szCs w:val="16"/>
        </w:rPr>
      </w:pPr>
      <w:r w:rsidRPr="00F73096">
        <w:rPr>
          <w:rStyle w:val="Znakapoznpodarou"/>
          <w:spacing w:val="-2"/>
          <w:sz w:val="16"/>
          <w:szCs w:val="16"/>
        </w:rPr>
        <w:footnoteRef/>
      </w:r>
      <w:r w:rsidRPr="00F73096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Od 1. července 2021 došlo ke</w:t>
      </w:r>
      <w:r w:rsidRPr="00F73096">
        <w:rPr>
          <w:spacing w:val="-2"/>
          <w:sz w:val="16"/>
          <w:szCs w:val="16"/>
        </w:rPr>
        <w:t xml:space="preserve"> zvýšení hranice rozhodného příjmu pro čerpání (z</w:t>
      </w:r>
      <w:r>
        <w:rPr>
          <w:spacing w:val="-2"/>
          <w:sz w:val="16"/>
          <w:szCs w:val="16"/>
        </w:rPr>
        <w:t> </w:t>
      </w:r>
      <w:r w:rsidRPr="00F73096">
        <w:rPr>
          <w:spacing w:val="-2"/>
          <w:sz w:val="16"/>
          <w:szCs w:val="16"/>
        </w:rPr>
        <w:t>2,7</w:t>
      </w:r>
      <w:r>
        <w:rPr>
          <w:spacing w:val="-2"/>
          <w:sz w:val="16"/>
          <w:szCs w:val="16"/>
        </w:rPr>
        <w:t>-</w:t>
      </w:r>
      <w:r w:rsidRPr="00F73096">
        <w:rPr>
          <w:spacing w:val="-2"/>
          <w:sz w:val="16"/>
          <w:szCs w:val="16"/>
        </w:rPr>
        <w:t xml:space="preserve"> na 3,4násobek životního minima rodiny) i</w:t>
      </w:r>
      <w:r>
        <w:rPr>
          <w:spacing w:val="-2"/>
          <w:sz w:val="16"/>
          <w:szCs w:val="16"/>
        </w:rPr>
        <w:t> k </w:t>
      </w:r>
      <w:r w:rsidRPr="00F73096">
        <w:rPr>
          <w:spacing w:val="-2"/>
          <w:sz w:val="16"/>
          <w:szCs w:val="16"/>
        </w:rPr>
        <w:t>valorizaci výš</w:t>
      </w:r>
      <w:r>
        <w:rPr>
          <w:spacing w:val="-2"/>
          <w:sz w:val="16"/>
          <w:szCs w:val="16"/>
        </w:rPr>
        <w:t>e</w:t>
      </w:r>
      <w:r w:rsidRPr="00F73096">
        <w:rPr>
          <w:spacing w:val="-2"/>
          <w:sz w:val="16"/>
          <w:szCs w:val="16"/>
        </w:rPr>
        <w:t xml:space="preserve"> přídavku (o</w:t>
      </w:r>
      <w:r>
        <w:rPr>
          <w:spacing w:val="-2"/>
          <w:sz w:val="16"/>
          <w:szCs w:val="16"/>
        </w:rPr>
        <w:t> 26 %)</w:t>
      </w:r>
      <w:r w:rsidRPr="00C20E4A">
        <w:rPr>
          <w:spacing w:val="-3"/>
          <w:sz w:val="16"/>
          <w:szCs w:val="16"/>
        </w:rPr>
        <w:t>.</w:t>
      </w:r>
    </w:p>
  </w:footnote>
  <w:footnote w:id="85">
    <w:p w14:paraId="2281CA4B" w14:textId="77777777" w:rsidR="009112E3" w:rsidRPr="00194107" w:rsidRDefault="009112E3" w:rsidP="00F00535">
      <w:pPr>
        <w:pStyle w:val="Textpoznpodarou"/>
        <w:rPr>
          <w:sz w:val="16"/>
          <w:szCs w:val="16"/>
        </w:rPr>
      </w:pPr>
      <w:r w:rsidRPr="00194107">
        <w:rPr>
          <w:rStyle w:val="Znakapoznpodarou"/>
          <w:sz w:val="16"/>
          <w:szCs w:val="16"/>
        </w:rPr>
        <w:footnoteRef/>
      </w:r>
      <w:r w:rsidRPr="00194107">
        <w:rPr>
          <w:sz w:val="16"/>
          <w:szCs w:val="16"/>
        </w:rPr>
        <w:t xml:space="preserve"> Díky mírné akceleraci čerpání investic dosáhlo jejich rozpočtové plnění letos na konci října 62</w:t>
      </w:r>
      <w:r>
        <w:rPr>
          <w:sz w:val="16"/>
          <w:szCs w:val="16"/>
        </w:rPr>
        <w:t> %</w:t>
      </w:r>
      <w:r w:rsidRPr="00194107">
        <w:rPr>
          <w:sz w:val="16"/>
          <w:szCs w:val="16"/>
        </w:rPr>
        <w:t>.</w:t>
      </w:r>
      <w:r>
        <w:rPr>
          <w:sz w:val="16"/>
          <w:szCs w:val="16"/>
        </w:rPr>
        <w:t xml:space="preserve"> I tak šlo o druhé nejnižší říjnové plnění od roku 2007.</w:t>
      </w:r>
    </w:p>
  </w:footnote>
  <w:footnote w:id="86">
    <w:p w14:paraId="683A551E" w14:textId="77777777" w:rsidR="009112E3" w:rsidRPr="00445896" w:rsidRDefault="009112E3" w:rsidP="00F00535">
      <w:pPr>
        <w:pStyle w:val="Textpoznpodarou"/>
        <w:rPr>
          <w:spacing w:val="-3"/>
          <w:sz w:val="16"/>
          <w:szCs w:val="16"/>
        </w:rPr>
      </w:pPr>
      <w:r w:rsidRPr="00445896">
        <w:rPr>
          <w:rStyle w:val="Znakapoznpodarou"/>
          <w:spacing w:val="-3"/>
          <w:sz w:val="16"/>
          <w:szCs w:val="16"/>
        </w:rPr>
        <w:footnoteRef/>
      </w:r>
      <w:r w:rsidRPr="00445896">
        <w:rPr>
          <w:spacing w:val="-3"/>
          <w:sz w:val="16"/>
          <w:szCs w:val="16"/>
        </w:rPr>
        <w:t xml:space="preserve"> V 1. čtvrtletí 2021 byly na domácím finančním trhu vydány středně</w:t>
      </w:r>
      <w:r>
        <w:rPr>
          <w:spacing w:val="-3"/>
          <w:sz w:val="16"/>
          <w:szCs w:val="16"/>
        </w:rPr>
        <w:t>-</w:t>
      </w:r>
      <w:r w:rsidRPr="00445896">
        <w:rPr>
          <w:spacing w:val="-3"/>
          <w:sz w:val="16"/>
          <w:szCs w:val="16"/>
        </w:rPr>
        <w:t xml:space="preserve"> a</w:t>
      </w:r>
      <w:r>
        <w:rPr>
          <w:spacing w:val="-3"/>
          <w:sz w:val="16"/>
          <w:szCs w:val="16"/>
        </w:rPr>
        <w:t> </w:t>
      </w:r>
      <w:r w:rsidRPr="00445896">
        <w:rPr>
          <w:spacing w:val="-3"/>
          <w:sz w:val="16"/>
          <w:szCs w:val="16"/>
        </w:rPr>
        <w:t>dlouhodobé státní dluhopisy za 231,8 mld. korun, od ledna do září pak v úhrnu za 485,7</w:t>
      </w:r>
      <w:r>
        <w:rPr>
          <w:spacing w:val="-3"/>
          <w:sz w:val="16"/>
          <w:szCs w:val="16"/>
        </w:rPr>
        <w:t> mld</w:t>
      </w:r>
      <w:r w:rsidRPr="00445896">
        <w:rPr>
          <w:spacing w:val="-3"/>
          <w:sz w:val="16"/>
          <w:szCs w:val="16"/>
        </w:rPr>
        <w:t>. Dluhopisy nejvíce poptávaly domácí banky a ostatní finanční instituce v tuzemsku, které tak na konci září držely již 66 % z celkových domácích státních dluhopisů. Na nerezidenty připadalo 30 %, meziročně o 4 p. b.</w:t>
      </w:r>
      <w:r>
        <w:rPr>
          <w:spacing w:val="-3"/>
          <w:sz w:val="16"/>
          <w:szCs w:val="16"/>
        </w:rPr>
        <w:t>,</w:t>
      </w:r>
      <w:r w:rsidRPr="00445896">
        <w:rPr>
          <w:spacing w:val="-3"/>
          <w:sz w:val="16"/>
          <w:szCs w:val="16"/>
        </w:rPr>
        <w:t xml:space="preserve"> a za dva roky dokonce o 11 p. b. </w:t>
      </w:r>
      <w:proofErr w:type="gramStart"/>
      <w:r w:rsidRPr="00445896">
        <w:rPr>
          <w:spacing w:val="-3"/>
          <w:sz w:val="16"/>
          <w:szCs w:val="16"/>
        </w:rPr>
        <w:t>méně</w:t>
      </w:r>
      <w:proofErr w:type="gramEnd"/>
      <w:r w:rsidRPr="00445896">
        <w:rPr>
          <w:spacing w:val="-3"/>
          <w:sz w:val="16"/>
          <w:szCs w:val="16"/>
        </w:rPr>
        <w:t>. Z dalších dosud letos uplatněných dluhových nástrojů nelze opomenout úvěry od Evropské komise (52,3 mld. korun) na pomoc ke zmírnění rizik nezaměstnanosti vlivem rozšíření pandemie covidu-19. Vzrostla i role krátkodobých zápůjček i úvěrů k posílení likvidity státní pokladny.</w:t>
      </w:r>
    </w:p>
  </w:footnote>
  <w:footnote w:id="87">
    <w:p w14:paraId="20E050BE" w14:textId="77777777" w:rsidR="009112E3" w:rsidRPr="007D08A9" w:rsidRDefault="009112E3" w:rsidP="00F00535">
      <w:pPr>
        <w:pStyle w:val="Textpoznpodarou"/>
        <w:rPr>
          <w:sz w:val="16"/>
          <w:szCs w:val="16"/>
        </w:rPr>
      </w:pPr>
      <w:r w:rsidRPr="007D08A9">
        <w:rPr>
          <w:rStyle w:val="Znakapoznpodarou"/>
          <w:sz w:val="16"/>
          <w:szCs w:val="16"/>
        </w:rPr>
        <w:footnoteRef/>
      </w:r>
      <w:r w:rsidRPr="007D08A9">
        <w:rPr>
          <w:sz w:val="16"/>
          <w:szCs w:val="16"/>
        </w:rPr>
        <w:t xml:space="preserve"> Odpovídá saldu rozpočtové kapitoly Státní dluh.</w:t>
      </w:r>
    </w:p>
  </w:footnote>
  <w:footnote w:id="88">
    <w:p w14:paraId="588651A1" w14:textId="77777777" w:rsidR="009112E3" w:rsidRDefault="009112E3" w:rsidP="00F00535">
      <w:pPr>
        <w:pStyle w:val="Textpoznpodarou"/>
      </w:pPr>
      <w:r w:rsidRPr="008C2F4A">
        <w:rPr>
          <w:rStyle w:val="Znakapoznpodarou"/>
          <w:sz w:val="16"/>
          <w:szCs w:val="16"/>
        </w:rPr>
        <w:footnoteRef/>
      </w:r>
      <w:r w:rsidRPr="008C2F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Údaje o hospodaření vládních institucí v ČR za 3. čtvrtletí 2021 zveřejní ČSÚ 10. ledna 2022, </w:t>
      </w:r>
      <w:proofErr w:type="spellStart"/>
      <w:r>
        <w:rPr>
          <w:sz w:val="16"/>
          <w:szCs w:val="16"/>
        </w:rPr>
        <w:t>Eurostat</w:t>
      </w:r>
      <w:proofErr w:type="spellEnd"/>
      <w:r>
        <w:rPr>
          <w:sz w:val="16"/>
          <w:szCs w:val="16"/>
        </w:rPr>
        <w:t xml:space="preserve"> za své členské státy následně 21. ledna. Podrobnější zhodnocení vývoje v tuzemsku za 1. i 2. čtvrtletí je obsaženo v publikaci Analýza sektorových účtů:</w:t>
      </w:r>
    </w:p>
    <w:p w14:paraId="33F667B4" w14:textId="77777777" w:rsidR="009112E3" w:rsidRPr="0034013F" w:rsidRDefault="00B871A7" w:rsidP="00F00535">
      <w:pPr>
        <w:pStyle w:val="Textpoznpodarou"/>
        <w:rPr>
          <w:sz w:val="16"/>
          <w:szCs w:val="16"/>
        </w:rPr>
      </w:pPr>
      <w:hyperlink r:id="rId2" w:history="1">
        <w:r w:rsidR="009112E3" w:rsidRPr="0034013F">
          <w:rPr>
            <w:rStyle w:val="Hypertextovodkaz"/>
            <w:sz w:val="16"/>
            <w:szCs w:val="16"/>
          </w:rPr>
          <w:t>https://www.czso.cz/csu/czso/cri/analyza-ctvrtletnich-sektorovych-uctu-1-ctvrtleti-2021</w:t>
        </w:r>
      </w:hyperlink>
    </w:p>
    <w:p w14:paraId="0EF5328B" w14:textId="77777777" w:rsidR="009112E3" w:rsidRPr="00240B44" w:rsidRDefault="00B871A7" w:rsidP="00F00535">
      <w:pPr>
        <w:pStyle w:val="Textpoznpodarou"/>
      </w:pPr>
      <w:hyperlink r:id="rId3" w:history="1">
        <w:r w:rsidR="009112E3" w:rsidRPr="00240B44">
          <w:rPr>
            <w:rStyle w:val="Hypertextovodkaz"/>
            <w:sz w:val="16"/>
            <w:szCs w:val="16"/>
          </w:rPr>
          <w:t>https://www.czso.cz/csu/czso/cri/analyza-ctvrtletnich-sektorovych-uctu-2-ctvrtleti-2021</w:t>
        </w:r>
      </w:hyperlink>
    </w:p>
  </w:footnote>
  <w:footnote w:id="89">
    <w:p w14:paraId="6FA0C347" w14:textId="77777777" w:rsidR="009112E3" w:rsidRPr="00CB5D70" w:rsidRDefault="009112E3" w:rsidP="00F00535">
      <w:pPr>
        <w:pStyle w:val="Textpoznpodarou"/>
        <w:rPr>
          <w:spacing w:val="-2"/>
          <w:sz w:val="16"/>
          <w:szCs w:val="16"/>
        </w:rPr>
      </w:pPr>
      <w:r w:rsidRPr="00CB5D70">
        <w:rPr>
          <w:rStyle w:val="Znakapoznpodarou"/>
          <w:spacing w:val="-2"/>
          <w:sz w:val="16"/>
          <w:szCs w:val="16"/>
        </w:rPr>
        <w:footnoteRef/>
      </w:r>
      <w:r w:rsidRPr="00CB5D70">
        <w:rPr>
          <w:spacing w:val="-2"/>
          <w:sz w:val="16"/>
          <w:szCs w:val="16"/>
        </w:rPr>
        <w:t xml:space="preserve"> Bez Itálie, Řecka, Chorvatska a</w:t>
      </w:r>
      <w:r>
        <w:rPr>
          <w:spacing w:val="-2"/>
          <w:sz w:val="16"/>
          <w:szCs w:val="16"/>
        </w:rPr>
        <w:t> </w:t>
      </w:r>
      <w:r w:rsidRPr="00CB5D70">
        <w:rPr>
          <w:spacing w:val="-2"/>
          <w:sz w:val="16"/>
          <w:szCs w:val="16"/>
        </w:rPr>
        <w:t>Kypru. Na základě údajů bez sezónního očištění lze soudit, že hlubokých deficitů (kolem 10</w:t>
      </w:r>
      <w:r>
        <w:rPr>
          <w:spacing w:val="-2"/>
          <w:sz w:val="16"/>
          <w:szCs w:val="16"/>
        </w:rPr>
        <w:t> %</w:t>
      </w:r>
      <w:r w:rsidRPr="00CB5D70">
        <w:rPr>
          <w:spacing w:val="-2"/>
          <w:sz w:val="16"/>
          <w:szCs w:val="16"/>
        </w:rPr>
        <w:t xml:space="preserve"> HDP) dosahovaly ve 2.</w:t>
      </w:r>
      <w:r>
        <w:rPr>
          <w:spacing w:val="-2"/>
          <w:sz w:val="16"/>
          <w:szCs w:val="16"/>
        </w:rPr>
        <w:t> čtvrtlet</w:t>
      </w:r>
      <w:r w:rsidRPr="00CB5D70">
        <w:rPr>
          <w:spacing w:val="-2"/>
          <w:sz w:val="16"/>
          <w:szCs w:val="16"/>
        </w:rPr>
        <w:t>í všechny tyto státy vyjma Chorvatska</w:t>
      </w:r>
      <w:r>
        <w:rPr>
          <w:spacing w:val="-2"/>
          <w:sz w:val="16"/>
          <w:szCs w:val="16"/>
        </w:rPr>
        <w:t xml:space="preserve">, </w:t>
      </w:r>
      <w:r w:rsidRPr="00CB5D70">
        <w:rPr>
          <w:spacing w:val="-2"/>
          <w:sz w:val="16"/>
          <w:szCs w:val="16"/>
        </w:rPr>
        <w:t>kde se schodek hospodaření pohyboval blízko průměru všech zemí 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9112E3" w:rsidRDefault="009112E3" w:rsidP="00937AE2">
    <w:pPr>
      <w:pStyle w:val="Zhlav"/>
    </w:pPr>
    <w:r>
      <w:t>Vývoj ekonomiky České republiky</w:t>
    </w:r>
  </w:p>
  <w:p w14:paraId="3E881AB3" w14:textId="77777777" w:rsidR="009112E3" w:rsidRPr="006F5416" w:rsidRDefault="009112E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9112E3" w:rsidRDefault="009112E3" w:rsidP="00937AE2">
    <w:pPr>
      <w:pStyle w:val="Zhlav"/>
    </w:pPr>
    <w:r>
      <w:t>Vývoj ekonomiky České republiky</w:t>
    </w:r>
  </w:p>
  <w:p w14:paraId="57266714" w14:textId="77777777" w:rsidR="009112E3" w:rsidRPr="006F5416" w:rsidRDefault="009112E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75795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6A6F"/>
    <w:rsid w:val="00136C1A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2732"/>
    <w:rsid w:val="001C31A2"/>
    <w:rsid w:val="001C351D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A17"/>
    <w:rsid w:val="001E74C5"/>
    <w:rsid w:val="001F1236"/>
    <w:rsid w:val="001F2F90"/>
    <w:rsid w:val="001F4597"/>
    <w:rsid w:val="001F4826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25352"/>
    <w:rsid w:val="00426C99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7C1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114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38E4"/>
    <w:rsid w:val="008E51EB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A76"/>
    <w:rsid w:val="00F57D57"/>
    <w:rsid w:val="00F6178B"/>
    <w:rsid w:val="00F62BFF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2.xml"/><Relationship Id="rId30" Type="http://schemas.openxmlformats.org/officeDocument/2006/relationships/fontTable" Target="fontTable.xml"/><Relationship Id="rId35" Type="http://schemas.microsoft.com/office/2018/08/relationships/commentsExtensible" Target="commentsExtensi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zso.cz/csu/czso/cri/analyza-ctvrtletnich-sektorovych-uctu-2-ctvrtleti-2021" TargetMode="External"/><Relationship Id="rId2" Type="http://schemas.openxmlformats.org/officeDocument/2006/relationships/hyperlink" Target="https://www.czso.cz/csu/czso/cri/analyza-ctvrtletnich-sektorovych-uctu-1-ctvrtleti-2021" TargetMode="External"/><Relationship Id="rId1" Type="http://schemas.openxmlformats.org/officeDocument/2006/relationships/hyperlink" Target="https://www.czso.cz/csu/czso/metodicka-poznamka-k-indexu-spotrebitelskych-cen-imputovane-najem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1Q3\Makroanal&#253;za%20graf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3\Makroanal&#253;za%20graf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3\Makroanal&#253;za%20graf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Trh%20pr&#225;ce\Grafy-trh%20pr&#225;ce-2021-3q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Trh%20pr&#225;ce\Grafy-trh%20pr&#225;ce-2021-3q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-3.%20&#269;tvrtlet&#237;%202021-QMakro\Trh%20pr&#225;ce\Grafy-trh%20pr&#225;ce-2021-3q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3\Makroanal&#253;za%20grafy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St&#225;tn&#237;%20rozpo&#269;et\Grafy-st&#225;tn&#237;%20rozpo&#269;et-1-3ql.202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St&#225;tn&#237;%20rozpo&#269;et\Grafy-st&#225;tn&#237;%20rozpo&#269;et-1-3ql.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1Q3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1Q3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Odv&#283;tv&#237;\Odv&#283;tv&#237;%20grafy-3q-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Odv&#283;tv&#237;\Odv&#283;tv&#237;%20grafy-3q-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Odv&#283;tv&#237;\Odv&#283;tv&#237;%20grafy-3q-202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menicky3604\Documents\JKAM%20CSU\PUBLIKACE\PUBLIKACE\2021\Qmakro\1-3.%20&#269;tvrtlet&#237;%202021\Odv&#283;tv&#237;\Odv&#283;tv&#237;%20grafy-3q-202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1Q3\Makroanal&#253;za%20graf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24257007767645E-2"/>
          <c:y val="2.3046636085626952E-2"/>
          <c:w val="0.92008633063154344"/>
          <c:h val="0.74192840256671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multiLvlStrRef>
              <c:f>'souhrnná výkonnost 1'!$A$21:$B$43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1'!$C$21:$C$43</c:f>
              <c:numCache>
                <c:formatCode>#\ ##0.0</c:formatCode>
                <c:ptCount val="23"/>
                <c:pt idx="0">
                  <c:v>3.3935679863989208</c:v>
                </c:pt>
                <c:pt idx="1">
                  <c:v>2.2554525211863137</c:v>
                </c:pt>
                <c:pt idx="2">
                  <c:v>1.9595698850867365</c:v>
                </c:pt>
                <c:pt idx="3">
                  <c:v>2.1706116744660449</c:v>
                </c:pt>
                <c:pt idx="4">
                  <c:v>3.5703667972288571</c:v>
                </c:pt>
                <c:pt idx="5">
                  <c:v>6.1313858438531526</c:v>
                </c:pt>
                <c:pt idx="6">
                  <c:v>5.8793571478929323</c:v>
                </c:pt>
                <c:pt idx="7">
                  <c:v>5.8948576142013849</c:v>
                </c:pt>
                <c:pt idx="8">
                  <c:v>4.8045186709861412</c:v>
                </c:pt>
                <c:pt idx="9" formatCode="General">
                  <c:v>2.6817351351516834</c:v>
                </c:pt>
                <c:pt idx="10" formatCode="General">
                  <c:v>2.7294466842677565</c:v>
                </c:pt>
                <c:pt idx="11">
                  <c:v>2.5583350179001485</c:v>
                </c:pt>
                <c:pt idx="12">
                  <c:v>2.9671766091530287</c:v>
                </c:pt>
                <c:pt idx="13" formatCode="General">
                  <c:v>3.0195090485548093</c:v>
                </c:pt>
                <c:pt idx="14" formatCode="General">
                  <c:v>2.9551051697276307</c:v>
                </c:pt>
                <c:pt idx="15" formatCode="General">
                  <c:v>2.8845218371908743</c:v>
                </c:pt>
                <c:pt idx="16" formatCode="General">
                  <c:v>-1.4626768956389213</c:v>
                </c:pt>
                <c:pt idx="17" formatCode="General">
                  <c:v>-10.942094363882291</c:v>
                </c:pt>
                <c:pt idx="18" formatCode="General">
                  <c:v>-5.4470154857909989</c:v>
                </c:pt>
                <c:pt idx="19" formatCode="General">
                  <c:v>-5.3453232021546739</c:v>
                </c:pt>
                <c:pt idx="20" formatCode="General">
                  <c:v>-2.4560730013380834</c:v>
                </c:pt>
                <c:pt idx="21" formatCode="General">
                  <c:v>8.4781040670799399</c:v>
                </c:pt>
                <c:pt idx="22" formatCode="General">
                  <c:v>3.1381078256552826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D4-457C-A16A-3B55C46300F2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EU27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invertIfNegative val="0"/>
          <c:cat>
            <c:multiLvlStrRef>
              <c:f>'souhrnná výkonnost 1'!$A$21:$B$43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1'!$D$21:$D$43</c:f>
              <c:numCache>
                <c:formatCode>#\ ##0.0</c:formatCode>
                <c:ptCount val="23"/>
                <c:pt idx="0">
                  <c:v>2.1</c:v>
                </c:pt>
                <c:pt idx="1">
                  <c:v>1.9</c:v>
                </c:pt>
                <c:pt idx="2">
                  <c:v>1.8</c:v>
                </c:pt>
                <c:pt idx="3">
                  <c:v>2.2000000000000002</c:v>
                </c:pt>
                <c:pt idx="4">
                  <c:v>2.4</c:v>
                </c:pt>
                <c:pt idx="5">
                  <c:v>2.9</c:v>
                </c:pt>
                <c:pt idx="6">
                  <c:v>3.2</c:v>
                </c:pt>
                <c:pt idx="7">
                  <c:v>3.2</c:v>
                </c:pt>
                <c:pt idx="8">
                  <c:v>2.6</c:v>
                </c:pt>
                <c:pt idx="9">
                  <c:v>2.2999999999999998</c:v>
                </c:pt>
                <c:pt idx="10">
                  <c:v>1.8</c:v>
                </c:pt>
                <c:pt idx="11">
                  <c:v>1.5</c:v>
                </c:pt>
                <c:pt idx="12">
                  <c:v>2.2000000000000002</c:v>
                </c:pt>
                <c:pt idx="13">
                  <c:v>1.8</c:v>
                </c:pt>
                <c:pt idx="14">
                  <c:v>2</c:v>
                </c:pt>
                <c:pt idx="15">
                  <c:v>1.4</c:v>
                </c:pt>
                <c:pt idx="16">
                  <c:v>-2.5</c:v>
                </c:pt>
                <c:pt idx="17">
                  <c:v>-13.7</c:v>
                </c:pt>
                <c:pt idx="18">
                  <c:v>-3.9</c:v>
                </c:pt>
                <c:pt idx="19">
                  <c:v>-4.0999999999999996</c:v>
                </c:pt>
                <c:pt idx="20">
                  <c:v>-1.2</c:v>
                </c:pt>
                <c:pt idx="21">
                  <c:v>13.7</c:v>
                </c:pt>
                <c:pt idx="22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D4-457C-A16A-3B55C4630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7753344"/>
        <c:axId val="267767808"/>
      </c:barChart>
      <c:lineChart>
        <c:grouping val="standard"/>
        <c:varyColors val="0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1'!$A$21:$B$43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1'!$E$21:$E$43</c:f>
              <c:numCache>
                <c:formatCode>#\ ##0.0</c:formatCode>
                <c:ptCount val="23"/>
                <c:pt idx="0">
                  <c:v>0.16332296495187393</c:v>
                </c:pt>
                <c:pt idx="1">
                  <c:v>0.33620140081080763</c:v>
                </c:pt>
                <c:pt idx="2">
                  <c:v>0.80409486945227115</c:v>
                </c:pt>
                <c:pt idx="3">
                  <c:v>0.85128584892957804</c:v>
                </c:pt>
                <c:pt idx="4">
                  <c:v>1.5355778838110723</c:v>
                </c:pt>
                <c:pt idx="5">
                  <c:v>2.8172481596437962</c:v>
                </c:pt>
                <c:pt idx="6">
                  <c:v>0.56471681577477284</c:v>
                </c:pt>
                <c:pt idx="7">
                  <c:v>0.86605021849675268</c:v>
                </c:pt>
                <c:pt idx="8">
                  <c:v>0.49012395731429592</c:v>
                </c:pt>
                <c:pt idx="9">
                  <c:v>0.73471618143510398</c:v>
                </c:pt>
                <c:pt idx="10">
                  <c:v>0.61144468241420213</c:v>
                </c:pt>
                <c:pt idx="11">
                  <c:v>0.69804232504577612</c:v>
                </c:pt>
                <c:pt idx="12">
                  <c:v>0.89072077059854848</c:v>
                </c:pt>
                <c:pt idx="13" formatCode="General">
                  <c:v>0.78591398644272203</c:v>
                </c:pt>
                <c:pt idx="14" formatCode="General">
                  <c:v>0.54854623384075296</c:v>
                </c:pt>
                <c:pt idx="15" formatCode="General">
                  <c:v>0.62900637587634378</c:v>
                </c:pt>
                <c:pt idx="16" formatCode="General">
                  <c:v>-3.3722335169499615</c:v>
                </c:pt>
                <c:pt idx="17" formatCode="General">
                  <c:v>-8.9098208224286566</c:v>
                </c:pt>
                <c:pt idx="18" formatCode="General">
                  <c:v>6.7526242287794531</c:v>
                </c:pt>
                <c:pt idx="19" formatCode="General">
                  <c:v>0.73723345629051096</c:v>
                </c:pt>
                <c:pt idx="20" formatCode="General">
                  <c:v>-0.42275650049082003</c:v>
                </c:pt>
                <c:pt idx="21" formatCode="General">
                  <c:v>1.3009240077969366</c:v>
                </c:pt>
                <c:pt idx="22" formatCode="General">
                  <c:v>1.4975673023476048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1D4-457C-A16A-3B55C46300F2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EU27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1'!$A$21:$B$43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1'!$F$21:$F$43</c:f>
              <c:numCache>
                <c:formatCode>#\ ##0.0</c:formatCode>
                <c:ptCount val="23"/>
                <c:pt idx="0">
                  <c:v>0.5</c:v>
                </c:pt>
                <c:pt idx="1">
                  <c:v>0.3</c:v>
                </c:pt>
                <c:pt idx="2">
                  <c:v>0.5</c:v>
                </c:pt>
                <c:pt idx="3">
                  <c:v>0.8</c:v>
                </c:pt>
                <c:pt idx="4">
                  <c:v>0.7</c:v>
                </c:pt>
                <c:pt idx="5">
                  <c:v>0.9</c:v>
                </c:pt>
                <c:pt idx="6">
                  <c:v>0.7</c:v>
                </c:pt>
                <c:pt idx="7">
                  <c:v>0.9</c:v>
                </c:pt>
                <c:pt idx="8">
                  <c:v>0.1</c:v>
                </c:pt>
                <c:pt idx="9">
                  <c:v>0.6</c:v>
                </c:pt>
                <c:pt idx="10">
                  <c:v>0.2</c:v>
                </c:pt>
                <c:pt idx="11">
                  <c:v>0.6</c:v>
                </c:pt>
                <c:pt idx="12">
                  <c:v>0.8</c:v>
                </c:pt>
                <c:pt idx="13">
                  <c:v>0.2</c:v>
                </c:pt>
                <c:pt idx="14">
                  <c:v>0.3</c:v>
                </c:pt>
                <c:pt idx="15">
                  <c:v>0</c:v>
                </c:pt>
                <c:pt idx="16">
                  <c:v>-3.1</c:v>
                </c:pt>
                <c:pt idx="17">
                  <c:v>-11.3</c:v>
                </c:pt>
                <c:pt idx="18">
                  <c:v>11.8</c:v>
                </c:pt>
                <c:pt idx="19">
                  <c:v>-0.2</c:v>
                </c:pt>
                <c:pt idx="20">
                  <c:v>-0.1</c:v>
                </c:pt>
                <c:pt idx="21">
                  <c:v>2</c:v>
                </c:pt>
                <c:pt idx="22">
                  <c:v>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1D4-457C-A16A-3B55C4630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753344"/>
        <c:axId val="267767808"/>
      </c:lineChart>
      <c:catAx>
        <c:axId val="26775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767808"/>
        <c:crosses val="autoZero"/>
        <c:auto val="1"/>
        <c:lblAlgn val="ctr"/>
        <c:lblOffset val="100"/>
        <c:noMultiLvlLbl val="0"/>
      </c:catAx>
      <c:valAx>
        <c:axId val="26776780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753344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431906450523471E-2"/>
          <c:y val="0.89437255125717996"/>
          <c:w val="0.91838441404930771"/>
          <c:h val="9.030175575879101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329188744168373E-2"/>
          <c:y val="2.9569886214146503E-2"/>
          <c:w val="0.93442380359291555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1'!$C$22:$C$44</c:f>
              <c:numCache>
                <c:formatCode>General</c:formatCode>
                <c:ptCount val="23"/>
                <c:pt idx="0">
                  <c:v>8.9000000000000057</c:v>
                </c:pt>
                <c:pt idx="1">
                  <c:v>10.299999999999997</c:v>
                </c:pt>
                <c:pt idx="2">
                  <c:v>12.299999999999997</c:v>
                </c:pt>
                <c:pt idx="3">
                  <c:v>14.599999999999994</c:v>
                </c:pt>
                <c:pt idx="4">
                  <c:v>17.200000000000003</c:v>
                </c:pt>
                <c:pt idx="5">
                  <c:v>18.700000000000003</c:v>
                </c:pt>
                <c:pt idx="6">
                  <c:v>15.799999999999997</c:v>
                </c:pt>
                <c:pt idx="7">
                  <c:v>12</c:v>
                </c:pt>
                <c:pt idx="8">
                  <c:v>9.2000000000000028</c:v>
                </c:pt>
                <c:pt idx="9">
                  <c:v>8</c:v>
                </c:pt>
                <c:pt idx="10">
                  <c:v>9.4000000000000057</c:v>
                </c:pt>
                <c:pt idx="11">
                  <c:v>11.400000000000006</c:v>
                </c:pt>
                <c:pt idx="12">
                  <c:v>11.299999999999997</c:v>
                </c:pt>
                <c:pt idx="13">
                  <c:v>10.599999999999994</c:v>
                </c:pt>
                <c:pt idx="14">
                  <c:v>9.5</c:v>
                </c:pt>
                <c:pt idx="15">
                  <c:v>9.4000000000000057</c:v>
                </c:pt>
                <c:pt idx="16">
                  <c:v>10.599999999999994</c:v>
                </c:pt>
                <c:pt idx="17">
                  <c:v>10.200000000000003</c:v>
                </c:pt>
                <c:pt idx="18">
                  <c:v>11.200000000000003</c:v>
                </c:pt>
                <c:pt idx="19">
                  <c:v>13.299999999999997</c:v>
                </c:pt>
                <c:pt idx="20">
                  <c:v>15.200000000000003</c:v>
                </c:pt>
                <c:pt idx="21">
                  <c:v>17.900000000000006</c:v>
                </c:pt>
                <c:pt idx="2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92-4FD6-B1F2-B54899ECC156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1'!$D$22:$D$44</c:f>
              <c:numCache>
                <c:formatCode>General</c:formatCode>
                <c:ptCount val="23"/>
                <c:pt idx="0">
                  <c:v>5.7999999999999972</c:v>
                </c:pt>
                <c:pt idx="1">
                  <c:v>7.5</c:v>
                </c:pt>
                <c:pt idx="2">
                  <c:v>9.4000000000000057</c:v>
                </c:pt>
                <c:pt idx="3">
                  <c:v>13.900000000000006</c:v>
                </c:pt>
                <c:pt idx="4">
                  <c:v>16.200000000000003</c:v>
                </c:pt>
                <c:pt idx="5">
                  <c:v>19</c:v>
                </c:pt>
                <c:pt idx="6">
                  <c:v>16.400000000000006</c:v>
                </c:pt>
                <c:pt idx="7">
                  <c:v>11.099999999999994</c:v>
                </c:pt>
                <c:pt idx="8">
                  <c:v>8.2999999999999972</c:v>
                </c:pt>
                <c:pt idx="9">
                  <c:v>4</c:v>
                </c:pt>
                <c:pt idx="10">
                  <c:v>6</c:v>
                </c:pt>
                <c:pt idx="11">
                  <c:v>8.7000000000000028</c:v>
                </c:pt>
                <c:pt idx="12">
                  <c:v>9.4000000000000057</c:v>
                </c:pt>
                <c:pt idx="13">
                  <c:v>8.7000000000000028</c:v>
                </c:pt>
                <c:pt idx="14">
                  <c:v>6.5</c:v>
                </c:pt>
                <c:pt idx="15">
                  <c:v>7.0999999999999943</c:v>
                </c:pt>
                <c:pt idx="16">
                  <c:v>6.2000000000000028</c:v>
                </c:pt>
                <c:pt idx="17">
                  <c:v>8</c:v>
                </c:pt>
                <c:pt idx="18">
                  <c:v>9.4000000000000057</c:v>
                </c:pt>
                <c:pt idx="19">
                  <c:v>10.599999999999994</c:v>
                </c:pt>
                <c:pt idx="20">
                  <c:v>14.299999999999997</c:v>
                </c:pt>
                <c:pt idx="21">
                  <c:v>15.799999999999997</c:v>
                </c:pt>
                <c:pt idx="22">
                  <c:v>15.5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92-4FD6-B1F2-B54899ECC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057856"/>
        <c:axId val="270059392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1'!$E$22:$E$44</c:f>
              <c:numCache>
                <c:formatCode>0.0</c:formatCode>
                <c:ptCount val="23"/>
                <c:pt idx="0">
                  <c:v>10.204081632653043</c:v>
                </c:pt>
                <c:pt idx="1">
                  <c:v>10.321969696969703</c:v>
                </c:pt>
                <c:pt idx="2">
                  <c:v>9.8982423681776197</c:v>
                </c:pt>
                <c:pt idx="3">
                  <c:v>9.918845807033378</c:v>
                </c:pt>
                <c:pt idx="4">
                  <c:v>9.5238095238095184</c:v>
                </c:pt>
                <c:pt idx="5" formatCode="General">
                  <c:v>9.5278969957081472</c:v>
                </c:pt>
                <c:pt idx="6" formatCode="General">
                  <c:v>12.542087542087543</c:v>
                </c:pt>
                <c:pt idx="7" formatCode="General">
                  <c:v>12.469237079573418</c:v>
                </c:pt>
                <c:pt idx="8" formatCode="General">
                  <c:v>12.801932367149746</c:v>
                </c:pt>
                <c:pt idx="9" formatCode="General">
                  <c:v>12.225705329153584</c:v>
                </c:pt>
                <c:pt idx="10" formatCode="General">
                  <c:v>9.498878085265531</c:v>
                </c:pt>
                <c:pt idx="11" formatCode="General">
                  <c:v>8.4609773887673185</c:v>
                </c:pt>
                <c:pt idx="12" formatCode="General">
                  <c:v>7.4232690935046435</c:v>
                </c:pt>
                <c:pt idx="13" formatCode="General">
                  <c:v>5.7262569832402335</c:v>
                </c:pt>
                <c:pt idx="14" formatCode="General">
                  <c:v>5.1912568306010911</c:v>
                </c:pt>
                <c:pt idx="15" formatCode="General">
                  <c:v>5.5144586415601964</c:v>
                </c:pt>
                <c:pt idx="16" formatCode="General">
                  <c:v>6.0465116279069662</c:v>
                </c:pt>
                <c:pt idx="17" formatCode="General">
                  <c:v>7.1334214002641829</c:v>
                </c:pt>
                <c:pt idx="18" formatCode="General">
                  <c:v>7.9870129870129887</c:v>
                </c:pt>
                <c:pt idx="19" formatCode="General">
                  <c:v>7.6481835564053569</c:v>
                </c:pt>
                <c:pt idx="20" formatCode="General">
                  <c:v>7.6441102756892292</c:v>
                </c:pt>
                <c:pt idx="21" formatCode="General">
                  <c:v>7.9531442663378584</c:v>
                </c:pt>
                <c:pt idx="22" formatCode="General">
                  <c:v>9.3205051112447421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992-4FD6-B1F2-B54899ECC156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1'!$F$22:$F$44</c:f>
              <c:numCache>
                <c:formatCode>0.0</c:formatCode>
                <c:ptCount val="23"/>
                <c:pt idx="0">
                  <c:v>10.196779964221832</c:v>
                </c:pt>
                <c:pt idx="1">
                  <c:v>10.549258936355699</c:v>
                </c:pt>
                <c:pt idx="2">
                  <c:v>9.7706032285471451</c:v>
                </c:pt>
                <c:pt idx="3">
                  <c:v>11.323896752706062</c:v>
                </c:pt>
                <c:pt idx="4">
                  <c:v>13.636363636363626</c:v>
                </c:pt>
                <c:pt idx="5" formatCode="General">
                  <c:v>14.589905362776051</c:v>
                </c:pt>
                <c:pt idx="6" formatCode="General">
                  <c:v>18.266253869969049</c:v>
                </c:pt>
                <c:pt idx="7" formatCode="General">
                  <c:v>18.773373223635019</c:v>
                </c:pt>
                <c:pt idx="8" formatCode="General">
                  <c:v>15.071428571428555</c:v>
                </c:pt>
                <c:pt idx="9" formatCode="General">
                  <c:v>14.24638678596007</c:v>
                </c:pt>
                <c:pt idx="10" formatCode="General">
                  <c:v>10.732984293193695</c:v>
                </c:pt>
                <c:pt idx="11" formatCode="General">
                  <c:v>8.7531486146095574</c:v>
                </c:pt>
                <c:pt idx="12" formatCode="General">
                  <c:v>8.3178150217256359</c:v>
                </c:pt>
                <c:pt idx="13" formatCode="General">
                  <c:v>4.9397590361445651</c:v>
                </c:pt>
                <c:pt idx="14" formatCode="General">
                  <c:v>3.3096926713947994</c:v>
                </c:pt>
                <c:pt idx="15" formatCode="General">
                  <c:v>2.9530978575564575</c:v>
                </c:pt>
                <c:pt idx="16" formatCode="General">
                  <c:v>3.5530085959885298</c:v>
                </c:pt>
                <c:pt idx="17" formatCode="General">
                  <c:v>5.2812858783008068</c:v>
                </c:pt>
                <c:pt idx="18" formatCode="General">
                  <c:v>6.2356979405034281</c:v>
                </c:pt>
                <c:pt idx="19" formatCode="General">
                  <c:v>5.1743532058492718</c:v>
                </c:pt>
                <c:pt idx="20" formatCode="General">
                  <c:v>4.759269507470961</c:v>
                </c:pt>
                <c:pt idx="21" formatCode="General">
                  <c:v>4.5256270447110012</c:v>
                </c:pt>
                <c:pt idx="22" formatCode="General">
                  <c:v>6.2466343564889826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992-4FD6-B1F2-B54899ECC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057856"/>
        <c:axId val="270059392"/>
      </c:lineChart>
      <c:catAx>
        <c:axId val="270057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059392"/>
        <c:crosses val="autoZero"/>
        <c:auto val="1"/>
        <c:lblAlgn val="ctr"/>
        <c:lblOffset val="100"/>
        <c:noMultiLvlLbl val="0"/>
      </c:catAx>
      <c:valAx>
        <c:axId val="270059392"/>
        <c:scaling>
          <c:orientation val="minMax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05785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3334810874704504E-2"/>
          <c:y val="0.88817854328492629"/>
          <c:w val="0.89999282337048292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329188744168373E-2"/>
          <c:y val="2.181131592422042E-2"/>
          <c:w val="0.93273036245804375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4'!$C$42:$C$110</c:f>
              <c:numCache>
                <c:formatCode>0.0</c:formatCode>
                <c:ptCount val="69"/>
                <c:pt idx="0">
                  <c:v>-3.4000000000000057</c:v>
                </c:pt>
                <c:pt idx="1">
                  <c:v>-4</c:v>
                </c:pt>
                <c:pt idx="2">
                  <c:v>-4.5</c:v>
                </c:pt>
                <c:pt idx="3">
                  <c:v>-4.7000000000000028</c:v>
                </c:pt>
                <c:pt idx="4">
                  <c:v>-4.7999999999999972</c:v>
                </c:pt>
                <c:pt idx="5">
                  <c:v>-4.4000000000000057</c:v>
                </c:pt>
                <c:pt idx="6">
                  <c:v>-4</c:v>
                </c:pt>
                <c:pt idx="7">
                  <c:v>-3.4000000000000057</c:v>
                </c:pt>
                <c:pt idx="8">
                  <c:v>-2.4000000000000057</c:v>
                </c:pt>
                <c:pt idx="9">
                  <c:v>-1.7000000000000028</c:v>
                </c:pt>
                <c:pt idx="10">
                  <c:v>-1.2999999999999972</c:v>
                </c:pt>
                <c:pt idx="11">
                  <c:v>-0.40000000000000568</c:v>
                </c:pt>
                <c:pt idx="12" formatCode="General">
                  <c:v>2.0999999999999943</c:v>
                </c:pt>
                <c:pt idx="13" formatCode="General">
                  <c:v>3.0999999999999943</c:v>
                </c:pt>
                <c:pt idx="14">
                  <c:v>3</c:v>
                </c:pt>
                <c:pt idx="15">
                  <c:v>3.2000000000000028</c:v>
                </c:pt>
                <c:pt idx="16" formatCode="General">
                  <c:v>2.2999999999999972</c:v>
                </c:pt>
                <c:pt idx="17" formatCode="General">
                  <c:v>1.2999999999999972</c:v>
                </c:pt>
                <c:pt idx="18" formatCode="General">
                  <c:v>1.1000000000000001</c:v>
                </c:pt>
                <c:pt idx="19" formatCode="General">
                  <c:v>1.4</c:v>
                </c:pt>
                <c:pt idx="20" formatCode="General">
                  <c:v>1.7</c:v>
                </c:pt>
                <c:pt idx="21" formatCode="General">
                  <c:v>1.1000000000000001</c:v>
                </c:pt>
                <c:pt idx="22" formatCode="General">
                  <c:v>0.9</c:v>
                </c:pt>
                <c:pt idx="23" formatCode="General">
                  <c:v>0.7</c:v>
                </c:pt>
                <c:pt idx="24" formatCode="General">
                  <c:v>0.5</c:v>
                </c:pt>
                <c:pt idx="25" formatCode="General">
                  <c:v>-0.3</c:v>
                </c:pt>
                <c:pt idx="26" formatCode="General">
                  <c:v>0.1</c:v>
                </c:pt>
                <c:pt idx="27" formatCode="General">
                  <c:v>0</c:v>
                </c:pt>
                <c:pt idx="28" formatCode="General">
                  <c:v>1.5</c:v>
                </c:pt>
                <c:pt idx="29" formatCode="General">
                  <c:v>2.9</c:v>
                </c:pt>
                <c:pt idx="30" formatCode="General">
                  <c:v>3.4</c:v>
                </c:pt>
                <c:pt idx="31" formatCode="General">
                  <c:v>3.3</c:v>
                </c:pt>
                <c:pt idx="32" formatCode="General">
                  <c:v>3.2</c:v>
                </c:pt>
                <c:pt idx="33" formatCode="General">
                  <c:v>3.9</c:v>
                </c:pt>
                <c:pt idx="34" formatCode="General">
                  <c:v>3.9</c:v>
                </c:pt>
                <c:pt idx="35" formatCode="General">
                  <c:v>2.4</c:v>
                </c:pt>
                <c:pt idx="36" formatCode="General">
                  <c:v>2.9</c:v>
                </c:pt>
                <c:pt idx="37" formatCode="General">
                  <c:v>3.6</c:v>
                </c:pt>
                <c:pt idx="38" formatCode="General">
                  <c:v>3.8</c:v>
                </c:pt>
                <c:pt idx="39" formatCode="General">
                  <c:v>4.3</c:v>
                </c:pt>
                <c:pt idx="40" formatCode="General">
                  <c:v>3.8</c:v>
                </c:pt>
                <c:pt idx="41" formatCode="General">
                  <c:v>2.5</c:v>
                </c:pt>
                <c:pt idx="42" formatCode="General">
                  <c:v>2.1</c:v>
                </c:pt>
                <c:pt idx="43" formatCode="General">
                  <c:v>2.1</c:v>
                </c:pt>
                <c:pt idx="44" formatCode="General">
                  <c:v>1.9</c:v>
                </c:pt>
                <c:pt idx="45" formatCode="General">
                  <c:v>0.9</c:v>
                </c:pt>
                <c:pt idx="46" formatCode="General">
                  <c:v>0.9</c:v>
                </c:pt>
                <c:pt idx="47" formatCode="General">
                  <c:v>2.1</c:v>
                </c:pt>
                <c:pt idx="48" formatCode="General">
                  <c:v>2.4</c:v>
                </c:pt>
                <c:pt idx="49" formatCode="General">
                  <c:v>1.4</c:v>
                </c:pt>
                <c:pt idx="50" formatCode="General">
                  <c:v>0.4</c:v>
                </c:pt>
                <c:pt idx="51" formatCode="General">
                  <c:v>-0.8</c:v>
                </c:pt>
                <c:pt idx="52" formatCode="General">
                  <c:v>-0.9</c:v>
                </c:pt>
                <c:pt idx="53" formatCode="General">
                  <c:v>-0.3</c:v>
                </c:pt>
                <c:pt idx="54" formatCode="General">
                  <c:v>-0.1</c:v>
                </c:pt>
                <c:pt idx="55" formatCode="General">
                  <c:v>-0.5</c:v>
                </c:pt>
                <c:pt idx="56" formatCode="General">
                  <c:v>-0.4</c:v>
                </c:pt>
                <c:pt idx="57" formatCode="General">
                  <c:v>0.3</c:v>
                </c:pt>
                <c:pt idx="58" formatCode="General">
                  <c:v>-0.1</c:v>
                </c:pt>
                <c:pt idx="59" formatCode="General">
                  <c:v>0</c:v>
                </c:pt>
                <c:pt idx="60" formatCode="General">
                  <c:v>0</c:v>
                </c:pt>
                <c:pt idx="61" formatCode="General">
                  <c:v>1.4</c:v>
                </c:pt>
                <c:pt idx="62" formatCode="General">
                  <c:v>3.3</c:v>
                </c:pt>
                <c:pt idx="63" formatCode="General">
                  <c:v>4.5999999999999996</c:v>
                </c:pt>
                <c:pt idx="64" formatCode="General">
                  <c:v>5.0999999999999996</c:v>
                </c:pt>
                <c:pt idx="65" formatCode="General">
                  <c:v>6.1</c:v>
                </c:pt>
                <c:pt idx="66" formatCode="General">
                  <c:v>7.8</c:v>
                </c:pt>
                <c:pt idx="67" formatCode="General">
                  <c:v>9.3000000000000007</c:v>
                </c:pt>
                <c:pt idx="68" formatCode="General">
                  <c:v>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BB-4DD5-BD8E-D9397EB499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271374208"/>
        <c:axId val="271375744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4'!$D$42:$D$110</c:f>
              <c:numCache>
                <c:formatCode>0.0</c:formatCode>
                <c:ptCount val="69"/>
                <c:pt idx="0">
                  <c:v>-6.5999999999999943</c:v>
                </c:pt>
                <c:pt idx="1">
                  <c:v>-6.0999999999999943</c:v>
                </c:pt>
                <c:pt idx="2">
                  <c:v>-6.5</c:v>
                </c:pt>
                <c:pt idx="3">
                  <c:v>-7</c:v>
                </c:pt>
                <c:pt idx="4">
                  <c:v>-7.0999999999999943</c:v>
                </c:pt>
                <c:pt idx="5">
                  <c:v>-7.2999999999999972</c:v>
                </c:pt>
                <c:pt idx="6">
                  <c:v>-6.5999999999999943</c:v>
                </c:pt>
                <c:pt idx="7">
                  <c:v>-6</c:v>
                </c:pt>
                <c:pt idx="8">
                  <c:v>-4.9000000000000057</c:v>
                </c:pt>
                <c:pt idx="9">
                  <c:v>-5.2000000000000028</c:v>
                </c:pt>
                <c:pt idx="10">
                  <c:v>-5.2999999999999972</c:v>
                </c:pt>
                <c:pt idx="11">
                  <c:v>-5.0999999999999943</c:v>
                </c:pt>
                <c:pt idx="12" formatCode="General">
                  <c:v>2.2999999999999972</c:v>
                </c:pt>
                <c:pt idx="13" formatCode="General">
                  <c:v>5.7999999999999972</c:v>
                </c:pt>
                <c:pt idx="14">
                  <c:v>6.2000000000000028</c:v>
                </c:pt>
                <c:pt idx="15">
                  <c:v>6.4000000000000057</c:v>
                </c:pt>
                <c:pt idx="16" formatCode="General">
                  <c:v>4.2999999999999972</c:v>
                </c:pt>
                <c:pt idx="17" formatCode="General">
                  <c:v>4.0999999999999943</c:v>
                </c:pt>
                <c:pt idx="18" formatCode="General">
                  <c:v>2.9</c:v>
                </c:pt>
                <c:pt idx="19" formatCode="General">
                  <c:v>1.7</c:v>
                </c:pt>
                <c:pt idx="20" formatCode="General">
                  <c:v>1.9</c:v>
                </c:pt>
                <c:pt idx="21" formatCode="General">
                  <c:v>3.4</c:v>
                </c:pt>
                <c:pt idx="22" formatCode="General">
                  <c:v>3.3</c:v>
                </c:pt>
                <c:pt idx="23" formatCode="General">
                  <c:v>3.6</c:v>
                </c:pt>
                <c:pt idx="24" formatCode="General">
                  <c:v>6.7</c:v>
                </c:pt>
                <c:pt idx="25" formatCode="General">
                  <c:v>5</c:v>
                </c:pt>
                <c:pt idx="26" formatCode="General">
                  <c:v>4.3</c:v>
                </c:pt>
                <c:pt idx="27" formatCode="General">
                  <c:v>4.5999999999999996</c:v>
                </c:pt>
                <c:pt idx="28" formatCode="General">
                  <c:v>7.4</c:v>
                </c:pt>
                <c:pt idx="29" formatCode="General">
                  <c:v>8</c:v>
                </c:pt>
                <c:pt idx="30" formatCode="General">
                  <c:v>8.4</c:v>
                </c:pt>
                <c:pt idx="31" formatCode="General">
                  <c:v>10.1</c:v>
                </c:pt>
                <c:pt idx="32" formatCode="General">
                  <c:v>9.9</c:v>
                </c:pt>
                <c:pt idx="33" formatCode="General">
                  <c:v>9</c:v>
                </c:pt>
                <c:pt idx="34" formatCode="General">
                  <c:v>9.1999999999999993</c:v>
                </c:pt>
                <c:pt idx="35" formatCode="General">
                  <c:v>8.3000000000000007</c:v>
                </c:pt>
                <c:pt idx="36" formatCode="General">
                  <c:v>7.9</c:v>
                </c:pt>
                <c:pt idx="37" formatCode="General">
                  <c:v>7.4</c:v>
                </c:pt>
                <c:pt idx="38" formatCode="General">
                  <c:v>8</c:v>
                </c:pt>
                <c:pt idx="39" formatCode="General">
                  <c:v>8.4</c:v>
                </c:pt>
                <c:pt idx="40" formatCode="General">
                  <c:v>7.5</c:v>
                </c:pt>
                <c:pt idx="41" formatCode="General">
                  <c:v>7.1</c:v>
                </c:pt>
                <c:pt idx="42" formatCode="General">
                  <c:v>6.9</c:v>
                </c:pt>
                <c:pt idx="43" formatCode="General">
                  <c:v>6.8</c:v>
                </c:pt>
                <c:pt idx="44" formatCode="General">
                  <c:v>6.6</c:v>
                </c:pt>
                <c:pt idx="45" formatCode="General">
                  <c:v>3.6</c:v>
                </c:pt>
                <c:pt idx="46" formatCode="General">
                  <c:v>3.2</c:v>
                </c:pt>
                <c:pt idx="47" formatCode="General">
                  <c:v>4.3</c:v>
                </c:pt>
                <c:pt idx="48" formatCode="General">
                  <c:v>-2.1</c:v>
                </c:pt>
                <c:pt idx="49" formatCode="General">
                  <c:v>-1.8</c:v>
                </c:pt>
                <c:pt idx="50" formatCode="General">
                  <c:v>-2.6</c:v>
                </c:pt>
                <c:pt idx="51" formatCode="General">
                  <c:v>-3.7</c:v>
                </c:pt>
                <c:pt idx="52" formatCode="General">
                  <c:v>-3.1</c:v>
                </c:pt>
                <c:pt idx="53" formatCode="General">
                  <c:v>-3.6</c:v>
                </c:pt>
                <c:pt idx="54" formatCode="General">
                  <c:v>-3.5</c:v>
                </c:pt>
                <c:pt idx="55" formatCode="General">
                  <c:v>-3.5</c:v>
                </c:pt>
                <c:pt idx="56" formatCode="General">
                  <c:v>-3.7</c:v>
                </c:pt>
                <c:pt idx="57" formatCode="General">
                  <c:v>-1.9</c:v>
                </c:pt>
                <c:pt idx="58" formatCode="General">
                  <c:v>-1.8</c:v>
                </c:pt>
                <c:pt idx="59" formatCode="General">
                  <c:v>-2.2000000000000002</c:v>
                </c:pt>
                <c:pt idx="60" formatCode="General">
                  <c:v>-0.3</c:v>
                </c:pt>
                <c:pt idx="61" formatCode="General">
                  <c:v>-0.8</c:v>
                </c:pt>
                <c:pt idx="62" formatCode="General">
                  <c:v>-0.3</c:v>
                </c:pt>
                <c:pt idx="63" formatCode="General">
                  <c:v>1</c:v>
                </c:pt>
                <c:pt idx="64" formatCode="General">
                  <c:v>0.3</c:v>
                </c:pt>
                <c:pt idx="65" formatCode="General">
                  <c:v>1.1000000000000001</c:v>
                </c:pt>
                <c:pt idx="66" formatCode="General">
                  <c:v>2</c:v>
                </c:pt>
                <c:pt idx="67" formatCode="General">
                  <c:v>3.6</c:v>
                </c:pt>
                <c:pt idx="68" formatCode="General">
                  <c:v>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BB-4DD5-BD8E-D9397EB49941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4'!$E$42:$E$110</c:f>
              <c:numCache>
                <c:formatCode>0.0</c:formatCode>
                <c:ptCount val="69"/>
                <c:pt idx="0">
                  <c:v>-3.2999999999999972</c:v>
                </c:pt>
                <c:pt idx="1">
                  <c:v>-4.0999999999999943</c:v>
                </c:pt>
                <c:pt idx="2">
                  <c:v>-4.5999999999999943</c:v>
                </c:pt>
                <c:pt idx="3">
                  <c:v>-4.9000000000000057</c:v>
                </c:pt>
                <c:pt idx="4">
                  <c:v>-5</c:v>
                </c:pt>
                <c:pt idx="5">
                  <c:v>-4.5</c:v>
                </c:pt>
                <c:pt idx="6">
                  <c:v>-4</c:v>
                </c:pt>
                <c:pt idx="7">
                  <c:v>-3.2000000000000028</c:v>
                </c:pt>
                <c:pt idx="8">
                  <c:v>-2</c:v>
                </c:pt>
                <c:pt idx="9">
                  <c:v>-1.0999999999999943</c:v>
                </c:pt>
                <c:pt idx="10">
                  <c:v>-0.59999999999999432</c:v>
                </c:pt>
                <c:pt idx="11">
                  <c:v>0.59999999999999432</c:v>
                </c:pt>
                <c:pt idx="12" formatCode="General">
                  <c:v>2.5999999999999943</c:v>
                </c:pt>
                <c:pt idx="13" formatCode="General">
                  <c:v>4</c:v>
                </c:pt>
                <c:pt idx="14">
                  <c:v>3.7999999999999972</c:v>
                </c:pt>
                <c:pt idx="15">
                  <c:v>4</c:v>
                </c:pt>
                <c:pt idx="16" formatCode="General">
                  <c:v>2.7999999999999972</c:v>
                </c:pt>
                <c:pt idx="17" formatCode="General">
                  <c:v>1.5</c:v>
                </c:pt>
                <c:pt idx="18" formatCode="General">
                  <c:v>1.4</c:v>
                </c:pt>
                <c:pt idx="19" formatCode="General">
                  <c:v>2</c:v>
                </c:pt>
                <c:pt idx="20" formatCode="General">
                  <c:v>2.1</c:v>
                </c:pt>
                <c:pt idx="21" formatCode="General">
                  <c:v>1.4</c:v>
                </c:pt>
                <c:pt idx="22" formatCode="General">
                  <c:v>1.1000000000000001</c:v>
                </c:pt>
                <c:pt idx="23" formatCode="General">
                  <c:v>0.9</c:v>
                </c:pt>
                <c:pt idx="24" formatCode="General">
                  <c:v>0.2</c:v>
                </c:pt>
                <c:pt idx="25" formatCode="General">
                  <c:v>-0.9</c:v>
                </c:pt>
                <c:pt idx="26" formatCode="General">
                  <c:v>-0.5</c:v>
                </c:pt>
                <c:pt idx="27" formatCode="General">
                  <c:v>-0.5</c:v>
                </c:pt>
                <c:pt idx="28" formatCode="General">
                  <c:v>1.3</c:v>
                </c:pt>
                <c:pt idx="29" formatCode="General">
                  <c:v>2.8</c:v>
                </c:pt>
                <c:pt idx="30" formatCode="General">
                  <c:v>3.4</c:v>
                </c:pt>
                <c:pt idx="31" formatCode="General">
                  <c:v>3.2</c:v>
                </c:pt>
                <c:pt idx="32" formatCode="General">
                  <c:v>3</c:v>
                </c:pt>
                <c:pt idx="33" formatCode="General">
                  <c:v>3.8</c:v>
                </c:pt>
                <c:pt idx="34" formatCode="General">
                  <c:v>3.9</c:v>
                </c:pt>
                <c:pt idx="35" formatCode="General">
                  <c:v>2.2000000000000002</c:v>
                </c:pt>
                <c:pt idx="36" formatCode="General">
                  <c:v>1.9</c:v>
                </c:pt>
                <c:pt idx="37" formatCode="General">
                  <c:v>2.9</c:v>
                </c:pt>
                <c:pt idx="38" formatCode="General">
                  <c:v>3</c:v>
                </c:pt>
                <c:pt idx="39" formatCode="General">
                  <c:v>3.5</c:v>
                </c:pt>
                <c:pt idx="40" formatCode="General">
                  <c:v>2.9</c:v>
                </c:pt>
                <c:pt idx="41" formatCode="General">
                  <c:v>1.4</c:v>
                </c:pt>
                <c:pt idx="42" formatCode="General">
                  <c:v>0.9</c:v>
                </c:pt>
                <c:pt idx="43" formatCode="General">
                  <c:v>0.8</c:v>
                </c:pt>
                <c:pt idx="44" formatCode="General">
                  <c:v>0.7</c:v>
                </c:pt>
                <c:pt idx="45" formatCode="General">
                  <c:v>-0.4</c:v>
                </c:pt>
                <c:pt idx="46" formatCode="General">
                  <c:v>-0.7</c:v>
                </c:pt>
                <c:pt idx="47" formatCode="General">
                  <c:v>0.8</c:v>
                </c:pt>
                <c:pt idx="48" formatCode="General">
                  <c:v>1.2</c:v>
                </c:pt>
                <c:pt idx="49" formatCode="General">
                  <c:v>-0.1</c:v>
                </c:pt>
                <c:pt idx="50" formatCode="General">
                  <c:v>-1.2</c:v>
                </c:pt>
                <c:pt idx="51" formatCode="General">
                  <c:v>-2.5</c:v>
                </c:pt>
                <c:pt idx="52" formatCode="General">
                  <c:v>-2.6</c:v>
                </c:pt>
                <c:pt idx="53" formatCode="General">
                  <c:v>-1.9</c:v>
                </c:pt>
                <c:pt idx="54" formatCode="General">
                  <c:v>-1.6</c:v>
                </c:pt>
                <c:pt idx="55" formatCode="General">
                  <c:v>-2</c:v>
                </c:pt>
                <c:pt idx="56" formatCode="General">
                  <c:v>-1.9</c:v>
                </c:pt>
                <c:pt idx="57" formatCode="General">
                  <c:v>-1.1000000000000001</c:v>
                </c:pt>
                <c:pt idx="58" formatCode="General">
                  <c:v>-1.4</c:v>
                </c:pt>
                <c:pt idx="59" formatCode="General">
                  <c:v>-1.2</c:v>
                </c:pt>
                <c:pt idx="60" formatCode="General">
                  <c:v>-0.3</c:v>
                </c:pt>
                <c:pt idx="61" formatCode="General">
                  <c:v>1.6</c:v>
                </c:pt>
                <c:pt idx="62" formatCode="General">
                  <c:v>4.0999999999999996</c:v>
                </c:pt>
                <c:pt idx="63" formatCode="General">
                  <c:v>5.6</c:v>
                </c:pt>
                <c:pt idx="64" formatCode="General">
                  <c:v>6.3</c:v>
                </c:pt>
                <c:pt idx="65" formatCode="General">
                  <c:v>7.4</c:v>
                </c:pt>
                <c:pt idx="66" formatCode="General">
                  <c:v>9.5</c:v>
                </c:pt>
                <c:pt idx="67" formatCode="General">
                  <c:v>11.4</c:v>
                </c:pt>
                <c:pt idx="68" formatCode="General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CBB-4DD5-BD8E-D9397EB49941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4'!$F$42:$F$110</c:f>
              <c:numCache>
                <c:formatCode>0.0</c:formatCode>
                <c:ptCount val="69"/>
                <c:pt idx="0">
                  <c:v>-4</c:v>
                </c:pt>
                <c:pt idx="1">
                  <c:v>-4.0999999999999943</c:v>
                </c:pt>
                <c:pt idx="2">
                  <c:v>-4.0999999999999943</c:v>
                </c:pt>
                <c:pt idx="3">
                  <c:v>-4</c:v>
                </c:pt>
                <c:pt idx="4">
                  <c:v>-4</c:v>
                </c:pt>
                <c:pt idx="5">
                  <c:v>-4.0999999999999943</c:v>
                </c:pt>
                <c:pt idx="6">
                  <c:v>-4</c:v>
                </c:pt>
                <c:pt idx="7">
                  <c:v>-4</c:v>
                </c:pt>
                <c:pt idx="8">
                  <c:v>-4.0999999999999943</c:v>
                </c:pt>
                <c:pt idx="9">
                  <c:v>-4.0999999999999943</c:v>
                </c:pt>
                <c:pt idx="10">
                  <c:v>-4.0999999999999943</c:v>
                </c:pt>
                <c:pt idx="11">
                  <c:v>-4.0999999999999943</c:v>
                </c:pt>
                <c:pt idx="12" formatCode="General">
                  <c:v>-1.0999999999999943</c:v>
                </c:pt>
                <c:pt idx="13" formatCode="General">
                  <c:v>-1.2000000000000028</c:v>
                </c:pt>
                <c:pt idx="14">
                  <c:v>-1.2000000000000028</c:v>
                </c:pt>
                <c:pt idx="15">
                  <c:v>-1.4000000000000057</c:v>
                </c:pt>
                <c:pt idx="16" formatCode="General">
                  <c:v>-1.2999999999999972</c:v>
                </c:pt>
                <c:pt idx="17" formatCode="General">
                  <c:v>-1.0999999999999943</c:v>
                </c:pt>
                <c:pt idx="18" formatCode="General">
                  <c:v>-1.1000000000000001</c:v>
                </c:pt>
                <c:pt idx="19" formatCode="General">
                  <c:v>-1.3</c:v>
                </c:pt>
                <c:pt idx="20" formatCode="General">
                  <c:v>-1.1000000000000001</c:v>
                </c:pt>
                <c:pt idx="21" formatCode="General">
                  <c:v>-1.1000000000000001</c:v>
                </c:pt>
                <c:pt idx="22" formatCode="General">
                  <c:v>-1.1000000000000001</c:v>
                </c:pt>
                <c:pt idx="23" formatCode="General">
                  <c:v>-1.1000000000000001</c:v>
                </c:pt>
                <c:pt idx="24" formatCode="General">
                  <c:v>1.5</c:v>
                </c:pt>
                <c:pt idx="25" formatCode="General">
                  <c:v>1.6</c:v>
                </c:pt>
                <c:pt idx="26" formatCode="General">
                  <c:v>1.6</c:v>
                </c:pt>
                <c:pt idx="27" formatCode="General">
                  <c:v>1.7</c:v>
                </c:pt>
                <c:pt idx="28" formatCode="General">
                  <c:v>1.7</c:v>
                </c:pt>
                <c:pt idx="29" formatCode="General">
                  <c:v>2.2999999999999998</c:v>
                </c:pt>
                <c:pt idx="30" formatCode="General">
                  <c:v>2.2999999999999998</c:v>
                </c:pt>
                <c:pt idx="31" formatCode="General">
                  <c:v>2.6</c:v>
                </c:pt>
                <c:pt idx="32" formatCode="General">
                  <c:v>2.7</c:v>
                </c:pt>
                <c:pt idx="33" formatCode="General">
                  <c:v>2.8</c:v>
                </c:pt>
                <c:pt idx="34" formatCode="General">
                  <c:v>2.8</c:v>
                </c:pt>
                <c:pt idx="35" formatCode="General">
                  <c:v>2.8</c:v>
                </c:pt>
                <c:pt idx="36" formatCode="General">
                  <c:v>7.2</c:v>
                </c:pt>
                <c:pt idx="37" formatCode="General">
                  <c:v>7.5</c:v>
                </c:pt>
                <c:pt idx="38" formatCode="General">
                  <c:v>8.4</c:v>
                </c:pt>
                <c:pt idx="39" formatCode="General">
                  <c:v>8.1999999999999993</c:v>
                </c:pt>
                <c:pt idx="40" formatCode="General">
                  <c:v>8.6</c:v>
                </c:pt>
                <c:pt idx="41" formatCode="General">
                  <c:v>7.9</c:v>
                </c:pt>
                <c:pt idx="42" formatCode="General">
                  <c:v>8</c:v>
                </c:pt>
                <c:pt idx="43" formatCode="General">
                  <c:v>7.7</c:v>
                </c:pt>
                <c:pt idx="44" formatCode="General">
                  <c:v>7.7</c:v>
                </c:pt>
                <c:pt idx="45" formatCode="General">
                  <c:v>7.5</c:v>
                </c:pt>
                <c:pt idx="46" formatCode="General">
                  <c:v>8.6999999999999993</c:v>
                </c:pt>
                <c:pt idx="47" formatCode="General">
                  <c:v>8.8000000000000007</c:v>
                </c:pt>
                <c:pt idx="48" formatCode="General">
                  <c:v>9.3000000000000007</c:v>
                </c:pt>
                <c:pt idx="49" formatCode="General">
                  <c:v>9</c:v>
                </c:pt>
                <c:pt idx="50" formatCode="General">
                  <c:v>8.3000000000000007</c:v>
                </c:pt>
                <c:pt idx="51" formatCode="General">
                  <c:v>8.6</c:v>
                </c:pt>
                <c:pt idx="52" formatCode="General">
                  <c:v>8</c:v>
                </c:pt>
                <c:pt idx="53" formatCode="General">
                  <c:v>8</c:v>
                </c:pt>
                <c:pt idx="54" formatCode="General">
                  <c:v>7.7</c:v>
                </c:pt>
                <c:pt idx="55" formatCode="General">
                  <c:v>7.9</c:v>
                </c:pt>
                <c:pt idx="56" formatCode="General">
                  <c:v>7.7</c:v>
                </c:pt>
                <c:pt idx="57" formatCode="General">
                  <c:v>7</c:v>
                </c:pt>
                <c:pt idx="58" formatCode="General">
                  <c:v>5.8</c:v>
                </c:pt>
                <c:pt idx="59" formatCode="General">
                  <c:v>5.6</c:v>
                </c:pt>
                <c:pt idx="60" formatCode="General">
                  <c:v>0.4</c:v>
                </c:pt>
                <c:pt idx="61" formatCode="General">
                  <c:v>0.4</c:v>
                </c:pt>
                <c:pt idx="62" formatCode="General">
                  <c:v>0.1</c:v>
                </c:pt>
                <c:pt idx="63" formatCode="General">
                  <c:v>-0.1</c:v>
                </c:pt>
                <c:pt idx="64" formatCode="General">
                  <c:v>0.2</c:v>
                </c:pt>
                <c:pt idx="65" formatCode="General">
                  <c:v>0.2</c:v>
                </c:pt>
                <c:pt idx="66" formatCode="General">
                  <c:v>0.5</c:v>
                </c:pt>
                <c:pt idx="67" formatCode="General">
                  <c:v>0.7</c:v>
                </c:pt>
                <c:pt idx="68" formatCode="General">
                  <c:v>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CBB-4DD5-BD8E-D9397EB49941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4'!$A$42:$B$110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'Ceny 4'!$G$42:$G$110</c:f>
              <c:numCache>
                <c:formatCode>General</c:formatCode>
                <c:ptCount val="69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1.5999999999999943</c:v>
                </c:pt>
                <c:pt idx="4">
                  <c:v>1.5999999999999943</c:v>
                </c:pt>
                <c:pt idx="5">
                  <c:v>1.5999999999999943</c:v>
                </c:pt>
                <c:pt idx="6">
                  <c:v>1.5999999999999943</c:v>
                </c:pt>
                <c:pt idx="7">
                  <c:v>1.5999999999999943</c:v>
                </c:pt>
                <c:pt idx="8">
                  <c:v>1.5999999999999943</c:v>
                </c:pt>
                <c:pt idx="9">
                  <c:v>1.5999999999999943</c:v>
                </c:pt>
                <c:pt idx="10">
                  <c:v>1.5999999999999943</c:v>
                </c:pt>
                <c:pt idx="11">
                  <c:v>1.5999999999999943</c:v>
                </c:pt>
                <c:pt idx="12">
                  <c:v>2.0999999999999943</c:v>
                </c:pt>
                <c:pt idx="13">
                  <c:v>2.0999999999999943</c:v>
                </c:pt>
                <c:pt idx="14" formatCode="0.0">
                  <c:v>2.0999999999999943</c:v>
                </c:pt>
                <c:pt idx="15" formatCode="0.0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1.9</c:v>
                </c:pt>
                <c:pt idx="25">
                  <c:v>1.9</c:v>
                </c:pt>
                <c:pt idx="26">
                  <c:v>1.9</c:v>
                </c:pt>
                <c:pt idx="27">
                  <c:v>1.9</c:v>
                </c:pt>
                <c:pt idx="28">
                  <c:v>1.9</c:v>
                </c:pt>
                <c:pt idx="29">
                  <c:v>1.9</c:v>
                </c:pt>
                <c:pt idx="30">
                  <c:v>1.9</c:v>
                </c:pt>
                <c:pt idx="31">
                  <c:v>1.9</c:v>
                </c:pt>
                <c:pt idx="32">
                  <c:v>1.9</c:v>
                </c:pt>
                <c:pt idx="33">
                  <c:v>1.9</c:v>
                </c:pt>
                <c:pt idx="34">
                  <c:v>1.9</c:v>
                </c:pt>
                <c:pt idx="35">
                  <c:v>1.9</c:v>
                </c:pt>
                <c:pt idx="36">
                  <c:v>2.9</c:v>
                </c:pt>
                <c:pt idx="37">
                  <c:v>2.9</c:v>
                </c:pt>
                <c:pt idx="38">
                  <c:v>2.9</c:v>
                </c:pt>
                <c:pt idx="39">
                  <c:v>2.9</c:v>
                </c:pt>
                <c:pt idx="40">
                  <c:v>2.9</c:v>
                </c:pt>
                <c:pt idx="41">
                  <c:v>2.9</c:v>
                </c:pt>
                <c:pt idx="42">
                  <c:v>2.9</c:v>
                </c:pt>
                <c:pt idx="43">
                  <c:v>2.9</c:v>
                </c:pt>
                <c:pt idx="44">
                  <c:v>2.9</c:v>
                </c:pt>
                <c:pt idx="45">
                  <c:v>2.9</c:v>
                </c:pt>
                <c:pt idx="46">
                  <c:v>2.9</c:v>
                </c:pt>
                <c:pt idx="47">
                  <c:v>2.9</c:v>
                </c:pt>
                <c:pt idx="48">
                  <c:v>5.4</c:v>
                </c:pt>
                <c:pt idx="49">
                  <c:v>5.4</c:v>
                </c:pt>
                <c:pt idx="50">
                  <c:v>5.4</c:v>
                </c:pt>
                <c:pt idx="51">
                  <c:v>5.4</c:v>
                </c:pt>
                <c:pt idx="52">
                  <c:v>6.4</c:v>
                </c:pt>
                <c:pt idx="53">
                  <c:v>6.4</c:v>
                </c:pt>
                <c:pt idx="54">
                  <c:v>6.4</c:v>
                </c:pt>
                <c:pt idx="55">
                  <c:v>6.4</c:v>
                </c:pt>
                <c:pt idx="56">
                  <c:v>6.4</c:v>
                </c:pt>
                <c:pt idx="57">
                  <c:v>6.4</c:v>
                </c:pt>
                <c:pt idx="58">
                  <c:v>6.4</c:v>
                </c:pt>
                <c:pt idx="59">
                  <c:v>6.4</c:v>
                </c:pt>
                <c:pt idx="60">
                  <c:v>6.9</c:v>
                </c:pt>
                <c:pt idx="61">
                  <c:v>6.9</c:v>
                </c:pt>
                <c:pt idx="62">
                  <c:v>6.9</c:v>
                </c:pt>
                <c:pt idx="63">
                  <c:v>6.9</c:v>
                </c:pt>
                <c:pt idx="64">
                  <c:v>5.9</c:v>
                </c:pt>
                <c:pt idx="65">
                  <c:v>5.9</c:v>
                </c:pt>
                <c:pt idx="66">
                  <c:v>5.9</c:v>
                </c:pt>
                <c:pt idx="67">
                  <c:v>5.9</c:v>
                </c:pt>
                <c:pt idx="68">
                  <c:v>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CBB-4DD5-BD8E-D9397EB499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374208"/>
        <c:axId val="271375744"/>
      </c:lineChart>
      <c:catAx>
        <c:axId val="27137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375744"/>
        <c:crosses val="autoZero"/>
        <c:auto val="1"/>
        <c:lblAlgn val="ctr"/>
        <c:lblOffset val="100"/>
        <c:noMultiLvlLbl val="0"/>
      </c:catAx>
      <c:valAx>
        <c:axId val="271375744"/>
        <c:scaling>
          <c:orientation val="minMax"/>
          <c:max val="13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374208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1319022289766968E-2"/>
          <c:y val="0.86223931272106069"/>
          <c:w val="0.90901046943600139"/>
          <c:h val="0.1210940242576522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88731014312048E-2"/>
          <c:y val="1.4522051060224651E-2"/>
          <c:w val="0.84495121574960907"/>
          <c:h val="0.6826444592561948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'Trh práce 1-SNÚ'!$AC$7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1-SNÚ'!$AC$28:$AC$55</c:f>
              <c:numCache>
                <c:formatCode>#\ ##0.0</c:formatCode>
                <c:ptCount val="28"/>
                <c:pt idx="0">
                  <c:v>-5.6677054184560781E-2</c:v>
                </c:pt>
                <c:pt idx="1">
                  <c:v>-5.1607322824015513E-2</c:v>
                </c:pt>
                <c:pt idx="2">
                  <c:v>-6.9891278713406377E-2</c:v>
                </c:pt>
                <c:pt idx="3">
                  <c:v>-0.14152766500586728</c:v>
                </c:pt>
                <c:pt idx="4">
                  <c:v>-0.11957614913941057</c:v>
                </c:pt>
                <c:pt idx="5">
                  <c:v>-3.02348639604662E-2</c:v>
                </c:pt>
                <c:pt idx="6">
                  <c:v>-4.7646022434106698E-2</c:v>
                </c:pt>
                <c:pt idx="7">
                  <c:v>5.3596790651858295E-2</c:v>
                </c:pt>
                <c:pt idx="8">
                  <c:v>0.10353112845488527</c:v>
                </c:pt>
                <c:pt idx="9">
                  <c:v>3.4547187522400186E-2</c:v>
                </c:pt>
                <c:pt idx="10">
                  <c:v>1.7808989286696726E-2</c:v>
                </c:pt>
                <c:pt idx="11">
                  <c:v>-9.5124644980561279E-2</c:v>
                </c:pt>
                <c:pt idx="12">
                  <c:v>3.2050098392482823E-2</c:v>
                </c:pt>
                <c:pt idx="13">
                  <c:v>2.9656752150723571E-2</c:v>
                </c:pt>
                <c:pt idx="14">
                  <c:v>1.6015798281392987E-2</c:v>
                </c:pt>
                <c:pt idx="15">
                  <c:v>8.185225491141454E-2</c:v>
                </c:pt>
                <c:pt idx="16">
                  <c:v>-3.1059507716079723E-2</c:v>
                </c:pt>
                <c:pt idx="17">
                  <c:v>-9.207748512930998E-2</c:v>
                </c:pt>
                <c:pt idx="18">
                  <c:v>-0.12566979454251256</c:v>
                </c:pt>
                <c:pt idx="19">
                  <c:v>-0.13346654214698095</c:v>
                </c:pt>
                <c:pt idx="20">
                  <c:v>-0.11113022567347482</c:v>
                </c:pt>
                <c:pt idx="21">
                  <c:v>-3.5074130368155279E-2</c:v>
                </c:pt>
                <c:pt idx="22">
                  <c:v>5.2773986790109355E-2</c:v>
                </c:pt>
                <c:pt idx="23">
                  <c:v>4.443918031608541E-2</c:v>
                </c:pt>
                <c:pt idx="24">
                  <c:v>1.2047216935347455E-2</c:v>
                </c:pt>
                <c:pt idx="25">
                  <c:v>-5.8487663268678575E-2</c:v>
                </c:pt>
                <c:pt idx="26">
                  <c:v>-8.739385779770785E-2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82-4E4D-83A4-15E659CA3B3A}"/>
            </c:ext>
          </c:extLst>
        </c:ser>
        <c:ser>
          <c:idx val="1"/>
          <c:order val="1"/>
          <c:tx>
            <c:strRef>
              <c:f>'Trh práce 1-SNÚ'!$AD$7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1-SNÚ'!$AD$28:$AD$55</c:f>
              <c:numCache>
                <c:formatCode>#\ ##0.0</c:formatCode>
                <c:ptCount val="28"/>
                <c:pt idx="0">
                  <c:v>0.8973211837957854</c:v>
                </c:pt>
                <c:pt idx="1">
                  <c:v>0.93240500328089182</c:v>
                </c:pt>
                <c:pt idx="2">
                  <c:v>0.78322390473214842</c:v>
                </c:pt>
                <c:pt idx="3">
                  <c:v>0.92856953615549465</c:v>
                </c:pt>
                <c:pt idx="4">
                  <c:v>0.86888766422551245</c:v>
                </c:pt>
                <c:pt idx="5">
                  <c:v>0.63466218902728611</c:v>
                </c:pt>
                <c:pt idx="6">
                  <c:v>0.67030166755296461</c:v>
                </c:pt>
                <c:pt idx="7">
                  <c:v>0.52226112325646856</c:v>
                </c:pt>
                <c:pt idx="8">
                  <c:v>0.25692544860143091</c:v>
                </c:pt>
                <c:pt idx="9">
                  <c:v>0.4029301034533323</c:v>
                </c:pt>
                <c:pt idx="10">
                  <c:v>0.49305079188297163</c:v>
                </c:pt>
                <c:pt idx="11">
                  <c:v>0.4790569189501015</c:v>
                </c:pt>
                <c:pt idx="12">
                  <c:v>0.34915953751387369</c:v>
                </c:pt>
                <c:pt idx="13">
                  <c:v>0.29129979245897197</c:v>
                </c:pt>
                <c:pt idx="14">
                  <c:v>9.8459913388051989E-2</c:v>
                </c:pt>
                <c:pt idx="15">
                  <c:v>8.7027357678158501E-2</c:v>
                </c:pt>
                <c:pt idx="16">
                  <c:v>0.15622524191719908</c:v>
                </c:pt>
                <c:pt idx="17">
                  <c:v>-1.4335858201041258E-2</c:v>
                </c:pt>
                <c:pt idx="18">
                  <c:v>-0.16956473525850688</c:v>
                </c:pt>
                <c:pt idx="19">
                  <c:v>-0.55893946933332894</c:v>
                </c:pt>
                <c:pt idx="20">
                  <c:v>-0.94324538896959609</c:v>
                </c:pt>
                <c:pt idx="21">
                  <c:v>-1.2295778121418541</c:v>
                </c:pt>
                <c:pt idx="22">
                  <c:v>-1.2343771039367566</c:v>
                </c:pt>
                <c:pt idx="23">
                  <c:v>-1.0657457809109596</c:v>
                </c:pt>
                <c:pt idx="24">
                  <c:v>-0.57050059151835375</c:v>
                </c:pt>
                <c:pt idx="25">
                  <c:v>-0.15904441253298673</c:v>
                </c:pt>
                <c:pt idx="26">
                  <c:v>6.8385412536687742E-2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82-4E4D-83A4-15E659CA3B3A}"/>
            </c:ext>
          </c:extLst>
        </c:ser>
        <c:ser>
          <c:idx val="2"/>
          <c:order val="2"/>
          <c:tx>
            <c:strRef>
              <c:f>'Trh práce 1-SNÚ'!$AE$7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1-SNÚ'!$AE$28:$AE$55</c:f>
              <c:numCache>
                <c:formatCode>#\ ##0.0</c:formatCode>
                <c:ptCount val="28"/>
                <c:pt idx="0">
                  <c:v>-0.10869652798016841</c:v>
                </c:pt>
                <c:pt idx="1">
                  <c:v>-0.10209615994424059</c:v>
                </c:pt>
                <c:pt idx="2">
                  <c:v>-0.16545690470928856</c:v>
                </c:pt>
                <c:pt idx="3">
                  <c:v>-0.17895019005421842</c:v>
                </c:pt>
                <c:pt idx="4">
                  <c:v>-0.11373322367009846</c:v>
                </c:pt>
                <c:pt idx="5">
                  <c:v>-0.12545154650943438</c:v>
                </c:pt>
                <c:pt idx="6">
                  <c:v>-3.1860386360670866E-2</c:v>
                </c:pt>
                <c:pt idx="7">
                  <c:v>1.8032205750158924E-2</c:v>
                </c:pt>
                <c:pt idx="8">
                  <c:v>-1.9444350441111414E-2</c:v>
                </c:pt>
                <c:pt idx="9">
                  <c:v>1.8614032242393937E-2</c:v>
                </c:pt>
                <c:pt idx="10">
                  <c:v>7.0286650681611176E-2</c:v>
                </c:pt>
                <c:pt idx="11">
                  <c:v>-6.0221710983330345E-2</c:v>
                </c:pt>
                <c:pt idx="12">
                  <c:v>9.978678488335628E-2</c:v>
                </c:pt>
                <c:pt idx="13">
                  <c:v>7.2735902872823929E-2</c:v>
                </c:pt>
                <c:pt idx="14">
                  <c:v>5.9649537087560163E-2</c:v>
                </c:pt>
                <c:pt idx="15">
                  <c:v>0.1162536574759572</c:v>
                </c:pt>
                <c:pt idx="16">
                  <c:v>2.9352533576366864E-2</c:v>
                </c:pt>
                <c:pt idx="17">
                  <c:v>9.3127798647895263E-2</c:v>
                </c:pt>
                <c:pt idx="18">
                  <c:v>0.10007825071187611</c:v>
                </c:pt>
                <c:pt idx="19">
                  <c:v>0.12319422069622019</c:v>
                </c:pt>
                <c:pt idx="20">
                  <c:v>0.21637275727153377</c:v>
                </c:pt>
                <c:pt idx="21">
                  <c:v>-8.4471727588227383E-3</c:v>
                </c:pt>
                <c:pt idx="22">
                  <c:v>7.7604469929050846E-2</c:v>
                </c:pt>
                <c:pt idx="23">
                  <c:v>0.12629596568001819</c:v>
                </c:pt>
                <c:pt idx="24">
                  <c:v>-5.7659833670562981E-2</c:v>
                </c:pt>
                <c:pt idx="25">
                  <c:v>0.15759957773295838</c:v>
                </c:pt>
                <c:pt idx="26">
                  <c:v>-4.85521432209488E-2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82-4E4D-83A4-15E659CA3B3A}"/>
            </c:ext>
          </c:extLst>
        </c:ser>
        <c:ser>
          <c:idx val="3"/>
          <c:order val="3"/>
          <c:tx>
            <c:strRef>
              <c:f>'Trh práce 1-SNÚ'!$AF$7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solidFill>
              <a:srgbClr val="FDDEB3"/>
            </a:solidFill>
            <a:ln w="19050"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1-SNÚ'!$AF$28:$AF$55</c:f>
              <c:numCache>
                <c:formatCode>#\ ##0.0</c:formatCode>
                <c:ptCount val="28"/>
                <c:pt idx="0">
                  <c:v>0.21725549029484031</c:v>
                </c:pt>
                <c:pt idx="1">
                  <c:v>0.47973225414506893</c:v>
                </c:pt>
                <c:pt idx="2">
                  <c:v>0.31856511270432697</c:v>
                </c:pt>
                <c:pt idx="3">
                  <c:v>0.19833353853058974</c:v>
                </c:pt>
                <c:pt idx="4">
                  <c:v>6.3068653986030024E-2</c:v>
                </c:pt>
                <c:pt idx="5">
                  <c:v>0.14785774033727989</c:v>
                </c:pt>
                <c:pt idx="6">
                  <c:v>6.688175479221287E-3</c:v>
                </c:pt>
                <c:pt idx="7">
                  <c:v>0.15925244395982574</c:v>
                </c:pt>
                <c:pt idx="8">
                  <c:v>0.19450086237701714</c:v>
                </c:pt>
                <c:pt idx="9">
                  <c:v>-6.8447922443940921E-4</c:v>
                </c:pt>
                <c:pt idx="10">
                  <c:v>0.33618739157733363</c:v>
                </c:pt>
                <c:pt idx="11">
                  <c:v>0.18398562829243031</c:v>
                </c:pt>
                <c:pt idx="12">
                  <c:v>0.17924314286166321</c:v>
                </c:pt>
                <c:pt idx="13">
                  <c:v>0.42149330932798285</c:v>
                </c:pt>
                <c:pt idx="14">
                  <c:v>0.20459251153416669</c:v>
                </c:pt>
                <c:pt idx="15">
                  <c:v>0.19123680116101013</c:v>
                </c:pt>
                <c:pt idx="16">
                  <c:v>0.41047161840073582</c:v>
                </c:pt>
                <c:pt idx="17">
                  <c:v>0.14533022317687969</c:v>
                </c:pt>
                <c:pt idx="18">
                  <c:v>-1.374599866894316E-2</c:v>
                </c:pt>
                <c:pt idx="19">
                  <c:v>-5.1195924649759174E-2</c:v>
                </c:pt>
                <c:pt idx="20">
                  <c:v>-0.41094264742004311</c:v>
                </c:pt>
                <c:pt idx="21">
                  <c:v>-0.95188618940507708</c:v>
                </c:pt>
                <c:pt idx="22">
                  <c:v>-0.76136376823580798</c:v>
                </c:pt>
                <c:pt idx="23">
                  <c:v>-1.2617401200430671</c:v>
                </c:pt>
                <c:pt idx="24">
                  <c:v>-1.1431696820850703</c:v>
                </c:pt>
                <c:pt idx="25">
                  <c:v>-0.49758609385910119</c:v>
                </c:pt>
                <c:pt idx="26">
                  <c:v>-0.15009923195758187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82-4E4D-83A4-15E659CA3B3A}"/>
            </c:ext>
          </c:extLst>
        </c:ser>
        <c:ser>
          <c:idx val="4"/>
          <c:order val="4"/>
          <c:tx>
            <c:strRef>
              <c:f>'Trh práce 1-SNÚ'!$AG$7</c:f>
              <c:strCache>
                <c:ptCount val="1"/>
                <c:pt idx="0">
                  <c:v>Informační a komunikač. čin.</c:v>
                </c:pt>
              </c:strCache>
            </c:strRef>
          </c:tx>
          <c:spPr>
            <a:solidFill>
              <a:srgbClr val="F8A124"/>
            </a:solidFill>
            <a:ln w="19050"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1-SNÚ'!$AG$28:$AG$55</c:f>
              <c:numCache>
                <c:formatCode>#\ ##0.0</c:formatCode>
                <c:ptCount val="28"/>
                <c:pt idx="0">
                  <c:v>7.5857638402359439E-3</c:v>
                </c:pt>
                <c:pt idx="1">
                  <c:v>5.8337859602965066E-2</c:v>
                </c:pt>
                <c:pt idx="2">
                  <c:v>7.3076148277366471E-2</c:v>
                </c:pt>
                <c:pt idx="3">
                  <c:v>0.101592122918871</c:v>
                </c:pt>
                <c:pt idx="4">
                  <c:v>0.11899379776373163</c:v>
                </c:pt>
                <c:pt idx="5">
                  <c:v>0.11409419008550926</c:v>
                </c:pt>
                <c:pt idx="6">
                  <c:v>0.12987010483859668</c:v>
                </c:pt>
                <c:pt idx="7">
                  <c:v>0.16669217063926228</c:v>
                </c:pt>
                <c:pt idx="8">
                  <c:v>0.14027846527673005</c:v>
                </c:pt>
                <c:pt idx="9">
                  <c:v>0.1351276068914134</c:v>
                </c:pt>
                <c:pt idx="10">
                  <c:v>0.13451672611540119</c:v>
                </c:pt>
                <c:pt idx="11">
                  <c:v>0.11997176069642783</c:v>
                </c:pt>
                <c:pt idx="12">
                  <c:v>0.11565167779721315</c:v>
                </c:pt>
                <c:pt idx="13">
                  <c:v>0.13697970162157849</c:v>
                </c:pt>
                <c:pt idx="14">
                  <c:v>0.12890855314395611</c:v>
                </c:pt>
                <c:pt idx="15">
                  <c:v>0.14791858483650214</c:v>
                </c:pt>
                <c:pt idx="16">
                  <c:v>0.14590918081197787</c:v>
                </c:pt>
                <c:pt idx="17">
                  <c:v>8.1482217178668936E-2</c:v>
                </c:pt>
                <c:pt idx="18">
                  <c:v>0.13404655077835173</c:v>
                </c:pt>
                <c:pt idx="19">
                  <c:v>0.14640819444068129</c:v>
                </c:pt>
                <c:pt idx="20">
                  <c:v>0.19847048747347235</c:v>
                </c:pt>
                <c:pt idx="21">
                  <c:v>0.15449144439125151</c:v>
                </c:pt>
                <c:pt idx="22">
                  <c:v>0.16384803228552275</c:v>
                </c:pt>
                <c:pt idx="23">
                  <c:v>0.13435229940883867</c:v>
                </c:pt>
                <c:pt idx="24">
                  <c:v>0.11113094268360513</c:v>
                </c:pt>
                <c:pt idx="25">
                  <c:v>0.16793859039290124</c:v>
                </c:pt>
                <c:pt idx="26">
                  <c:v>0.11384446555244097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82-4E4D-83A4-15E659CA3B3A}"/>
            </c:ext>
          </c:extLst>
        </c:ser>
        <c:ser>
          <c:idx val="5"/>
          <c:order val="5"/>
          <c:tx>
            <c:strRef>
              <c:f>'Trh práce 1-SNÚ'!$AH$7</c:f>
              <c:strCache>
                <c:ptCount val="1"/>
                <c:pt idx="0">
                  <c:v>Profesní, vědec., techn. a admin. čin.</c:v>
                </c:pt>
              </c:strCache>
            </c:strRef>
          </c:tx>
          <c:spPr>
            <a:solidFill>
              <a:srgbClr val="E8C0BE"/>
            </a:solidFill>
            <a:ln w="19050"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1-SNÚ'!$AH$28:$AH$55</c:f>
              <c:numCache>
                <c:formatCode>#\ ##0.0</c:formatCode>
                <c:ptCount val="28"/>
                <c:pt idx="0">
                  <c:v>0.10653478180808044</c:v>
                </c:pt>
                <c:pt idx="1">
                  <c:v>0.12599643340418387</c:v>
                </c:pt>
                <c:pt idx="2">
                  <c:v>0.26797844214547623</c:v>
                </c:pt>
                <c:pt idx="3">
                  <c:v>0.33512738074273013</c:v>
                </c:pt>
                <c:pt idx="4">
                  <c:v>0.23895818115359482</c:v>
                </c:pt>
                <c:pt idx="5">
                  <c:v>0.24936049791884499</c:v>
                </c:pt>
                <c:pt idx="6">
                  <c:v>0.24520740186355397</c:v>
                </c:pt>
                <c:pt idx="7">
                  <c:v>0.26629223246396738</c:v>
                </c:pt>
                <c:pt idx="8">
                  <c:v>0.40401039249864829</c:v>
                </c:pt>
                <c:pt idx="9">
                  <c:v>0.35370463922906481</c:v>
                </c:pt>
                <c:pt idx="10">
                  <c:v>0.31524569095555699</c:v>
                </c:pt>
                <c:pt idx="11">
                  <c:v>0.14696965180455621</c:v>
                </c:pt>
                <c:pt idx="12">
                  <c:v>0.1718005862096757</c:v>
                </c:pt>
                <c:pt idx="13">
                  <c:v>0.14108515593321466</c:v>
                </c:pt>
                <c:pt idx="14">
                  <c:v>9.7714992537754661E-2</c:v>
                </c:pt>
                <c:pt idx="15">
                  <c:v>0.19309834891883168</c:v>
                </c:pt>
                <c:pt idx="16">
                  <c:v>-1.7477930865320849E-2</c:v>
                </c:pt>
                <c:pt idx="17">
                  <c:v>-1.9200468181857312E-2</c:v>
                </c:pt>
                <c:pt idx="18">
                  <c:v>-2.754735035266059E-2</c:v>
                </c:pt>
                <c:pt idx="19">
                  <c:v>-0.21095077330513856</c:v>
                </c:pt>
                <c:pt idx="20">
                  <c:v>-0.16110202913856714</c:v>
                </c:pt>
                <c:pt idx="21">
                  <c:v>-0.27232950437682868</c:v>
                </c:pt>
                <c:pt idx="22">
                  <c:v>-0.38977227241839929</c:v>
                </c:pt>
                <c:pt idx="23">
                  <c:v>-0.21911010402833297</c:v>
                </c:pt>
                <c:pt idx="24">
                  <c:v>-0.23000917256563372</c:v>
                </c:pt>
                <c:pt idx="25">
                  <c:v>0.11708791106722947</c:v>
                </c:pt>
                <c:pt idx="26">
                  <c:v>0.19728291708774717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882-4E4D-83A4-15E659CA3B3A}"/>
            </c:ext>
          </c:extLst>
        </c:ser>
        <c:ser>
          <c:idx val="6"/>
          <c:order val="6"/>
          <c:tx>
            <c:strRef>
              <c:f>'Trh práce 1-SNÚ'!$AI$7</c:f>
              <c:strCache>
                <c:ptCount val="1"/>
                <c:pt idx="0">
                  <c:v>Veř.spr.,obrana, vzděl.,zdrav.a soc.péče</c:v>
                </c:pt>
              </c:strCache>
            </c:strRef>
          </c:tx>
          <c:spPr>
            <a:solidFill>
              <a:srgbClr val="D58D8B"/>
            </a:solidFill>
            <a:ln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1-SNÚ'!$AI$28:$AI$55</c:f>
              <c:numCache>
                <c:formatCode>#\ ##0.0</c:formatCode>
                <c:ptCount val="28"/>
                <c:pt idx="0">
                  <c:v>0.22808387339320821</c:v>
                </c:pt>
                <c:pt idx="1">
                  <c:v>0.23731519476564394</c:v>
                </c:pt>
                <c:pt idx="2">
                  <c:v>0.11834818987059058</c:v>
                </c:pt>
                <c:pt idx="3">
                  <c:v>0.11257926718085437</c:v>
                </c:pt>
                <c:pt idx="4">
                  <c:v>0.34574201174059122</c:v>
                </c:pt>
                <c:pt idx="5">
                  <c:v>0.35302288864044334</c:v>
                </c:pt>
                <c:pt idx="6">
                  <c:v>0.44180506724700391</c:v>
                </c:pt>
                <c:pt idx="7">
                  <c:v>0.52441422245051739</c:v>
                </c:pt>
                <c:pt idx="8">
                  <c:v>0.4402223883053985</c:v>
                </c:pt>
                <c:pt idx="9">
                  <c:v>0.48225364024114387</c:v>
                </c:pt>
                <c:pt idx="10">
                  <c:v>0.54201601935673571</c:v>
                </c:pt>
                <c:pt idx="11">
                  <c:v>0.53510914430457346</c:v>
                </c:pt>
                <c:pt idx="12">
                  <c:v>0.4041402471607079</c:v>
                </c:pt>
                <c:pt idx="13">
                  <c:v>0.44415766669222101</c:v>
                </c:pt>
                <c:pt idx="14">
                  <c:v>0.30949599027729074</c:v>
                </c:pt>
                <c:pt idx="15">
                  <c:v>0.28546834866193815</c:v>
                </c:pt>
                <c:pt idx="16">
                  <c:v>0.18663535729751846</c:v>
                </c:pt>
                <c:pt idx="17">
                  <c:v>0.12854363343247277</c:v>
                </c:pt>
                <c:pt idx="18">
                  <c:v>0.15565267754524093</c:v>
                </c:pt>
                <c:pt idx="19">
                  <c:v>0.18823384737281104</c:v>
                </c:pt>
                <c:pt idx="20">
                  <c:v>0.3994248458850107</c:v>
                </c:pt>
                <c:pt idx="21">
                  <c:v>0.35002513033895699</c:v>
                </c:pt>
                <c:pt idx="22">
                  <c:v>0.49047572295296393</c:v>
                </c:pt>
                <c:pt idx="23">
                  <c:v>0.42689329847921881</c:v>
                </c:pt>
                <c:pt idx="24">
                  <c:v>0.43987169157938644</c:v>
                </c:pt>
                <c:pt idx="25">
                  <c:v>0.55918859578758107</c:v>
                </c:pt>
                <c:pt idx="26">
                  <c:v>0.55152610258823731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882-4E4D-83A4-15E659CA3B3A}"/>
            </c:ext>
          </c:extLst>
        </c:ser>
        <c:ser>
          <c:idx val="7"/>
          <c:order val="7"/>
          <c:tx>
            <c:strRef>
              <c:f>'Trh práce 1-SNÚ'!$AJ$7</c:f>
              <c:strCache>
                <c:ptCount val="1"/>
                <c:pt idx="0">
                  <c:v>Ostatní odvětví*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1-SNÚ'!$AJ$28:$AJ$55</c:f>
              <c:numCache>
                <c:formatCode>#\ ##0.0</c:formatCode>
                <c:ptCount val="28"/>
                <c:pt idx="0">
                  <c:v>-5.233390960245677E-2</c:v>
                </c:pt>
                <c:pt idx="1">
                  <c:v>8.3788315003249514E-2</c:v>
                </c:pt>
                <c:pt idx="2">
                  <c:v>4.7987973307275944E-2</c:v>
                </c:pt>
                <c:pt idx="3">
                  <c:v>-2.0669078124050264E-2</c:v>
                </c:pt>
                <c:pt idx="4">
                  <c:v>0.12695259989801055</c:v>
                </c:pt>
                <c:pt idx="5">
                  <c:v>7.2154885803612609E-2</c:v>
                </c:pt>
                <c:pt idx="6">
                  <c:v>0.1033294200118309</c:v>
                </c:pt>
                <c:pt idx="7">
                  <c:v>0.18514730658825221</c:v>
                </c:pt>
                <c:pt idx="8">
                  <c:v>-4.7740946953249951E-2</c:v>
                </c:pt>
                <c:pt idx="9">
                  <c:v>-2.5097571562778392E-3</c:v>
                </c:pt>
                <c:pt idx="10">
                  <c:v>4.0668288968128352E-2</c:v>
                </c:pt>
                <c:pt idx="11">
                  <c:v>3.8449826749381966E-2</c:v>
                </c:pt>
                <c:pt idx="12">
                  <c:v>0.19957356976671253</c:v>
                </c:pt>
                <c:pt idx="13">
                  <c:v>0.1982053353284452</c:v>
                </c:pt>
                <c:pt idx="14">
                  <c:v>1.7449770918215368E-2</c:v>
                </c:pt>
                <c:pt idx="15">
                  <c:v>1.7777781087196014E-2</c:v>
                </c:pt>
                <c:pt idx="16">
                  <c:v>-3.7497768873474988E-2</c:v>
                </c:pt>
                <c:pt idx="17">
                  <c:v>2.0932564159875149E-2</c:v>
                </c:pt>
                <c:pt idx="18">
                  <c:v>0.11376889636604499</c:v>
                </c:pt>
                <c:pt idx="19">
                  <c:v>0.12518241194475455</c:v>
                </c:pt>
                <c:pt idx="20">
                  <c:v>8.3034885507349665E-2</c:v>
                </c:pt>
                <c:pt idx="21">
                  <c:v>-0.1425001317575314</c:v>
                </c:pt>
                <c:pt idx="22">
                  <c:v>-0.13695448229824189</c:v>
                </c:pt>
                <c:pt idx="23">
                  <c:v>-0.22635341325241007</c:v>
                </c:pt>
                <c:pt idx="24">
                  <c:v>-0.19247745826705126</c:v>
                </c:pt>
                <c:pt idx="25">
                  <c:v>1.0132607688510244E-2</c:v>
                </c:pt>
                <c:pt idx="26">
                  <c:v>-5.7062827785547547E-2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882-4E4D-83A4-15E659CA3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100"/>
        <c:axId val="101898496"/>
        <c:axId val="101781504"/>
      </c:barChart>
      <c:lineChart>
        <c:grouping val="standard"/>
        <c:varyColors val="0"/>
        <c:ser>
          <c:idx val="8"/>
          <c:order val="8"/>
          <c:tx>
            <c:strRef>
              <c:f>'Trh práce 1-SNÚ'!$AK$7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ln w="22225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1-SNÚ'!$AK$28:$AK$55</c:f>
              <c:numCache>
                <c:formatCode>#\ ##0.0</c:formatCode>
                <c:ptCount val="28"/>
                <c:pt idx="0">
                  <c:v>1.2390736013649644</c:v>
                </c:pt>
                <c:pt idx="1">
                  <c:v>1.763871577433747</c:v>
                </c:pt>
                <c:pt idx="2">
                  <c:v>1.3738315876144895</c:v>
                </c:pt>
                <c:pt idx="3">
                  <c:v>1.335054912344404</c:v>
                </c:pt>
                <c:pt idx="4">
                  <c:v>1.5292935359579616</c:v>
                </c:pt>
                <c:pt idx="5">
                  <c:v>1.4154659813430754</c:v>
                </c:pt>
                <c:pt idx="6">
                  <c:v>1.5176954281983939</c:v>
                </c:pt>
                <c:pt idx="7">
                  <c:v>1.8956884957603108</c:v>
                </c:pt>
                <c:pt idx="8">
                  <c:v>1.4722833881197488</c:v>
                </c:pt>
                <c:pt idx="9">
                  <c:v>1.4239829731990312</c:v>
                </c:pt>
                <c:pt idx="10">
                  <c:v>1.9497805488244353</c:v>
                </c:pt>
                <c:pt idx="11">
                  <c:v>1.3481965748335796</c:v>
                </c:pt>
                <c:pt idx="12">
                  <c:v>1.5514056445856852</c:v>
                </c:pt>
                <c:pt idx="13">
                  <c:v>1.7356136163859617</c:v>
                </c:pt>
                <c:pt idx="14">
                  <c:v>0.93228706716838872</c:v>
                </c:pt>
                <c:pt idx="15">
                  <c:v>1.1206331347310083</c:v>
                </c:pt>
                <c:pt idx="16">
                  <c:v>0.84255872454892256</c:v>
                </c:pt>
                <c:pt idx="17">
                  <c:v>0.34380262508358328</c:v>
                </c:pt>
                <c:pt idx="18">
                  <c:v>0.16701849657889056</c:v>
                </c:pt>
                <c:pt idx="19">
                  <c:v>-0.37153403498074056</c:v>
                </c:pt>
                <c:pt idx="20">
                  <c:v>-0.72911731506431465</c:v>
                </c:pt>
                <c:pt idx="21">
                  <c:v>-2.1352983660780609</c:v>
                </c:pt>
                <c:pt idx="22">
                  <c:v>-1.7377654149315589</c:v>
                </c:pt>
                <c:pt idx="23">
                  <c:v>-2.0409686743506086</c:v>
                </c:pt>
                <c:pt idx="24">
                  <c:v>-1.6307668869083329</c:v>
                </c:pt>
                <c:pt idx="25">
                  <c:v>0.29682911300841397</c:v>
                </c:pt>
                <c:pt idx="26">
                  <c:v>0.58793083700332716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882-4E4D-83A4-15E659CA3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898496"/>
        <c:axId val="101781504"/>
      </c:lineChart>
      <c:lineChart>
        <c:grouping val="standard"/>
        <c:varyColors val="0"/>
        <c:ser>
          <c:idx val="9"/>
          <c:order val="9"/>
          <c:tx>
            <c:strRef>
              <c:f>'Trh práce 1-SNÚ'!$AL$7</c:f>
              <c:strCache>
                <c:ptCount val="1"/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1-SNÚ'!$AL$28:$AL$55</c:f>
              <c:numCache>
                <c:formatCode>General</c:formatCode>
                <c:ptCount val="28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E882-4E4D-83A4-15E659CA3B3A}"/>
            </c:ext>
          </c:extLst>
        </c:ser>
        <c:ser>
          <c:idx val="10"/>
          <c:order val="10"/>
          <c:tx>
            <c:strRef>
              <c:f>'Trh práce 1-SNÚ'!$AM$7</c:f>
              <c:strCache>
                <c:ptCount val="1"/>
                <c:pt idx="0">
                  <c:v>Očekávání zaměstnanosti (průmysl)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1-SNÚ'!$AM$28:$AM$55</c:f>
              <c:numCache>
                <c:formatCode>General</c:formatCode>
                <c:ptCount val="28"/>
                <c:pt idx="0">
                  <c:v>-1.9</c:v>
                </c:pt>
                <c:pt idx="1">
                  <c:v>4.0999999999999996</c:v>
                </c:pt>
                <c:pt idx="2">
                  <c:v>4.7</c:v>
                </c:pt>
                <c:pt idx="3">
                  <c:v>8.8000000000000007</c:v>
                </c:pt>
                <c:pt idx="4">
                  <c:v>9.8000000000000007</c:v>
                </c:pt>
                <c:pt idx="5">
                  <c:v>10</c:v>
                </c:pt>
                <c:pt idx="6">
                  <c:v>4.2</c:v>
                </c:pt>
                <c:pt idx="7">
                  <c:v>9.1999999999999993</c:v>
                </c:pt>
                <c:pt idx="8">
                  <c:v>12.1</c:v>
                </c:pt>
                <c:pt idx="9">
                  <c:v>5.9</c:v>
                </c:pt>
                <c:pt idx="10">
                  <c:v>8.9</c:v>
                </c:pt>
                <c:pt idx="11">
                  <c:v>7.2</c:v>
                </c:pt>
                <c:pt idx="12">
                  <c:v>10.8</c:v>
                </c:pt>
                <c:pt idx="13">
                  <c:v>10.4</c:v>
                </c:pt>
                <c:pt idx="14">
                  <c:v>8.3000000000000007</c:v>
                </c:pt>
                <c:pt idx="15">
                  <c:v>6.5</c:v>
                </c:pt>
                <c:pt idx="16">
                  <c:v>3.1</c:v>
                </c:pt>
                <c:pt idx="17">
                  <c:v>2.5</c:v>
                </c:pt>
                <c:pt idx="18">
                  <c:v>1.6</c:v>
                </c:pt>
                <c:pt idx="19">
                  <c:v>-2.7</c:v>
                </c:pt>
                <c:pt idx="20">
                  <c:v>1.5</c:v>
                </c:pt>
                <c:pt idx="21">
                  <c:v>-17.399999999999999</c:v>
                </c:pt>
                <c:pt idx="22">
                  <c:v>-11.6</c:v>
                </c:pt>
                <c:pt idx="23">
                  <c:v>-5.9</c:v>
                </c:pt>
                <c:pt idx="24">
                  <c:v>0.1</c:v>
                </c:pt>
                <c:pt idx="25">
                  <c:v>9.4</c:v>
                </c:pt>
                <c:pt idx="26" formatCode="#\ ##0.0">
                  <c:v>6.4</c:v>
                </c:pt>
                <c:pt idx="27" formatCode="#\ ##0.0">
                  <c:v>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E882-4E4D-83A4-15E659CA3B3A}"/>
            </c:ext>
          </c:extLst>
        </c:ser>
        <c:ser>
          <c:idx val="11"/>
          <c:order val="11"/>
          <c:tx>
            <c:strRef>
              <c:f>'Trh práce 1-SNÚ'!$AN$7</c:f>
              <c:strCache>
                <c:ptCount val="1"/>
                <c:pt idx="0">
                  <c:v>Očekávání zaměstnanosti (stavebnictví)</c:v>
                </c:pt>
              </c:strCache>
            </c:strRef>
          </c:tx>
          <c:spPr>
            <a:ln w="15875">
              <a:solidFill>
                <a:srgbClr val="00B0F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1-SNÚ'!$AN$28:$AN$55</c:f>
              <c:numCache>
                <c:formatCode>General</c:formatCode>
                <c:ptCount val="28"/>
                <c:pt idx="0">
                  <c:v>-1.9</c:v>
                </c:pt>
                <c:pt idx="1">
                  <c:v>7.3</c:v>
                </c:pt>
                <c:pt idx="2">
                  <c:v>0.6</c:v>
                </c:pt>
                <c:pt idx="3">
                  <c:v>2.2999999999999998</c:v>
                </c:pt>
                <c:pt idx="4">
                  <c:v>-0.9</c:v>
                </c:pt>
                <c:pt idx="5">
                  <c:v>-8</c:v>
                </c:pt>
                <c:pt idx="6">
                  <c:v>-6.3</c:v>
                </c:pt>
                <c:pt idx="7">
                  <c:v>-7.2</c:v>
                </c:pt>
                <c:pt idx="8">
                  <c:v>-7.7</c:v>
                </c:pt>
                <c:pt idx="9">
                  <c:v>-15.4</c:v>
                </c:pt>
                <c:pt idx="10">
                  <c:v>-9.3000000000000007</c:v>
                </c:pt>
                <c:pt idx="11">
                  <c:v>-3.2</c:v>
                </c:pt>
                <c:pt idx="12">
                  <c:v>4.3</c:v>
                </c:pt>
                <c:pt idx="13">
                  <c:v>4.3</c:v>
                </c:pt>
                <c:pt idx="14">
                  <c:v>8</c:v>
                </c:pt>
                <c:pt idx="15">
                  <c:v>11.4</c:v>
                </c:pt>
                <c:pt idx="16">
                  <c:v>8.8000000000000007</c:v>
                </c:pt>
                <c:pt idx="17">
                  <c:v>10</c:v>
                </c:pt>
                <c:pt idx="18">
                  <c:v>3.9</c:v>
                </c:pt>
                <c:pt idx="19">
                  <c:v>10.9</c:v>
                </c:pt>
                <c:pt idx="20">
                  <c:v>6.7</c:v>
                </c:pt>
                <c:pt idx="21">
                  <c:v>-3.6</c:v>
                </c:pt>
                <c:pt idx="22">
                  <c:v>-0.6</c:v>
                </c:pt>
                <c:pt idx="23">
                  <c:v>-3.1</c:v>
                </c:pt>
                <c:pt idx="24">
                  <c:v>2.1</c:v>
                </c:pt>
                <c:pt idx="25">
                  <c:v>3.6</c:v>
                </c:pt>
                <c:pt idx="26" formatCode="#\ ##0.0">
                  <c:v>3</c:v>
                </c:pt>
                <c:pt idx="27" formatCode="#\ ##0.0">
                  <c:v>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E882-4E4D-83A4-15E659CA3B3A}"/>
            </c:ext>
          </c:extLst>
        </c:ser>
        <c:ser>
          <c:idx val="12"/>
          <c:order val="12"/>
          <c:tx>
            <c:strRef>
              <c:f>'Trh práce 1-SNÚ'!$AO$7</c:f>
              <c:strCache>
                <c:ptCount val="1"/>
                <c:pt idx="0">
                  <c:v>Očekávání zaměstnanosti (obchod)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1-SNÚ'!$AO$28:$AO$55</c:f>
              <c:numCache>
                <c:formatCode>General</c:formatCode>
                <c:ptCount val="28"/>
                <c:pt idx="0">
                  <c:v>15.5</c:v>
                </c:pt>
                <c:pt idx="1">
                  <c:v>5.4</c:v>
                </c:pt>
                <c:pt idx="2">
                  <c:v>3.4</c:v>
                </c:pt>
                <c:pt idx="3">
                  <c:v>-2.4</c:v>
                </c:pt>
                <c:pt idx="4">
                  <c:v>15.7</c:v>
                </c:pt>
                <c:pt idx="5">
                  <c:v>19.600000000000001</c:v>
                </c:pt>
                <c:pt idx="6">
                  <c:v>20.9</c:v>
                </c:pt>
                <c:pt idx="7">
                  <c:v>18.399999999999999</c:v>
                </c:pt>
                <c:pt idx="8">
                  <c:v>15.8</c:v>
                </c:pt>
                <c:pt idx="9">
                  <c:v>19.3</c:v>
                </c:pt>
                <c:pt idx="10">
                  <c:v>19.899999999999999</c:v>
                </c:pt>
                <c:pt idx="11">
                  <c:v>13.8</c:v>
                </c:pt>
                <c:pt idx="12">
                  <c:v>26.7</c:v>
                </c:pt>
                <c:pt idx="13">
                  <c:v>31.9</c:v>
                </c:pt>
                <c:pt idx="14">
                  <c:v>28.3</c:v>
                </c:pt>
                <c:pt idx="15">
                  <c:v>18.2</c:v>
                </c:pt>
                <c:pt idx="16">
                  <c:v>11.7</c:v>
                </c:pt>
                <c:pt idx="17">
                  <c:v>13.7</c:v>
                </c:pt>
                <c:pt idx="18">
                  <c:v>12.9</c:v>
                </c:pt>
                <c:pt idx="19">
                  <c:v>14.5</c:v>
                </c:pt>
                <c:pt idx="20">
                  <c:v>11.1</c:v>
                </c:pt>
                <c:pt idx="21">
                  <c:v>-6.9</c:v>
                </c:pt>
                <c:pt idx="22">
                  <c:v>-4.8</c:v>
                </c:pt>
                <c:pt idx="23">
                  <c:v>1.3</c:v>
                </c:pt>
                <c:pt idx="24">
                  <c:v>4.2</c:v>
                </c:pt>
                <c:pt idx="25">
                  <c:v>11.5</c:v>
                </c:pt>
                <c:pt idx="26" formatCode="#\ ##0.0">
                  <c:v>10.199999999999999</c:v>
                </c:pt>
                <c:pt idx="27" formatCode="#\ ##0.0">
                  <c:v>11.7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E882-4E4D-83A4-15E659CA3B3A}"/>
            </c:ext>
          </c:extLst>
        </c:ser>
        <c:ser>
          <c:idx val="13"/>
          <c:order val="13"/>
          <c:tx>
            <c:strRef>
              <c:f>'Trh práce 1-SNÚ'!$AP$7</c:f>
              <c:strCache>
                <c:ptCount val="1"/>
                <c:pt idx="0">
                  <c:v>Očekávání zaměstnanosti (vybr. služby)</c:v>
                </c:pt>
              </c:strCache>
            </c:strRef>
          </c:tx>
          <c:spPr>
            <a:ln w="15875">
              <a:solidFill>
                <a:srgbClr val="C0000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1-SNÚ'!$AP$28:$AP$55</c:f>
              <c:numCache>
                <c:formatCode>General</c:formatCode>
                <c:ptCount val="28"/>
                <c:pt idx="0">
                  <c:v>-15.7</c:v>
                </c:pt>
                <c:pt idx="1">
                  <c:v>-21.3</c:v>
                </c:pt>
                <c:pt idx="2">
                  <c:v>2.6</c:v>
                </c:pt>
                <c:pt idx="3">
                  <c:v>3.8</c:v>
                </c:pt>
                <c:pt idx="4">
                  <c:v>2.6</c:v>
                </c:pt>
                <c:pt idx="5">
                  <c:v>24.7</c:v>
                </c:pt>
                <c:pt idx="6">
                  <c:v>-1.7</c:v>
                </c:pt>
                <c:pt idx="7">
                  <c:v>7.2</c:v>
                </c:pt>
                <c:pt idx="8">
                  <c:v>11.7</c:v>
                </c:pt>
                <c:pt idx="9">
                  <c:v>11.5</c:v>
                </c:pt>
                <c:pt idx="10">
                  <c:v>19.8</c:v>
                </c:pt>
                <c:pt idx="11">
                  <c:v>2.8</c:v>
                </c:pt>
                <c:pt idx="12">
                  <c:v>14.9</c:v>
                </c:pt>
                <c:pt idx="13">
                  <c:v>10.5</c:v>
                </c:pt>
                <c:pt idx="14">
                  <c:v>9</c:v>
                </c:pt>
                <c:pt idx="15">
                  <c:v>-5.2</c:v>
                </c:pt>
                <c:pt idx="16">
                  <c:v>-8.1</c:v>
                </c:pt>
                <c:pt idx="17">
                  <c:v>-6.9</c:v>
                </c:pt>
                <c:pt idx="18">
                  <c:v>-8.3000000000000007</c:v>
                </c:pt>
                <c:pt idx="19">
                  <c:v>-11.7</c:v>
                </c:pt>
                <c:pt idx="20">
                  <c:v>-20.3</c:v>
                </c:pt>
                <c:pt idx="21">
                  <c:v>-33.700000000000003</c:v>
                </c:pt>
                <c:pt idx="22">
                  <c:v>-33.299999999999997</c:v>
                </c:pt>
                <c:pt idx="23">
                  <c:v>-27.3</c:v>
                </c:pt>
                <c:pt idx="24">
                  <c:v>-28</c:v>
                </c:pt>
                <c:pt idx="25">
                  <c:v>-29.7</c:v>
                </c:pt>
                <c:pt idx="26" formatCode="#\ ##0.0">
                  <c:v>-16.899999999999999</c:v>
                </c:pt>
                <c:pt idx="27" formatCode="#\ ##0.0">
                  <c:v>-12.3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E882-4E4D-83A4-15E659CA3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2941824"/>
        <c:axId val="332936832"/>
      </c:lineChart>
      <c:catAx>
        <c:axId val="10189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01781504"/>
        <c:crosses val="autoZero"/>
        <c:auto val="1"/>
        <c:lblAlgn val="ctr"/>
        <c:lblOffset val="10"/>
        <c:noMultiLvlLbl val="0"/>
      </c:catAx>
      <c:valAx>
        <c:axId val="101781504"/>
        <c:scaling>
          <c:orientation val="minMax"/>
          <c:max val="2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Příspěvek k růstu zaměstnanosti</a:t>
                </a: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1898496"/>
        <c:crosses val="autoZero"/>
        <c:crossBetween val="between"/>
        <c:majorUnit val="0.5"/>
      </c:valAx>
      <c:valAx>
        <c:axId val="332936832"/>
        <c:scaling>
          <c:orientation val="minMax"/>
          <c:max val="100"/>
          <c:min val="-4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Očekávání vývoje zaměstnanosti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332941824"/>
        <c:crosses val="max"/>
        <c:crossBetween val="between"/>
        <c:majorUnit val="10"/>
      </c:valAx>
      <c:catAx>
        <c:axId val="332941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2936832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2.0050351246179588E-3"/>
          <c:y val="0.78346497914863078"/>
          <c:w val="0.96005692595618608"/>
          <c:h val="0.2119461831534994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397366722205891E-2"/>
          <c:y val="1.6081916099773243E-2"/>
          <c:w val="0.83584199323558972"/>
          <c:h val="0.753935090702947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'Trh práce-2b'!$A$29</c:f>
              <c:strCache>
                <c:ptCount val="1"/>
                <c:pt idx="0">
                  <c:v>Míra nezaměstnanosti mužů (levá osa)</c:v>
                </c:pt>
              </c:strCache>
            </c:strRef>
          </c:tx>
          <c:spPr>
            <a:solidFill>
              <a:srgbClr val="BCBCBC"/>
            </a:solidFill>
          </c:spPr>
          <c:invertIfNegative val="0"/>
          <c:cat>
            <c:multiLvlStrRef>
              <c:f>'Trh práce-2b'!$B$27:$AC$28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práce-2b'!$B$29:$AC$29</c:f>
              <c:numCache>
                <c:formatCode>0.0</c:formatCode>
                <c:ptCount val="28"/>
                <c:pt idx="0">
                  <c:v>5.0240024210613283</c:v>
                </c:pt>
                <c:pt idx="1">
                  <c:v>4.3023728701460398</c:v>
                </c:pt>
                <c:pt idx="2">
                  <c:v>4.0632473744562052</c:v>
                </c:pt>
                <c:pt idx="3">
                  <c:v>3.796708045708467</c:v>
                </c:pt>
                <c:pt idx="4">
                  <c:v>3.6522347635203705</c:v>
                </c:pt>
                <c:pt idx="5">
                  <c:v>3.5552917143823195</c:v>
                </c:pt>
                <c:pt idx="6">
                  <c:v>3.3948251791956987</c:v>
                </c:pt>
                <c:pt idx="7">
                  <c:v>3.1602387978227404</c:v>
                </c:pt>
                <c:pt idx="8">
                  <c:v>2.6951756498530699</c:v>
                </c:pt>
                <c:pt idx="9">
                  <c:v>2.4799431608065303</c:v>
                </c:pt>
                <c:pt idx="10">
                  <c:v>2.2541362238373832</c:v>
                </c:pt>
                <c:pt idx="11">
                  <c:v>2.085520376795452</c:v>
                </c:pt>
                <c:pt idx="12">
                  <c:v>1.8937991490908022</c:v>
                </c:pt>
                <c:pt idx="13">
                  <c:v>1.8226025571157798</c:v>
                </c:pt>
                <c:pt idx="14">
                  <c:v>1.8931449608586046</c:v>
                </c:pt>
                <c:pt idx="15">
                  <c:v>1.6827115189094215</c:v>
                </c:pt>
                <c:pt idx="16">
                  <c:v>1.8009960410715575</c:v>
                </c:pt>
                <c:pt idx="17">
                  <c:v>1.6689507654505835</c:v>
                </c:pt>
                <c:pt idx="18">
                  <c:v>1.7710076825174372</c:v>
                </c:pt>
                <c:pt idx="19">
                  <c:v>1.8588959137464307</c:v>
                </c:pt>
                <c:pt idx="20">
                  <c:v>1.8395213509609238</c:v>
                </c:pt>
                <c:pt idx="21">
                  <c:v>2.2729892398134877</c:v>
                </c:pt>
                <c:pt idx="22">
                  <c:v>2.5175207297137625</c:v>
                </c:pt>
                <c:pt idx="23">
                  <c:v>2.569213144109233</c:v>
                </c:pt>
                <c:pt idx="24">
                  <c:v>2.6499119463035807</c:v>
                </c:pt>
                <c:pt idx="25">
                  <c:v>2.5419829866277941</c:v>
                </c:pt>
                <c:pt idx="26">
                  <c:v>2.2949680340104912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34-4133-BCB5-526D6F51112D}"/>
            </c:ext>
          </c:extLst>
        </c:ser>
        <c:ser>
          <c:idx val="1"/>
          <c:order val="1"/>
          <c:tx>
            <c:strRef>
              <c:f>'Trh práce-2b'!$A$30</c:f>
              <c:strCache>
                <c:ptCount val="1"/>
                <c:pt idx="0">
                  <c:v>Míra nezaměstnanosti žen (levá osa)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cat>
            <c:multiLvlStrRef>
              <c:f>'Trh práce-2b'!$B$27:$AC$28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práce-2b'!$B$30:$AC$30</c:f>
              <c:numCache>
                <c:formatCode>0.0</c:formatCode>
                <c:ptCount val="28"/>
                <c:pt idx="0">
                  <c:v>6.9367586302068389</c:v>
                </c:pt>
                <c:pt idx="1">
                  <c:v>6.1704725181025948</c:v>
                </c:pt>
                <c:pt idx="2">
                  <c:v>5.9783151442790201</c:v>
                </c:pt>
                <c:pt idx="3">
                  <c:v>5.6572006982621827</c:v>
                </c:pt>
                <c:pt idx="4">
                  <c:v>5.0793469454499736</c:v>
                </c:pt>
                <c:pt idx="5">
                  <c:v>4.8000812883966004</c:v>
                </c:pt>
                <c:pt idx="6">
                  <c:v>4.7863520409018792</c:v>
                </c:pt>
                <c:pt idx="7">
                  <c:v>4.3522206843563263</c:v>
                </c:pt>
                <c:pt idx="8">
                  <c:v>4.2691440079537406</c:v>
                </c:pt>
                <c:pt idx="9">
                  <c:v>3.9162016454520576</c:v>
                </c:pt>
                <c:pt idx="10">
                  <c:v>3.400647549285146</c:v>
                </c:pt>
                <c:pt idx="11">
                  <c:v>2.9948630265452958</c:v>
                </c:pt>
                <c:pt idx="12">
                  <c:v>2.927916499903219</c:v>
                </c:pt>
                <c:pt idx="13">
                  <c:v>2.9315207339860554</c:v>
                </c:pt>
                <c:pt idx="14">
                  <c:v>2.8732190161060056</c:v>
                </c:pt>
                <c:pt idx="15">
                  <c:v>2.6523114819730651</c:v>
                </c:pt>
                <c:pt idx="16">
                  <c:v>2.2355627743256936</c:v>
                </c:pt>
                <c:pt idx="17">
                  <c:v>2.4985906194155052</c:v>
                </c:pt>
                <c:pt idx="18">
                  <c:v>2.5591188903478304</c:v>
                </c:pt>
                <c:pt idx="19">
                  <c:v>2.4450315192424443</c:v>
                </c:pt>
                <c:pt idx="20">
                  <c:v>2.0537095590607692</c:v>
                </c:pt>
                <c:pt idx="21">
                  <c:v>2.8166751967711527</c:v>
                </c:pt>
                <c:pt idx="22">
                  <c:v>3.3613125888713689</c:v>
                </c:pt>
                <c:pt idx="23">
                  <c:v>3.8790592239408888</c:v>
                </c:pt>
                <c:pt idx="24">
                  <c:v>4.1579584171196897</c:v>
                </c:pt>
                <c:pt idx="25">
                  <c:v>3.9086513628209674</c:v>
                </c:pt>
                <c:pt idx="26">
                  <c:v>3.280183920735936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34-4133-BCB5-526D6F511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100654464"/>
        <c:axId val="101647488"/>
      </c:barChart>
      <c:lineChart>
        <c:grouping val="standard"/>
        <c:varyColors val="0"/>
        <c:ser>
          <c:idx val="2"/>
          <c:order val="2"/>
          <c:tx>
            <c:strRef>
              <c:f>'Trh práce-2b'!$A$31</c:f>
              <c:strCache>
                <c:ptCount val="1"/>
                <c:pt idx="0">
                  <c:v>Podíl nezam. déle než 1 rok (pravá osa)</c:v>
                </c:pt>
              </c:strCache>
            </c:strRef>
          </c:tx>
          <c:spPr>
            <a:ln w="19050">
              <a:solidFill>
                <a:srgbClr val="663300"/>
              </a:solidFill>
              <a:prstDash val="sysDash"/>
            </a:ln>
          </c:spPr>
          <c:marker>
            <c:symbol val="none"/>
          </c:marker>
          <c:cat>
            <c:multiLvlStrRef>
              <c:f>'Trh práce-2b'!$B$27:$AC$28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práce-2b'!$B$31:$AC$31</c:f>
              <c:numCache>
                <c:formatCode>0.0</c:formatCode>
                <c:ptCount val="28"/>
                <c:pt idx="0">
                  <c:v>45.762175838077162</c:v>
                </c:pt>
                <c:pt idx="1">
                  <c:v>46.715049656226128</c:v>
                </c:pt>
                <c:pt idx="2">
                  <c:v>48.521400778210108</c:v>
                </c:pt>
                <c:pt idx="3">
                  <c:v>48.542458808618512</c:v>
                </c:pt>
                <c:pt idx="4">
                  <c:v>45.847750865051907</c:v>
                </c:pt>
                <c:pt idx="5">
                  <c:v>43.490701001430608</c:v>
                </c:pt>
                <c:pt idx="6">
                  <c:v>39.295774647887328</c:v>
                </c:pt>
                <c:pt idx="7">
                  <c:v>39.196242171189979</c:v>
                </c:pt>
                <c:pt idx="8">
                  <c:v>37.093275488069416</c:v>
                </c:pt>
                <c:pt idx="9">
                  <c:v>37.366099558916197</c:v>
                </c:pt>
                <c:pt idx="10">
                  <c:v>32.798931195724784</c:v>
                </c:pt>
                <c:pt idx="11">
                  <c:v>31.546231546231553</c:v>
                </c:pt>
                <c:pt idx="12">
                  <c:v>31.741140215716484</c:v>
                </c:pt>
                <c:pt idx="13">
                  <c:v>30.28764805414551</c:v>
                </c:pt>
                <c:pt idx="14">
                  <c:v>28.796223446105422</c:v>
                </c:pt>
                <c:pt idx="15">
                  <c:v>31.317689530685922</c:v>
                </c:pt>
                <c:pt idx="16">
                  <c:v>32.360984503190522</c:v>
                </c:pt>
                <c:pt idx="17">
                  <c:v>32.2265625</c:v>
                </c:pt>
                <c:pt idx="18">
                  <c:v>26.979982593559615</c:v>
                </c:pt>
                <c:pt idx="19">
                  <c:v>28.623853211009177</c:v>
                </c:pt>
                <c:pt idx="20">
                  <c:v>29.4</c:v>
                </c:pt>
                <c:pt idx="21">
                  <c:v>20.823436262866192</c:v>
                </c:pt>
                <c:pt idx="22">
                  <c:v>20.012995451591941</c:v>
                </c:pt>
                <c:pt idx="23">
                  <c:v>21.521335807050093</c:v>
                </c:pt>
                <c:pt idx="24">
                  <c:v>19.387186629526461</c:v>
                </c:pt>
                <c:pt idx="25">
                  <c:v>28.499369482976043</c:v>
                </c:pt>
                <c:pt idx="26">
                  <c:v>28.84615384615385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34-4133-BCB5-526D6F51112D}"/>
            </c:ext>
          </c:extLst>
        </c:ser>
        <c:ser>
          <c:idx val="3"/>
          <c:order val="3"/>
          <c:tx>
            <c:strRef>
              <c:f>'Trh práce-2b'!$A$32</c:f>
              <c:strCache>
                <c:ptCount val="1"/>
                <c:pt idx="0">
                  <c:v>Podíl osob do 25 let mezi nezam. (pr. osa)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'Trh práce-2b'!$B$27:$AC$28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práce-2b'!$B$32:$AC$32</c:f>
              <c:numCache>
                <c:formatCode>0.0</c:formatCode>
                <c:ptCount val="28"/>
                <c:pt idx="0">
                  <c:v>15.528146742567998</c:v>
                </c:pt>
                <c:pt idx="1">
                  <c:v>15.699006875477464</c:v>
                </c:pt>
                <c:pt idx="2">
                  <c:v>17.548638132295721</c:v>
                </c:pt>
                <c:pt idx="3">
                  <c:v>16.603295310519645</c:v>
                </c:pt>
                <c:pt idx="4">
                  <c:v>13.711072664359861</c:v>
                </c:pt>
                <c:pt idx="5">
                  <c:v>15.450643776824036</c:v>
                </c:pt>
                <c:pt idx="6">
                  <c:v>18.122065727699532</c:v>
                </c:pt>
                <c:pt idx="7">
                  <c:v>18.684759916492691</c:v>
                </c:pt>
                <c:pt idx="8">
                  <c:v>14.75054229934924</c:v>
                </c:pt>
                <c:pt idx="9">
                  <c:v>16.320100819155638</c:v>
                </c:pt>
                <c:pt idx="10">
                  <c:v>18.837675350701407</c:v>
                </c:pt>
                <c:pt idx="11">
                  <c:v>14.996114996114999</c:v>
                </c:pt>
                <c:pt idx="12">
                  <c:v>14.560862865947611</c:v>
                </c:pt>
                <c:pt idx="13">
                  <c:v>17.00507614213198</c:v>
                </c:pt>
                <c:pt idx="14">
                  <c:v>18.09598741148702</c:v>
                </c:pt>
                <c:pt idx="15">
                  <c:v>16.15523465703971</c:v>
                </c:pt>
                <c:pt idx="16">
                  <c:v>14.311759343664537</c:v>
                </c:pt>
                <c:pt idx="17">
                  <c:v>15.52734375</c:v>
                </c:pt>
                <c:pt idx="18">
                  <c:v>15.491731940818102</c:v>
                </c:pt>
                <c:pt idx="19">
                  <c:v>13.761467889908257</c:v>
                </c:pt>
                <c:pt idx="20">
                  <c:v>13.477851083883131</c:v>
                </c:pt>
                <c:pt idx="21">
                  <c:v>14.251781472684085</c:v>
                </c:pt>
                <c:pt idx="22">
                  <c:v>16.829109811565949</c:v>
                </c:pt>
                <c:pt idx="23">
                  <c:v>15.779702970297031</c:v>
                </c:pt>
                <c:pt idx="24">
                  <c:v>14.166201896263244</c:v>
                </c:pt>
                <c:pt idx="25">
                  <c:v>11.368421052631577</c:v>
                </c:pt>
                <c:pt idx="26">
                  <c:v>15.7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034-4133-BCB5-526D6F51112D}"/>
            </c:ext>
          </c:extLst>
        </c:ser>
        <c:ser>
          <c:idx val="6"/>
          <c:order val="4"/>
          <c:tx>
            <c:strRef>
              <c:f>'Trh práce-2b'!$A$33</c:f>
              <c:strCache>
                <c:ptCount val="1"/>
                <c:pt idx="0">
                  <c:v>Podíl osob nad 50 let mezi nezam. (pr. osa)</c:v>
                </c:pt>
              </c:strCache>
            </c:strRef>
          </c:tx>
          <c:spPr>
            <a:ln w="19050">
              <a:solidFill>
                <a:srgbClr val="0070C0"/>
              </a:solidFill>
              <a:prstDash val="sysDash"/>
            </a:ln>
          </c:spPr>
          <c:marker>
            <c:symbol val="none"/>
          </c:marker>
          <c:cat>
            <c:multiLvlStrRef>
              <c:f>'Trh práce-2b'!$B$27:$AC$28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práce-2b'!$B$33:$AC$33</c:f>
              <c:numCache>
                <c:formatCode>0.0</c:formatCode>
                <c:ptCount val="28"/>
                <c:pt idx="0">
                  <c:v>23.213156230234031</c:v>
                </c:pt>
                <c:pt idx="1">
                  <c:v>24.140565317035907</c:v>
                </c:pt>
                <c:pt idx="2">
                  <c:v>22.451361867704282</c:v>
                </c:pt>
                <c:pt idx="3">
                  <c:v>23.954372623574148</c:v>
                </c:pt>
                <c:pt idx="4">
                  <c:v>28.157439446366784</c:v>
                </c:pt>
                <c:pt idx="5">
                  <c:v>26.180257510729614</c:v>
                </c:pt>
                <c:pt idx="6">
                  <c:v>22.86384976525822</c:v>
                </c:pt>
                <c:pt idx="7">
                  <c:v>24.947807933194156</c:v>
                </c:pt>
                <c:pt idx="8">
                  <c:v>26.138828633405641</c:v>
                </c:pt>
                <c:pt idx="9">
                  <c:v>24.763705103969755</c:v>
                </c:pt>
                <c:pt idx="10">
                  <c:v>23.380093520374086</c:v>
                </c:pt>
                <c:pt idx="11">
                  <c:v>23.931623931623935</c:v>
                </c:pt>
                <c:pt idx="12">
                  <c:v>25.808936825885976</c:v>
                </c:pt>
                <c:pt idx="13">
                  <c:v>24.957698815566832</c:v>
                </c:pt>
                <c:pt idx="14">
                  <c:v>24.311565696302122</c:v>
                </c:pt>
                <c:pt idx="15">
                  <c:v>23.285198555956679</c:v>
                </c:pt>
                <c:pt idx="16">
                  <c:v>26.253418413855972</c:v>
                </c:pt>
                <c:pt idx="17">
                  <c:v>24.609374999999996</c:v>
                </c:pt>
                <c:pt idx="18">
                  <c:v>26.02262837249782</c:v>
                </c:pt>
                <c:pt idx="19">
                  <c:v>25.596330275229356</c:v>
                </c:pt>
                <c:pt idx="20">
                  <c:v>24.976437323279928</c:v>
                </c:pt>
                <c:pt idx="21">
                  <c:v>21.61520190023753</c:v>
                </c:pt>
                <c:pt idx="22">
                  <c:v>22.157244964262507</c:v>
                </c:pt>
                <c:pt idx="23">
                  <c:v>20.544554455445546</c:v>
                </c:pt>
                <c:pt idx="24">
                  <c:v>23.145566090351366</c:v>
                </c:pt>
                <c:pt idx="25">
                  <c:v>26.166456494325345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034-4133-BCB5-526D6F51112D}"/>
            </c:ext>
          </c:extLst>
        </c:ser>
        <c:ser>
          <c:idx val="7"/>
          <c:order val="5"/>
          <c:tx>
            <c:strRef>
              <c:f>'Trh práce-2b'!$A$34</c:f>
              <c:strCache>
                <c:ptCount val="1"/>
                <c:pt idx="0">
                  <c:v>Ekon. neaktiv. chtějící pracovat (pr. osa)</c:v>
                </c:pt>
              </c:strCache>
            </c:strRef>
          </c:tx>
          <c:spPr>
            <a:ln w="19050">
              <a:solidFill>
                <a:schemeClr val="accent2">
                  <a:lumMod val="60000"/>
                  <a:lumOff val="40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'Trh práce-2b'!$B$27:$AC$28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práce-2b'!$B$34:$AC$34</c:f>
              <c:numCache>
                <c:formatCode>General</c:formatCode>
                <c:ptCount val="28"/>
                <c:pt idx="0">
                  <c:v>138.5</c:v>
                </c:pt>
                <c:pt idx="1">
                  <c:v>141.4</c:v>
                </c:pt>
                <c:pt idx="2">
                  <c:v>137.1</c:v>
                </c:pt>
                <c:pt idx="3">
                  <c:v>130.4</c:v>
                </c:pt>
                <c:pt idx="4">
                  <c:v>141</c:v>
                </c:pt>
                <c:pt idx="5">
                  <c:v>126.4</c:v>
                </c:pt>
                <c:pt idx="6">
                  <c:v>129.69999999999999</c:v>
                </c:pt>
                <c:pt idx="7">
                  <c:v>127.1</c:v>
                </c:pt>
                <c:pt idx="8" formatCode="0.0">
                  <c:v>133.1</c:v>
                </c:pt>
                <c:pt idx="9" formatCode="0.0">
                  <c:v>120.1</c:v>
                </c:pt>
                <c:pt idx="10" formatCode="0.0">
                  <c:v>121.3</c:v>
                </c:pt>
                <c:pt idx="11" formatCode="0.0">
                  <c:v>119.1</c:v>
                </c:pt>
                <c:pt idx="12" formatCode="0.0">
                  <c:v>113.5</c:v>
                </c:pt>
                <c:pt idx="13" formatCode="0.0">
                  <c:v>108.4</c:v>
                </c:pt>
                <c:pt idx="14" formatCode="0.0">
                  <c:v>110.3</c:v>
                </c:pt>
                <c:pt idx="15" formatCode="0.0">
                  <c:v>101.7</c:v>
                </c:pt>
                <c:pt idx="16" formatCode="0.0">
                  <c:v>104.6</c:v>
                </c:pt>
                <c:pt idx="17" formatCode="0.0">
                  <c:v>104.6</c:v>
                </c:pt>
                <c:pt idx="18" formatCode="0.0">
                  <c:v>97.6</c:v>
                </c:pt>
                <c:pt idx="19" formatCode="0.0">
                  <c:v>99.9</c:v>
                </c:pt>
                <c:pt idx="20" formatCode="0.0">
                  <c:v>93.4</c:v>
                </c:pt>
                <c:pt idx="21" formatCode="0.0">
                  <c:v>109.3</c:v>
                </c:pt>
                <c:pt idx="22" formatCode="0.0">
                  <c:v>98.8</c:v>
                </c:pt>
                <c:pt idx="23" formatCode="0.0">
                  <c:v>95.7</c:v>
                </c:pt>
                <c:pt idx="24" formatCode="0.0">
                  <c:v>108</c:v>
                </c:pt>
                <c:pt idx="25" formatCode="0.0">
                  <c:v>113.5</c:v>
                </c:pt>
                <c:pt idx="26" formatCode="0.0">
                  <c:v>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034-4133-BCB5-526D6F51112D}"/>
            </c:ext>
          </c:extLst>
        </c:ser>
        <c:ser>
          <c:idx val="4"/>
          <c:order val="6"/>
          <c:tx>
            <c:strRef>
              <c:f>'Trh práce-2b'!$A$35</c:f>
              <c:strCache>
                <c:ptCount val="1"/>
                <c:pt idx="0">
                  <c:v>Očekávání vývoje nezam. (pravá osa)</c:v>
                </c:pt>
              </c:strCache>
            </c:strRef>
          </c:tx>
          <c:spPr>
            <a:ln w="9525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circle"/>
            <c:size val="4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marker>
          <c:cat>
            <c:multiLvlStrRef>
              <c:f>'Trh práce-2b'!$B$27:$AC$28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práce-2b'!$B$35:$AC$35</c:f>
              <c:numCache>
                <c:formatCode>#\ ##0.0</c:formatCode>
                <c:ptCount val="28"/>
                <c:pt idx="0">
                  <c:v>12.2</c:v>
                </c:pt>
                <c:pt idx="1">
                  <c:v>7.3</c:v>
                </c:pt>
                <c:pt idx="2">
                  <c:v>12.3</c:v>
                </c:pt>
                <c:pt idx="3">
                  <c:v>4.9000000000000004</c:v>
                </c:pt>
                <c:pt idx="4">
                  <c:v>1.1000000000000001</c:v>
                </c:pt>
                <c:pt idx="5">
                  <c:v>8.5</c:v>
                </c:pt>
                <c:pt idx="6">
                  <c:v>7</c:v>
                </c:pt>
                <c:pt idx="7">
                  <c:v>3.6</c:v>
                </c:pt>
                <c:pt idx="8">
                  <c:v>-1.6</c:v>
                </c:pt>
                <c:pt idx="9">
                  <c:v>-4.0999999999999996</c:v>
                </c:pt>
                <c:pt idx="10">
                  <c:v>3.5</c:v>
                </c:pt>
                <c:pt idx="11">
                  <c:v>-0.2</c:v>
                </c:pt>
                <c:pt idx="12">
                  <c:v>-2.8</c:v>
                </c:pt>
                <c:pt idx="13">
                  <c:v>-3.4</c:v>
                </c:pt>
                <c:pt idx="14">
                  <c:v>1.7</c:v>
                </c:pt>
                <c:pt idx="15">
                  <c:v>5.5</c:v>
                </c:pt>
                <c:pt idx="16">
                  <c:v>6</c:v>
                </c:pt>
                <c:pt idx="17">
                  <c:v>6.8</c:v>
                </c:pt>
                <c:pt idx="18">
                  <c:v>13.9</c:v>
                </c:pt>
                <c:pt idx="19">
                  <c:v>12.8</c:v>
                </c:pt>
                <c:pt idx="20">
                  <c:v>16.2</c:v>
                </c:pt>
                <c:pt idx="21">
                  <c:v>48.6</c:v>
                </c:pt>
                <c:pt idx="22">
                  <c:v>46.7</c:v>
                </c:pt>
                <c:pt idx="23">
                  <c:v>59.5</c:v>
                </c:pt>
                <c:pt idx="24">
                  <c:v>51.5</c:v>
                </c:pt>
                <c:pt idx="25">
                  <c:v>17.8</c:v>
                </c:pt>
                <c:pt idx="26">
                  <c:v>14.2</c:v>
                </c:pt>
                <c:pt idx="27">
                  <c:v>24.8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034-4133-BCB5-526D6F511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670576"/>
        <c:axId val="323971328"/>
      </c:lineChart>
      <c:catAx>
        <c:axId val="100654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01647488"/>
        <c:crossesAt val="-50"/>
        <c:auto val="1"/>
        <c:lblAlgn val="ctr"/>
        <c:lblOffset val="0"/>
        <c:noMultiLvlLbl val="0"/>
      </c:catAx>
      <c:valAx>
        <c:axId val="101647488"/>
        <c:scaling>
          <c:orientation val="minMax"/>
          <c:max val="7.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</a:t>
                </a:r>
                <a:r>
                  <a:rPr lang="cs-CZ" sz="700" b="0" i="1" baseline="0"/>
                  <a:t> nezaměstnanosti</a:t>
                </a:r>
                <a:endParaRPr lang="cs-CZ" sz="700" b="0" i="1"/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0654464"/>
        <c:crosses val="autoZero"/>
        <c:crossBetween val="between"/>
        <c:majorUnit val="0.5"/>
      </c:valAx>
      <c:valAx>
        <c:axId val="323971328"/>
        <c:scaling>
          <c:orientation val="minMax"/>
          <c:max val="142"/>
          <c:min val="-1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 u="none" strike="noStrike" baseline="0">
                    <a:effectLst/>
                  </a:rPr>
                  <a:t>Ekon. neaktivní, </a:t>
                </a:r>
                <a:r>
                  <a:rPr lang="cs-CZ" sz="700" b="0" i="1" baseline="0"/>
                  <a:t>vybr. skupiny nezam., očekávání nezam.</a:t>
                </a:r>
                <a:endParaRPr lang="cs-CZ" sz="700" b="0" i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331670576"/>
        <c:crosses val="max"/>
        <c:crossBetween val="between"/>
        <c:majorUnit val="10"/>
      </c:valAx>
      <c:catAx>
        <c:axId val="331670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23971328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9661976872503594E-3"/>
          <c:y val="0.85929280045351475"/>
          <c:w val="0.98428486364480727"/>
          <c:h val="0.13700935374149659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7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091348527306885E-2"/>
          <c:y val="1.6549886621315273E-2"/>
          <c:w val="0.94100987714831696"/>
          <c:h val="0.76395209750566906"/>
        </c:manualLayout>
      </c:layout>
      <c:barChart>
        <c:barDir val="col"/>
        <c:grouping val="clustered"/>
        <c:varyColors val="0"/>
        <c:ser>
          <c:idx val="4"/>
          <c:order val="1"/>
          <c:tx>
            <c:strRef>
              <c:f>'Trh práce 3'!$D$8</c:f>
              <c:strCache>
                <c:ptCount val="1"/>
                <c:pt idx="0">
                  <c:v>Průměrná mzda celkem (reálně)</c:v>
                </c:pt>
              </c:strCache>
            </c:strRef>
          </c:tx>
          <c:spPr>
            <a:solidFill>
              <a:srgbClr val="DBDBDB"/>
            </a:solidFill>
            <a:ln w="19050">
              <a:noFill/>
            </a:ln>
          </c:spPr>
          <c:invertIfNegative val="0"/>
          <c:cat>
            <c:multiLvlStrRef>
              <c:f>'Trh práce 3'!$A$29:$B$55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3'!$D$29:$D$55</c:f>
              <c:numCache>
                <c:formatCode>#\ ##0.0</c:formatCode>
                <c:ptCount val="27"/>
                <c:pt idx="0">
                  <c:v>2.2000000000000028</c:v>
                </c:pt>
                <c:pt idx="1">
                  <c:v>2.5999999999999943</c:v>
                </c:pt>
                <c:pt idx="2">
                  <c:v>3.0999999999999943</c:v>
                </c:pt>
                <c:pt idx="3">
                  <c:v>3.5999999999999943</c:v>
                </c:pt>
                <c:pt idx="4">
                  <c:v>4.2000000000000028</c:v>
                </c:pt>
                <c:pt idx="5">
                  <c:v>3.7999999999999972</c:v>
                </c:pt>
                <c:pt idx="6">
                  <c:v>4.2000000000000028</c:v>
                </c:pt>
                <c:pt idx="7">
                  <c:v>3</c:v>
                </c:pt>
                <c:pt idx="8">
                  <c:v>2.5999999999999943</c:v>
                </c:pt>
                <c:pt idx="9">
                  <c:v>4.9000000000000057</c:v>
                </c:pt>
                <c:pt idx="10">
                  <c:v>4.0999999999999943</c:v>
                </c:pt>
                <c:pt idx="11">
                  <c:v>5.0999999999999943</c:v>
                </c:pt>
                <c:pt idx="12">
                  <c:v>6.5</c:v>
                </c:pt>
                <c:pt idx="13">
                  <c:v>6.2999999999999972</c:v>
                </c:pt>
                <c:pt idx="14">
                  <c:v>5.9000000000000057</c:v>
                </c:pt>
                <c:pt idx="15">
                  <c:v>4.9000000000000057</c:v>
                </c:pt>
                <c:pt idx="16">
                  <c:v>5.5</c:v>
                </c:pt>
                <c:pt idx="17">
                  <c:v>5.0999999999999943</c:v>
                </c:pt>
                <c:pt idx="18">
                  <c:v>4.7999999999999972</c:v>
                </c:pt>
                <c:pt idx="19">
                  <c:v>4.5</c:v>
                </c:pt>
                <c:pt idx="20">
                  <c:v>0.20000000000000284</c:v>
                </c:pt>
                <c:pt idx="21">
                  <c:v>-3.5999999999999943</c:v>
                </c:pt>
                <c:pt idx="22">
                  <c:v>0.70000000000000284</c:v>
                </c:pt>
                <c:pt idx="23">
                  <c:v>2.5999999999999943</c:v>
                </c:pt>
                <c:pt idx="24">
                  <c:v>1.0999999999999943</c:v>
                </c:pt>
                <c:pt idx="25">
                  <c:v>8.2999999999999972</c:v>
                </c:pt>
                <c:pt idx="26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4C-4753-AFF4-A7B7E00AA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"/>
        <c:axId val="100688640"/>
        <c:axId val="100690560"/>
      </c:barChart>
      <c:lineChart>
        <c:grouping val="standard"/>
        <c:varyColors val="0"/>
        <c:ser>
          <c:idx val="0"/>
          <c:order val="0"/>
          <c:tx>
            <c:strRef>
              <c:f>'Trh práce 3'!$C$8</c:f>
              <c:strCache>
                <c:ptCount val="1"/>
                <c:pt idx="0">
                  <c:v>Průměrná mzda celkem (nominálně)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3'!$A$29:$B$55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3'!$C$29:$C$55</c:f>
              <c:numCache>
                <c:formatCode>0.0</c:formatCode>
                <c:ptCount val="27"/>
                <c:pt idx="0">
                  <c:v>2.2999999999999972</c:v>
                </c:pt>
                <c:pt idx="1">
                  <c:v>3.2999999999999972</c:v>
                </c:pt>
                <c:pt idx="2">
                  <c:v>3.5</c:v>
                </c:pt>
                <c:pt idx="3">
                  <c:v>3.7000000000000028</c:v>
                </c:pt>
                <c:pt idx="4">
                  <c:v>4.7000000000000028</c:v>
                </c:pt>
                <c:pt idx="5">
                  <c:v>4</c:v>
                </c:pt>
                <c:pt idx="6">
                  <c:v>4.7000000000000028</c:v>
                </c:pt>
                <c:pt idx="7">
                  <c:v>4.4000000000000057</c:v>
                </c:pt>
                <c:pt idx="8">
                  <c:v>5.0999999999999943</c:v>
                </c:pt>
                <c:pt idx="9">
                  <c:v>7.2000000000000028</c:v>
                </c:pt>
                <c:pt idx="10">
                  <c:v>6.7000000000000028</c:v>
                </c:pt>
                <c:pt idx="11">
                  <c:v>7.7999999999999972</c:v>
                </c:pt>
                <c:pt idx="12">
                  <c:v>8.5</c:v>
                </c:pt>
                <c:pt idx="13">
                  <c:v>8.7000000000000028</c:v>
                </c:pt>
                <c:pt idx="14">
                  <c:v>8.4000000000000057</c:v>
                </c:pt>
                <c:pt idx="15">
                  <c:v>7.0999999999999943</c:v>
                </c:pt>
                <c:pt idx="16">
                  <c:v>8.2999999999999972</c:v>
                </c:pt>
                <c:pt idx="17">
                  <c:v>8</c:v>
                </c:pt>
                <c:pt idx="18">
                  <c:v>7.7000000000000028</c:v>
                </c:pt>
                <c:pt idx="19">
                  <c:v>7.5999999999999943</c:v>
                </c:pt>
                <c:pt idx="20">
                  <c:v>3.7999999999999972</c:v>
                </c:pt>
                <c:pt idx="21">
                  <c:v>-0.59999999999999432</c:v>
                </c:pt>
                <c:pt idx="22">
                  <c:v>4</c:v>
                </c:pt>
                <c:pt idx="23">
                  <c:v>5.2999999999999972</c:v>
                </c:pt>
                <c:pt idx="24">
                  <c:v>3.2999999999999972</c:v>
                </c:pt>
                <c:pt idx="25">
                  <c:v>11.400000000000006</c:v>
                </c:pt>
                <c:pt idx="26">
                  <c:v>5.7000000000000028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4C-4753-AFF4-A7B7E00AA345}"/>
            </c:ext>
          </c:extLst>
        </c:ser>
        <c:ser>
          <c:idx val="5"/>
          <c:order val="2"/>
          <c:tx>
            <c:strRef>
              <c:f>'Trh práce 3'!$E$8</c:f>
              <c:strCache>
                <c:ptCount val="1"/>
                <c:pt idx="0">
                  <c:v>Prům. mzda v průmyslu (nominálně)</c:v>
                </c:pt>
              </c:strCache>
            </c:strRef>
          </c:tx>
          <c:spPr>
            <a:ln w="952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multiLvlStrRef>
              <c:f>'Trh práce 3'!$A$29:$B$55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3'!$E$29:$E$55</c:f>
              <c:numCache>
                <c:formatCode>0.0</c:formatCode>
                <c:ptCount val="27"/>
                <c:pt idx="0">
                  <c:v>1.6381118189372046</c:v>
                </c:pt>
                <c:pt idx="1">
                  <c:v>2.6920877025738719</c:v>
                </c:pt>
                <c:pt idx="2">
                  <c:v>3.010059729644766</c:v>
                </c:pt>
                <c:pt idx="3">
                  <c:v>2.9788308269320822</c:v>
                </c:pt>
                <c:pt idx="4">
                  <c:v>4.6482656596722052</c:v>
                </c:pt>
                <c:pt idx="5">
                  <c:v>3.9508373250157831</c:v>
                </c:pt>
                <c:pt idx="6">
                  <c:v>4.6540016784924205</c:v>
                </c:pt>
                <c:pt idx="7">
                  <c:v>3.8977412011906836</c:v>
                </c:pt>
                <c:pt idx="8">
                  <c:v>5.1746586808526445</c:v>
                </c:pt>
                <c:pt idx="9">
                  <c:v>8.0728701553848907</c:v>
                </c:pt>
                <c:pt idx="10">
                  <c:v>6.8272945979441602</c:v>
                </c:pt>
                <c:pt idx="11">
                  <c:v>7.0884454631252538</c:v>
                </c:pt>
                <c:pt idx="12">
                  <c:v>7.9018109790605564</c:v>
                </c:pt>
                <c:pt idx="13">
                  <c:v>8.1936869938853221</c:v>
                </c:pt>
                <c:pt idx="14">
                  <c:v>7.3566042242467802</c:v>
                </c:pt>
                <c:pt idx="15">
                  <c:v>7.6170092222467076</c:v>
                </c:pt>
                <c:pt idx="16">
                  <c:v>7.1985838851373387</c:v>
                </c:pt>
                <c:pt idx="17">
                  <c:v>7.0904869554591556</c:v>
                </c:pt>
                <c:pt idx="18">
                  <c:v>6.753964974732213</c:v>
                </c:pt>
                <c:pt idx="19">
                  <c:v>5.6242870930946793</c:v>
                </c:pt>
                <c:pt idx="20">
                  <c:v>3.2413919637942712</c:v>
                </c:pt>
                <c:pt idx="21">
                  <c:v>-4.9579232634431634</c:v>
                </c:pt>
                <c:pt idx="22">
                  <c:v>1.4528998451827988</c:v>
                </c:pt>
                <c:pt idx="23">
                  <c:v>2.5087223791327489</c:v>
                </c:pt>
                <c:pt idx="24">
                  <c:v>2.345832592855885</c:v>
                </c:pt>
                <c:pt idx="25">
                  <c:v>10.679232824083812</c:v>
                </c:pt>
                <c:pt idx="26">
                  <c:v>5.2999178307313173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A4C-4753-AFF4-A7B7E00AA345}"/>
            </c:ext>
          </c:extLst>
        </c:ser>
        <c:ser>
          <c:idx val="1"/>
          <c:order val="3"/>
          <c:tx>
            <c:strRef>
              <c:f>'Trh práce 3'!$F$8</c:f>
              <c:strCache>
                <c:ptCount val="1"/>
                <c:pt idx="0">
                  <c:v>Prům. mzda v obchodu (nominálně)</c:v>
                </c:pt>
              </c:strCache>
            </c:strRef>
          </c:tx>
          <c:spPr>
            <a:ln w="9525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multiLvlStrRef>
              <c:f>'Trh práce 3'!$A$29:$B$55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3'!$F$29:$F$55</c:f>
              <c:numCache>
                <c:formatCode>0.0</c:formatCode>
                <c:ptCount val="27"/>
                <c:pt idx="0">
                  <c:v>3.1055099144049194</c:v>
                </c:pt>
                <c:pt idx="1">
                  <c:v>3.9141414141414117</c:v>
                </c:pt>
                <c:pt idx="2">
                  <c:v>3.949146815340427</c:v>
                </c:pt>
                <c:pt idx="3">
                  <c:v>5.7916298497871423</c:v>
                </c:pt>
                <c:pt idx="4">
                  <c:v>5.6443202202661524</c:v>
                </c:pt>
                <c:pt idx="5">
                  <c:v>3.9570676387201189</c:v>
                </c:pt>
                <c:pt idx="6">
                  <c:v>4.9977652269310511</c:v>
                </c:pt>
                <c:pt idx="7">
                  <c:v>4.4950645406226215</c:v>
                </c:pt>
                <c:pt idx="8">
                  <c:v>5.6231243089559229</c:v>
                </c:pt>
                <c:pt idx="9">
                  <c:v>7.9284684614485457</c:v>
                </c:pt>
                <c:pt idx="10">
                  <c:v>7.693200727526019</c:v>
                </c:pt>
                <c:pt idx="11">
                  <c:v>8.3926754832146457</c:v>
                </c:pt>
                <c:pt idx="12">
                  <c:v>7.2416629280693883</c:v>
                </c:pt>
                <c:pt idx="13">
                  <c:v>7.0392029456356937</c:v>
                </c:pt>
                <c:pt idx="14">
                  <c:v>6.8381903769449082</c:v>
                </c:pt>
                <c:pt idx="15">
                  <c:v>6.6970570490044992</c:v>
                </c:pt>
                <c:pt idx="16">
                  <c:v>9.5345999651385682</c:v>
                </c:pt>
                <c:pt idx="17">
                  <c:v>7.4227708080399282</c:v>
                </c:pt>
                <c:pt idx="18">
                  <c:v>8.1629221041302316</c:v>
                </c:pt>
                <c:pt idx="19">
                  <c:v>6.3018346318170444</c:v>
                </c:pt>
                <c:pt idx="20">
                  <c:v>3.0935709739019757</c:v>
                </c:pt>
                <c:pt idx="21">
                  <c:v>-2.0939942862524816</c:v>
                </c:pt>
                <c:pt idx="22">
                  <c:v>1.6200752510961109</c:v>
                </c:pt>
                <c:pt idx="23">
                  <c:v>-0.64424611383651609</c:v>
                </c:pt>
                <c:pt idx="24">
                  <c:v>2.0992837737713046</c:v>
                </c:pt>
                <c:pt idx="25">
                  <c:v>9.4433399602385606</c:v>
                </c:pt>
                <c:pt idx="26">
                  <c:v>6.6003671970624254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A4C-4753-AFF4-A7B7E00AA345}"/>
            </c:ext>
          </c:extLst>
        </c:ser>
        <c:ser>
          <c:idx val="2"/>
          <c:order val="4"/>
          <c:tx>
            <c:strRef>
              <c:f>'Trh práce 3'!$G$8</c:f>
              <c:strCache>
                <c:ptCount val="1"/>
                <c:pt idx="0">
                  <c:v>Prům. mzda ve veř. službách (nominálně)*</c:v>
                </c:pt>
              </c:strCache>
            </c:strRef>
          </c:tx>
          <c:spPr>
            <a:ln w="952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'Trh práce 3'!$A$29:$B$55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3'!$G$29:$G$55</c:f>
              <c:numCache>
                <c:formatCode>0.0</c:formatCode>
                <c:ptCount val="27"/>
                <c:pt idx="0">
                  <c:v>3.2925091204842687</c:v>
                </c:pt>
                <c:pt idx="1">
                  <c:v>4.3135889286729565</c:v>
                </c:pt>
                <c:pt idx="2">
                  <c:v>3.8145419077079765</c:v>
                </c:pt>
                <c:pt idx="3">
                  <c:v>3.6381766938736746</c:v>
                </c:pt>
                <c:pt idx="4">
                  <c:v>4.64178325585614</c:v>
                </c:pt>
                <c:pt idx="5">
                  <c:v>3.8061258933532116</c:v>
                </c:pt>
                <c:pt idx="6">
                  <c:v>4.8526374704253925</c:v>
                </c:pt>
                <c:pt idx="7">
                  <c:v>6.1351981806606233</c:v>
                </c:pt>
                <c:pt idx="8">
                  <c:v>5.4566112929362163</c:v>
                </c:pt>
                <c:pt idx="9">
                  <c:v>7.3192456135909225</c:v>
                </c:pt>
                <c:pt idx="10">
                  <c:v>7.9981713137873953</c:v>
                </c:pt>
                <c:pt idx="11">
                  <c:v>10.484072576559427</c:v>
                </c:pt>
                <c:pt idx="12">
                  <c:v>12.179699393983398</c:v>
                </c:pt>
                <c:pt idx="13">
                  <c:v>11.89217733254111</c:v>
                </c:pt>
                <c:pt idx="14">
                  <c:v>11.361326321628667</c:v>
                </c:pt>
                <c:pt idx="15">
                  <c:v>6.1282038917470629</c:v>
                </c:pt>
                <c:pt idx="16">
                  <c:v>9.4162908795776019</c:v>
                </c:pt>
                <c:pt idx="17">
                  <c:v>9.3022383570098555</c:v>
                </c:pt>
                <c:pt idx="18">
                  <c:v>8.3925247282538464</c:v>
                </c:pt>
                <c:pt idx="19">
                  <c:v>11.041060141001239</c:v>
                </c:pt>
                <c:pt idx="20">
                  <c:v>4.0761706440969334</c:v>
                </c:pt>
                <c:pt idx="21">
                  <c:v>3.8609569062914204</c:v>
                </c:pt>
                <c:pt idx="22">
                  <c:v>7.6171619277422877</c:v>
                </c:pt>
                <c:pt idx="23">
                  <c:v>12.682983973452551</c:v>
                </c:pt>
                <c:pt idx="24">
                  <c:v>4.9022320730814926</c:v>
                </c:pt>
                <c:pt idx="25">
                  <c:v>17.753622086318074</c:v>
                </c:pt>
                <c:pt idx="26">
                  <c:v>5.6430817176297978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A4C-4753-AFF4-A7B7E00AA345}"/>
            </c:ext>
          </c:extLst>
        </c:ser>
        <c:ser>
          <c:idx val="3"/>
          <c:order val="5"/>
          <c:tx>
            <c:strRef>
              <c:f>'Trh práce 3'!$H$8</c:f>
              <c:strCache>
                <c:ptCount val="1"/>
                <c:pt idx="0">
                  <c:v>Mediánová mzda celkem (nominálně)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multiLvlStrRef>
              <c:f>'Trh práce 3'!$A$29:$B$55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'Trh práce 3'!$H$29:$H$55</c:f>
              <c:numCache>
                <c:formatCode>0.0</c:formatCode>
                <c:ptCount val="27"/>
                <c:pt idx="0">
                  <c:v>0.70000000000000284</c:v>
                </c:pt>
                <c:pt idx="1">
                  <c:v>2.2999999999999972</c:v>
                </c:pt>
                <c:pt idx="2">
                  <c:v>3.7999999999999972</c:v>
                </c:pt>
                <c:pt idx="3">
                  <c:v>4.7000000000000028</c:v>
                </c:pt>
                <c:pt idx="4">
                  <c:v>6.7000000000000028</c:v>
                </c:pt>
                <c:pt idx="5">
                  <c:v>4.5999999999999943</c:v>
                </c:pt>
                <c:pt idx="6">
                  <c:v>5.2999999999999972</c:v>
                </c:pt>
                <c:pt idx="7">
                  <c:v>6.2000000000000028</c:v>
                </c:pt>
                <c:pt idx="8">
                  <c:v>4.9000000000000057</c:v>
                </c:pt>
                <c:pt idx="9">
                  <c:v>7.7000000000000028</c:v>
                </c:pt>
                <c:pt idx="10">
                  <c:v>7</c:v>
                </c:pt>
                <c:pt idx="11">
                  <c:v>8.9000000000000057</c:v>
                </c:pt>
                <c:pt idx="12">
                  <c:v>8.7000000000000028</c:v>
                </c:pt>
                <c:pt idx="13">
                  <c:v>9.7000000000000028</c:v>
                </c:pt>
                <c:pt idx="14">
                  <c:v>9.2999999999999972</c:v>
                </c:pt>
                <c:pt idx="15">
                  <c:v>6.7000000000000028</c:v>
                </c:pt>
                <c:pt idx="16">
                  <c:v>7.2000000000000028</c:v>
                </c:pt>
                <c:pt idx="17">
                  <c:v>6.4000000000000057</c:v>
                </c:pt>
                <c:pt idx="18">
                  <c:v>7.2999999999999972</c:v>
                </c:pt>
                <c:pt idx="19">
                  <c:v>6.4000000000000057</c:v>
                </c:pt>
                <c:pt idx="20">
                  <c:v>4.9000000000000057</c:v>
                </c:pt>
                <c:pt idx="21">
                  <c:v>-0.40000000000000568</c:v>
                </c:pt>
                <c:pt idx="22">
                  <c:v>5</c:v>
                </c:pt>
                <c:pt idx="23">
                  <c:v>5.2000000000000028</c:v>
                </c:pt>
                <c:pt idx="24">
                  <c:v>2.7999999999999972</c:v>
                </c:pt>
                <c:pt idx="25">
                  <c:v>11.599999999999994</c:v>
                </c:pt>
                <c:pt idx="26">
                  <c:v>5.7000000000000028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A4C-4753-AFF4-A7B7E00AA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688640"/>
        <c:axId val="100690560"/>
      </c:lineChart>
      <c:catAx>
        <c:axId val="10068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0690560"/>
        <c:crosses val="autoZero"/>
        <c:auto val="1"/>
        <c:lblAlgn val="ctr"/>
        <c:lblOffset val="0"/>
        <c:tickMarkSkip val="4"/>
        <c:noMultiLvlLbl val="0"/>
      </c:catAx>
      <c:valAx>
        <c:axId val="100690560"/>
        <c:scaling>
          <c:orientation val="minMax"/>
          <c:max val="18"/>
          <c:min val="-6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0688640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2.5777042272800643E-2"/>
          <c:y val="0.87578174603174608"/>
          <c:w val="0.9607966303114982"/>
          <c:h val="0.11341893424036281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05E-2"/>
          <c:y val="2.1711264016309892E-2"/>
          <c:w val="0.93508633063154345"/>
          <c:h val="0.73130361364405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1'!$C$54:$C$122</c:f>
              <c:numCache>
                <c:formatCode>General</c:formatCode>
                <c:ptCount val="69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>
                  <c:v>0.05</c:v>
                </c:pt>
                <c:pt idx="13">
                  <c:v>0.05</c:v>
                </c:pt>
                <c:pt idx="14">
                  <c:v>0.05</c:v>
                </c:pt>
                <c:pt idx="15">
                  <c:v>0.05</c:v>
                </c:pt>
                <c:pt idx="16">
                  <c:v>0.05</c:v>
                </c:pt>
                <c:pt idx="17">
                  <c:v>0.05</c:v>
                </c:pt>
                <c:pt idx="18">
                  <c:v>0.05</c:v>
                </c:pt>
                <c:pt idx="19">
                  <c:v>0.25</c:v>
                </c:pt>
                <c:pt idx="20">
                  <c:v>0.25</c:v>
                </c:pt>
                <c:pt idx="21">
                  <c:v>0.25</c:v>
                </c:pt>
                <c:pt idx="22">
                  <c:v>0.5</c:v>
                </c:pt>
                <c:pt idx="23">
                  <c:v>0.5</c:v>
                </c:pt>
                <c:pt idx="24">
                  <c:v>0.5</c:v>
                </c:pt>
                <c:pt idx="25">
                  <c:v>0.75</c:v>
                </c:pt>
                <c:pt idx="26">
                  <c:v>0.75</c:v>
                </c:pt>
                <c:pt idx="27">
                  <c:v>0.75</c:v>
                </c:pt>
                <c:pt idx="28">
                  <c:v>0.75</c:v>
                </c:pt>
                <c:pt idx="29">
                  <c:v>1</c:v>
                </c:pt>
                <c:pt idx="30">
                  <c:v>1</c:v>
                </c:pt>
                <c:pt idx="31">
                  <c:v>1.25</c:v>
                </c:pt>
                <c:pt idx="32">
                  <c:v>1.5</c:v>
                </c:pt>
                <c:pt idx="33">
                  <c:v>1.5</c:v>
                </c:pt>
                <c:pt idx="34">
                  <c:v>1.75</c:v>
                </c:pt>
                <c:pt idx="35">
                  <c:v>1.75</c:v>
                </c:pt>
                <c:pt idx="36">
                  <c:v>1.75</c:v>
                </c:pt>
                <c:pt idx="37">
                  <c:v>1.75</c:v>
                </c:pt>
                <c:pt idx="38">
                  <c:v>1.75</c:v>
                </c:pt>
                <c:pt idx="39">
                  <c:v>1.75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2.25</c:v>
                </c:pt>
                <c:pt idx="50">
                  <c:v>1</c:v>
                </c:pt>
                <c:pt idx="51">
                  <c:v>1</c:v>
                </c:pt>
                <c:pt idx="52">
                  <c:v>0.25</c:v>
                </c:pt>
                <c:pt idx="53">
                  <c:v>0.25</c:v>
                </c:pt>
                <c:pt idx="54">
                  <c:v>0.25</c:v>
                </c:pt>
                <c:pt idx="55">
                  <c:v>0.25</c:v>
                </c:pt>
                <c:pt idx="56">
                  <c:v>0.25</c:v>
                </c:pt>
                <c:pt idx="57">
                  <c:v>0.25</c:v>
                </c:pt>
                <c:pt idx="58">
                  <c:v>0.25</c:v>
                </c:pt>
                <c:pt idx="59">
                  <c:v>0.25</c:v>
                </c:pt>
                <c:pt idx="60">
                  <c:v>0.25</c:v>
                </c:pt>
                <c:pt idx="61">
                  <c:v>0.25</c:v>
                </c:pt>
                <c:pt idx="62">
                  <c:v>0.25</c:v>
                </c:pt>
                <c:pt idx="63">
                  <c:v>0.25</c:v>
                </c:pt>
                <c:pt idx="64">
                  <c:v>0.25</c:v>
                </c:pt>
                <c:pt idx="65">
                  <c:v>0.5</c:v>
                </c:pt>
                <c:pt idx="66">
                  <c:v>0.5</c:v>
                </c:pt>
                <c:pt idx="67">
                  <c:v>0.75</c:v>
                </c:pt>
                <c:pt idx="68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15-4D64-8E72-8B29EF3AB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271742464"/>
        <c:axId val="271744000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1'!$F$54:$F$122</c:f>
              <c:numCache>
                <c:formatCode>General</c:formatCode>
                <c:ptCount val="69"/>
                <c:pt idx="0">
                  <c:v>-0.21</c:v>
                </c:pt>
                <c:pt idx="1">
                  <c:v>-0.18</c:v>
                </c:pt>
                <c:pt idx="2">
                  <c:v>-0.17</c:v>
                </c:pt>
                <c:pt idx="3">
                  <c:v>-0.08</c:v>
                </c:pt>
                <c:pt idx="4">
                  <c:v>-0.04</c:v>
                </c:pt>
                <c:pt idx="5">
                  <c:v>-0.05</c:v>
                </c:pt>
                <c:pt idx="6">
                  <c:v>-0.13</c:v>
                </c:pt>
                <c:pt idx="7">
                  <c:v>-0.22</c:v>
                </c:pt>
                <c:pt idx="8">
                  <c:v>-0.5</c:v>
                </c:pt>
                <c:pt idx="9">
                  <c:v>-0.74</c:v>
                </c:pt>
                <c:pt idx="10">
                  <c:v>-0.73</c:v>
                </c:pt>
                <c:pt idx="11">
                  <c:v>-0.81</c:v>
                </c:pt>
                <c:pt idx="12">
                  <c:v>-0.88</c:v>
                </c:pt>
                <c:pt idx="13">
                  <c:v>-0.53</c:v>
                </c:pt>
                <c:pt idx="14">
                  <c:v>-0.44</c:v>
                </c:pt>
                <c:pt idx="15">
                  <c:v>-0.23</c:v>
                </c:pt>
                <c:pt idx="16">
                  <c:v>-0.24</c:v>
                </c:pt>
                <c:pt idx="17">
                  <c:v>-0.25</c:v>
                </c:pt>
                <c:pt idx="18">
                  <c:v>-0.28999999999999998</c:v>
                </c:pt>
                <c:pt idx="19">
                  <c:v>-0.33</c:v>
                </c:pt>
                <c:pt idx="20">
                  <c:v>-0.28999999999999998</c:v>
                </c:pt>
                <c:pt idx="21">
                  <c:v>0.12</c:v>
                </c:pt>
                <c:pt idx="22">
                  <c:v>0.31</c:v>
                </c:pt>
                <c:pt idx="23">
                  <c:v>0.19</c:v>
                </c:pt>
                <c:pt idx="24">
                  <c:v>0.46</c:v>
                </c:pt>
                <c:pt idx="25">
                  <c:v>0.55000000000000004</c:v>
                </c:pt>
                <c:pt idx="26">
                  <c:v>0.62</c:v>
                </c:pt>
                <c:pt idx="27">
                  <c:v>0.6</c:v>
                </c:pt>
                <c:pt idx="28">
                  <c:v>0.7</c:v>
                </c:pt>
                <c:pt idx="29">
                  <c:v>0.89</c:v>
                </c:pt>
                <c:pt idx="30">
                  <c:v>1.0900000000000001</c:v>
                </c:pt>
                <c:pt idx="31">
                  <c:v>1.26</c:v>
                </c:pt>
                <c:pt idx="32">
                  <c:v>1.34</c:v>
                </c:pt>
                <c:pt idx="33">
                  <c:v>1.44</c:v>
                </c:pt>
                <c:pt idx="34">
                  <c:v>1.49</c:v>
                </c:pt>
                <c:pt idx="35">
                  <c:v>1.52</c:v>
                </c:pt>
                <c:pt idx="36">
                  <c:v>1.66</c:v>
                </c:pt>
                <c:pt idx="37">
                  <c:v>1.74</c:v>
                </c:pt>
                <c:pt idx="38">
                  <c:v>1.71</c:v>
                </c:pt>
                <c:pt idx="39">
                  <c:v>1.63</c:v>
                </c:pt>
                <c:pt idx="40">
                  <c:v>1.62</c:v>
                </c:pt>
                <c:pt idx="41">
                  <c:v>1.52</c:v>
                </c:pt>
                <c:pt idx="42">
                  <c:v>1.35</c:v>
                </c:pt>
                <c:pt idx="43">
                  <c:v>0.85</c:v>
                </c:pt>
                <c:pt idx="44">
                  <c:v>1.07</c:v>
                </c:pt>
                <c:pt idx="45">
                  <c:v>1.17</c:v>
                </c:pt>
                <c:pt idx="46">
                  <c:v>1.33</c:v>
                </c:pt>
                <c:pt idx="47">
                  <c:v>1.36</c:v>
                </c:pt>
                <c:pt idx="48">
                  <c:v>1.55</c:v>
                </c:pt>
                <c:pt idx="49">
                  <c:v>1.57</c:v>
                </c:pt>
                <c:pt idx="50">
                  <c:v>1.27</c:v>
                </c:pt>
                <c:pt idx="51">
                  <c:v>0.71</c:v>
                </c:pt>
                <c:pt idx="52">
                  <c:v>0.13</c:v>
                </c:pt>
                <c:pt idx="53">
                  <c:v>0.08</c:v>
                </c:pt>
                <c:pt idx="54">
                  <c:v>0.02</c:v>
                </c:pt>
                <c:pt idx="55">
                  <c:v>0.04</c:v>
                </c:pt>
                <c:pt idx="56">
                  <c:v>0.05</c:v>
                </c:pt>
                <c:pt idx="57">
                  <c:v>0</c:v>
                </c:pt>
                <c:pt idx="58">
                  <c:v>0.06</c:v>
                </c:pt>
                <c:pt idx="59">
                  <c:v>0.16</c:v>
                </c:pt>
                <c:pt idx="60">
                  <c:v>0.26</c:v>
                </c:pt>
                <c:pt idx="61">
                  <c:v>0.45</c:v>
                </c:pt>
                <c:pt idx="62">
                  <c:v>0.75</c:v>
                </c:pt>
                <c:pt idx="63">
                  <c:v>0.76</c:v>
                </c:pt>
                <c:pt idx="64">
                  <c:v>0.76</c:v>
                </c:pt>
                <c:pt idx="65">
                  <c:v>0.69</c:v>
                </c:pt>
                <c:pt idx="66">
                  <c:v>0.84</c:v>
                </c:pt>
                <c:pt idx="67">
                  <c:v>1.24</c:v>
                </c:pt>
                <c:pt idx="68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15-4D64-8E72-8B29EF3ABDCC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1'!$D$54:$D$122</c:f>
              <c:numCache>
                <c:formatCode>General</c:formatCode>
                <c:ptCount val="69"/>
                <c:pt idx="0">
                  <c:v>0.28999999999999998</c:v>
                </c:pt>
                <c:pt idx="1">
                  <c:v>0.28000000000000003</c:v>
                </c:pt>
                <c:pt idx="2">
                  <c:v>0.28999999999999998</c:v>
                </c:pt>
                <c:pt idx="3">
                  <c:v>0.28999999999999998</c:v>
                </c:pt>
                <c:pt idx="4">
                  <c:v>0.28999999999999998</c:v>
                </c:pt>
                <c:pt idx="5">
                  <c:v>0.28999999999999998</c:v>
                </c:pt>
                <c:pt idx="6">
                  <c:v>0.28999999999999998</c:v>
                </c:pt>
                <c:pt idx="7">
                  <c:v>0.28999999999999998</c:v>
                </c:pt>
                <c:pt idx="8">
                  <c:v>0.28999999999999998</c:v>
                </c:pt>
                <c:pt idx="9">
                  <c:v>0.28999999999999998</c:v>
                </c:pt>
                <c:pt idx="10">
                  <c:v>0.28999999999999998</c:v>
                </c:pt>
                <c:pt idx="11">
                  <c:v>0.28999999999999998</c:v>
                </c:pt>
                <c:pt idx="12">
                  <c:v>0.28000000000000003</c:v>
                </c:pt>
                <c:pt idx="13">
                  <c:v>0.28000000000000003</c:v>
                </c:pt>
                <c:pt idx="14">
                  <c:v>0.28000000000000003</c:v>
                </c:pt>
                <c:pt idx="15">
                  <c:v>0.28999999999999998</c:v>
                </c:pt>
                <c:pt idx="16">
                  <c:v>0.3</c:v>
                </c:pt>
                <c:pt idx="17">
                  <c:v>0.3</c:v>
                </c:pt>
                <c:pt idx="18">
                  <c:v>0.3</c:v>
                </c:pt>
                <c:pt idx="19">
                  <c:v>0.43</c:v>
                </c:pt>
                <c:pt idx="20">
                  <c:v>0.46</c:v>
                </c:pt>
                <c:pt idx="21">
                  <c:v>0.51</c:v>
                </c:pt>
                <c:pt idx="22">
                  <c:v>0.71</c:v>
                </c:pt>
                <c:pt idx="23">
                  <c:v>0.75</c:v>
                </c:pt>
                <c:pt idx="24">
                  <c:v>0.77</c:v>
                </c:pt>
                <c:pt idx="25">
                  <c:v>0.9</c:v>
                </c:pt>
                <c:pt idx="26">
                  <c:v>0.9</c:v>
                </c:pt>
                <c:pt idx="27">
                  <c:v>0.9</c:v>
                </c:pt>
                <c:pt idx="28">
                  <c:v>0.9</c:v>
                </c:pt>
                <c:pt idx="29">
                  <c:v>0.93</c:v>
                </c:pt>
                <c:pt idx="30">
                  <c:v>1.18</c:v>
                </c:pt>
                <c:pt idx="31">
                  <c:v>1.45</c:v>
                </c:pt>
                <c:pt idx="32">
                  <c:v>1.54</c:v>
                </c:pt>
                <c:pt idx="33">
                  <c:v>1.76</c:v>
                </c:pt>
                <c:pt idx="34">
                  <c:v>1.99</c:v>
                </c:pt>
                <c:pt idx="35">
                  <c:v>2.0099999999999998</c:v>
                </c:pt>
                <c:pt idx="36">
                  <c:v>2.0099999999999998</c:v>
                </c:pt>
                <c:pt idx="37">
                  <c:v>2.0099999999999998</c:v>
                </c:pt>
                <c:pt idx="38">
                  <c:v>2.0299999999999998</c:v>
                </c:pt>
                <c:pt idx="39">
                  <c:v>2.02</c:v>
                </c:pt>
                <c:pt idx="40">
                  <c:v>2.19</c:v>
                </c:pt>
                <c:pt idx="41">
                  <c:v>2.17</c:v>
                </c:pt>
                <c:pt idx="42">
                  <c:v>2.16</c:v>
                </c:pt>
                <c:pt idx="43">
                  <c:v>2.14</c:v>
                </c:pt>
                <c:pt idx="44">
                  <c:v>2.14</c:v>
                </c:pt>
                <c:pt idx="45">
                  <c:v>2.17</c:v>
                </c:pt>
                <c:pt idx="46">
                  <c:v>2.1800000000000002</c:v>
                </c:pt>
                <c:pt idx="47">
                  <c:v>2.1800000000000002</c:v>
                </c:pt>
                <c:pt idx="48">
                  <c:v>2.17</c:v>
                </c:pt>
                <c:pt idx="49">
                  <c:v>2.34</c:v>
                </c:pt>
                <c:pt idx="50">
                  <c:v>2</c:v>
                </c:pt>
                <c:pt idx="51">
                  <c:v>0.97</c:v>
                </c:pt>
                <c:pt idx="52">
                  <c:v>0.46</c:v>
                </c:pt>
                <c:pt idx="53">
                  <c:v>0.34</c:v>
                </c:pt>
                <c:pt idx="54">
                  <c:v>0.34</c:v>
                </c:pt>
                <c:pt idx="55">
                  <c:v>0.34</c:v>
                </c:pt>
                <c:pt idx="56">
                  <c:v>0.34</c:v>
                </c:pt>
                <c:pt idx="57">
                  <c:v>0.35</c:v>
                </c:pt>
                <c:pt idx="58">
                  <c:v>0.35</c:v>
                </c:pt>
                <c:pt idx="59">
                  <c:v>0.35</c:v>
                </c:pt>
                <c:pt idx="60">
                  <c:v>0.36</c:v>
                </c:pt>
                <c:pt idx="61">
                  <c:v>0.36</c:v>
                </c:pt>
                <c:pt idx="62">
                  <c:v>0.36</c:v>
                </c:pt>
                <c:pt idx="63">
                  <c:v>0.36</c:v>
                </c:pt>
                <c:pt idx="64">
                  <c:v>0.37</c:v>
                </c:pt>
                <c:pt idx="65">
                  <c:v>0.48</c:v>
                </c:pt>
                <c:pt idx="66">
                  <c:v>0.69</c:v>
                </c:pt>
                <c:pt idx="67">
                  <c:v>0.94</c:v>
                </c:pt>
                <c:pt idx="68">
                  <c:v>1.1100000000000001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315-4D64-8E72-8B29EF3ABDCC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1'!$G$54:$G$122</c:f>
              <c:numCache>
                <c:formatCode>General</c:formatCode>
                <c:ptCount val="69"/>
                <c:pt idx="0">
                  <c:v>0.04</c:v>
                </c:pt>
                <c:pt idx="1">
                  <c:v>-0.08</c:v>
                </c:pt>
                <c:pt idx="2">
                  <c:v>-0.1</c:v>
                </c:pt>
                <c:pt idx="3">
                  <c:v>0.04</c:v>
                </c:pt>
                <c:pt idx="4">
                  <c:v>7.0000000000000007E-2</c:v>
                </c:pt>
                <c:pt idx="5">
                  <c:v>0.05</c:v>
                </c:pt>
                <c:pt idx="6">
                  <c:v>-0.02</c:v>
                </c:pt>
                <c:pt idx="7">
                  <c:v>-0.09</c:v>
                </c:pt>
                <c:pt idx="8">
                  <c:v>-0.19</c:v>
                </c:pt>
                <c:pt idx="9">
                  <c:v>-0.17</c:v>
                </c:pt>
                <c:pt idx="10">
                  <c:v>-0.17</c:v>
                </c:pt>
                <c:pt idx="11">
                  <c:v>-0.21</c:v>
                </c:pt>
                <c:pt idx="12">
                  <c:v>-0.22</c:v>
                </c:pt>
                <c:pt idx="13">
                  <c:v>0.09</c:v>
                </c:pt>
                <c:pt idx="14">
                  <c:v>0.1</c:v>
                </c:pt>
                <c:pt idx="15">
                  <c:v>0.16</c:v>
                </c:pt>
                <c:pt idx="16">
                  <c:v>0.04</c:v>
                </c:pt>
                <c:pt idx="17">
                  <c:v>-0.03</c:v>
                </c:pt>
                <c:pt idx="18">
                  <c:v>0.14000000000000001</c:v>
                </c:pt>
                <c:pt idx="19">
                  <c:v>0.09</c:v>
                </c:pt>
                <c:pt idx="20">
                  <c:v>0.1</c:v>
                </c:pt>
                <c:pt idx="21">
                  <c:v>0.63</c:v>
                </c:pt>
                <c:pt idx="22">
                  <c:v>0.87</c:v>
                </c:pt>
                <c:pt idx="23">
                  <c:v>0.68</c:v>
                </c:pt>
                <c:pt idx="24">
                  <c:v>0.99</c:v>
                </c:pt>
                <c:pt idx="25">
                  <c:v>1.07</c:v>
                </c:pt>
                <c:pt idx="26">
                  <c:v>1.0900000000000001</c:v>
                </c:pt>
                <c:pt idx="27">
                  <c:v>1.05</c:v>
                </c:pt>
                <c:pt idx="28">
                  <c:v>1.21</c:v>
                </c:pt>
                <c:pt idx="29">
                  <c:v>1.41</c:v>
                </c:pt>
                <c:pt idx="30">
                  <c:v>1.44</c:v>
                </c:pt>
                <c:pt idx="31">
                  <c:v>1.55</c:v>
                </c:pt>
                <c:pt idx="32">
                  <c:v>1.7</c:v>
                </c:pt>
                <c:pt idx="33">
                  <c:v>1.81</c:v>
                </c:pt>
                <c:pt idx="34">
                  <c:v>1.79</c:v>
                </c:pt>
                <c:pt idx="35">
                  <c:v>1.71</c:v>
                </c:pt>
                <c:pt idx="36">
                  <c:v>1.6</c:v>
                </c:pt>
                <c:pt idx="37">
                  <c:v>1.61</c:v>
                </c:pt>
                <c:pt idx="38">
                  <c:v>1.7</c:v>
                </c:pt>
                <c:pt idx="39">
                  <c:v>1.63</c:v>
                </c:pt>
                <c:pt idx="40">
                  <c:v>1.57</c:v>
                </c:pt>
                <c:pt idx="41">
                  <c:v>1.43</c:v>
                </c:pt>
                <c:pt idx="42">
                  <c:v>1.31</c:v>
                </c:pt>
                <c:pt idx="43">
                  <c:v>0.89</c:v>
                </c:pt>
                <c:pt idx="44">
                  <c:v>1.1299999999999999</c:v>
                </c:pt>
                <c:pt idx="45">
                  <c:v>1.23</c:v>
                </c:pt>
                <c:pt idx="46">
                  <c:v>1.32</c:v>
                </c:pt>
                <c:pt idx="47">
                  <c:v>1.31</c:v>
                </c:pt>
                <c:pt idx="48">
                  <c:v>1.51</c:v>
                </c:pt>
                <c:pt idx="49">
                  <c:v>1.52</c:v>
                </c:pt>
                <c:pt idx="50">
                  <c:v>1.23</c:v>
                </c:pt>
                <c:pt idx="51">
                  <c:v>1.06</c:v>
                </c:pt>
                <c:pt idx="52">
                  <c:v>0.56999999999999995</c:v>
                </c:pt>
                <c:pt idx="53">
                  <c:v>0.52</c:v>
                </c:pt>
                <c:pt idx="54">
                  <c:v>0.52</c:v>
                </c:pt>
                <c:pt idx="55">
                  <c:v>0.57999999999999996</c:v>
                </c:pt>
                <c:pt idx="56">
                  <c:v>0.57999999999999996</c:v>
                </c:pt>
                <c:pt idx="57">
                  <c:v>0.54</c:v>
                </c:pt>
                <c:pt idx="58">
                  <c:v>0.66</c:v>
                </c:pt>
                <c:pt idx="59">
                  <c:v>0.8</c:v>
                </c:pt>
                <c:pt idx="60">
                  <c:v>0.82</c:v>
                </c:pt>
                <c:pt idx="61">
                  <c:v>1.06</c:v>
                </c:pt>
                <c:pt idx="62">
                  <c:v>1.4</c:v>
                </c:pt>
                <c:pt idx="63">
                  <c:v>1.43</c:v>
                </c:pt>
                <c:pt idx="64">
                  <c:v>1.47</c:v>
                </c:pt>
                <c:pt idx="65">
                  <c:v>1.55</c:v>
                </c:pt>
                <c:pt idx="66">
                  <c:v>1.63</c:v>
                </c:pt>
                <c:pt idx="67">
                  <c:v>1.68</c:v>
                </c:pt>
                <c:pt idx="68">
                  <c:v>1.87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315-4D64-8E72-8B29EF3ABDCC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1'!$E$54:$E$122</c:f>
              <c:numCache>
                <c:formatCode>General</c:formatCode>
                <c:ptCount val="69"/>
                <c:pt idx="0">
                  <c:v>0.45</c:v>
                </c:pt>
                <c:pt idx="1">
                  <c:v>0.45</c:v>
                </c:pt>
                <c:pt idx="2">
                  <c:v>0.45</c:v>
                </c:pt>
                <c:pt idx="3">
                  <c:v>0.45</c:v>
                </c:pt>
                <c:pt idx="4">
                  <c:v>0.45</c:v>
                </c:pt>
                <c:pt idx="5">
                  <c:v>0.45</c:v>
                </c:pt>
                <c:pt idx="6">
                  <c:v>0.45</c:v>
                </c:pt>
                <c:pt idx="7">
                  <c:v>0.45</c:v>
                </c:pt>
                <c:pt idx="8">
                  <c:v>0.45</c:v>
                </c:pt>
                <c:pt idx="9">
                  <c:v>0.45</c:v>
                </c:pt>
                <c:pt idx="10">
                  <c:v>0.45</c:v>
                </c:pt>
                <c:pt idx="11">
                  <c:v>0.45</c:v>
                </c:pt>
                <c:pt idx="12">
                  <c:v>0.44</c:v>
                </c:pt>
                <c:pt idx="13">
                  <c:v>0.44</c:v>
                </c:pt>
                <c:pt idx="14">
                  <c:v>0.44</c:v>
                </c:pt>
                <c:pt idx="15">
                  <c:v>0.45</c:v>
                </c:pt>
                <c:pt idx="16">
                  <c:v>0.46</c:v>
                </c:pt>
                <c:pt idx="17">
                  <c:v>0.46</c:v>
                </c:pt>
                <c:pt idx="18">
                  <c:v>0.47</c:v>
                </c:pt>
                <c:pt idx="19">
                  <c:v>0.6</c:v>
                </c:pt>
                <c:pt idx="20">
                  <c:v>0.64</c:v>
                </c:pt>
                <c:pt idx="21">
                  <c:v>0.69</c:v>
                </c:pt>
                <c:pt idx="22">
                  <c:v>0.91</c:v>
                </c:pt>
                <c:pt idx="23">
                  <c:v>0.96</c:v>
                </c:pt>
                <c:pt idx="24">
                  <c:v>0.98</c:v>
                </c:pt>
                <c:pt idx="25">
                  <c:v>1.1100000000000001</c:v>
                </c:pt>
                <c:pt idx="26">
                  <c:v>1.1200000000000001</c:v>
                </c:pt>
                <c:pt idx="27">
                  <c:v>1.1200000000000001</c:v>
                </c:pt>
                <c:pt idx="28">
                  <c:v>1.1200000000000001</c:v>
                </c:pt>
                <c:pt idx="29">
                  <c:v>1.1499999999999999</c:v>
                </c:pt>
                <c:pt idx="30">
                  <c:v>1.39</c:v>
                </c:pt>
                <c:pt idx="31">
                  <c:v>1.67</c:v>
                </c:pt>
                <c:pt idx="32">
                  <c:v>1.79</c:v>
                </c:pt>
                <c:pt idx="33">
                  <c:v>1.95</c:v>
                </c:pt>
                <c:pt idx="34">
                  <c:v>2.1800000000000002</c:v>
                </c:pt>
                <c:pt idx="35">
                  <c:v>2.21</c:v>
                </c:pt>
                <c:pt idx="36">
                  <c:v>2.21</c:v>
                </c:pt>
                <c:pt idx="37">
                  <c:v>2.2000000000000002</c:v>
                </c:pt>
                <c:pt idx="38">
                  <c:v>2.2000000000000002</c:v>
                </c:pt>
                <c:pt idx="39">
                  <c:v>2.21</c:v>
                </c:pt>
                <c:pt idx="40">
                  <c:v>2.3199999999999998</c:v>
                </c:pt>
                <c:pt idx="41">
                  <c:v>2.29</c:v>
                </c:pt>
                <c:pt idx="42">
                  <c:v>2.2799999999999998</c:v>
                </c:pt>
                <c:pt idx="43">
                  <c:v>2.2200000000000002</c:v>
                </c:pt>
                <c:pt idx="44">
                  <c:v>2.2000000000000002</c:v>
                </c:pt>
                <c:pt idx="45">
                  <c:v>2.2799999999999998</c:v>
                </c:pt>
                <c:pt idx="46">
                  <c:v>2.2799999999999998</c:v>
                </c:pt>
                <c:pt idx="47">
                  <c:v>2.27</c:v>
                </c:pt>
                <c:pt idx="48">
                  <c:v>2.27</c:v>
                </c:pt>
                <c:pt idx="49">
                  <c:v>2.42</c:v>
                </c:pt>
                <c:pt idx="50">
                  <c:v>2.0099999999999998</c:v>
                </c:pt>
                <c:pt idx="51">
                  <c:v>0.92</c:v>
                </c:pt>
                <c:pt idx="52">
                  <c:v>0.51</c:v>
                </c:pt>
                <c:pt idx="53">
                  <c:v>0.43</c:v>
                </c:pt>
                <c:pt idx="54">
                  <c:v>0.43</c:v>
                </c:pt>
                <c:pt idx="55">
                  <c:v>0.43</c:v>
                </c:pt>
                <c:pt idx="56">
                  <c:v>0.44</c:v>
                </c:pt>
                <c:pt idx="57">
                  <c:v>0.43</c:v>
                </c:pt>
                <c:pt idx="58">
                  <c:v>0.44</c:v>
                </c:pt>
                <c:pt idx="59">
                  <c:v>0.49</c:v>
                </c:pt>
                <c:pt idx="60">
                  <c:v>0.49</c:v>
                </c:pt>
                <c:pt idx="61">
                  <c:v>0.54</c:v>
                </c:pt>
                <c:pt idx="62">
                  <c:v>0.56000000000000005</c:v>
                </c:pt>
                <c:pt idx="63">
                  <c:v>0.56000000000000005</c:v>
                </c:pt>
                <c:pt idx="64">
                  <c:v>0.67</c:v>
                </c:pt>
                <c:pt idx="65">
                  <c:v>0.78</c:v>
                </c:pt>
                <c:pt idx="66">
                  <c:v>1</c:v>
                </c:pt>
                <c:pt idx="67">
                  <c:v>1.3</c:v>
                </c:pt>
                <c:pt idx="68">
                  <c:v>1.52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315-4D64-8E72-8B29EF3ABDCC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1'!$A$54:$B$122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'Měnové podmínky 1'!$H$54:$H$122</c:f>
              <c:numCache>
                <c:formatCode>General</c:formatCode>
                <c:ptCount val="69"/>
                <c:pt idx="0">
                  <c:v>0.62</c:v>
                </c:pt>
                <c:pt idx="1">
                  <c:v>0.46</c:v>
                </c:pt>
                <c:pt idx="2">
                  <c:v>0.35</c:v>
                </c:pt>
                <c:pt idx="3">
                  <c:v>0.43</c:v>
                </c:pt>
                <c:pt idx="4">
                  <c:v>0.46</c:v>
                </c:pt>
                <c:pt idx="5">
                  <c:v>0.45</c:v>
                </c:pt>
                <c:pt idx="6">
                  <c:v>0.37</c:v>
                </c:pt>
                <c:pt idx="7">
                  <c:v>0.28999999999999998</c:v>
                </c:pt>
                <c:pt idx="8">
                  <c:v>0.25</c:v>
                </c:pt>
                <c:pt idx="9">
                  <c:v>0.37</c:v>
                </c:pt>
                <c:pt idx="10">
                  <c:v>0.55000000000000004</c:v>
                </c:pt>
                <c:pt idx="11">
                  <c:v>0.53</c:v>
                </c:pt>
                <c:pt idx="12">
                  <c:v>0.47</c:v>
                </c:pt>
                <c:pt idx="13">
                  <c:v>0.63</c:v>
                </c:pt>
                <c:pt idx="14">
                  <c:v>0.87</c:v>
                </c:pt>
                <c:pt idx="15">
                  <c:v>0.96</c:v>
                </c:pt>
                <c:pt idx="16">
                  <c:v>0.74</c:v>
                </c:pt>
                <c:pt idx="17">
                  <c:v>0.77</c:v>
                </c:pt>
                <c:pt idx="18">
                  <c:v>0.9</c:v>
                </c:pt>
                <c:pt idx="19">
                  <c:v>0.83</c:v>
                </c:pt>
                <c:pt idx="20">
                  <c:v>0.97</c:v>
                </c:pt>
                <c:pt idx="21">
                  <c:v>1.45</c:v>
                </c:pt>
                <c:pt idx="22">
                  <c:v>1.68</c:v>
                </c:pt>
                <c:pt idx="23">
                  <c:v>1.5</c:v>
                </c:pt>
                <c:pt idx="24">
                  <c:v>1.77</c:v>
                </c:pt>
                <c:pt idx="25">
                  <c:v>1.82</c:v>
                </c:pt>
                <c:pt idx="26">
                  <c:v>1.81</c:v>
                </c:pt>
                <c:pt idx="27">
                  <c:v>1.74</c:v>
                </c:pt>
                <c:pt idx="28">
                  <c:v>1.89</c:v>
                </c:pt>
                <c:pt idx="29">
                  <c:v>2.14</c:v>
                </c:pt>
                <c:pt idx="30">
                  <c:v>2.11</c:v>
                </c:pt>
                <c:pt idx="31">
                  <c:v>2.14</c:v>
                </c:pt>
                <c:pt idx="32">
                  <c:v>2.14</c:v>
                </c:pt>
                <c:pt idx="33">
                  <c:v>2.14</c:v>
                </c:pt>
                <c:pt idx="34">
                  <c:v>2.0699999999999998</c:v>
                </c:pt>
                <c:pt idx="35">
                  <c:v>2.0099999999999998</c:v>
                </c:pt>
                <c:pt idx="36">
                  <c:v>1.85</c:v>
                </c:pt>
                <c:pt idx="37">
                  <c:v>1.76</c:v>
                </c:pt>
                <c:pt idx="38">
                  <c:v>1.82</c:v>
                </c:pt>
                <c:pt idx="39">
                  <c:v>1.82</c:v>
                </c:pt>
                <c:pt idx="40">
                  <c:v>1.86</c:v>
                </c:pt>
                <c:pt idx="41">
                  <c:v>1.58</c:v>
                </c:pt>
                <c:pt idx="42">
                  <c:v>1.36</c:v>
                </c:pt>
                <c:pt idx="43">
                  <c:v>0.99</c:v>
                </c:pt>
                <c:pt idx="44">
                  <c:v>1.24</c:v>
                </c:pt>
                <c:pt idx="45">
                  <c:v>1.32</c:v>
                </c:pt>
                <c:pt idx="46">
                  <c:v>1.47</c:v>
                </c:pt>
                <c:pt idx="47">
                  <c:v>1.51</c:v>
                </c:pt>
                <c:pt idx="48">
                  <c:v>1.62</c:v>
                </c:pt>
                <c:pt idx="49">
                  <c:v>1.47</c:v>
                </c:pt>
                <c:pt idx="50">
                  <c:v>1.28</c:v>
                </c:pt>
                <c:pt idx="51">
                  <c:v>1.28</c:v>
                </c:pt>
                <c:pt idx="52">
                  <c:v>0.92</c:v>
                </c:pt>
                <c:pt idx="53">
                  <c:v>0.86</c:v>
                </c:pt>
                <c:pt idx="54">
                  <c:v>0.86</c:v>
                </c:pt>
                <c:pt idx="55">
                  <c:v>0.95</c:v>
                </c:pt>
                <c:pt idx="56">
                  <c:v>0.98</c:v>
                </c:pt>
                <c:pt idx="57">
                  <c:v>0.94</c:v>
                </c:pt>
                <c:pt idx="58">
                  <c:v>1.1200000000000001</c:v>
                </c:pt>
                <c:pt idx="59">
                  <c:v>1.26</c:v>
                </c:pt>
                <c:pt idx="60">
                  <c:v>1.28</c:v>
                </c:pt>
                <c:pt idx="61">
                  <c:v>1.49</c:v>
                </c:pt>
                <c:pt idx="62">
                  <c:v>1.87</c:v>
                </c:pt>
                <c:pt idx="63">
                  <c:v>1.86</c:v>
                </c:pt>
                <c:pt idx="64">
                  <c:v>1.74</c:v>
                </c:pt>
                <c:pt idx="65">
                  <c:v>1.67</c:v>
                </c:pt>
                <c:pt idx="66">
                  <c:v>1.72</c:v>
                </c:pt>
                <c:pt idx="67">
                  <c:v>1.74</c:v>
                </c:pt>
                <c:pt idx="68">
                  <c:v>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315-4D64-8E72-8B29EF3AB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742464"/>
        <c:axId val="271744000"/>
      </c:lineChart>
      <c:catAx>
        <c:axId val="27174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744000"/>
        <c:crosses val="autoZero"/>
        <c:auto val="1"/>
        <c:lblAlgn val="ctr"/>
        <c:lblOffset val="100"/>
        <c:noMultiLvlLbl val="0"/>
      </c:catAx>
      <c:valAx>
        <c:axId val="271744000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7424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941807701508628E-2"/>
          <c:y val="1.7107238390107405E-2"/>
          <c:w val="0.83150016153928996"/>
          <c:h val="0.81082663967425594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'G1-Státní rozpočet-příjmy-2020'!$A$30</c:f>
              <c:strCache>
                <c:ptCount val="1"/>
                <c:pt idx="0">
                  <c:v>Ostatní daně a poplatky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noFill/>
              <a:prstDash val="solid"/>
            </a:ln>
          </c:spPr>
          <c:invertIfNegative val="0"/>
          <c:cat>
            <c:numRef>
              <c:f>'G1-Státní rozpočet-příjmy-2020'!$E$28:$R$28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'G1-Státní rozpočet-příjmy-2020'!$E$30:$R$30</c:f>
              <c:numCache>
                <c:formatCode>0.0</c:formatCode>
                <c:ptCount val="14"/>
                <c:pt idx="0">
                  <c:v>0.39922458302144437</c:v>
                </c:pt>
                <c:pt idx="1">
                  <c:v>-0.52138580751874397</c:v>
                </c:pt>
                <c:pt idx="2">
                  <c:v>0.38494174134398501</c:v>
                </c:pt>
                <c:pt idx="3">
                  <c:v>0.75782132576051031</c:v>
                </c:pt>
                <c:pt idx="4">
                  <c:v>0.2043100893839277</c:v>
                </c:pt>
                <c:pt idx="5">
                  <c:v>-0.31949620849206267</c:v>
                </c:pt>
                <c:pt idx="6">
                  <c:v>3.5798749491447207E-2</c:v>
                </c:pt>
                <c:pt idx="7">
                  <c:v>0.40823718281484184</c:v>
                </c:pt>
                <c:pt idx="8">
                  <c:v>0.44161079131733477</c:v>
                </c:pt>
                <c:pt idx="9">
                  <c:v>0.24214568841864642</c:v>
                </c:pt>
                <c:pt idx="10">
                  <c:v>0.18312368925754779</c:v>
                </c:pt>
                <c:pt idx="11">
                  <c:v>0.47861875769007395</c:v>
                </c:pt>
                <c:pt idx="12">
                  <c:v>-0.73226399824171062</c:v>
                </c:pt>
                <c:pt idx="13">
                  <c:v>-0.37376211363820977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76-4952-913B-A5B99EB8BC53}"/>
            </c:ext>
          </c:extLst>
        </c:ser>
        <c:ser>
          <c:idx val="3"/>
          <c:order val="2"/>
          <c:tx>
            <c:strRef>
              <c:f>'G1-Státní rozpočet-příjmy-2020'!$A$31</c:f>
              <c:strCache>
                <c:ptCount val="1"/>
                <c:pt idx="0">
                  <c:v>Daně z příjmů fyzických osob</c:v>
                </c:pt>
              </c:strCache>
            </c:strRef>
          </c:tx>
          <c:spPr>
            <a:solidFill>
              <a:srgbClr val="EA6C75"/>
            </a:solidFill>
            <a:ln w="19050">
              <a:noFill/>
              <a:prstDash val="sysDot"/>
            </a:ln>
          </c:spPr>
          <c:invertIfNegative val="0"/>
          <c:cat>
            <c:numRef>
              <c:f>'G1-Státní rozpočet-příjmy-2020'!$E$28:$R$28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'G1-Státní rozpočet-příjmy-2020'!$E$31:$R$31</c:f>
              <c:numCache>
                <c:formatCode>0.0</c:formatCode>
                <c:ptCount val="14"/>
                <c:pt idx="0">
                  <c:v>-0.89057791597090308</c:v>
                </c:pt>
                <c:pt idx="1">
                  <c:v>-2.3911831862066482</c:v>
                </c:pt>
                <c:pt idx="2">
                  <c:v>0.45944659450733688</c:v>
                </c:pt>
                <c:pt idx="3">
                  <c:v>0.27425503773438153</c:v>
                </c:pt>
                <c:pt idx="4">
                  <c:v>0.56588323147489383</c:v>
                </c:pt>
                <c:pt idx="5">
                  <c:v>0.76653574247405754</c:v>
                </c:pt>
                <c:pt idx="6">
                  <c:v>1.1680102450225207</c:v>
                </c:pt>
                <c:pt idx="7">
                  <c:v>0.24848817893269873</c:v>
                </c:pt>
                <c:pt idx="8">
                  <c:v>2.4022988925870408</c:v>
                </c:pt>
                <c:pt idx="9">
                  <c:v>2.1715995496398643</c:v>
                </c:pt>
                <c:pt idx="10">
                  <c:v>2.8466827137894803</c:v>
                </c:pt>
                <c:pt idx="11">
                  <c:v>2.8423893336720409</c:v>
                </c:pt>
                <c:pt idx="12">
                  <c:v>-2.1733753383441989</c:v>
                </c:pt>
                <c:pt idx="13">
                  <c:v>-5.6366495979282298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76-4952-913B-A5B99EB8BC53}"/>
            </c:ext>
          </c:extLst>
        </c:ser>
        <c:ser>
          <c:idx val="4"/>
          <c:order val="3"/>
          <c:tx>
            <c:strRef>
              <c:f>'G1-Státní rozpočet-příjmy-2020'!$A$32</c:f>
              <c:strCache>
                <c:ptCount val="1"/>
                <c:pt idx="0">
                  <c:v>Daně z příjmů právnických osob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19050">
              <a:noFill/>
            </a:ln>
          </c:spPr>
          <c:invertIfNegative val="0"/>
          <c:cat>
            <c:numRef>
              <c:f>'G1-Státní rozpočet-příjmy-2020'!$E$28:$R$28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'G1-Státní rozpočet-příjmy-2020'!$E$32:$R$32</c:f>
              <c:numCache>
                <c:formatCode>0.0</c:formatCode>
                <c:ptCount val="14"/>
                <c:pt idx="0">
                  <c:v>4.0018425749985633</c:v>
                </c:pt>
                <c:pt idx="1">
                  <c:v>-9.4748386400819857</c:v>
                </c:pt>
                <c:pt idx="2">
                  <c:v>1.069972474595916</c:v>
                </c:pt>
                <c:pt idx="3">
                  <c:v>-1.1806582120905686</c:v>
                </c:pt>
                <c:pt idx="4">
                  <c:v>1.5944142400339956</c:v>
                </c:pt>
                <c:pt idx="5">
                  <c:v>-1.1178646244413311</c:v>
                </c:pt>
                <c:pt idx="6">
                  <c:v>1.5408961448419181</c:v>
                </c:pt>
                <c:pt idx="7">
                  <c:v>2.0070199067641155</c:v>
                </c:pt>
                <c:pt idx="8">
                  <c:v>2.4996667023494781</c:v>
                </c:pt>
                <c:pt idx="9">
                  <c:v>4.1642889091102551E-2</c:v>
                </c:pt>
                <c:pt idx="10">
                  <c:v>0.43384885916488058</c:v>
                </c:pt>
                <c:pt idx="11">
                  <c:v>1.5935221228717706</c:v>
                </c:pt>
                <c:pt idx="12">
                  <c:v>-3.6005022371045294</c:v>
                </c:pt>
                <c:pt idx="13">
                  <c:v>5.880339378057065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76-4952-913B-A5B99EB8BC53}"/>
            </c:ext>
          </c:extLst>
        </c:ser>
        <c:ser>
          <c:idx val="2"/>
          <c:order val="4"/>
          <c:tx>
            <c:strRef>
              <c:f>'G1-Státní rozpočet-příjmy-2020'!$A$33</c:f>
              <c:strCache>
                <c:ptCount val="1"/>
                <c:pt idx="0">
                  <c:v>Spotřební daň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cat>
            <c:numRef>
              <c:f>'G1-Státní rozpočet-příjmy-2020'!$E$28:$R$28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'G1-Státní rozpočet-příjmy-2020'!$E$33:$R$33</c:f>
              <c:numCache>
                <c:formatCode>0.0</c:formatCode>
                <c:ptCount val="14"/>
                <c:pt idx="0">
                  <c:v>0.59883687453215706</c:v>
                </c:pt>
                <c:pt idx="1">
                  <c:v>-0.6130777943582455</c:v>
                </c:pt>
                <c:pt idx="2">
                  <c:v>1.3452265154494103</c:v>
                </c:pt>
                <c:pt idx="3">
                  <c:v>1.2409554189683412</c:v>
                </c:pt>
                <c:pt idx="4">
                  <c:v>-0.30205929247646662</c:v>
                </c:pt>
                <c:pt idx="5">
                  <c:v>-0.71956664060677211</c:v>
                </c:pt>
                <c:pt idx="6">
                  <c:v>0.39847610863053251</c:v>
                </c:pt>
                <c:pt idx="7">
                  <c:v>0.80107028313269024</c:v>
                </c:pt>
                <c:pt idx="8">
                  <c:v>1.2070250899860806</c:v>
                </c:pt>
                <c:pt idx="9">
                  <c:v>0.53056125360519379</c:v>
                </c:pt>
                <c:pt idx="10">
                  <c:v>0.26232721716946206</c:v>
                </c:pt>
                <c:pt idx="11">
                  <c:v>-3.9196048823818809E-2</c:v>
                </c:pt>
                <c:pt idx="12">
                  <c:v>-0.40403836868730125</c:v>
                </c:pt>
                <c:pt idx="13">
                  <c:v>-0.91040078196716079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76-4952-913B-A5B99EB8BC53}"/>
            </c:ext>
          </c:extLst>
        </c:ser>
        <c:ser>
          <c:idx val="5"/>
          <c:order val="5"/>
          <c:tx>
            <c:strRef>
              <c:f>'G1-Státní rozpočet-příjmy-2020'!$A$34</c:f>
              <c:strCache>
                <c:ptCount val="1"/>
                <c:pt idx="0">
                  <c:v>DPH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cat>
            <c:numRef>
              <c:f>'G1-Státní rozpočet-příjmy-2020'!$E$28:$R$28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'G1-Státní rozpočet-příjmy-2020'!$E$34:$R$34</c:f>
              <c:numCache>
                <c:formatCode>0.0</c:formatCode>
                <c:ptCount val="14"/>
                <c:pt idx="0">
                  <c:v>2.6467822114738673</c:v>
                </c:pt>
                <c:pt idx="1">
                  <c:v>-0.12764962873734884</c:v>
                </c:pt>
                <c:pt idx="2">
                  <c:v>3.1416213083880091</c:v>
                </c:pt>
                <c:pt idx="3">
                  <c:v>0.64965377732825347</c:v>
                </c:pt>
                <c:pt idx="4">
                  <c:v>-0.30588282782426646</c:v>
                </c:pt>
                <c:pt idx="5">
                  <c:v>4.1746137739640945</c:v>
                </c:pt>
                <c:pt idx="6">
                  <c:v>2.047216704890801</c:v>
                </c:pt>
                <c:pt idx="7">
                  <c:v>4.5179668896857914E-2</c:v>
                </c:pt>
                <c:pt idx="8">
                  <c:v>2.2948585507802108</c:v>
                </c:pt>
                <c:pt idx="9">
                  <c:v>4.0193099619044652</c:v>
                </c:pt>
                <c:pt idx="10">
                  <c:v>2.9158679139220882</c:v>
                </c:pt>
                <c:pt idx="11">
                  <c:v>1.9070905134623097</c:v>
                </c:pt>
                <c:pt idx="12">
                  <c:v>-0.75630542506162757</c:v>
                </c:pt>
                <c:pt idx="13">
                  <c:v>3.0684785155068579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76-4952-913B-A5B99EB8BC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94467712"/>
        <c:axId val="194473984"/>
      </c:barChart>
      <c:lineChart>
        <c:grouping val="standard"/>
        <c:varyColors val="0"/>
        <c:ser>
          <c:idx val="0"/>
          <c:order val="0"/>
          <c:tx>
            <c:strRef>
              <c:f>'G1-Státní rozpočet-příjmy-2020'!$A$29</c:f>
              <c:strCache>
                <c:ptCount val="1"/>
                <c:pt idx="0">
                  <c:v>Celkové daňové příjmy (bez pojistného na SZ)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6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numRef>
              <c:f>'G1-Státní rozpočet-příjmy-2020'!$E$28:$R$28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'G1-Státní rozpočet-příjmy-2020'!$E$29:$R$29</c:f>
              <c:numCache>
                <c:formatCode>0.0</c:formatCode>
                <c:ptCount val="14"/>
                <c:pt idx="0">
                  <c:v>6.7561083280551344</c:v>
                </c:pt>
                <c:pt idx="1">
                  <c:v>-13.128135056902977</c:v>
                </c:pt>
                <c:pt idx="2">
                  <c:v>6.4012086342846573</c:v>
                </c:pt>
                <c:pt idx="3">
                  <c:v>1.742027347700926</c:v>
                </c:pt>
                <c:pt idx="4">
                  <c:v>1.756665440592073</c:v>
                </c:pt>
                <c:pt idx="5">
                  <c:v>2.7842220428979942</c:v>
                </c:pt>
                <c:pt idx="6">
                  <c:v>5.1903979528772197</c:v>
                </c:pt>
                <c:pt idx="7">
                  <c:v>3.5099952205412137</c:v>
                </c:pt>
                <c:pt idx="8">
                  <c:v>8.8454600270201382</c:v>
                </c:pt>
                <c:pt idx="9">
                  <c:v>7.0052593426592722</c:v>
                </c:pt>
                <c:pt idx="10">
                  <c:v>6.6418503933034572</c:v>
                </c:pt>
                <c:pt idx="11">
                  <c:v>6.7824246788723741</c:v>
                </c:pt>
                <c:pt idx="12">
                  <c:v>-7.666485367439364</c:v>
                </c:pt>
                <c:pt idx="13">
                  <c:v>2.0280054000303238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076-4952-913B-A5B99EB8BC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467712"/>
        <c:axId val="194473984"/>
      </c:lineChart>
      <c:lineChart>
        <c:grouping val="standard"/>
        <c:varyColors val="0"/>
        <c:ser>
          <c:idx val="6"/>
          <c:order val="6"/>
          <c:tx>
            <c:strRef>
              <c:f>'G1-Státní rozpočet-příjmy-2020'!$A$35</c:f>
              <c:strCache>
                <c:ptCount val="1"/>
                <c:pt idx="0">
                  <c:v>Saldo státního rozpočtu (pravá osa)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numRef>
              <c:f>'G1-Státní rozpočet-příjmy-2020'!$E$28:$R$28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'G1-Státní rozpočet-příjmy-2020'!$E$35:$R$35</c:f>
              <c:numCache>
                <c:formatCode>0.0</c:formatCode>
                <c:ptCount val="14"/>
                <c:pt idx="0">
                  <c:v>10.473000000000001</c:v>
                </c:pt>
                <c:pt idx="1">
                  <c:v>-87.296000000000006</c:v>
                </c:pt>
                <c:pt idx="2">
                  <c:v>-99.555000000000007</c:v>
                </c:pt>
                <c:pt idx="3">
                  <c:v>-105.13800000000001</c:v>
                </c:pt>
                <c:pt idx="4">
                  <c:v>-71.412000000000006</c:v>
                </c:pt>
                <c:pt idx="5">
                  <c:v>-38.241</c:v>
                </c:pt>
                <c:pt idx="6">
                  <c:v>-34.39</c:v>
                </c:pt>
                <c:pt idx="7">
                  <c:v>-2.77</c:v>
                </c:pt>
                <c:pt idx="8">
                  <c:v>82.27</c:v>
                </c:pt>
                <c:pt idx="9">
                  <c:v>17.399999999999999</c:v>
                </c:pt>
                <c:pt idx="10">
                  <c:v>16.77</c:v>
                </c:pt>
                <c:pt idx="11">
                  <c:v>-20.99</c:v>
                </c:pt>
                <c:pt idx="12">
                  <c:v>-252.66738666548986</c:v>
                </c:pt>
                <c:pt idx="13">
                  <c:v>-326.27150374008011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076-4952-913B-A5B99EB8BC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9204576"/>
        <c:axId val="556140592"/>
      </c:lineChart>
      <c:catAx>
        <c:axId val="19446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94473984"/>
        <c:crosses val="autoZero"/>
        <c:auto val="1"/>
        <c:lblAlgn val="ctr"/>
        <c:lblOffset val="0"/>
        <c:noMultiLvlLbl val="0"/>
      </c:catAx>
      <c:valAx>
        <c:axId val="194473984"/>
        <c:scaling>
          <c:orientation val="minMax"/>
          <c:max val="12"/>
          <c:min val="-18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Příspěvek k růstu celkových daňových příjmů (v p. b.)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194467712"/>
        <c:crosses val="autoZero"/>
        <c:crossBetween val="between"/>
        <c:majorUnit val="3"/>
      </c:valAx>
      <c:valAx>
        <c:axId val="556140592"/>
        <c:scaling>
          <c:orientation val="minMax"/>
          <c:max val="240"/>
          <c:min val="-36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Saldo státního rozpočtu (v mld. korun)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539204576"/>
        <c:crosses val="max"/>
        <c:crossBetween val="between"/>
        <c:majorUnit val="60"/>
      </c:valAx>
      <c:catAx>
        <c:axId val="539204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56140592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8691468402703727E-2"/>
          <c:y val="0.87210051713383807"/>
          <c:w val="0.95851508447487288"/>
          <c:h val="0.12059881571378753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5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233554716266127E-2"/>
          <c:y val="1.7112323287741892E-2"/>
          <c:w val="0.82968371809808084"/>
          <c:h val="0.76067747074773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'SR-výdaje-celorok-2021'!$B$34</c:f>
              <c:strCache>
                <c:ptCount val="1"/>
                <c:pt idx="0">
                  <c:v>Běžné výdaje celkem (pravá osa)</c:v>
                </c:pt>
              </c:strCache>
            </c:strRef>
          </c:tx>
          <c:spPr>
            <a:solidFill>
              <a:srgbClr val="D3D3D3"/>
            </a:solidFill>
            <a:ln>
              <a:noFill/>
            </a:ln>
          </c:spPr>
          <c:invertIfNegative val="0"/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'SR-výdaje-celorok-2021'!$B$38:$B$51</c:f>
              <c:numCache>
                <c:formatCode>0.0</c:formatCode>
                <c:ptCount val="14"/>
                <c:pt idx="0">
                  <c:v>707.04</c:v>
                </c:pt>
                <c:pt idx="1">
                  <c:v>734.05</c:v>
                </c:pt>
                <c:pt idx="2">
                  <c:v>754.15</c:v>
                </c:pt>
                <c:pt idx="3">
                  <c:v>764.93</c:v>
                </c:pt>
                <c:pt idx="4">
                  <c:v>755.57</c:v>
                </c:pt>
                <c:pt idx="5">
                  <c:v>786.27</c:v>
                </c:pt>
                <c:pt idx="6">
                  <c:v>801.1</c:v>
                </c:pt>
                <c:pt idx="7">
                  <c:v>822.78</c:v>
                </c:pt>
                <c:pt idx="8">
                  <c:v>831.33</c:v>
                </c:pt>
                <c:pt idx="9">
                  <c:v>881.38</c:v>
                </c:pt>
                <c:pt idx="10">
                  <c:v>946.49</c:v>
                </c:pt>
                <c:pt idx="11">
                  <c:v>1039.0999999999999</c:v>
                </c:pt>
                <c:pt idx="12">
                  <c:v>1205.0999999999999</c:v>
                </c:pt>
                <c:pt idx="13">
                  <c:v>1305.7096706126699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B-4FDC-9A3A-FADF109208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72836608"/>
        <c:axId val="72835072"/>
      </c:barChart>
      <c:lineChart>
        <c:grouping val="standard"/>
        <c:varyColors val="0"/>
        <c:ser>
          <c:idx val="1"/>
          <c:order val="1"/>
          <c:tx>
            <c:strRef>
              <c:f>'SR-výdaje-celorok-2021'!$C$34</c:f>
              <c:strCache>
                <c:ptCount val="1"/>
                <c:pt idx="0">
                  <c:v>Platy státních zaměstnanců*</c:v>
                </c:pt>
              </c:strCache>
            </c:strRef>
          </c:tx>
          <c:spPr>
            <a:ln w="15875">
              <a:solidFill>
                <a:srgbClr val="996633"/>
              </a:solidFill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'SR-výdaje-celorok-2021'!$C$38:$C$51</c:f>
              <c:numCache>
                <c:formatCode>0.0</c:formatCode>
                <c:ptCount val="14"/>
                <c:pt idx="0">
                  <c:v>61.44</c:v>
                </c:pt>
                <c:pt idx="1">
                  <c:v>63.79</c:v>
                </c:pt>
                <c:pt idx="2">
                  <c:v>63.5</c:v>
                </c:pt>
                <c:pt idx="3">
                  <c:v>57.88</c:v>
                </c:pt>
                <c:pt idx="4">
                  <c:v>58.77</c:v>
                </c:pt>
                <c:pt idx="5">
                  <c:v>60.04</c:v>
                </c:pt>
                <c:pt idx="6">
                  <c:v>61.89</c:v>
                </c:pt>
                <c:pt idx="7">
                  <c:v>67.66</c:v>
                </c:pt>
                <c:pt idx="8">
                  <c:v>70.25</c:v>
                </c:pt>
                <c:pt idx="9">
                  <c:v>76.150000000000006</c:v>
                </c:pt>
                <c:pt idx="10">
                  <c:v>86.54</c:v>
                </c:pt>
                <c:pt idx="11">
                  <c:v>93.2</c:v>
                </c:pt>
                <c:pt idx="12">
                  <c:v>97.9</c:v>
                </c:pt>
                <c:pt idx="13">
                  <c:v>99.809643274669995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AB-4FDC-9A3A-FADF10920804}"/>
            </c:ext>
          </c:extLst>
        </c:ser>
        <c:ser>
          <c:idx val="6"/>
          <c:order val="2"/>
          <c:tx>
            <c:strRef>
              <c:f>'SR-výdaje-celorok-2021'!$D$34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5875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'SR-výdaje-celorok-2021'!$D$38:$D$51</c:f>
              <c:numCache>
                <c:formatCode>0.0</c:formatCode>
                <c:ptCount val="14"/>
                <c:pt idx="0">
                  <c:v>5.29</c:v>
                </c:pt>
                <c:pt idx="1">
                  <c:v>11.41</c:v>
                </c:pt>
                <c:pt idx="2">
                  <c:v>10.65</c:v>
                </c:pt>
                <c:pt idx="3">
                  <c:v>8.36</c:v>
                </c:pt>
                <c:pt idx="4">
                  <c:v>6.78</c:v>
                </c:pt>
                <c:pt idx="5">
                  <c:v>7.53</c:v>
                </c:pt>
                <c:pt idx="6">
                  <c:v>7.33</c:v>
                </c:pt>
                <c:pt idx="7">
                  <c:v>6.46</c:v>
                </c:pt>
                <c:pt idx="8">
                  <c:v>6.39</c:v>
                </c:pt>
                <c:pt idx="9">
                  <c:v>6.11</c:v>
                </c:pt>
                <c:pt idx="10">
                  <c:v>5.77</c:v>
                </c:pt>
                <c:pt idx="11">
                  <c:v>6.19</c:v>
                </c:pt>
                <c:pt idx="12">
                  <c:v>7.9929069492</c:v>
                </c:pt>
                <c:pt idx="13">
                  <c:v>7.7669446242499998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BAB-4FDC-9A3A-FADF10920804}"/>
            </c:ext>
          </c:extLst>
        </c:ser>
        <c:ser>
          <c:idx val="7"/>
          <c:order val="3"/>
          <c:tx>
            <c:strRef>
              <c:f>'SR-výdaje-celorok-2021'!$E$34</c:f>
              <c:strCache>
                <c:ptCount val="1"/>
                <c:pt idx="0">
                  <c:v>Státní sociální podpora**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'SR-výdaje-celorok-2021'!$E$38:$E$51</c:f>
              <c:numCache>
                <c:formatCode>0.0</c:formatCode>
                <c:ptCount val="14"/>
                <c:pt idx="0">
                  <c:v>31.98</c:v>
                </c:pt>
                <c:pt idx="1">
                  <c:v>30.95</c:v>
                </c:pt>
                <c:pt idx="2">
                  <c:v>30.85</c:v>
                </c:pt>
                <c:pt idx="3">
                  <c:v>27.32</c:v>
                </c:pt>
                <c:pt idx="4">
                  <c:v>26.77</c:v>
                </c:pt>
                <c:pt idx="5">
                  <c:v>28.04</c:v>
                </c:pt>
                <c:pt idx="6">
                  <c:v>28.22</c:v>
                </c:pt>
                <c:pt idx="7">
                  <c:v>28.27</c:v>
                </c:pt>
                <c:pt idx="8">
                  <c:v>28.38</c:v>
                </c:pt>
                <c:pt idx="9">
                  <c:v>28.02</c:v>
                </c:pt>
                <c:pt idx="10">
                  <c:v>29.32</c:v>
                </c:pt>
                <c:pt idx="11">
                  <c:v>28.28</c:v>
                </c:pt>
                <c:pt idx="12">
                  <c:v>38.692716178420007</c:v>
                </c:pt>
                <c:pt idx="13">
                  <c:v>36.590789498880007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BAB-4FDC-9A3A-FADF10920804}"/>
            </c:ext>
          </c:extLst>
        </c:ser>
        <c:ser>
          <c:idx val="2"/>
          <c:order val="4"/>
          <c:tx>
            <c:strRef>
              <c:f>'SR-výdaje-celorok-2021'!$F$34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587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'SR-výdaje-celorok-2021'!$F$38:$F$51</c:f>
              <c:numCache>
                <c:formatCode>0.0</c:formatCode>
                <c:ptCount val="14"/>
                <c:pt idx="0">
                  <c:v>24.12</c:v>
                </c:pt>
                <c:pt idx="1">
                  <c:v>20.07</c:v>
                </c:pt>
                <c:pt idx="2">
                  <c:v>16.8</c:v>
                </c:pt>
                <c:pt idx="3">
                  <c:v>16.82</c:v>
                </c:pt>
                <c:pt idx="4">
                  <c:v>14.84</c:v>
                </c:pt>
                <c:pt idx="5">
                  <c:v>15.44</c:v>
                </c:pt>
                <c:pt idx="6">
                  <c:v>16.649999999999999</c:v>
                </c:pt>
                <c:pt idx="7">
                  <c:v>18.23</c:v>
                </c:pt>
                <c:pt idx="8">
                  <c:v>19.88</c:v>
                </c:pt>
                <c:pt idx="9">
                  <c:v>21.43</c:v>
                </c:pt>
                <c:pt idx="10">
                  <c:v>25.48</c:v>
                </c:pt>
                <c:pt idx="11">
                  <c:v>29.3</c:v>
                </c:pt>
                <c:pt idx="12">
                  <c:v>43.2</c:v>
                </c:pt>
                <c:pt idx="13">
                  <c:v>39.6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BAB-4FDC-9A3A-FADF10920804}"/>
            </c:ext>
          </c:extLst>
        </c:ser>
        <c:ser>
          <c:idx val="3"/>
          <c:order val="5"/>
          <c:tx>
            <c:strRef>
              <c:f>'SR-výdaje-celorok-2021'!$G$34</c:f>
              <c:strCache>
                <c:ptCount val="1"/>
                <c:pt idx="0">
                  <c:v>Dávky sociální péče***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'SR-výdaje-celorok-2021'!$G$38:$G$51</c:f>
              <c:numCache>
                <c:formatCode>0.0</c:formatCode>
                <c:ptCount val="14"/>
                <c:pt idx="0">
                  <c:v>18.600000000000001</c:v>
                </c:pt>
                <c:pt idx="1">
                  <c:v>18.899999999999999</c:v>
                </c:pt>
                <c:pt idx="2">
                  <c:v>19.600000000000001</c:v>
                </c:pt>
                <c:pt idx="3">
                  <c:v>19.100000000000001</c:v>
                </c:pt>
                <c:pt idx="4">
                  <c:v>20.309999999999999</c:v>
                </c:pt>
                <c:pt idx="5">
                  <c:v>23.73</c:v>
                </c:pt>
                <c:pt idx="6">
                  <c:v>25.18</c:v>
                </c:pt>
                <c:pt idx="7">
                  <c:v>25.26</c:v>
                </c:pt>
                <c:pt idx="8">
                  <c:v>25.4</c:v>
                </c:pt>
                <c:pt idx="9">
                  <c:v>25.96</c:v>
                </c:pt>
                <c:pt idx="10">
                  <c:v>25.547999999999998</c:v>
                </c:pt>
                <c:pt idx="11">
                  <c:v>27.04</c:v>
                </c:pt>
                <c:pt idx="12">
                  <c:v>30.3</c:v>
                </c:pt>
                <c:pt idx="13">
                  <c:v>30.5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BAB-4FDC-9A3A-FADF10920804}"/>
            </c:ext>
          </c:extLst>
        </c:ser>
        <c:ser>
          <c:idx val="4"/>
          <c:order val="6"/>
          <c:tx>
            <c:strRef>
              <c:f>'SR-výdaje-celorok-2021'!$H$34</c:f>
              <c:strCache>
                <c:ptCount val="1"/>
                <c:pt idx="0">
                  <c:v>Neinvestič. nákupy a souvis. výdaje****</c:v>
                </c:pt>
              </c:strCache>
            </c:strRef>
          </c:tx>
          <c:spPr>
            <a:ln w="15875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'SR-výdaje-celorok-2021'!$H$38:$H$51</c:f>
              <c:numCache>
                <c:formatCode>0.0</c:formatCode>
                <c:ptCount val="14"/>
                <c:pt idx="0">
                  <c:v>46.384999999999998</c:v>
                </c:pt>
                <c:pt idx="1">
                  <c:v>46.423000000000002</c:v>
                </c:pt>
                <c:pt idx="2">
                  <c:v>43.066999999999993</c:v>
                </c:pt>
                <c:pt idx="3">
                  <c:v>38.64</c:v>
                </c:pt>
                <c:pt idx="4">
                  <c:v>34.989999999999995</c:v>
                </c:pt>
                <c:pt idx="5">
                  <c:v>33.93</c:v>
                </c:pt>
                <c:pt idx="6">
                  <c:v>33.94</c:v>
                </c:pt>
                <c:pt idx="7">
                  <c:v>38.31</c:v>
                </c:pt>
                <c:pt idx="8">
                  <c:v>36.659999999999997</c:v>
                </c:pt>
                <c:pt idx="9">
                  <c:v>41.17</c:v>
                </c:pt>
                <c:pt idx="10">
                  <c:v>42.379999999999995</c:v>
                </c:pt>
                <c:pt idx="11">
                  <c:v>43.46</c:v>
                </c:pt>
                <c:pt idx="12">
                  <c:v>50.548159175919999</c:v>
                </c:pt>
                <c:pt idx="13">
                  <c:v>49.840184942049994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BAB-4FDC-9A3A-FADF10920804}"/>
            </c:ext>
          </c:extLst>
        </c:ser>
        <c:ser>
          <c:idx val="5"/>
          <c:order val="7"/>
          <c:tx>
            <c:strRef>
              <c:f>'SR-výdaje-celorok-2021'!$I$34</c:f>
              <c:strCache>
                <c:ptCount val="1"/>
                <c:pt idx="0">
                  <c:v>Státní dluh (čisté výdaje)*****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'SR-výdaje-celorok-2021'!$I$38:$I$51</c:f>
              <c:numCache>
                <c:formatCode>0.0</c:formatCode>
                <c:ptCount val="14"/>
                <c:pt idx="0">
                  <c:v>24.46</c:v>
                </c:pt>
                <c:pt idx="1">
                  <c:v>33.33</c:v>
                </c:pt>
                <c:pt idx="2">
                  <c:v>24.92</c:v>
                </c:pt>
                <c:pt idx="3">
                  <c:v>35.89</c:v>
                </c:pt>
                <c:pt idx="4">
                  <c:v>35.86</c:v>
                </c:pt>
                <c:pt idx="5">
                  <c:v>44.55</c:v>
                </c:pt>
                <c:pt idx="6">
                  <c:v>43.16</c:v>
                </c:pt>
                <c:pt idx="7">
                  <c:v>41.03</c:v>
                </c:pt>
                <c:pt idx="8">
                  <c:v>38.1</c:v>
                </c:pt>
                <c:pt idx="9">
                  <c:v>33.849999999999994</c:v>
                </c:pt>
                <c:pt idx="10">
                  <c:v>32.616999999999997</c:v>
                </c:pt>
                <c:pt idx="11">
                  <c:v>33.350999999999999</c:v>
                </c:pt>
                <c:pt idx="12">
                  <c:v>32.136847667730002</c:v>
                </c:pt>
                <c:pt idx="13">
                  <c:v>34.590381461650004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BAB-4FDC-9A3A-FADF10920804}"/>
            </c:ext>
          </c:extLst>
        </c:ser>
        <c:ser>
          <c:idx val="8"/>
          <c:order val="8"/>
          <c:tx>
            <c:strRef>
              <c:f>'SR-výdaje-celorok-2021'!$J$34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587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numRef>
              <c:f>'SR-výdaje-celorok-2021'!$A$38:$A$51</c:f>
              <c:numCache>
                <c:formatCode>General</c:formatCode>
                <c:ptCount val="1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  <c:pt idx="13">
                  <c:v>2021</c:v>
                </c:pt>
              </c:numCache>
            </c:numRef>
          </c:cat>
          <c:val>
            <c:numRef>
              <c:f>'SR-výdaje-celorok-2021'!$J$38:$J$51</c:f>
              <c:numCache>
                <c:formatCode>0.0</c:formatCode>
                <c:ptCount val="14"/>
                <c:pt idx="0">
                  <c:v>76.95</c:v>
                </c:pt>
                <c:pt idx="1">
                  <c:v>80.024000000000001</c:v>
                </c:pt>
                <c:pt idx="2">
                  <c:v>91.36</c:v>
                </c:pt>
                <c:pt idx="3">
                  <c:v>82.07</c:v>
                </c:pt>
                <c:pt idx="4">
                  <c:v>72.98</c:v>
                </c:pt>
                <c:pt idx="5">
                  <c:v>58.39</c:v>
                </c:pt>
                <c:pt idx="6">
                  <c:v>59.67</c:v>
                </c:pt>
                <c:pt idx="7">
                  <c:v>88.53</c:v>
                </c:pt>
                <c:pt idx="8">
                  <c:v>51.6</c:v>
                </c:pt>
                <c:pt idx="9">
                  <c:v>41.37</c:v>
                </c:pt>
                <c:pt idx="10">
                  <c:v>60.93</c:v>
                </c:pt>
                <c:pt idx="11">
                  <c:v>85.1</c:v>
                </c:pt>
                <c:pt idx="12">
                  <c:v>105.9</c:v>
                </c:pt>
                <c:pt idx="13">
                  <c:v>99.612614301080001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BAB-4FDC-9A3A-FADF109208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827648"/>
        <c:axId val="72829184"/>
      </c:lineChart>
      <c:catAx>
        <c:axId val="728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crossAx val="72829184"/>
        <c:crosses val="autoZero"/>
        <c:auto val="1"/>
        <c:lblAlgn val="ctr"/>
        <c:lblOffset val="20"/>
        <c:noMultiLvlLbl val="0"/>
      </c:catAx>
      <c:valAx>
        <c:axId val="72829184"/>
        <c:scaling>
          <c:orientation val="minMax"/>
          <c:max val="132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Ostatní výdaje (v mld. korun)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72827648"/>
        <c:crosses val="autoZero"/>
        <c:crossBetween val="between"/>
        <c:majorUnit val="10"/>
      </c:valAx>
      <c:valAx>
        <c:axId val="72835072"/>
        <c:scaling>
          <c:orientation val="minMax"/>
          <c:max val="132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Běžné výdaje celkem (v mld. korun)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72836608"/>
        <c:crosses val="max"/>
        <c:crossBetween val="between"/>
        <c:majorUnit val="100"/>
        <c:minorUnit val="10"/>
      </c:valAx>
      <c:catAx>
        <c:axId val="72836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2835072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726525648987495E-2"/>
          <c:y val="0.8268164670233501"/>
          <c:w val="0.92556087595559211"/>
          <c:h val="0.1587939613277391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629137115839245E-2"/>
          <c:y val="2.8458510079622041E-2"/>
          <c:w val="0.93688386524822698"/>
          <c:h val="0.6497469886299676"/>
        </c:manualLayout>
      </c:layout>
      <c:barChart>
        <c:barDir val="col"/>
        <c:grouping val="stacked"/>
        <c:varyColors val="0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3'!$D$22:$D$44</c:f>
              <c:numCache>
                <c:formatCode>#\ ##0.0</c:formatCode>
                <c:ptCount val="23"/>
                <c:pt idx="0">
                  <c:v>0.93618616091517504</c:v>
                </c:pt>
                <c:pt idx="1">
                  <c:v>0.87008623065588986</c:v>
                </c:pt>
                <c:pt idx="2">
                  <c:v>1.088831374618116</c:v>
                </c:pt>
                <c:pt idx="3">
                  <c:v>0.98663697427429853</c:v>
                </c:pt>
                <c:pt idx="4">
                  <c:v>1.1317605173808631</c:v>
                </c:pt>
                <c:pt idx="5">
                  <c:v>1.4117084709383003</c:v>
                </c:pt>
                <c:pt idx="6">
                  <c:v>1.3280225164734749</c:v>
                </c:pt>
                <c:pt idx="7">
                  <c:v>1.0794473419672266</c:v>
                </c:pt>
                <c:pt idx="8">
                  <c:v>1.580542821710847</c:v>
                </c:pt>
                <c:pt idx="9">
                  <c:v>1.2036281398321482</c:v>
                </c:pt>
                <c:pt idx="10">
                  <c:v>0.99314647332669792</c:v>
                </c:pt>
                <c:pt idx="11">
                  <c:v>0.88688082354953479</c:v>
                </c:pt>
                <c:pt idx="12">
                  <c:v>0.92742283153358485</c:v>
                </c:pt>
                <c:pt idx="13">
                  <c:v>1.2648435786040815</c:v>
                </c:pt>
                <c:pt idx="14">
                  <c:v>1.0200882664173805</c:v>
                </c:pt>
                <c:pt idx="15">
                  <c:v>1.1768223210480195</c:v>
                </c:pt>
                <c:pt idx="16">
                  <c:v>-0.95160085945739037</c:v>
                </c:pt>
                <c:pt idx="17">
                  <c:v>-3.3386088539954577</c:v>
                </c:pt>
                <c:pt idx="18">
                  <c:v>-2.0623300718590203</c:v>
                </c:pt>
                <c:pt idx="19">
                  <c:v>-4.5307141342269546</c:v>
                </c:pt>
                <c:pt idx="20">
                  <c:v>-3.2272095782230288</c:v>
                </c:pt>
                <c:pt idx="21">
                  <c:v>1.442853509914144</c:v>
                </c:pt>
                <c:pt idx="22">
                  <c:v>2.284766160102381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C6-443E-92F3-F3C54265E3D1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3'!$E$22:$E$44</c:f>
              <c:numCache>
                <c:formatCode>#\ ##0.0</c:formatCode>
                <c:ptCount val="23"/>
                <c:pt idx="0">
                  <c:v>0.42019916860676243</c:v>
                </c:pt>
                <c:pt idx="1">
                  <c:v>0.46376177295031862</c:v>
                </c:pt>
                <c:pt idx="2">
                  <c:v>0.44114936351097495</c:v>
                </c:pt>
                <c:pt idx="3">
                  <c:v>0.47675559244176158</c:v>
                </c:pt>
                <c:pt idx="4">
                  <c:v>0.44404461559069486</c:v>
                </c:pt>
                <c:pt idx="5">
                  <c:v>0.37751399613724029</c:v>
                </c:pt>
                <c:pt idx="6">
                  <c:v>0.21407569926635237</c:v>
                </c:pt>
                <c:pt idx="7">
                  <c:v>0.2341267263946423</c:v>
                </c:pt>
                <c:pt idx="8">
                  <c:v>0.57862841580255708</c:v>
                </c:pt>
                <c:pt idx="9">
                  <c:v>0.55642773333565732</c:v>
                </c:pt>
                <c:pt idx="10">
                  <c:v>0.89021022766775593</c:v>
                </c:pt>
                <c:pt idx="11">
                  <c:v>0.75191010842186412</c:v>
                </c:pt>
                <c:pt idx="12">
                  <c:v>0.41419150368088392</c:v>
                </c:pt>
                <c:pt idx="13">
                  <c:v>0.52913615091977828</c:v>
                </c:pt>
                <c:pt idx="14">
                  <c:v>0.42716769248184294</c:v>
                </c:pt>
                <c:pt idx="15">
                  <c:v>0.3389878995673522</c:v>
                </c:pt>
                <c:pt idx="16">
                  <c:v>0.69736075453620827</c:v>
                </c:pt>
                <c:pt idx="17">
                  <c:v>0.62242994402829654</c:v>
                </c:pt>
                <c:pt idx="18">
                  <c:v>0.43330470629342294</c:v>
                </c:pt>
                <c:pt idx="19">
                  <c:v>1.139349452193801</c:v>
                </c:pt>
                <c:pt idx="20">
                  <c:v>0.70949104926544204</c:v>
                </c:pt>
                <c:pt idx="21">
                  <c:v>0.50418024320062538</c:v>
                </c:pt>
                <c:pt idx="22">
                  <c:v>1.022041761386661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C6-443E-92F3-F3C54265E3D1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3'!$G$22:$G$44</c:f>
              <c:numCache>
                <c:formatCode>#\ ##0.0</c:formatCode>
                <c:ptCount val="23"/>
                <c:pt idx="0">
                  <c:v>0.16571758684643292</c:v>
                </c:pt>
                <c:pt idx="1">
                  <c:v>-1.6231279926014353</c:v>
                </c:pt>
                <c:pt idx="2">
                  <c:v>-0.9230024021929123</c:v>
                </c:pt>
                <c:pt idx="3">
                  <c:v>-0.55002076148293633</c:v>
                </c:pt>
                <c:pt idx="4">
                  <c:v>-1.2630660286446516</c:v>
                </c:pt>
                <c:pt idx="5">
                  <c:v>0.84009326563270514</c:v>
                </c:pt>
                <c:pt idx="6">
                  <c:v>1.6097758497475534</c:v>
                </c:pt>
                <c:pt idx="7">
                  <c:v>2.3721301843681739</c:v>
                </c:pt>
                <c:pt idx="8">
                  <c:v>2.8713468902027719</c:v>
                </c:pt>
                <c:pt idx="9">
                  <c:v>1.5905888817549036</c:v>
                </c:pt>
                <c:pt idx="10">
                  <c:v>1.9208851743389141</c:v>
                </c:pt>
                <c:pt idx="11">
                  <c:v>0.56073143718343366</c:v>
                </c:pt>
                <c:pt idx="12">
                  <c:v>1.5826437930914861</c:v>
                </c:pt>
                <c:pt idx="13">
                  <c:v>-0.15800458401897696</c:v>
                </c:pt>
                <c:pt idx="14">
                  <c:v>5.6924086841567925E-2</c:v>
                </c:pt>
                <c:pt idx="15">
                  <c:v>2.5116661705287227</c:v>
                </c:pt>
                <c:pt idx="16">
                  <c:v>-0.56428697696015839</c:v>
                </c:pt>
                <c:pt idx="17">
                  <c:v>-8.245764306033404E-2</c:v>
                </c:pt>
                <c:pt idx="18">
                  <c:v>-3.8102892591409159</c:v>
                </c:pt>
                <c:pt idx="19">
                  <c:v>-5.3123935717685367</c:v>
                </c:pt>
                <c:pt idx="20">
                  <c:v>9.7362664958123374E-2</c:v>
                </c:pt>
                <c:pt idx="21">
                  <c:v>1.7256150507690575</c:v>
                </c:pt>
                <c:pt idx="22">
                  <c:v>5.552685723601253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C6-443E-92F3-F3C54265E3D1}"/>
            </c:ext>
          </c:extLst>
        </c:ser>
        <c:ser>
          <c:idx val="1"/>
          <c:order val="4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3'!$F$22:$F$44</c:f>
              <c:numCache>
                <c:formatCode>#\ ##0.0</c:formatCode>
                <c:ptCount val="23"/>
                <c:pt idx="0">
                  <c:v>1.8167152604552226</c:v>
                </c:pt>
                <c:pt idx="1">
                  <c:v>2.4919364052715784</c:v>
                </c:pt>
                <c:pt idx="2">
                  <c:v>1.2934583130738089</c:v>
                </c:pt>
                <c:pt idx="3">
                  <c:v>1.1926166397447078</c:v>
                </c:pt>
                <c:pt idx="4">
                  <c:v>3.1780322387555695</c:v>
                </c:pt>
                <c:pt idx="5">
                  <c:v>3.4186500578903547</c:v>
                </c:pt>
                <c:pt idx="6">
                  <c:v>2.6451757604214197</c:v>
                </c:pt>
                <c:pt idx="7">
                  <c:v>2.134600536374907</c:v>
                </c:pt>
                <c:pt idx="8">
                  <c:v>-0.34846185861429246</c:v>
                </c:pt>
                <c:pt idx="9">
                  <c:v>-0.77956175506757264</c:v>
                </c:pt>
                <c:pt idx="10">
                  <c:v>-1.1814783274089611</c:v>
                </c:pt>
                <c:pt idx="11">
                  <c:v>0.25173122797348579</c:v>
                </c:pt>
                <c:pt idx="12">
                  <c:v>4.8271345411210476E-4</c:v>
                </c:pt>
                <c:pt idx="13">
                  <c:v>1.3310256349867293</c:v>
                </c:pt>
                <c:pt idx="14">
                  <c:v>1.3927593162025209</c:v>
                </c:pt>
                <c:pt idx="15">
                  <c:v>-1.1986582855082308</c:v>
                </c:pt>
                <c:pt idx="16">
                  <c:v>-0.71023464620906629</c:v>
                </c:pt>
                <c:pt idx="17">
                  <c:v>-8.1886210333748206</c:v>
                </c:pt>
                <c:pt idx="18">
                  <c:v>-3.9700810334303505E-2</c:v>
                </c:pt>
                <c:pt idx="19">
                  <c:v>3.3165688255399948</c:v>
                </c:pt>
                <c:pt idx="20">
                  <c:v>-5.7481486059446141E-2</c:v>
                </c:pt>
                <c:pt idx="21">
                  <c:v>4.756495510639553</c:v>
                </c:pt>
                <c:pt idx="22">
                  <c:v>-5.7839895548205025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C6-443E-92F3-F3C54265E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267591040"/>
        <c:axId val="267605120"/>
      </c:barChart>
      <c:lineChart>
        <c:grouping val="standard"/>
        <c:varyColors val="0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3'!$C$22:$C$44</c:f>
              <c:numCache>
                <c:formatCode>#\ ##0.0</c:formatCode>
                <c:ptCount val="23"/>
                <c:pt idx="0">
                  <c:v>3.3935594356915999</c:v>
                </c:pt>
                <c:pt idx="1">
                  <c:v>2.2554753959572764</c:v>
                </c:pt>
                <c:pt idx="2">
                  <c:v>1.9595326225544341</c:v>
                </c:pt>
                <c:pt idx="3">
                  <c:v>2.1706344977514362</c:v>
                </c:pt>
                <c:pt idx="4">
                  <c:v>3.5703737623319967</c:v>
                </c:pt>
                <c:pt idx="5">
                  <c:v>6.1313612268321123</c:v>
                </c:pt>
                <c:pt idx="6">
                  <c:v>5.8793927561599588</c:v>
                </c:pt>
                <c:pt idx="7">
                  <c:v>5.8948496206722893</c:v>
                </c:pt>
                <c:pt idx="8">
                  <c:v>4.8044975547299202</c:v>
                </c:pt>
                <c:pt idx="9">
                  <c:v>2.6817571455975582</c:v>
                </c:pt>
                <c:pt idx="10">
                  <c:v>2.7294056681603536</c:v>
                </c:pt>
                <c:pt idx="11">
                  <c:v>2.5583059250702433</c:v>
                </c:pt>
                <c:pt idx="12">
                  <c:v>2.9672187450501895</c:v>
                </c:pt>
                <c:pt idx="13">
                  <c:v>3.0195256065361349</c:v>
                </c:pt>
                <c:pt idx="14">
                  <c:v>2.9551413626175673</c:v>
                </c:pt>
                <c:pt idx="15">
                  <c:v>2.8845629323214155</c:v>
                </c:pt>
                <c:pt idx="16">
                  <c:v>-1.4626739052791606</c:v>
                </c:pt>
                <c:pt idx="17">
                  <c:v>-10.94212682938624</c:v>
                </c:pt>
                <c:pt idx="18">
                  <c:v>-5.44703894048574</c:v>
                </c:pt>
                <c:pt idx="19">
                  <c:v>-5.345334491331073</c:v>
                </c:pt>
                <c:pt idx="20">
                  <c:v>-2.4560720159266083</c:v>
                </c:pt>
                <c:pt idx="21">
                  <c:v>8.4781037256246066</c:v>
                </c:pt>
                <c:pt idx="22">
                  <c:v>3.1381185435505898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6C6-443E-92F3-F3C54265E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591040"/>
        <c:axId val="267605120"/>
      </c:lineChart>
      <c:catAx>
        <c:axId val="26759104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605120"/>
        <c:crosses val="autoZero"/>
        <c:auto val="1"/>
        <c:lblAlgn val="ctr"/>
        <c:lblOffset val="100"/>
        <c:noMultiLvlLbl val="0"/>
      </c:catAx>
      <c:valAx>
        <c:axId val="267605120"/>
        <c:scaling>
          <c:orientation val="minMax"/>
          <c:max val="9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591040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71766295170556E-2"/>
          <c:y val="0.79301446583361457"/>
          <c:w val="0.93781598277608913"/>
          <c:h val="0.1901432511538893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26857480580882E-2"/>
          <c:y val="3.7154479717354444E-2"/>
          <c:w val="0.9260266801756164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4'!$C$22:$C$44</c:f>
              <c:numCache>
                <c:formatCode>#\ ##0.0</c:formatCode>
                <c:ptCount val="23"/>
                <c:pt idx="0">
                  <c:v>9.4765725889982E-2</c:v>
                </c:pt>
                <c:pt idx="1">
                  <c:v>0.15637528256042468</c:v>
                </c:pt>
                <c:pt idx="2">
                  <c:v>0.1869741986923065</c:v>
                </c:pt>
                <c:pt idx="3">
                  <c:v>7.7625901535376199E-2</c:v>
                </c:pt>
                <c:pt idx="4">
                  <c:v>-1.3383627512345413E-2</c:v>
                </c:pt>
                <c:pt idx="5">
                  <c:v>-0.10833526835550926</c:v>
                </c:pt>
                <c:pt idx="6">
                  <c:v>-0.17417145567790579</c:v>
                </c:pt>
                <c:pt idx="7">
                  <c:v>-5.6339788104083438E-2</c:v>
                </c:pt>
                <c:pt idx="8">
                  <c:v>3.3108455773835969E-2</c:v>
                </c:pt>
                <c:pt idx="9">
                  <c:v>6.7464623058102177E-2</c:v>
                </c:pt>
                <c:pt idx="10">
                  <c:v>0.13279889414520776</c:v>
                </c:pt>
                <c:pt idx="11">
                  <c:v>0.13730282461152749</c:v>
                </c:pt>
                <c:pt idx="12">
                  <c:v>8.2716288855485917E-2</c:v>
                </c:pt>
                <c:pt idx="13">
                  <c:v>9.2139384026042048E-2</c:v>
                </c:pt>
                <c:pt idx="14">
                  <c:v>0.10854763671027451</c:v>
                </c:pt>
                <c:pt idx="15">
                  <c:v>0.11881072235188453</c:v>
                </c:pt>
                <c:pt idx="16">
                  <c:v>0.14184046318480331</c:v>
                </c:pt>
                <c:pt idx="17">
                  <c:v>0.11212507120139492</c:v>
                </c:pt>
                <c:pt idx="18">
                  <c:v>0.13937941427353459</c:v>
                </c:pt>
                <c:pt idx="19">
                  <c:v>0.13855826563016213</c:v>
                </c:pt>
                <c:pt idx="20">
                  <c:v>0.15652352073482564</c:v>
                </c:pt>
                <c:pt idx="21">
                  <c:v>7.9585266456503753E-2</c:v>
                </c:pt>
                <c:pt idx="22">
                  <c:v>-3.263121773789414E-3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0B-4EFC-8BF7-556C5A76E45B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4'!$D$22:$D$44</c:f>
              <c:numCache>
                <c:formatCode>#\ ##0.0</c:formatCode>
                <c:ptCount val="23"/>
                <c:pt idx="0">
                  <c:v>1.6106591209137211</c:v>
                </c:pt>
                <c:pt idx="1">
                  <c:v>0.76053941356552957</c:v>
                </c:pt>
                <c:pt idx="2">
                  <c:v>0.94570363726203222</c:v>
                </c:pt>
                <c:pt idx="3">
                  <c:v>1.2222885842881583</c:v>
                </c:pt>
                <c:pt idx="4">
                  <c:v>1.3672331304188452</c:v>
                </c:pt>
                <c:pt idx="5">
                  <c:v>3.1345037144202608</c:v>
                </c:pt>
                <c:pt idx="6">
                  <c:v>3.0577731838821371</c:v>
                </c:pt>
                <c:pt idx="7">
                  <c:v>2.3545310158669421</c:v>
                </c:pt>
                <c:pt idx="8">
                  <c:v>1.5576365516094002</c:v>
                </c:pt>
                <c:pt idx="9">
                  <c:v>0.11177812966818869</c:v>
                </c:pt>
                <c:pt idx="10">
                  <c:v>3.2580368933372936E-3</c:v>
                </c:pt>
                <c:pt idx="11">
                  <c:v>0.30391701062646553</c:v>
                </c:pt>
                <c:pt idx="12">
                  <c:v>0.83241284936767035</c:v>
                </c:pt>
                <c:pt idx="13">
                  <c:v>1.3015365945875272</c:v>
                </c:pt>
                <c:pt idx="14">
                  <c:v>1.3300175165245307</c:v>
                </c:pt>
                <c:pt idx="15">
                  <c:v>1.0288201442114486</c:v>
                </c:pt>
                <c:pt idx="16">
                  <c:v>-0.53680284510878806</c:v>
                </c:pt>
                <c:pt idx="17">
                  <c:v>-5.0058505193508473</c:v>
                </c:pt>
                <c:pt idx="18">
                  <c:v>-1.4524158675902747</c:v>
                </c:pt>
                <c:pt idx="19">
                  <c:v>-0.93731068541695106</c:v>
                </c:pt>
                <c:pt idx="20">
                  <c:v>0.21213283585867598</c:v>
                </c:pt>
                <c:pt idx="21">
                  <c:v>5.2223898881858588</c:v>
                </c:pt>
                <c:pt idx="22">
                  <c:v>4.9018080954217745E-2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0B-4EFC-8BF7-556C5A76E45B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 D, 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4'!$E$22:$E$44</c:f>
              <c:numCache>
                <c:formatCode>#\ ##0.0</c:formatCode>
                <c:ptCount val="23"/>
                <c:pt idx="0">
                  <c:v>-0.60910811421333144</c:v>
                </c:pt>
                <c:pt idx="1">
                  <c:v>-0.22876574071995925</c:v>
                </c:pt>
                <c:pt idx="2">
                  <c:v>-0.20221592700743152</c:v>
                </c:pt>
                <c:pt idx="3">
                  <c:v>1.1159198434038675E-3</c:v>
                </c:pt>
                <c:pt idx="4">
                  <c:v>0.19369937090646161</c:v>
                </c:pt>
                <c:pt idx="5">
                  <c:v>8.7518834667852374E-2</c:v>
                </c:pt>
                <c:pt idx="6">
                  <c:v>0.12818764673017169</c:v>
                </c:pt>
                <c:pt idx="7">
                  <c:v>-3.2004861050359601E-2</c:v>
                </c:pt>
                <c:pt idx="8">
                  <c:v>-0.10299697854726397</c:v>
                </c:pt>
                <c:pt idx="9">
                  <c:v>-3.2072706595271713E-2</c:v>
                </c:pt>
                <c:pt idx="10" formatCode="General">
                  <c:v>8.1524592449955802E-2</c:v>
                </c:pt>
                <c:pt idx="11" formatCode="General">
                  <c:v>-6.1061461784250731E-2</c:v>
                </c:pt>
                <c:pt idx="12" formatCode="General">
                  <c:v>-0.20672058053663489</c:v>
                </c:pt>
                <c:pt idx="13" formatCode="General">
                  <c:v>-0.37407520858030863</c:v>
                </c:pt>
                <c:pt idx="14" formatCode="General">
                  <c:v>-0.71461913133162358</c:v>
                </c:pt>
                <c:pt idx="15" formatCode="General">
                  <c:v>-0.46214248963662286</c:v>
                </c:pt>
                <c:pt idx="16" formatCode="General">
                  <c:v>-0.82933877978192383</c:v>
                </c:pt>
                <c:pt idx="17" formatCode="General">
                  <c:v>-0.99599126054138232</c:v>
                </c:pt>
                <c:pt idx="18" formatCode="General">
                  <c:v>-0.66853823795995804</c:v>
                </c:pt>
                <c:pt idx="19" formatCode="General">
                  <c:v>-0.51144805126555193</c:v>
                </c:pt>
                <c:pt idx="20" formatCode="General">
                  <c:v>-6.2511388524835954E-2</c:v>
                </c:pt>
                <c:pt idx="21" formatCode="General">
                  <c:v>1.7104743097497099E-2</c:v>
                </c:pt>
                <c:pt idx="22" formatCode="General">
                  <c:v>4.6960912598259172E-3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0B-4EFC-8BF7-556C5A76E45B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val>
            <c:numRef>
              <c:f>'souhrnná výkonnost 4'!$F$22:$F$44</c:f>
              <c:numCache>
                <c:formatCode>#\ ##0.0</c:formatCode>
                <c:ptCount val="23"/>
                <c:pt idx="0">
                  <c:v>-0.13118840376974297</c:v>
                </c:pt>
                <c:pt idx="1">
                  <c:v>-0.28594902920034482</c:v>
                </c:pt>
                <c:pt idx="2">
                  <c:v>-0.26701712597535621</c:v>
                </c:pt>
                <c:pt idx="3">
                  <c:v>-0.18704467160622129</c:v>
                </c:pt>
                <c:pt idx="4">
                  <c:v>-0.1200139265751739</c:v>
                </c:pt>
                <c:pt idx="5">
                  <c:v>0.12420386515100609</c:v>
                </c:pt>
                <c:pt idx="6">
                  <c:v>7.1592239994959186E-2</c:v>
                </c:pt>
                <c:pt idx="7">
                  <c:v>0.17310415185088521</c:v>
                </c:pt>
                <c:pt idx="8">
                  <c:v>0.12249795664753446</c:v>
                </c:pt>
                <c:pt idx="9">
                  <c:v>-4.2660685745634658E-3</c:v>
                </c:pt>
                <c:pt idx="10">
                  <c:v>-1.804304477728428E-2</c:v>
                </c:pt>
                <c:pt idx="11">
                  <c:v>-0.11218045217553656</c:v>
                </c:pt>
                <c:pt idx="12">
                  <c:v>-0.20636296686894753</c:v>
                </c:pt>
                <c:pt idx="13">
                  <c:v>-6.4792774942168993E-2</c:v>
                </c:pt>
                <c:pt idx="14">
                  <c:v>-7.9269271643787567E-2</c:v>
                </c:pt>
                <c:pt idx="15">
                  <c:v>-5.6020948993661966E-2</c:v>
                </c:pt>
                <c:pt idx="16">
                  <c:v>-0.1910625729986753</c:v>
                </c:pt>
                <c:pt idx="17">
                  <c:v>-0.60295311908818527</c:v>
                </c:pt>
                <c:pt idx="18">
                  <c:v>-0.54755592054880697</c:v>
                </c:pt>
                <c:pt idx="19">
                  <c:v>-0.62049917307457436</c:v>
                </c:pt>
                <c:pt idx="20">
                  <c:v>-0.38011083766821685</c:v>
                </c:pt>
                <c:pt idx="21">
                  <c:v>9.9465119388311332E-2</c:v>
                </c:pt>
                <c:pt idx="22">
                  <c:v>0.1009912892395979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0B-4EFC-8BF7-556C5A76E45B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4'!$G$22:$G$44</c:f>
              <c:numCache>
                <c:formatCode>#\ ##0.0</c:formatCode>
                <c:ptCount val="23"/>
                <c:pt idx="0">
                  <c:v>2.2780910878465543</c:v>
                </c:pt>
                <c:pt idx="1">
                  <c:v>1.7791133450565915</c:v>
                </c:pt>
                <c:pt idx="2">
                  <c:v>1.1751996503140407</c:v>
                </c:pt>
                <c:pt idx="3">
                  <c:v>1.1971206910823469</c:v>
                </c:pt>
                <c:pt idx="4">
                  <c:v>2.1480829000947486</c:v>
                </c:pt>
                <c:pt idx="5">
                  <c:v>3.0747805417077498</c:v>
                </c:pt>
                <c:pt idx="6">
                  <c:v>2.9994469566684199</c:v>
                </c:pt>
                <c:pt idx="7">
                  <c:v>3.2896815901667287</c:v>
                </c:pt>
                <c:pt idx="8">
                  <c:v>3.1749514751083248</c:v>
                </c:pt>
                <c:pt idx="9">
                  <c:v>2.6275397496035438</c:v>
                </c:pt>
                <c:pt idx="10" formatCode="General">
                  <c:v>2.7719971256974341</c:v>
                </c:pt>
                <c:pt idx="11" formatCode="General">
                  <c:v>2.5972842205241453</c:v>
                </c:pt>
                <c:pt idx="12" formatCode="General">
                  <c:v>2.508296604685702</c:v>
                </c:pt>
                <c:pt idx="13" formatCode="General">
                  <c:v>2.0834684133018309</c:v>
                </c:pt>
                <c:pt idx="14" formatCode="General">
                  <c:v>2.1657395752754183</c:v>
                </c:pt>
                <c:pt idx="15" formatCode="General">
                  <c:v>2.2150289387573601</c:v>
                </c:pt>
                <c:pt idx="16" formatCode="General">
                  <c:v>0.35842147618069087</c:v>
                </c:pt>
                <c:pt idx="17" formatCode="General">
                  <c:v>-4.6526468154620559</c:v>
                </c:pt>
                <c:pt idx="18" formatCode="General">
                  <c:v>-2.6797110005821319</c:v>
                </c:pt>
                <c:pt idx="19" formatCode="General">
                  <c:v>-3.089633953611683</c:v>
                </c:pt>
                <c:pt idx="20" formatCode="General">
                  <c:v>-2.3941163543008215</c:v>
                </c:pt>
                <c:pt idx="21" formatCode="General">
                  <c:v>3.3854322131046803</c:v>
                </c:pt>
                <c:pt idx="22" formatCode="General">
                  <c:v>2.7796212510820242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0B-4EFC-8BF7-556C5A76E4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69005952"/>
        <c:axId val="269007488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'souhrnná výkonnost 4'!$H$22:$H$44</c:f>
              <c:numCache>
                <c:formatCode>#\ ##0.0</c:formatCode>
                <c:ptCount val="23"/>
                <c:pt idx="0">
                  <c:v>3.2432073755742579</c:v>
                </c:pt>
                <c:pt idx="1">
                  <c:v>2.1812977926827415</c:v>
                </c:pt>
                <c:pt idx="2">
                  <c:v>1.8386996228235262</c:v>
                </c:pt>
                <c:pt idx="3">
                  <c:v>2.3109605829682209</c:v>
                </c:pt>
                <c:pt idx="4">
                  <c:v>3.5756277740391482</c:v>
                </c:pt>
                <c:pt idx="5">
                  <c:v>6.3126226044967666</c:v>
                </c:pt>
                <c:pt idx="6">
                  <c:v>6.0829220489310671</c:v>
                </c:pt>
                <c:pt idx="7">
                  <c:v>5.7291078447527326</c:v>
                </c:pt>
                <c:pt idx="8">
                  <c:v>4.8981845225873855</c:v>
                </c:pt>
                <c:pt idx="9">
                  <c:v>2.7705379621629049</c:v>
                </c:pt>
                <c:pt idx="10">
                  <c:v>2.9716135031952859</c:v>
                </c:pt>
                <c:pt idx="11">
                  <c:v>2.8650954448108195</c:v>
                </c:pt>
                <c:pt idx="12">
                  <c:v>3.0103555185936557</c:v>
                </c:pt>
                <c:pt idx="13">
                  <c:v>3.0382784412400667</c:v>
                </c:pt>
                <c:pt idx="14">
                  <c:v>2.810283179001118</c:v>
                </c:pt>
                <c:pt idx="15">
                  <c:v>2.8446208831943522</c:v>
                </c:pt>
                <c:pt idx="16">
                  <c:v>-1.0569722929019179</c:v>
                </c:pt>
                <c:pt idx="17">
                  <c:v>-11.145421355586024</c:v>
                </c:pt>
                <c:pt idx="18">
                  <c:v>-5.2086519445039414</c:v>
                </c:pt>
                <c:pt idx="19">
                  <c:v>-5.0205707503875487</c:v>
                </c:pt>
                <c:pt idx="20">
                  <c:v>-2.4682043083898293</c:v>
                </c:pt>
                <c:pt idx="21">
                  <c:v>8.8041959492458375</c:v>
                </c:pt>
                <c:pt idx="22">
                  <c:v>2.9309671769658365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20B-4EFC-8BF7-556C5A76E4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005952"/>
        <c:axId val="269007488"/>
      </c:lineChart>
      <c:catAx>
        <c:axId val="26900595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9007488"/>
        <c:crosses val="autoZero"/>
        <c:auto val="1"/>
        <c:lblAlgn val="ctr"/>
        <c:lblOffset val="100"/>
        <c:noMultiLvlLbl val="0"/>
      </c:catAx>
      <c:valAx>
        <c:axId val="269007488"/>
        <c:scaling>
          <c:orientation val="minMax"/>
          <c:max val="9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9005952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144292468760548E-2"/>
          <c:y val="0.79016604750647301"/>
          <c:w val="0.92386482607227283"/>
          <c:h val="0.1946248452099494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88042665536843E-2"/>
          <c:y val="1.6203544707895996E-2"/>
          <c:w val="0.84974974879787502"/>
          <c:h val="0.7086068515821473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příspěvky IPP'!$A$27</c:f>
              <c:strCache>
                <c:ptCount val="1"/>
                <c:pt idx="0">
                  <c:v>Výroba dopravních prostředků (29, 30)</c:v>
                </c:pt>
              </c:strCache>
            </c:strRef>
          </c:tx>
          <c:spPr>
            <a:solidFill>
              <a:srgbClr val="E8AFB2"/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IPP'!$R$27:$AS$27</c:f>
              <c:numCache>
                <c:formatCode>0.0</c:formatCode>
                <c:ptCount val="28"/>
                <c:pt idx="0">
                  <c:v>1.5428898176392496</c:v>
                </c:pt>
                <c:pt idx="1">
                  <c:v>2.1743718256924107</c:v>
                </c:pt>
                <c:pt idx="2">
                  <c:v>2.3590492908960439</c:v>
                </c:pt>
                <c:pt idx="3">
                  <c:v>2.8772486090638396</c:v>
                </c:pt>
                <c:pt idx="4">
                  <c:v>3.3183568360577667</c:v>
                </c:pt>
                <c:pt idx="5">
                  <c:v>2.726135980015763</c:v>
                </c:pt>
                <c:pt idx="6">
                  <c:v>1.4737639394577176</c:v>
                </c:pt>
                <c:pt idx="7">
                  <c:v>1.0298153192049733</c:v>
                </c:pt>
                <c:pt idx="8">
                  <c:v>1.7609137024842152</c:v>
                </c:pt>
                <c:pt idx="9">
                  <c:v>2.1167862077962001</c:v>
                </c:pt>
                <c:pt idx="10">
                  <c:v>1.5869964664235507</c:v>
                </c:pt>
                <c:pt idx="11">
                  <c:v>1.681411454669806</c:v>
                </c:pt>
                <c:pt idx="12">
                  <c:v>0.74237714955218947</c:v>
                </c:pt>
                <c:pt idx="13">
                  <c:v>0.54613557309892891</c:v>
                </c:pt>
                <c:pt idx="14">
                  <c:v>0.23904640916369443</c:v>
                </c:pt>
                <c:pt idx="15">
                  <c:v>0.98490029941942658</c:v>
                </c:pt>
                <c:pt idx="16">
                  <c:v>-0.22712700654221288</c:v>
                </c:pt>
                <c:pt idx="17">
                  <c:v>0.47876328427856657</c:v>
                </c:pt>
                <c:pt idx="18">
                  <c:v>0.83775598681488828</c:v>
                </c:pt>
                <c:pt idx="19">
                  <c:v>-1.1010749377233835</c:v>
                </c:pt>
                <c:pt idx="20">
                  <c:v>-1.5400994508720254</c:v>
                </c:pt>
                <c:pt idx="21">
                  <c:v>-9.3996605775771389</c:v>
                </c:pt>
                <c:pt idx="22">
                  <c:v>-0.1984331735847174</c:v>
                </c:pt>
                <c:pt idx="23">
                  <c:v>2.0419884732728906</c:v>
                </c:pt>
                <c:pt idx="24">
                  <c:v>1.783245169103493</c:v>
                </c:pt>
                <c:pt idx="25">
                  <c:v>11.457884985980385</c:v>
                </c:pt>
                <c:pt idx="26">
                  <c:v>-3.8888480644029184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8D-4998-9DEE-F30211370434}"/>
            </c:ext>
          </c:extLst>
        </c:ser>
        <c:ser>
          <c:idx val="1"/>
          <c:order val="1"/>
          <c:tx>
            <c:strRef>
              <c:f>'GRAF příspěvky IPP'!$A$28</c:f>
              <c:strCache>
                <c:ptCount val="1"/>
                <c:pt idx="0">
                  <c:v>Gumárenství, elektrotechnický pr. (22, 27)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IPP'!$R$28:$AS$28</c:f>
              <c:numCache>
                <c:formatCode>0.0</c:formatCode>
                <c:ptCount val="28"/>
                <c:pt idx="0">
                  <c:v>1.034672951175343</c:v>
                </c:pt>
                <c:pt idx="1">
                  <c:v>1.2402872249055439</c:v>
                </c:pt>
                <c:pt idx="2">
                  <c:v>1.3942884794721908</c:v>
                </c:pt>
                <c:pt idx="3">
                  <c:v>0.63756976588884984</c:v>
                </c:pt>
                <c:pt idx="4">
                  <c:v>0.7944903405734538</c:v>
                </c:pt>
                <c:pt idx="5">
                  <c:v>0.20047553290148593</c:v>
                </c:pt>
                <c:pt idx="6">
                  <c:v>0.26203247933087592</c:v>
                </c:pt>
                <c:pt idx="7">
                  <c:v>0.42925022381945577</c:v>
                </c:pt>
                <c:pt idx="8">
                  <c:v>0.85509469319178899</c:v>
                </c:pt>
                <c:pt idx="9">
                  <c:v>1.4003096522077234</c:v>
                </c:pt>
                <c:pt idx="10">
                  <c:v>0.85542183955477147</c:v>
                </c:pt>
                <c:pt idx="11">
                  <c:v>1.6527257176884005</c:v>
                </c:pt>
                <c:pt idx="12">
                  <c:v>0.96912614591005941</c:v>
                </c:pt>
                <c:pt idx="13">
                  <c:v>0.34015391143850388</c:v>
                </c:pt>
                <c:pt idx="14">
                  <c:v>0.42914077951440655</c:v>
                </c:pt>
                <c:pt idx="15">
                  <c:v>-4.0280326098931243E-2</c:v>
                </c:pt>
                <c:pt idx="16">
                  <c:v>0.52468036745672719</c:v>
                </c:pt>
                <c:pt idx="17">
                  <c:v>0.40727721709233999</c:v>
                </c:pt>
                <c:pt idx="18">
                  <c:v>0.23777798772963615</c:v>
                </c:pt>
                <c:pt idx="19">
                  <c:v>0.39315489791744185</c:v>
                </c:pt>
                <c:pt idx="20">
                  <c:v>-0.5336834932447807</c:v>
                </c:pt>
                <c:pt idx="21">
                  <c:v>-4.0591767538544659</c:v>
                </c:pt>
                <c:pt idx="22">
                  <c:v>-0.43318739953820484</c:v>
                </c:pt>
                <c:pt idx="23">
                  <c:v>0.56877492176088063</c:v>
                </c:pt>
                <c:pt idx="24">
                  <c:v>0.90068361305567801</c:v>
                </c:pt>
                <c:pt idx="25">
                  <c:v>5.5137038592871939</c:v>
                </c:pt>
                <c:pt idx="26">
                  <c:v>0.65599100710641045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8D-4998-9DEE-F30211370434}"/>
            </c:ext>
          </c:extLst>
        </c:ser>
        <c:ser>
          <c:idx val="2"/>
          <c:order val="2"/>
          <c:tx>
            <c:strRef>
              <c:f>'GRAF příspěvky IPP'!$A$29</c:f>
              <c:strCache>
                <c:ptCount val="1"/>
                <c:pt idx="0">
                  <c:v>Strojírenství (28)</c:v>
                </c:pt>
              </c:strCache>
            </c:strRef>
          </c:tx>
          <c:spPr>
            <a:solidFill>
              <a:srgbClr val="BFE3F7"/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IPP'!$R$29:$AS$29</c:f>
              <c:numCache>
                <c:formatCode>0.0</c:formatCode>
                <c:ptCount val="28"/>
                <c:pt idx="0">
                  <c:v>0.27254464463314693</c:v>
                </c:pt>
                <c:pt idx="1">
                  <c:v>0.29396963786095853</c:v>
                </c:pt>
                <c:pt idx="2">
                  <c:v>0.39152523509606818</c:v>
                </c:pt>
                <c:pt idx="3">
                  <c:v>1.6200417736821196E-2</c:v>
                </c:pt>
                <c:pt idx="4">
                  <c:v>0.36694942006841863</c:v>
                </c:pt>
                <c:pt idx="5">
                  <c:v>-7.7911792574484814E-2</c:v>
                </c:pt>
                <c:pt idx="6">
                  <c:v>0.1987099016441323</c:v>
                </c:pt>
                <c:pt idx="7">
                  <c:v>0.31990708238357735</c:v>
                </c:pt>
                <c:pt idx="8">
                  <c:v>0.34959411680822744</c:v>
                </c:pt>
                <c:pt idx="9">
                  <c:v>1.0827590636445108</c:v>
                </c:pt>
                <c:pt idx="10">
                  <c:v>0.85295353330611445</c:v>
                </c:pt>
                <c:pt idx="11">
                  <c:v>0.80087396958540291</c:v>
                </c:pt>
                <c:pt idx="12">
                  <c:v>0.479471307913379</c:v>
                </c:pt>
                <c:pt idx="13">
                  <c:v>0.1423157226032094</c:v>
                </c:pt>
                <c:pt idx="14">
                  <c:v>0.18574582107238052</c:v>
                </c:pt>
                <c:pt idx="15">
                  <c:v>-0.19599700087649827</c:v>
                </c:pt>
                <c:pt idx="16">
                  <c:v>0.14262071470057108</c:v>
                </c:pt>
                <c:pt idx="17">
                  <c:v>-1.7720632744717035E-2</c:v>
                </c:pt>
                <c:pt idx="18">
                  <c:v>-0.26820737830766378</c:v>
                </c:pt>
                <c:pt idx="19">
                  <c:v>-0.13470183553131065</c:v>
                </c:pt>
                <c:pt idx="20">
                  <c:v>-0.70067449755996181</c:v>
                </c:pt>
                <c:pt idx="21">
                  <c:v>-2.1429229667168639</c:v>
                </c:pt>
                <c:pt idx="22">
                  <c:v>-0.79850670146483804</c:v>
                </c:pt>
                <c:pt idx="23">
                  <c:v>-0.53309088102789204</c:v>
                </c:pt>
                <c:pt idx="24">
                  <c:v>6.0882399541106913E-2</c:v>
                </c:pt>
                <c:pt idx="25">
                  <c:v>2.1284857067707743</c:v>
                </c:pt>
                <c:pt idx="26">
                  <c:v>0.661162108959232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8D-4998-9DEE-F30211370434}"/>
            </c:ext>
          </c:extLst>
        </c:ser>
        <c:ser>
          <c:idx val="3"/>
          <c:order val="3"/>
          <c:tx>
            <c:strRef>
              <c:f>'GRAF příspěvky IPP'!$A$30</c:f>
              <c:strCache>
                <c:ptCount val="1"/>
                <c:pt idx="0">
                  <c:v>Kovodělný průmysl (25)</c:v>
                </c:pt>
              </c:strCache>
            </c:strRef>
          </c:tx>
          <c:spPr>
            <a:solidFill>
              <a:srgbClr val="48AEE7"/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IPP'!$R$30:$AS$30</c:f>
              <c:numCache>
                <c:formatCode>0.0</c:formatCode>
                <c:ptCount val="28"/>
                <c:pt idx="0">
                  <c:v>0.69598466412593474</c:v>
                </c:pt>
                <c:pt idx="1">
                  <c:v>0.78523209830157625</c:v>
                </c:pt>
                <c:pt idx="2">
                  <c:v>0.97812808698582676</c:v>
                </c:pt>
                <c:pt idx="3">
                  <c:v>0.60585855548016065</c:v>
                </c:pt>
                <c:pt idx="4">
                  <c:v>0.7974142567928203</c:v>
                </c:pt>
                <c:pt idx="5">
                  <c:v>0.39435941300086852</c:v>
                </c:pt>
                <c:pt idx="6">
                  <c:v>0.22320292471013239</c:v>
                </c:pt>
                <c:pt idx="7">
                  <c:v>0.25093421694411544</c:v>
                </c:pt>
                <c:pt idx="8">
                  <c:v>0.420593323359785</c:v>
                </c:pt>
                <c:pt idx="9">
                  <c:v>0.91449350181259326</c:v>
                </c:pt>
                <c:pt idx="10">
                  <c:v>0.85069745323039048</c:v>
                </c:pt>
                <c:pt idx="11">
                  <c:v>0.96475784711286927</c:v>
                </c:pt>
                <c:pt idx="12">
                  <c:v>0.6496282287639249</c:v>
                </c:pt>
                <c:pt idx="13">
                  <c:v>0.47190400503104318</c:v>
                </c:pt>
                <c:pt idx="14">
                  <c:v>0.40332248383604502</c:v>
                </c:pt>
                <c:pt idx="15">
                  <c:v>0.15276873851363962</c:v>
                </c:pt>
                <c:pt idx="16">
                  <c:v>0.25794025853962294</c:v>
                </c:pt>
                <c:pt idx="17">
                  <c:v>8.1804977725853222E-3</c:v>
                </c:pt>
                <c:pt idx="18">
                  <c:v>-0.23678308583363922</c:v>
                </c:pt>
                <c:pt idx="19">
                  <c:v>-0.3569761365718796</c:v>
                </c:pt>
                <c:pt idx="20">
                  <c:v>-0.60279608093648751</c:v>
                </c:pt>
                <c:pt idx="21">
                  <c:v>-2.0867839126509864</c:v>
                </c:pt>
                <c:pt idx="22">
                  <c:v>-0.54628616828783072</c:v>
                </c:pt>
                <c:pt idx="23">
                  <c:v>0.14233966871529949</c:v>
                </c:pt>
                <c:pt idx="24">
                  <c:v>0.5024976254118193</c:v>
                </c:pt>
                <c:pt idx="25">
                  <c:v>3.0678936722203458</c:v>
                </c:pt>
                <c:pt idx="26">
                  <c:v>0.72114207160834776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8D-4998-9DEE-F30211370434}"/>
            </c:ext>
          </c:extLst>
        </c:ser>
        <c:ser>
          <c:idx val="4"/>
          <c:order val="4"/>
          <c:tx>
            <c:strRef>
              <c:f>'GRAF příspěvky IPP'!$A$31</c:f>
              <c:strCache>
                <c:ptCount val="1"/>
                <c:pt idx="0">
                  <c:v>Výroba PC, elektronic. a optic. přístr. (26)</c:v>
                </c:pt>
              </c:strCache>
            </c:strRef>
          </c:tx>
          <c:spPr>
            <a:solidFill>
              <a:srgbClr val="FDDEB3"/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IPP'!$R$31:$AS$31</c:f>
              <c:numCache>
                <c:formatCode>0.0</c:formatCode>
                <c:ptCount val="28"/>
                <c:pt idx="0">
                  <c:v>0.10174478910853679</c:v>
                </c:pt>
                <c:pt idx="1">
                  <c:v>1.5828953523061507E-2</c:v>
                </c:pt>
                <c:pt idx="2">
                  <c:v>4.099582748163963E-2</c:v>
                </c:pt>
                <c:pt idx="3">
                  <c:v>-7.2764071813088554E-2</c:v>
                </c:pt>
                <c:pt idx="4">
                  <c:v>-5.3199772200864092E-3</c:v>
                </c:pt>
                <c:pt idx="5">
                  <c:v>6.0334021815885465E-2</c:v>
                </c:pt>
                <c:pt idx="6">
                  <c:v>5.0638983184188399E-2</c:v>
                </c:pt>
                <c:pt idx="7">
                  <c:v>0.16208161104378524</c:v>
                </c:pt>
                <c:pt idx="8">
                  <c:v>0.14164406764460333</c:v>
                </c:pt>
                <c:pt idx="9">
                  <c:v>0.36084600241723092</c:v>
                </c:pt>
                <c:pt idx="10">
                  <c:v>0.23025191154693395</c:v>
                </c:pt>
                <c:pt idx="11">
                  <c:v>0.23490510719047802</c:v>
                </c:pt>
                <c:pt idx="12">
                  <c:v>0.39487785017355559</c:v>
                </c:pt>
                <c:pt idx="13">
                  <c:v>0.15525543720367532</c:v>
                </c:pt>
                <c:pt idx="14">
                  <c:v>0.63668466142391178</c:v>
                </c:pt>
                <c:pt idx="15">
                  <c:v>0.31239835694712781</c:v>
                </c:pt>
                <c:pt idx="16">
                  <c:v>-0.11382932295885198</c:v>
                </c:pt>
                <c:pt idx="17">
                  <c:v>-4.341493446561568E-2</c:v>
                </c:pt>
                <c:pt idx="18">
                  <c:v>-0.61087240850785662</c:v>
                </c:pt>
                <c:pt idx="19">
                  <c:v>-0.34647971068415334</c:v>
                </c:pt>
                <c:pt idx="20">
                  <c:v>-9.3262273282259972E-2</c:v>
                </c:pt>
                <c:pt idx="21">
                  <c:v>-0.27991365476515007</c:v>
                </c:pt>
                <c:pt idx="22">
                  <c:v>3.7480674787972556E-3</c:v>
                </c:pt>
                <c:pt idx="23">
                  <c:v>-5.8376761155660142E-3</c:v>
                </c:pt>
                <c:pt idx="24">
                  <c:v>9.3943210027643706E-2</c:v>
                </c:pt>
                <c:pt idx="25">
                  <c:v>0.15306612055432237</c:v>
                </c:pt>
                <c:pt idx="26">
                  <c:v>0.25397860323901289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8D-4998-9DEE-F30211370434}"/>
            </c:ext>
          </c:extLst>
        </c:ser>
        <c:ser>
          <c:idx val="5"/>
          <c:order val="5"/>
          <c:tx>
            <c:strRef>
              <c:f>'GRAF příspěvky IPP'!$A$32</c:f>
              <c:strCache>
                <c:ptCount val="1"/>
                <c:pt idx="0">
                  <c:v>Chemický a farmaceutický pr. (20, 21)</c:v>
                </c:pt>
              </c:strCache>
            </c:strRef>
          </c:tx>
          <c:spPr>
            <a:solidFill>
              <a:srgbClr val="F8A124"/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IPP'!$R$32:$AS$32</c:f>
              <c:numCache>
                <c:formatCode>0.0</c:formatCode>
                <c:ptCount val="28"/>
                <c:pt idx="0">
                  <c:v>7.7143378794105238E-2</c:v>
                </c:pt>
                <c:pt idx="1">
                  <c:v>0.23593739633638305</c:v>
                </c:pt>
                <c:pt idx="2">
                  <c:v>-0.1618035309720528</c:v>
                </c:pt>
                <c:pt idx="3">
                  <c:v>-0.33496224531375707</c:v>
                </c:pt>
                <c:pt idx="4">
                  <c:v>-0.41674583594172754</c:v>
                </c:pt>
                <c:pt idx="5">
                  <c:v>-0.4282443957917389</c:v>
                </c:pt>
                <c:pt idx="6">
                  <c:v>-0.10705569687500868</c:v>
                </c:pt>
                <c:pt idx="7">
                  <c:v>0.23734613396913962</c:v>
                </c:pt>
                <c:pt idx="8">
                  <c:v>0.52004631375398047</c:v>
                </c:pt>
                <c:pt idx="9">
                  <c:v>0.82674096187567125</c:v>
                </c:pt>
                <c:pt idx="10">
                  <c:v>0.6516009273870198</c:v>
                </c:pt>
                <c:pt idx="11">
                  <c:v>0.50475413241681488</c:v>
                </c:pt>
                <c:pt idx="12">
                  <c:v>0.40512406777705501</c:v>
                </c:pt>
                <c:pt idx="13">
                  <c:v>7.9522592595157926E-2</c:v>
                </c:pt>
                <c:pt idx="14">
                  <c:v>-5.31759637412869E-2</c:v>
                </c:pt>
                <c:pt idx="15">
                  <c:v>-6.9085533222069381E-2</c:v>
                </c:pt>
                <c:pt idx="16">
                  <c:v>0.10389114606048008</c:v>
                </c:pt>
                <c:pt idx="17">
                  <c:v>4.8518655211085254E-2</c:v>
                </c:pt>
                <c:pt idx="18">
                  <c:v>0.22788597854650419</c:v>
                </c:pt>
                <c:pt idx="19">
                  <c:v>3.146341110732534E-2</c:v>
                </c:pt>
                <c:pt idx="20">
                  <c:v>-3.2343833499911212E-2</c:v>
                </c:pt>
                <c:pt idx="21">
                  <c:v>-0.54875551656759858</c:v>
                </c:pt>
                <c:pt idx="22">
                  <c:v>-0.21314624785035269</c:v>
                </c:pt>
                <c:pt idx="23">
                  <c:v>0.43258748242153289</c:v>
                </c:pt>
                <c:pt idx="24">
                  <c:v>0.26430043366619738</c:v>
                </c:pt>
                <c:pt idx="25">
                  <c:v>0.80015964881321644</c:v>
                </c:pt>
                <c:pt idx="26">
                  <c:v>0.29532800749351429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88D-4998-9DEE-F30211370434}"/>
            </c:ext>
          </c:extLst>
        </c:ser>
        <c:ser>
          <c:idx val="6"/>
          <c:order val="6"/>
          <c:tx>
            <c:strRef>
              <c:f>'GRAF příspěvky IPP'!$A$33</c:f>
              <c:strCache>
                <c:ptCount val="1"/>
                <c:pt idx="0">
                  <c:v>Zbývající zpracovatelský průmysl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IPP'!$R$33:$AS$33</c:f>
              <c:numCache>
                <c:formatCode>0.0</c:formatCode>
                <c:ptCount val="28"/>
                <c:pt idx="0">
                  <c:v>0.99790191745106882</c:v>
                </c:pt>
                <c:pt idx="1">
                  <c:v>0.89869551924785085</c:v>
                </c:pt>
                <c:pt idx="2">
                  <c:v>1.0140985408551135</c:v>
                </c:pt>
                <c:pt idx="3">
                  <c:v>-0.23144536420896189</c:v>
                </c:pt>
                <c:pt idx="4">
                  <c:v>0.26284587339298521</c:v>
                </c:pt>
                <c:pt idx="5">
                  <c:v>-0.36379862472242158</c:v>
                </c:pt>
                <c:pt idx="6">
                  <c:v>6.0778320295188704E-2</c:v>
                </c:pt>
                <c:pt idx="7">
                  <c:v>0.57462664260793739</c:v>
                </c:pt>
                <c:pt idx="8">
                  <c:v>7.0021742223497829E-2</c:v>
                </c:pt>
                <c:pt idx="9">
                  <c:v>1.4968765381346332</c:v>
                </c:pt>
                <c:pt idx="10">
                  <c:v>0.75563441850938817</c:v>
                </c:pt>
                <c:pt idx="11">
                  <c:v>0.97414760712501969</c:v>
                </c:pt>
                <c:pt idx="12">
                  <c:v>1.1572391799219797</c:v>
                </c:pt>
                <c:pt idx="13">
                  <c:v>0.6725057701913375</c:v>
                </c:pt>
                <c:pt idx="14">
                  <c:v>1.1043020585420495</c:v>
                </c:pt>
                <c:pt idx="15">
                  <c:v>0.49003903449396968</c:v>
                </c:pt>
                <c:pt idx="16">
                  <c:v>-4.5073361183030347E-2</c:v>
                </c:pt>
                <c:pt idx="17">
                  <c:v>4.2642071767505327E-2</c:v>
                </c:pt>
                <c:pt idx="18">
                  <c:v>-0.66202289851528051</c:v>
                </c:pt>
                <c:pt idx="19">
                  <c:v>-0.22564017800563624</c:v>
                </c:pt>
                <c:pt idx="20">
                  <c:v>7.6841219891765677E-2</c:v>
                </c:pt>
                <c:pt idx="21">
                  <c:v>-2.8313423651484886</c:v>
                </c:pt>
                <c:pt idx="22">
                  <c:v>8.2797121426130077E-2</c:v>
                </c:pt>
                <c:pt idx="23">
                  <c:v>9.7557088121208529E-2</c:v>
                </c:pt>
                <c:pt idx="24">
                  <c:v>-0.15110672459180577</c:v>
                </c:pt>
                <c:pt idx="25">
                  <c:v>4.133502245600396</c:v>
                </c:pt>
                <c:pt idx="26">
                  <c:v>0.71480653498226721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8D-4998-9DEE-F30211370434}"/>
            </c:ext>
          </c:extLst>
        </c:ser>
        <c:ser>
          <c:idx val="7"/>
          <c:order val="7"/>
          <c:tx>
            <c:strRef>
              <c:f>'GRAF příspěvky IPP'!$A$34</c:f>
              <c:strCache>
                <c:ptCount val="1"/>
                <c:pt idx="0">
                  <c:v>Těžba a energetika (B, D)</c:v>
                </c:pt>
              </c:strCache>
            </c:strRef>
          </c:tx>
          <c:spPr>
            <a:solidFill>
              <a:srgbClr val="808080"/>
            </a:solidFill>
          </c:spPr>
          <c:invertIfNegative val="0"/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IPP'!$R$34:$AS$34</c:f>
              <c:numCache>
                <c:formatCode>0.0</c:formatCode>
                <c:ptCount val="28"/>
                <c:pt idx="0">
                  <c:v>0.14536369337262112</c:v>
                </c:pt>
                <c:pt idx="1">
                  <c:v>-0.33984851886778389</c:v>
                </c:pt>
                <c:pt idx="2">
                  <c:v>-0.39719330301482159</c:v>
                </c:pt>
                <c:pt idx="3">
                  <c:v>-1.1146161627338653</c:v>
                </c:pt>
                <c:pt idx="4">
                  <c:v>-0.64581780602362893</c:v>
                </c:pt>
                <c:pt idx="5">
                  <c:v>9.8757674154636987E-2</c:v>
                </c:pt>
                <c:pt idx="6">
                  <c:v>-0.47678822664722548</c:v>
                </c:pt>
                <c:pt idx="7">
                  <c:v>0.5038061309270212</c:v>
                </c:pt>
                <c:pt idx="8">
                  <c:v>0.66217224583389844</c:v>
                </c:pt>
                <c:pt idx="9">
                  <c:v>-0.18248944438855802</c:v>
                </c:pt>
                <c:pt idx="10">
                  <c:v>0.77178193644183435</c:v>
                </c:pt>
                <c:pt idx="11">
                  <c:v>0.73275070181120505</c:v>
                </c:pt>
                <c:pt idx="12">
                  <c:v>-0.53887865891214681</c:v>
                </c:pt>
                <c:pt idx="13">
                  <c:v>4.2205690381435096E-3</c:v>
                </c:pt>
                <c:pt idx="14">
                  <c:v>0.78780707738879552</c:v>
                </c:pt>
                <c:pt idx="15">
                  <c:v>0.33124326032333173</c:v>
                </c:pt>
                <c:pt idx="16">
                  <c:v>0.21326016962669453</c:v>
                </c:pt>
                <c:pt idx="17">
                  <c:v>4.593311018825097E-2</c:v>
                </c:pt>
                <c:pt idx="18">
                  <c:v>-0.66562135602659178</c:v>
                </c:pt>
                <c:pt idx="19">
                  <c:v>-0.33090067760840614</c:v>
                </c:pt>
                <c:pt idx="20">
                  <c:v>-0.97349114199634235</c:v>
                </c:pt>
                <c:pt idx="21">
                  <c:v>-1.5874404115193026</c:v>
                </c:pt>
                <c:pt idx="22">
                  <c:v>-0.71569504087898972</c:v>
                </c:pt>
                <c:pt idx="23">
                  <c:v>-0.6949618157483497</c:v>
                </c:pt>
                <c:pt idx="24">
                  <c:v>0.45638788328587099</c:v>
                </c:pt>
                <c:pt idx="25">
                  <c:v>0.4715212296733623</c:v>
                </c:pt>
                <c:pt idx="26">
                  <c:v>0.22921656691412753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88D-4998-9DEE-F30211370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112768128"/>
        <c:axId val="112769664"/>
      </c:barChart>
      <c:lineChart>
        <c:grouping val="standard"/>
        <c:varyColors val="0"/>
        <c:ser>
          <c:idx val="8"/>
          <c:order val="8"/>
          <c:tx>
            <c:strRef>
              <c:f>'GRAF příspěvky IPP'!$A$35</c:f>
              <c:strCache>
                <c:ptCount val="1"/>
                <c:pt idx="0">
                  <c:v>Průmysl celkem (NACE B, C, D)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4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IPP'!$R$35:$AS$35</c:f>
              <c:numCache>
                <c:formatCode>0.0</c:formatCode>
                <c:ptCount val="28"/>
                <c:pt idx="0">
                  <c:v>4.8682458563000077</c:v>
                </c:pt>
                <c:pt idx="1">
                  <c:v>5.3044741370000006</c:v>
                </c:pt>
                <c:pt idx="2">
                  <c:v>5.6190886268000479</c:v>
                </c:pt>
                <c:pt idx="3">
                  <c:v>2.3830895040999831</c:v>
                </c:pt>
                <c:pt idx="4">
                  <c:v>4.4721731076999642</c:v>
                </c:pt>
                <c:pt idx="5">
                  <c:v>2.6101078088000005</c:v>
                </c:pt>
                <c:pt idx="6">
                  <c:v>1.6852826251000022</c:v>
                </c:pt>
                <c:pt idx="7">
                  <c:v>3.5077673608999906</c:v>
                </c:pt>
                <c:pt idx="8">
                  <c:v>4.7800802052999884</c:v>
                </c:pt>
                <c:pt idx="9">
                  <c:v>8.0163224835000051</c:v>
                </c:pt>
                <c:pt idx="10">
                  <c:v>6.5553384864000064</c:v>
                </c:pt>
                <c:pt idx="11">
                  <c:v>7.5463265375999953</c:v>
                </c:pt>
                <c:pt idx="12">
                  <c:v>4.2589652710999921</c:v>
                </c:pt>
                <c:pt idx="13">
                  <c:v>2.4120135811999983</c:v>
                </c:pt>
                <c:pt idx="14">
                  <c:v>3.7328733272000059</c:v>
                </c:pt>
                <c:pt idx="15">
                  <c:v>1.9659868294999943</c:v>
                </c:pt>
                <c:pt idx="16">
                  <c:v>0.85636296569994519</c:v>
                </c:pt>
                <c:pt idx="17">
                  <c:v>0.97017926910000263</c:v>
                </c:pt>
                <c:pt idx="18">
                  <c:v>-1.1400871741000362</c:v>
                </c:pt>
                <c:pt idx="19">
                  <c:v>-2.0711551671000006</c:v>
                </c:pt>
                <c:pt idx="20">
                  <c:v>-4.3998415370000075</c:v>
                </c:pt>
                <c:pt idx="21">
                  <c:v>-22.923318067400007</c:v>
                </c:pt>
                <c:pt idx="22">
                  <c:v>-2.7989687392000016</c:v>
                </c:pt>
                <c:pt idx="23">
                  <c:v>2.0483696245999874</c:v>
                </c:pt>
                <c:pt idx="24">
                  <c:v>3.9122834852000148</c:v>
                </c:pt>
                <c:pt idx="25">
                  <c:v>27.712385253700013</c:v>
                </c:pt>
                <c:pt idx="26">
                  <c:v>-0.3572231641000066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88D-4998-9DEE-F30211370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68128"/>
        <c:axId val="112769664"/>
      </c:lineChart>
      <c:lineChart>
        <c:grouping val="standard"/>
        <c:varyColors val="0"/>
        <c:ser>
          <c:idx val="9"/>
          <c:order val="9"/>
          <c:tx>
            <c:strRef>
              <c:f>'GRAF příspěvky IPP'!$A$36</c:f>
              <c:strCache>
                <c:ptCount val="1"/>
                <c:pt idx="0">
                  <c:v>Saldo souhrn. indik. důvěry v průmyslu</c:v>
                </c:pt>
              </c:strCache>
            </c:strRef>
          </c:tx>
          <c:spPr>
            <a:ln w="15875">
              <a:solidFill>
                <a:schemeClr val="bg1">
                  <a:lumMod val="65000"/>
                </a:schemeClr>
              </a:solidFill>
              <a:prstDash val="sysDot"/>
            </a:ln>
          </c:spPr>
          <c:marker>
            <c:symbol val="circle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cat>
            <c:multiLvlStrRef>
              <c:f>'GRAF příspěvky IPP'!$R$25:$AS$26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IPP'!$R$36:$AS$36</c:f>
              <c:numCache>
                <c:formatCode>0.0</c:formatCode>
                <c:ptCount val="28"/>
                <c:pt idx="0">
                  <c:v>2.2999999999999998</c:v>
                </c:pt>
                <c:pt idx="1">
                  <c:v>3.3</c:v>
                </c:pt>
                <c:pt idx="2">
                  <c:v>3</c:v>
                </c:pt>
                <c:pt idx="3">
                  <c:v>1</c:v>
                </c:pt>
                <c:pt idx="4">
                  <c:v>3.7</c:v>
                </c:pt>
                <c:pt idx="5">
                  <c:v>2.7</c:v>
                </c:pt>
                <c:pt idx="6">
                  <c:v>5</c:v>
                </c:pt>
                <c:pt idx="7">
                  <c:v>6.3</c:v>
                </c:pt>
                <c:pt idx="8">
                  <c:v>3.7</c:v>
                </c:pt>
                <c:pt idx="9">
                  <c:v>0.5</c:v>
                </c:pt>
                <c:pt idx="10">
                  <c:v>4</c:v>
                </c:pt>
                <c:pt idx="11">
                  <c:v>4.7</c:v>
                </c:pt>
                <c:pt idx="12">
                  <c:v>3.7</c:v>
                </c:pt>
                <c:pt idx="13">
                  <c:v>2</c:v>
                </c:pt>
                <c:pt idx="14">
                  <c:v>2.2999999999999998</c:v>
                </c:pt>
                <c:pt idx="15">
                  <c:v>2.2999999999999998</c:v>
                </c:pt>
                <c:pt idx="16">
                  <c:v>0.3</c:v>
                </c:pt>
                <c:pt idx="17">
                  <c:v>-2</c:v>
                </c:pt>
                <c:pt idx="18">
                  <c:v>-3</c:v>
                </c:pt>
                <c:pt idx="19">
                  <c:v>-6.7</c:v>
                </c:pt>
                <c:pt idx="20">
                  <c:v>-5</c:v>
                </c:pt>
                <c:pt idx="21">
                  <c:v>-25</c:v>
                </c:pt>
                <c:pt idx="22">
                  <c:v>-6.3</c:v>
                </c:pt>
                <c:pt idx="23">
                  <c:v>-10</c:v>
                </c:pt>
                <c:pt idx="24">
                  <c:v>-1.3</c:v>
                </c:pt>
                <c:pt idx="25">
                  <c:v>5.3</c:v>
                </c:pt>
                <c:pt idx="26">
                  <c:v>-1.3</c:v>
                </c:pt>
                <c:pt idx="27">
                  <c:v>-5.3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88D-4998-9DEE-F30211370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3731104"/>
        <c:axId val="1513729024"/>
      </c:lineChart>
      <c:catAx>
        <c:axId val="1127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9664"/>
        <c:crosses val="autoZero"/>
        <c:auto val="1"/>
        <c:lblAlgn val="ctr"/>
        <c:lblOffset val="0"/>
        <c:noMultiLvlLbl val="0"/>
      </c:catAx>
      <c:valAx>
        <c:axId val="112769664"/>
        <c:scaling>
          <c:orientation val="minMax"/>
          <c:max val="28"/>
          <c:min val="-24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Příspěvky ke</a:t>
                </a:r>
                <a:r>
                  <a:rPr lang="cs-CZ" sz="70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změně</a:t>
                </a:r>
                <a:r>
                  <a:rPr lang="cs-CZ" sz="70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p</a:t>
                </a: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růmyslové</a:t>
                </a:r>
                <a:r>
                  <a:rPr lang="cs-CZ" sz="70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produkce</a:t>
                </a:r>
                <a:endParaRPr lang="cs-CZ" sz="700" b="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1043716645752030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8128"/>
        <c:crosses val="autoZero"/>
        <c:crossBetween val="between"/>
        <c:majorUnit val="4"/>
      </c:valAx>
      <c:valAx>
        <c:axId val="1513729024"/>
        <c:scaling>
          <c:orientation val="minMax"/>
          <c:max val="15"/>
          <c:min val="-5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Saldo</a:t>
                </a:r>
                <a:r>
                  <a:rPr lang="cs-CZ" sz="70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indikátoru důvěry</a:t>
                </a:r>
                <a:endParaRPr lang="cs-CZ" sz="700" b="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7073916983354047"/>
              <c:y val="0.191915607754587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513731104"/>
        <c:crosses val="max"/>
        <c:crossBetween val="between"/>
        <c:majorUnit val="5"/>
      </c:valAx>
      <c:catAx>
        <c:axId val="1513731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13729024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8.0033308468213122E-3"/>
          <c:y val="0.8138353190094022"/>
          <c:w val="0.98604377672533428"/>
          <c:h val="0.17565738835036337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88042665536843E-2"/>
          <c:y val="2.1373653391166647E-2"/>
          <c:w val="0.84974974879787502"/>
          <c:h val="0.754138453023163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'výkonnost odvětví 2'!$A$31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</c:spPr>
          <c:invertIfNegative val="0"/>
          <c:cat>
            <c:multiLvlStrRef>
              <c:f>'výkonnost odvětví 2'!$R$29:$AS$30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2'!$R$31:$AS$31</c:f>
              <c:numCache>
                <c:formatCode>#\ ##0.0__</c:formatCode>
                <c:ptCount val="28"/>
                <c:pt idx="0">
                  <c:v>8.5397251010390391</c:v>
                </c:pt>
                <c:pt idx="1">
                  <c:v>6.4894834031568251</c:v>
                </c:pt>
                <c:pt idx="2">
                  <c:v>4.1045761314248068</c:v>
                </c:pt>
                <c:pt idx="3">
                  <c:v>6.0151063810169205</c:v>
                </c:pt>
                <c:pt idx="4">
                  <c:v>1.3550678522953064</c:v>
                </c:pt>
                <c:pt idx="5">
                  <c:v>10.856046878525433</c:v>
                </c:pt>
                <c:pt idx="6">
                  <c:v>1.6431282237439291</c:v>
                </c:pt>
                <c:pt idx="7">
                  <c:v>6.7220844736941103</c:v>
                </c:pt>
                <c:pt idx="8">
                  <c:v>10.841479121555906</c:v>
                </c:pt>
                <c:pt idx="9">
                  <c:v>4.5315942367003714</c:v>
                </c:pt>
                <c:pt idx="10">
                  <c:v>6.9082617878945598</c:v>
                </c:pt>
                <c:pt idx="11">
                  <c:v>7.5112613571588724</c:v>
                </c:pt>
                <c:pt idx="12">
                  <c:v>1.6339188767607453</c:v>
                </c:pt>
                <c:pt idx="13">
                  <c:v>4.6301209797549205</c:v>
                </c:pt>
                <c:pt idx="14">
                  <c:v>3.6945404784506337</c:v>
                </c:pt>
                <c:pt idx="15">
                  <c:v>4.2467023509658759</c:v>
                </c:pt>
                <c:pt idx="16">
                  <c:v>3.2159327201169816</c:v>
                </c:pt>
                <c:pt idx="17">
                  <c:v>0.65858715061426665</c:v>
                </c:pt>
                <c:pt idx="18">
                  <c:v>2.2747163836690305</c:v>
                </c:pt>
                <c:pt idx="19">
                  <c:v>-4.7832000111320241</c:v>
                </c:pt>
                <c:pt idx="20">
                  <c:v>-1.2762466132796817</c:v>
                </c:pt>
                <c:pt idx="21">
                  <c:v>-27.685678861776282</c:v>
                </c:pt>
                <c:pt idx="22">
                  <c:v>-2.0849225069869703</c:v>
                </c:pt>
                <c:pt idx="23">
                  <c:v>6.882954384462451</c:v>
                </c:pt>
                <c:pt idx="24">
                  <c:v>7.4402517572367941</c:v>
                </c:pt>
                <c:pt idx="25">
                  <c:v>50.40174917702177</c:v>
                </c:pt>
                <c:pt idx="26">
                  <c:v>6.3659902584507222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68-442F-A64C-84E2BBCF8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12768128"/>
        <c:axId val="112769664"/>
      </c:barChart>
      <c:lineChart>
        <c:grouping val="standard"/>
        <c:varyColors val="0"/>
        <c:ser>
          <c:idx val="1"/>
          <c:order val="1"/>
          <c:tx>
            <c:strRef>
              <c:f>'výkonnost odvětví 2'!$A$32</c:f>
              <c:strCache>
                <c:ptCount val="1"/>
                <c:pt idx="0">
                  <c:v>Celkové zakázky ve výrobě motor. vozidel</c:v>
                </c:pt>
              </c:strCache>
            </c:strRef>
          </c:tx>
          <c:spPr>
            <a:ln w="15875">
              <a:solidFill>
                <a:srgbClr val="984807"/>
              </a:solidFill>
              <a:prstDash val="sysDot"/>
            </a:ln>
          </c:spPr>
          <c:marker>
            <c:symbol val="diamond"/>
            <c:size val="5"/>
            <c:spPr>
              <a:solidFill>
                <a:srgbClr val="984807"/>
              </a:solidFill>
              <a:ln>
                <a:noFill/>
              </a:ln>
            </c:spPr>
          </c:marker>
          <c:cat>
            <c:multiLvlStrRef>
              <c:f>'výkonnost odvětví 2'!$R$29:$AS$30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2'!$R$32:$AS$32</c:f>
              <c:numCache>
                <c:formatCode>#\ ##0.0__</c:formatCode>
                <c:ptCount val="28"/>
                <c:pt idx="0">
                  <c:v>15.316352438277931</c:v>
                </c:pt>
                <c:pt idx="1">
                  <c:v>5.584343456517459</c:v>
                </c:pt>
                <c:pt idx="2">
                  <c:v>13.898535777390734</c:v>
                </c:pt>
                <c:pt idx="3">
                  <c:v>18.975191723154538</c:v>
                </c:pt>
                <c:pt idx="4">
                  <c:v>11.460497347422447</c:v>
                </c:pt>
                <c:pt idx="5">
                  <c:v>33.085131031292235</c:v>
                </c:pt>
                <c:pt idx="6">
                  <c:v>5.912380139380474</c:v>
                </c:pt>
                <c:pt idx="7">
                  <c:v>12.001000805244416</c:v>
                </c:pt>
                <c:pt idx="8">
                  <c:v>7.9804719471503205</c:v>
                </c:pt>
                <c:pt idx="9">
                  <c:v>-1.7592612473364966</c:v>
                </c:pt>
                <c:pt idx="10">
                  <c:v>3.8626497182263222</c:v>
                </c:pt>
                <c:pt idx="11">
                  <c:v>0.37376710568412364</c:v>
                </c:pt>
                <c:pt idx="12">
                  <c:v>0.60861960894675349</c:v>
                </c:pt>
                <c:pt idx="13">
                  <c:v>3.6675371997157811</c:v>
                </c:pt>
                <c:pt idx="14">
                  <c:v>0.69699979014031044</c:v>
                </c:pt>
                <c:pt idx="15">
                  <c:v>1.0371076901644045</c:v>
                </c:pt>
                <c:pt idx="16">
                  <c:v>2.3844519038519962</c:v>
                </c:pt>
                <c:pt idx="17">
                  <c:v>3.1505861553301884</c:v>
                </c:pt>
                <c:pt idx="18">
                  <c:v>7.8772894879504776</c:v>
                </c:pt>
                <c:pt idx="19">
                  <c:v>-0.27078960340936931</c:v>
                </c:pt>
                <c:pt idx="20">
                  <c:v>-6.5941090261626556</c:v>
                </c:pt>
                <c:pt idx="21">
                  <c:v>-43.297757603226039</c:v>
                </c:pt>
                <c:pt idx="22">
                  <c:v>3.6539438072891244</c:v>
                </c:pt>
                <c:pt idx="23">
                  <c:v>8.0597939162845336</c:v>
                </c:pt>
                <c:pt idx="24">
                  <c:v>16.785005657074436</c:v>
                </c:pt>
                <c:pt idx="25">
                  <c:v>87.046248826203396</c:v>
                </c:pt>
                <c:pt idx="26">
                  <c:v>-11.991834473061417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C68-442F-A64C-84E2BBCF8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68128"/>
        <c:axId val="112769664"/>
      </c:lineChart>
      <c:lineChart>
        <c:grouping val="standard"/>
        <c:varyColors val="0"/>
        <c:ser>
          <c:idx val="2"/>
          <c:order val="2"/>
          <c:tx>
            <c:strRef>
              <c:f>'výkonnost odvětví 2'!$A$33</c:f>
              <c:strCache>
                <c:ptCount val="1"/>
                <c:pt idx="0">
                  <c:v>Využití výrobních kapacit v průmyslu</c:v>
                </c:pt>
              </c:strCache>
            </c:strRef>
          </c:tx>
          <c:spPr>
            <a:ln w="15875">
              <a:solidFill>
                <a:srgbClr val="D2CD00"/>
              </a:solidFill>
            </a:ln>
          </c:spPr>
          <c:marker>
            <c:symbol val="none"/>
          </c:marker>
          <c:cat>
            <c:multiLvlStrRef>
              <c:f>'výkonnost odvětví 2'!$R$29:$AS$30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2'!$R$33:$AS$33</c:f>
              <c:numCache>
                <c:formatCode>#\ ##0.0</c:formatCode>
                <c:ptCount val="28"/>
                <c:pt idx="0">
                  <c:v>86.2</c:v>
                </c:pt>
                <c:pt idx="1">
                  <c:v>85</c:v>
                </c:pt>
                <c:pt idx="2">
                  <c:v>85.6</c:v>
                </c:pt>
                <c:pt idx="3">
                  <c:v>83.9</c:v>
                </c:pt>
                <c:pt idx="4">
                  <c:v>84.5</c:v>
                </c:pt>
                <c:pt idx="5">
                  <c:v>84.7</c:v>
                </c:pt>
                <c:pt idx="6">
                  <c:v>84.7</c:v>
                </c:pt>
                <c:pt idx="7">
                  <c:v>84.1</c:v>
                </c:pt>
                <c:pt idx="8">
                  <c:v>84.9</c:v>
                </c:pt>
                <c:pt idx="9">
                  <c:v>83.1</c:v>
                </c:pt>
                <c:pt idx="10">
                  <c:v>84.4</c:v>
                </c:pt>
                <c:pt idx="11">
                  <c:v>84.3</c:v>
                </c:pt>
                <c:pt idx="12">
                  <c:v>85.8</c:v>
                </c:pt>
                <c:pt idx="13">
                  <c:v>85.4</c:v>
                </c:pt>
                <c:pt idx="14">
                  <c:v>86.2</c:v>
                </c:pt>
                <c:pt idx="15">
                  <c:v>85.8</c:v>
                </c:pt>
                <c:pt idx="16">
                  <c:v>85.8</c:v>
                </c:pt>
                <c:pt idx="17">
                  <c:v>85.9</c:v>
                </c:pt>
                <c:pt idx="18">
                  <c:v>84.8</c:v>
                </c:pt>
                <c:pt idx="19">
                  <c:v>84.1</c:v>
                </c:pt>
                <c:pt idx="20">
                  <c:v>84.2</c:v>
                </c:pt>
                <c:pt idx="21">
                  <c:v>71</c:v>
                </c:pt>
                <c:pt idx="22">
                  <c:v>75.5</c:v>
                </c:pt>
                <c:pt idx="23">
                  <c:v>81.099999999999994</c:v>
                </c:pt>
                <c:pt idx="24">
                  <c:v>83.4</c:v>
                </c:pt>
                <c:pt idx="25">
                  <c:v>87.5</c:v>
                </c:pt>
                <c:pt idx="26">
                  <c:v>88.1</c:v>
                </c:pt>
                <c:pt idx="27">
                  <c:v>77.3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C68-442F-A64C-84E2BBCF8801}"/>
            </c:ext>
          </c:extLst>
        </c:ser>
        <c:ser>
          <c:idx val="3"/>
          <c:order val="3"/>
          <c:tx>
            <c:strRef>
              <c:f>'výkonnost odvětví 2'!$A$34</c:f>
              <c:strCache>
                <c:ptCount val="1"/>
                <c:pt idx="0">
                  <c:v>Využití výr. kapacit v automobil. průmyslu</c:v>
                </c:pt>
              </c:strCache>
            </c:strRef>
          </c:tx>
          <c:spPr>
            <a:ln w="15875">
              <a:solidFill>
                <a:srgbClr val="D2CD0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2'!$R$29:$AS$30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2'!$R$34:$AS$34</c:f>
              <c:numCache>
                <c:formatCode>0.0</c:formatCode>
                <c:ptCount val="28"/>
                <c:pt idx="0">
                  <c:v>92.8</c:v>
                </c:pt>
                <c:pt idx="1">
                  <c:v>91.1</c:v>
                </c:pt>
                <c:pt idx="2">
                  <c:v>93.1</c:v>
                </c:pt>
                <c:pt idx="3">
                  <c:v>88.7</c:v>
                </c:pt>
                <c:pt idx="4">
                  <c:v>91.6</c:v>
                </c:pt>
                <c:pt idx="5">
                  <c:v>90.3</c:v>
                </c:pt>
                <c:pt idx="6">
                  <c:v>93.1</c:v>
                </c:pt>
                <c:pt idx="7">
                  <c:v>90.9</c:v>
                </c:pt>
                <c:pt idx="8">
                  <c:v>93.2</c:v>
                </c:pt>
                <c:pt idx="9">
                  <c:v>87.3</c:v>
                </c:pt>
                <c:pt idx="10">
                  <c:v>90.7</c:v>
                </c:pt>
                <c:pt idx="11">
                  <c:v>90.5</c:v>
                </c:pt>
                <c:pt idx="12">
                  <c:v>91.1</c:v>
                </c:pt>
                <c:pt idx="13">
                  <c:v>91.6</c:v>
                </c:pt>
                <c:pt idx="14">
                  <c:v>92.1</c:v>
                </c:pt>
                <c:pt idx="15">
                  <c:v>93</c:v>
                </c:pt>
                <c:pt idx="16">
                  <c:v>92.8</c:v>
                </c:pt>
                <c:pt idx="17">
                  <c:v>93.6</c:v>
                </c:pt>
                <c:pt idx="18">
                  <c:v>92.3</c:v>
                </c:pt>
                <c:pt idx="19">
                  <c:v>93.4</c:v>
                </c:pt>
                <c:pt idx="20">
                  <c:v>90.5</c:v>
                </c:pt>
                <c:pt idx="21">
                  <c:v>50.8</c:v>
                </c:pt>
                <c:pt idx="22" formatCode="General">
                  <c:v>75.3</c:v>
                </c:pt>
                <c:pt idx="23" formatCode="General">
                  <c:v>90.9</c:v>
                </c:pt>
                <c:pt idx="24" formatCode="General">
                  <c:v>90.3</c:v>
                </c:pt>
                <c:pt idx="25" formatCode="General">
                  <c:v>99.1</c:v>
                </c:pt>
                <c:pt idx="26" formatCode="General">
                  <c:v>94.7</c:v>
                </c:pt>
                <c:pt idx="27" formatCode="General">
                  <c:v>56.5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C68-442F-A64C-84E2BBCF8801}"/>
            </c:ext>
          </c:extLst>
        </c:ser>
        <c:ser>
          <c:idx val="4"/>
          <c:order val="4"/>
          <c:tx>
            <c:strRef>
              <c:f>'výkonnost odvětví 2'!$A$35</c:f>
              <c:strCache>
                <c:ptCount val="1"/>
                <c:pt idx="0">
                  <c:v>Bariéra růstu: nedostatečná poptávka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'výkonnost odvětví 2'!$R$29:$AS$30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2'!$R$35:$AS$35</c:f>
              <c:numCache>
                <c:formatCode>#\ ##0.0</c:formatCode>
                <c:ptCount val="28"/>
                <c:pt idx="0">
                  <c:v>43.6</c:v>
                </c:pt>
                <c:pt idx="1">
                  <c:v>49.6</c:v>
                </c:pt>
                <c:pt idx="2">
                  <c:v>47.8</c:v>
                </c:pt>
                <c:pt idx="3">
                  <c:v>47.8</c:v>
                </c:pt>
                <c:pt idx="4">
                  <c:v>45.7</c:v>
                </c:pt>
                <c:pt idx="5">
                  <c:v>45.5</c:v>
                </c:pt>
                <c:pt idx="6">
                  <c:v>43</c:v>
                </c:pt>
                <c:pt idx="7">
                  <c:v>43.8</c:v>
                </c:pt>
                <c:pt idx="8">
                  <c:v>42.7</c:v>
                </c:pt>
                <c:pt idx="9">
                  <c:v>41.6</c:v>
                </c:pt>
                <c:pt idx="10">
                  <c:v>40.299999999999997</c:v>
                </c:pt>
                <c:pt idx="11">
                  <c:v>37.299999999999997</c:v>
                </c:pt>
                <c:pt idx="12">
                  <c:v>35.4</c:v>
                </c:pt>
                <c:pt idx="13">
                  <c:v>36</c:v>
                </c:pt>
                <c:pt idx="14">
                  <c:v>31.6</c:v>
                </c:pt>
                <c:pt idx="15">
                  <c:v>33.4</c:v>
                </c:pt>
                <c:pt idx="16">
                  <c:v>33.700000000000003</c:v>
                </c:pt>
                <c:pt idx="17">
                  <c:v>35.299999999999997</c:v>
                </c:pt>
                <c:pt idx="18">
                  <c:v>40.1</c:v>
                </c:pt>
                <c:pt idx="19">
                  <c:v>47.3</c:v>
                </c:pt>
                <c:pt idx="20">
                  <c:v>50.4</c:v>
                </c:pt>
                <c:pt idx="21">
                  <c:v>58.4</c:v>
                </c:pt>
                <c:pt idx="22">
                  <c:v>63.2</c:v>
                </c:pt>
                <c:pt idx="23">
                  <c:v>47.9</c:v>
                </c:pt>
                <c:pt idx="24">
                  <c:v>48.7</c:v>
                </c:pt>
                <c:pt idx="25">
                  <c:v>38.5</c:v>
                </c:pt>
                <c:pt idx="26">
                  <c:v>24.5</c:v>
                </c:pt>
                <c:pt idx="27">
                  <c:v>28.2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C68-442F-A64C-84E2BBCF8801}"/>
            </c:ext>
          </c:extLst>
        </c:ser>
        <c:ser>
          <c:idx val="5"/>
          <c:order val="5"/>
          <c:tx>
            <c:strRef>
              <c:f>'výkonnost odvětví 2'!$A$36</c:f>
              <c:strCache>
                <c:ptCount val="1"/>
                <c:pt idx="0">
                  <c:v>Bariéra růstu: nedostatek pracovníků</c:v>
                </c:pt>
              </c:strCache>
            </c:strRef>
          </c:tx>
          <c:spPr>
            <a:ln w="15875">
              <a:solidFill>
                <a:srgbClr val="00B050"/>
              </a:solidFill>
              <a:prstDash val="dash"/>
            </a:ln>
          </c:spPr>
          <c:marker>
            <c:symbol val="none"/>
          </c:marker>
          <c:cat>
            <c:multiLvlStrRef>
              <c:f>'výkonnost odvětví 2'!$R$29:$AS$30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2'!$R$36:$AS$36</c:f>
              <c:numCache>
                <c:formatCode>#\ ##0.0</c:formatCode>
                <c:ptCount val="28"/>
                <c:pt idx="0">
                  <c:v>6.7</c:v>
                </c:pt>
                <c:pt idx="1">
                  <c:v>6.9</c:v>
                </c:pt>
                <c:pt idx="2">
                  <c:v>8.1</c:v>
                </c:pt>
                <c:pt idx="3">
                  <c:v>13.9</c:v>
                </c:pt>
                <c:pt idx="4">
                  <c:v>15.4</c:v>
                </c:pt>
                <c:pt idx="5">
                  <c:v>16.899999999999999</c:v>
                </c:pt>
                <c:pt idx="6">
                  <c:v>18.8</c:v>
                </c:pt>
                <c:pt idx="7">
                  <c:v>28.8</c:v>
                </c:pt>
                <c:pt idx="8">
                  <c:v>32.799999999999997</c:v>
                </c:pt>
                <c:pt idx="9">
                  <c:v>34.700000000000003</c:v>
                </c:pt>
                <c:pt idx="10">
                  <c:v>41.3</c:v>
                </c:pt>
                <c:pt idx="11">
                  <c:v>38.299999999999997</c:v>
                </c:pt>
                <c:pt idx="12">
                  <c:v>43.4</c:v>
                </c:pt>
                <c:pt idx="13">
                  <c:v>43.7</c:v>
                </c:pt>
                <c:pt idx="14">
                  <c:v>43.7</c:v>
                </c:pt>
                <c:pt idx="15">
                  <c:v>44.8</c:v>
                </c:pt>
                <c:pt idx="16">
                  <c:v>38.799999999999997</c:v>
                </c:pt>
                <c:pt idx="17">
                  <c:v>36.4</c:v>
                </c:pt>
                <c:pt idx="18">
                  <c:v>39.5</c:v>
                </c:pt>
                <c:pt idx="19">
                  <c:v>37.200000000000003</c:v>
                </c:pt>
                <c:pt idx="20">
                  <c:v>28.2</c:v>
                </c:pt>
                <c:pt idx="21">
                  <c:v>16.600000000000001</c:v>
                </c:pt>
                <c:pt idx="22">
                  <c:v>15.1</c:v>
                </c:pt>
                <c:pt idx="23">
                  <c:v>13.7</c:v>
                </c:pt>
                <c:pt idx="24">
                  <c:v>20.3</c:v>
                </c:pt>
                <c:pt idx="25">
                  <c:v>21.5</c:v>
                </c:pt>
                <c:pt idx="26">
                  <c:v>26.2</c:v>
                </c:pt>
                <c:pt idx="27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C68-442F-A64C-84E2BBCF8801}"/>
            </c:ext>
          </c:extLst>
        </c:ser>
        <c:ser>
          <c:idx val="6"/>
          <c:order val="6"/>
          <c:tx>
            <c:strRef>
              <c:f>'výkonnost odvětví 2'!$A$37</c:f>
              <c:strCache>
                <c:ptCount val="1"/>
                <c:pt idx="0">
                  <c:v>Bariéra růstu: nedost. materiálu a zařízení</c:v>
                </c:pt>
              </c:strCache>
            </c:strRef>
          </c:tx>
          <c:spPr>
            <a:ln w="15875">
              <a:solidFill>
                <a:srgbClr val="92D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2'!$R$29:$AS$30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2'!$R$37:$AS$37</c:f>
              <c:numCache>
                <c:formatCode>#\ ##0.0</c:formatCode>
                <c:ptCount val="28"/>
                <c:pt idx="0">
                  <c:v>7.8</c:v>
                </c:pt>
                <c:pt idx="1">
                  <c:v>10.1</c:v>
                </c:pt>
                <c:pt idx="2">
                  <c:v>10.5</c:v>
                </c:pt>
                <c:pt idx="3">
                  <c:v>10</c:v>
                </c:pt>
                <c:pt idx="4">
                  <c:v>11.1</c:v>
                </c:pt>
                <c:pt idx="5">
                  <c:v>7.1</c:v>
                </c:pt>
                <c:pt idx="6">
                  <c:v>8.5</c:v>
                </c:pt>
                <c:pt idx="7">
                  <c:v>7.8</c:v>
                </c:pt>
                <c:pt idx="8">
                  <c:v>9.9</c:v>
                </c:pt>
                <c:pt idx="9">
                  <c:v>7.8</c:v>
                </c:pt>
                <c:pt idx="10">
                  <c:v>10</c:v>
                </c:pt>
                <c:pt idx="11">
                  <c:v>20.8</c:v>
                </c:pt>
                <c:pt idx="12">
                  <c:v>13.9</c:v>
                </c:pt>
                <c:pt idx="13">
                  <c:v>12.8</c:v>
                </c:pt>
                <c:pt idx="14">
                  <c:v>14.1</c:v>
                </c:pt>
                <c:pt idx="15">
                  <c:v>20</c:v>
                </c:pt>
                <c:pt idx="16">
                  <c:v>27.1</c:v>
                </c:pt>
                <c:pt idx="17">
                  <c:v>26.8</c:v>
                </c:pt>
                <c:pt idx="18">
                  <c:v>23.8</c:v>
                </c:pt>
                <c:pt idx="19">
                  <c:v>9.4</c:v>
                </c:pt>
                <c:pt idx="20">
                  <c:v>17.399999999999999</c:v>
                </c:pt>
                <c:pt idx="21">
                  <c:v>11.5</c:v>
                </c:pt>
                <c:pt idx="22">
                  <c:v>7.6</c:v>
                </c:pt>
                <c:pt idx="23">
                  <c:v>8.6</c:v>
                </c:pt>
                <c:pt idx="24">
                  <c:v>19</c:v>
                </c:pt>
                <c:pt idx="25">
                  <c:v>31.2</c:v>
                </c:pt>
                <c:pt idx="26">
                  <c:v>46</c:v>
                </c:pt>
                <c:pt idx="27">
                  <c:v>44.1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C68-442F-A64C-84E2BBCF8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9819375"/>
        <c:axId val="1239826863"/>
      </c:lineChart>
      <c:catAx>
        <c:axId val="1127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12769664"/>
        <c:crosses val="autoZero"/>
        <c:auto val="1"/>
        <c:lblAlgn val="ctr"/>
        <c:lblOffset val="0"/>
        <c:noMultiLvlLbl val="0"/>
      </c:catAx>
      <c:valAx>
        <c:axId val="112769664"/>
        <c:scaling>
          <c:orientation val="minMax"/>
          <c:max val="90"/>
          <c:min val="-50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Zakázky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crossAx val="112768128"/>
        <c:crosses val="autoZero"/>
        <c:crossBetween val="between"/>
        <c:majorUnit val="10"/>
      </c:valAx>
      <c:valAx>
        <c:axId val="1239826863"/>
        <c:scaling>
          <c:orientation val="minMax"/>
          <c:max val="10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Využití výrobních kapacit, bariéry růstu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1239819375"/>
        <c:crosses val="max"/>
        <c:crossBetween val="between"/>
        <c:majorUnit val="10"/>
      </c:valAx>
      <c:catAx>
        <c:axId val="123981937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39826863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2.7314272288425441E-3"/>
          <c:y val="0.86637178221057443"/>
          <c:w val="0.98145286191722114"/>
          <c:h val="0.11961849426911302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88042665536843E-2"/>
          <c:y val="2.1373653391166647E-2"/>
          <c:w val="0.83920590187534483"/>
          <c:h val="0.74363116038292876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'výkonnost odvětví 3'!$Y$10</c:f>
              <c:strCache>
                <c:ptCount val="1"/>
                <c:pt idx="0">
                  <c:v>Pozemní stavitelství (příspěvek v p. b.)</c:v>
                </c:pt>
              </c:strCache>
            </c:strRef>
          </c:tx>
          <c:spPr>
            <a:solidFill>
              <a:srgbClr val="A6CDE9"/>
            </a:solidFill>
            <a:ln>
              <a:noFill/>
            </a:ln>
          </c:spPr>
          <c:invertIfNegative val="0"/>
          <c:cat>
            <c:multiLvlStrRef>
              <c:f>'výkonnost odvětví 3'!$V$31:$W$58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3'!$Y$31:$Y$58</c:f>
              <c:numCache>
                <c:formatCode>0.0</c:formatCode>
                <c:ptCount val="28"/>
                <c:pt idx="0">
                  <c:v>6.0438011627933257</c:v>
                </c:pt>
                <c:pt idx="1">
                  <c:v>5.0356622799128079</c:v>
                </c:pt>
                <c:pt idx="2">
                  <c:v>0.80656870796078717</c:v>
                </c:pt>
                <c:pt idx="3">
                  <c:v>-1.7530610153732784</c:v>
                </c:pt>
                <c:pt idx="4">
                  <c:v>-4.9863707587553465</c:v>
                </c:pt>
                <c:pt idx="5">
                  <c:v>-4.9489219845547545</c:v>
                </c:pt>
                <c:pt idx="6">
                  <c:v>0.77781043047937015</c:v>
                </c:pt>
                <c:pt idx="7">
                  <c:v>3.9334023726571377</c:v>
                </c:pt>
                <c:pt idx="8">
                  <c:v>2.3355494800154823</c:v>
                </c:pt>
                <c:pt idx="9">
                  <c:v>9.8981683491933889</c:v>
                </c:pt>
                <c:pt idx="10">
                  <c:v>3.4099563953763048</c:v>
                </c:pt>
                <c:pt idx="11">
                  <c:v>2.6459437051818959</c:v>
                </c:pt>
                <c:pt idx="12">
                  <c:v>13.590414271081219</c:v>
                </c:pt>
                <c:pt idx="13">
                  <c:v>6.2954934631771122</c:v>
                </c:pt>
                <c:pt idx="14">
                  <c:v>7.6962445638269879</c:v>
                </c:pt>
                <c:pt idx="15">
                  <c:v>2.4840661147145888</c:v>
                </c:pt>
                <c:pt idx="16">
                  <c:v>2.900227578642244</c:v>
                </c:pt>
                <c:pt idx="17">
                  <c:v>2.424682202156113</c:v>
                </c:pt>
                <c:pt idx="18">
                  <c:v>-0.69225211416254095</c:v>
                </c:pt>
                <c:pt idx="19">
                  <c:v>2.4250704608509541</c:v>
                </c:pt>
                <c:pt idx="20">
                  <c:v>-0.34974345948927882</c:v>
                </c:pt>
                <c:pt idx="21">
                  <c:v>-7.4201269875959186</c:v>
                </c:pt>
                <c:pt idx="22">
                  <c:v>-7.1660053785572817</c:v>
                </c:pt>
                <c:pt idx="23">
                  <c:v>-8.6173078224473105</c:v>
                </c:pt>
                <c:pt idx="24">
                  <c:v>-5.4817105156454513</c:v>
                </c:pt>
                <c:pt idx="25">
                  <c:v>0.95945333268849331</c:v>
                </c:pt>
                <c:pt idx="26">
                  <c:v>1.3227458482577443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88-43E9-B75A-73A1626951D9}"/>
            </c:ext>
          </c:extLst>
        </c:ser>
        <c:ser>
          <c:idx val="2"/>
          <c:order val="2"/>
          <c:tx>
            <c:strRef>
              <c:f>'výkonnost odvětví 3'!$Z$10</c:f>
              <c:strCache>
                <c:ptCount val="1"/>
                <c:pt idx="0">
                  <c:v>Inženýrské stavitelství (příspěvek v p. b.)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cat>
            <c:multiLvlStrRef>
              <c:f>'výkonnost odvětví 3'!$V$31:$W$58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3'!$Z$31:$Z$58</c:f>
              <c:numCache>
                <c:formatCode>0.0</c:formatCode>
                <c:ptCount val="28"/>
                <c:pt idx="0">
                  <c:v>3.2371982553782952</c:v>
                </c:pt>
                <c:pt idx="1">
                  <c:v>7.2133749627227104</c:v>
                </c:pt>
                <c:pt idx="2">
                  <c:v>7.3964446179041925</c:v>
                </c:pt>
                <c:pt idx="3">
                  <c:v>2.8551906483182501</c:v>
                </c:pt>
                <c:pt idx="4">
                  <c:v>-1.2749117653997506</c:v>
                </c:pt>
                <c:pt idx="5">
                  <c:v>-5.4146008156091519</c:v>
                </c:pt>
                <c:pt idx="6">
                  <c:v>-7.0616377604553673</c:v>
                </c:pt>
                <c:pt idx="7">
                  <c:v>-5.9113683821217888</c:v>
                </c:pt>
                <c:pt idx="8">
                  <c:v>-3.3925904099907536</c:v>
                </c:pt>
                <c:pt idx="9">
                  <c:v>-1.1991401128015102</c:v>
                </c:pt>
                <c:pt idx="10">
                  <c:v>-1.5293006672350611</c:v>
                </c:pt>
                <c:pt idx="11">
                  <c:v>0.24907951935880857</c:v>
                </c:pt>
                <c:pt idx="12">
                  <c:v>1.7516097286696628</c:v>
                </c:pt>
                <c:pt idx="13">
                  <c:v>1.2046564754791684</c:v>
                </c:pt>
                <c:pt idx="14">
                  <c:v>4.715270627039903</c:v>
                </c:pt>
                <c:pt idx="15">
                  <c:v>1.8993781622287222</c:v>
                </c:pt>
                <c:pt idx="16">
                  <c:v>0.73586367450577694</c:v>
                </c:pt>
                <c:pt idx="17">
                  <c:v>1.8713141490002672</c:v>
                </c:pt>
                <c:pt idx="18">
                  <c:v>0.75630969709864526</c:v>
                </c:pt>
                <c:pt idx="19">
                  <c:v>0.84442201723579546</c:v>
                </c:pt>
                <c:pt idx="20">
                  <c:v>3.2043103221640221</c:v>
                </c:pt>
                <c:pt idx="21">
                  <c:v>1.2156875713914082</c:v>
                </c:pt>
                <c:pt idx="22">
                  <c:v>-1.872550309741204</c:v>
                </c:pt>
                <c:pt idx="23">
                  <c:v>0.34457657179992612</c:v>
                </c:pt>
                <c:pt idx="24">
                  <c:v>-1.6230621842041278E-2</c:v>
                </c:pt>
                <c:pt idx="25">
                  <c:v>1.491267425774895</c:v>
                </c:pt>
                <c:pt idx="26">
                  <c:v>0.3613882729567976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88-43E9-B75A-73A1626951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112768128"/>
        <c:axId val="112769664"/>
      </c:barChart>
      <c:lineChart>
        <c:grouping val="standard"/>
        <c:varyColors val="0"/>
        <c:ser>
          <c:idx val="0"/>
          <c:order val="0"/>
          <c:tx>
            <c:strRef>
              <c:f>'výkonnost odvětví 3'!$X$10</c:f>
              <c:strCache>
                <c:ptCount val="1"/>
                <c:pt idx="0">
                  <c:v>Celková stavební produkce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'výkonnost odvětví 3'!$V$31:$W$58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3'!$X$31:$X$58</c:f>
              <c:numCache>
                <c:formatCode>0.0</c:formatCode>
                <c:ptCount val="28"/>
                <c:pt idx="0">
                  <c:v>9.1981967852436952</c:v>
                </c:pt>
                <c:pt idx="1">
                  <c:v>11.979231310332167</c:v>
                </c:pt>
                <c:pt idx="2">
                  <c:v>7.8436914411975209</c:v>
                </c:pt>
                <c:pt idx="3">
                  <c:v>0.93908945473563676</c:v>
                </c:pt>
                <c:pt idx="4">
                  <c:v>-6.2720367886960844</c:v>
                </c:pt>
                <c:pt idx="5">
                  <c:v>-10.217948961775832</c:v>
                </c:pt>
                <c:pt idx="6">
                  <c:v>-5.9128837473306675</c:v>
                </c:pt>
                <c:pt idx="7">
                  <c:v>-1.6490741350538372</c:v>
                </c:pt>
                <c:pt idx="8">
                  <c:v>-0.83027989407798941</c:v>
                </c:pt>
                <c:pt idx="9">
                  <c:v>8.9828989719573684</c:v>
                </c:pt>
                <c:pt idx="10">
                  <c:v>2.0528855981855969</c:v>
                </c:pt>
                <c:pt idx="11">
                  <c:v>2.9386011856891798</c:v>
                </c:pt>
                <c:pt idx="12">
                  <c:v>15.340547140094742</c:v>
                </c:pt>
                <c:pt idx="13">
                  <c:v>7.5004661645166948</c:v>
                </c:pt>
                <c:pt idx="14">
                  <c:v>12.407061564722397</c:v>
                </c:pt>
                <c:pt idx="15">
                  <c:v>4.3091988287667675</c:v>
                </c:pt>
                <c:pt idx="16">
                  <c:v>3.6357272269666794</c:v>
                </c:pt>
                <c:pt idx="17">
                  <c:v>4.2974086914997685</c:v>
                </c:pt>
                <c:pt idx="18">
                  <c:v>6.5097503135746138E-2</c:v>
                </c:pt>
                <c:pt idx="19">
                  <c:v>3.2695168456974244</c:v>
                </c:pt>
                <c:pt idx="20">
                  <c:v>2.8543582435972752</c:v>
                </c:pt>
                <c:pt idx="21">
                  <c:v>-6.203541602247185</c:v>
                </c:pt>
                <c:pt idx="22">
                  <c:v>-9.0398619470592791</c:v>
                </c:pt>
                <c:pt idx="23">
                  <c:v>-8.2742434534941793</c:v>
                </c:pt>
                <c:pt idx="24">
                  <c:v>-5.4974792389888165</c:v>
                </c:pt>
                <c:pt idx="25">
                  <c:v>2.4517602667422551</c:v>
                </c:pt>
                <c:pt idx="26">
                  <c:v>1.6765239276366799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A88-43E9-B75A-73A1626951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68128"/>
        <c:axId val="112769664"/>
      </c:lineChart>
      <c:lineChart>
        <c:grouping val="standard"/>
        <c:varyColors val="0"/>
        <c:ser>
          <c:idx val="3"/>
          <c:order val="3"/>
          <c:tx>
            <c:strRef>
              <c:f>'výkonnost odvětví 3'!$AA$10</c:f>
              <c:strCache>
                <c:ptCount val="1"/>
                <c:pt idx="0">
                  <c:v>Nové stavební zakázky v tuzemsku</c:v>
                </c:pt>
              </c:strCache>
            </c:strRef>
          </c:tx>
          <c:spPr>
            <a:ln w="15875">
              <a:solidFill>
                <a:srgbClr val="984807"/>
              </a:solidFill>
            </a:ln>
          </c:spPr>
          <c:marker>
            <c:symbol val="none"/>
          </c:marker>
          <c:cat>
            <c:multiLvlStrRef>
              <c:f>'výkonnost odvětví 3'!$V$31:$W$58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3'!$AA$31:$AA$58</c:f>
              <c:numCache>
                <c:formatCode>0.0</c:formatCode>
                <c:ptCount val="28"/>
                <c:pt idx="0">
                  <c:v>-3.1547956675580053</c:v>
                </c:pt>
                <c:pt idx="1">
                  <c:v>9.7504961091663205</c:v>
                </c:pt>
                <c:pt idx="2">
                  <c:v>-1.097606022761255</c:v>
                </c:pt>
                <c:pt idx="3">
                  <c:v>-2.3987783410040464</c:v>
                </c:pt>
                <c:pt idx="4">
                  <c:v>-6.6406358945753823</c:v>
                </c:pt>
                <c:pt idx="5">
                  <c:v>-0.49977652269311079</c:v>
                </c:pt>
                <c:pt idx="6">
                  <c:v>-7.0322087253454839</c:v>
                </c:pt>
                <c:pt idx="7">
                  <c:v>10.122126124559955</c:v>
                </c:pt>
                <c:pt idx="8">
                  <c:v>16.177217458847437</c:v>
                </c:pt>
                <c:pt idx="9">
                  <c:v>9.5350878984013008</c:v>
                </c:pt>
                <c:pt idx="10">
                  <c:v>-1.2817324431350698</c:v>
                </c:pt>
                <c:pt idx="11">
                  <c:v>15.620806693503823</c:v>
                </c:pt>
                <c:pt idx="12">
                  <c:v>30.10697387368856</c:v>
                </c:pt>
                <c:pt idx="13">
                  <c:v>32.836878110611963</c:v>
                </c:pt>
                <c:pt idx="14">
                  <c:v>5.2768249907951201</c:v>
                </c:pt>
                <c:pt idx="15">
                  <c:v>1.8944565811032277</c:v>
                </c:pt>
                <c:pt idx="16">
                  <c:v>14.157245632065781</c:v>
                </c:pt>
                <c:pt idx="17">
                  <c:v>-9.3849543241233135</c:v>
                </c:pt>
                <c:pt idx="18">
                  <c:v>17.407871000993993</c:v>
                </c:pt>
                <c:pt idx="19">
                  <c:v>5.8323004254463768</c:v>
                </c:pt>
                <c:pt idx="20">
                  <c:v>-12.441635069859245</c:v>
                </c:pt>
                <c:pt idx="21">
                  <c:v>7.497345722028669</c:v>
                </c:pt>
                <c:pt idx="22">
                  <c:v>2.0599736606932879</c:v>
                </c:pt>
                <c:pt idx="23">
                  <c:v>7.5507850088630164</c:v>
                </c:pt>
                <c:pt idx="24">
                  <c:v>28.188227371706034</c:v>
                </c:pt>
                <c:pt idx="25">
                  <c:v>21.356647205514562</c:v>
                </c:pt>
                <c:pt idx="26">
                  <c:v>10.238212063911533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A88-43E9-B75A-73A1626951D9}"/>
            </c:ext>
          </c:extLst>
        </c:ser>
        <c:ser>
          <c:idx val="4"/>
          <c:order val="4"/>
          <c:tx>
            <c:strRef>
              <c:f>'výkonnost odvětví 3'!$AB$10</c:f>
              <c:strCache>
                <c:ptCount val="1"/>
                <c:pt idx="0">
                  <c:v>Bariéra růstu: nedostatečná poptávka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'výkonnost odvětví 3'!$V$31:$W$58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3'!$AB$31:$AB$58</c:f>
              <c:numCache>
                <c:formatCode>#\ ##0.0</c:formatCode>
                <c:ptCount val="28"/>
                <c:pt idx="0">
                  <c:v>65.8</c:v>
                </c:pt>
                <c:pt idx="1">
                  <c:v>60.4</c:v>
                </c:pt>
                <c:pt idx="2">
                  <c:v>58.9</c:v>
                </c:pt>
                <c:pt idx="3">
                  <c:v>57.6</c:v>
                </c:pt>
                <c:pt idx="4">
                  <c:v>54.5</c:v>
                </c:pt>
                <c:pt idx="5">
                  <c:v>61.1</c:v>
                </c:pt>
                <c:pt idx="6">
                  <c:v>60.4</c:v>
                </c:pt>
                <c:pt idx="7">
                  <c:v>57</c:v>
                </c:pt>
                <c:pt idx="8">
                  <c:v>53.9</c:v>
                </c:pt>
                <c:pt idx="9">
                  <c:v>54.3</c:v>
                </c:pt>
                <c:pt idx="10">
                  <c:v>50</c:v>
                </c:pt>
                <c:pt idx="11">
                  <c:v>48.3</c:v>
                </c:pt>
                <c:pt idx="12">
                  <c:v>40.299999999999997</c:v>
                </c:pt>
                <c:pt idx="13">
                  <c:v>38.200000000000003</c:v>
                </c:pt>
                <c:pt idx="14">
                  <c:v>33.4</c:v>
                </c:pt>
                <c:pt idx="15">
                  <c:v>24.1</c:v>
                </c:pt>
                <c:pt idx="16">
                  <c:v>25.4</c:v>
                </c:pt>
                <c:pt idx="17">
                  <c:v>23.3</c:v>
                </c:pt>
                <c:pt idx="18">
                  <c:v>17.899999999999999</c:v>
                </c:pt>
                <c:pt idx="19">
                  <c:v>20.9</c:v>
                </c:pt>
                <c:pt idx="20">
                  <c:v>30.3</c:v>
                </c:pt>
                <c:pt idx="21">
                  <c:v>29.3</c:v>
                </c:pt>
                <c:pt idx="22">
                  <c:v>38.799999999999997</c:v>
                </c:pt>
                <c:pt idx="23" formatCode="General">
                  <c:v>41.2</c:v>
                </c:pt>
                <c:pt idx="24">
                  <c:v>31.3</c:v>
                </c:pt>
                <c:pt idx="25">
                  <c:v>34.200000000000003</c:v>
                </c:pt>
                <c:pt idx="26">
                  <c:v>23.8</c:v>
                </c:pt>
                <c:pt idx="27">
                  <c:v>20.5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A88-43E9-B75A-73A1626951D9}"/>
            </c:ext>
          </c:extLst>
        </c:ser>
        <c:ser>
          <c:idx val="5"/>
          <c:order val="5"/>
          <c:tx>
            <c:strRef>
              <c:f>'výkonnost odvětví 3'!$AC$10</c:f>
              <c:strCache>
                <c:ptCount val="1"/>
                <c:pt idx="0">
                  <c:v>Bariéra růstu: nedostatek pracovníků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3'!$V$31:$W$58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3'!$AC$31:$AC$58</c:f>
              <c:numCache>
                <c:formatCode>#\ ##0.0</c:formatCode>
                <c:ptCount val="28"/>
                <c:pt idx="0">
                  <c:v>6.8</c:v>
                </c:pt>
                <c:pt idx="1">
                  <c:v>7.9</c:v>
                </c:pt>
                <c:pt idx="2">
                  <c:v>7.2</c:v>
                </c:pt>
                <c:pt idx="3">
                  <c:v>7</c:v>
                </c:pt>
                <c:pt idx="4">
                  <c:v>5.8</c:v>
                </c:pt>
                <c:pt idx="5">
                  <c:v>6.7</c:v>
                </c:pt>
                <c:pt idx="6">
                  <c:v>7.8</c:v>
                </c:pt>
                <c:pt idx="7">
                  <c:v>10.7</c:v>
                </c:pt>
                <c:pt idx="8">
                  <c:v>11.5</c:v>
                </c:pt>
                <c:pt idx="9">
                  <c:v>14</c:v>
                </c:pt>
                <c:pt idx="10">
                  <c:v>22.7</c:v>
                </c:pt>
                <c:pt idx="11">
                  <c:v>23.1</c:v>
                </c:pt>
                <c:pt idx="12">
                  <c:v>23.5</c:v>
                </c:pt>
                <c:pt idx="13">
                  <c:v>29.3</c:v>
                </c:pt>
                <c:pt idx="14">
                  <c:v>30.4</c:v>
                </c:pt>
                <c:pt idx="15">
                  <c:v>40.799999999999997</c:v>
                </c:pt>
                <c:pt idx="16">
                  <c:v>34.299999999999997</c:v>
                </c:pt>
                <c:pt idx="17">
                  <c:v>43</c:v>
                </c:pt>
                <c:pt idx="18">
                  <c:v>55</c:v>
                </c:pt>
                <c:pt idx="19">
                  <c:v>49.7</c:v>
                </c:pt>
                <c:pt idx="20">
                  <c:v>50</c:v>
                </c:pt>
                <c:pt idx="21">
                  <c:v>46.3</c:v>
                </c:pt>
                <c:pt idx="22">
                  <c:v>38.200000000000003</c:v>
                </c:pt>
                <c:pt idx="23" formatCode="0.0">
                  <c:v>34</c:v>
                </c:pt>
                <c:pt idx="24">
                  <c:v>43.6</c:v>
                </c:pt>
                <c:pt idx="25">
                  <c:v>32</c:v>
                </c:pt>
                <c:pt idx="26">
                  <c:v>42.6</c:v>
                </c:pt>
                <c:pt idx="27">
                  <c:v>45.2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A88-43E9-B75A-73A1626951D9}"/>
            </c:ext>
          </c:extLst>
        </c:ser>
        <c:ser>
          <c:idx val="6"/>
          <c:order val="6"/>
          <c:tx>
            <c:strRef>
              <c:f>'výkonnost odvětví 3'!$AD$10</c:f>
              <c:strCache>
                <c:ptCount val="1"/>
                <c:pt idx="0">
                  <c:v>Saldo indikátoru důvěry ve stavebnictví</c:v>
                </c:pt>
              </c:strCache>
            </c:strRef>
          </c:tx>
          <c:spPr>
            <a:ln w="12700">
              <a:prstDash val="sysDot"/>
            </a:ln>
          </c:spPr>
          <c:marker>
            <c:symbol val="circle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cat>
            <c:multiLvlStrRef>
              <c:f>'výkonnost odvětví 3'!$V$31:$W$58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3'!$AD$31:$AD$58</c:f>
              <c:numCache>
                <c:formatCode>0.0</c:formatCode>
                <c:ptCount val="28"/>
                <c:pt idx="0">
                  <c:v>-21</c:v>
                </c:pt>
                <c:pt idx="1">
                  <c:v>-16</c:v>
                </c:pt>
                <c:pt idx="2">
                  <c:v>-20</c:v>
                </c:pt>
                <c:pt idx="3">
                  <c:v>-14.5</c:v>
                </c:pt>
                <c:pt idx="4">
                  <c:v>-14.5</c:v>
                </c:pt>
                <c:pt idx="5">
                  <c:v>-25.5</c:v>
                </c:pt>
                <c:pt idx="6">
                  <c:v>-24.5</c:v>
                </c:pt>
                <c:pt idx="7">
                  <c:v>-23</c:v>
                </c:pt>
                <c:pt idx="8">
                  <c:v>-22.5</c:v>
                </c:pt>
                <c:pt idx="9">
                  <c:v>-24.5</c:v>
                </c:pt>
                <c:pt idx="10">
                  <c:v>-18.5</c:v>
                </c:pt>
                <c:pt idx="11">
                  <c:v>-15</c:v>
                </c:pt>
                <c:pt idx="12">
                  <c:v>-9</c:v>
                </c:pt>
                <c:pt idx="13">
                  <c:v>-6</c:v>
                </c:pt>
                <c:pt idx="14">
                  <c:v>-2</c:v>
                </c:pt>
                <c:pt idx="15">
                  <c:v>1</c:v>
                </c:pt>
                <c:pt idx="16">
                  <c:v>3.5</c:v>
                </c:pt>
                <c:pt idx="17">
                  <c:v>4</c:v>
                </c:pt>
                <c:pt idx="18">
                  <c:v>-1</c:v>
                </c:pt>
                <c:pt idx="19">
                  <c:v>1</c:v>
                </c:pt>
                <c:pt idx="20">
                  <c:v>-3</c:v>
                </c:pt>
                <c:pt idx="21">
                  <c:v>-15</c:v>
                </c:pt>
                <c:pt idx="22">
                  <c:v>-13</c:v>
                </c:pt>
                <c:pt idx="23">
                  <c:v>-11.5</c:v>
                </c:pt>
                <c:pt idx="24">
                  <c:v>-6</c:v>
                </c:pt>
                <c:pt idx="25">
                  <c:v>-5.5</c:v>
                </c:pt>
                <c:pt idx="26">
                  <c:v>-4.5</c:v>
                </c:pt>
                <c:pt idx="27">
                  <c:v>-6.5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A88-43E9-B75A-73A1626951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8074639"/>
        <c:axId val="1118080463"/>
      </c:lineChart>
      <c:catAx>
        <c:axId val="1127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9664"/>
        <c:crosses val="autoZero"/>
        <c:auto val="1"/>
        <c:lblAlgn val="ctr"/>
        <c:lblOffset val="0"/>
        <c:noMultiLvlLbl val="0"/>
      </c:catAx>
      <c:valAx>
        <c:axId val="112769664"/>
        <c:scaling>
          <c:orientation val="minMax"/>
          <c:max val="30"/>
          <c:min val="-20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/>
                  <a:t>Příspěvky ke</a:t>
                </a:r>
                <a:r>
                  <a:rPr lang="cs-CZ" baseline="0"/>
                  <a:t> změně</a:t>
                </a:r>
                <a:r>
                  <a:rPr lang="cs-CZ"/>
                  <a:t> stavební produkce</a:t>
                </a:r>
              </a:p>
            </c:rich>
          </c:tx>
          <c:layout>
            <c:manualLayout>
              <c:xMode val="edge"/>
              <c:yMode val="edge"/>
              <c:x val="0"/>
              <c:y val="0.1826082160045230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8128"/>
        <c:crosses val="autoZero"/>
        <c:crossBetween val="between"/>
        <c:majorUnit val="5"/>
      </c:valAx>
      <c:valAx>
        <c:axId val="1118080463"/>
        <c:scaling>
          <c:orientation val="minMax"/>
          <c:max val="90"/>
          <c:min val="-6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/>
                  <a:t>Zakázky, saldo indikátoru důvěry, bariéry růstu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118074639"/>
        <c:crosses val="max"/>
        <c:crossBetween val="between"/>
        <c:majorUnit val="15"/>
      </c:valAx>
      <c:catAx>
        <c:axId val="111807463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18080463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1.5911186273789468E-2"/>
          <c:y val="0.85236205869026183"/>
          <c:w val="0.96875587640831429"/>
          <c:h val="0.13713064866950375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02403443089487E-2"/>
          <c:y val="1.5803328678987455E-2"/>
          <c:w val="0.83457093783787462"/>
          <c:h val="0.7103501120970378"/>
        </c:manualLayout>
      </c:layout>
      <c:barChart>
        <c:barDir val="col"/>
        <c:grouping val="stacked"/>
        <c:varyColors val="0"/>
        <c:ser>
          <c:idx val="0"/>
          <c:order val="1"/>
          <c:tx>
            <c:strRef>
              <c:f>'Služby-příspěvkyk růstu'!$D$25</c:f>
              <c:strCache>
                <c:ptCount val="1"/>
                <c:pt idx="0">
                  <c:v>Doprava a skladování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růstu'!$D$38:$D$65</c:f>
              <c:numCache>
                <c:formatCode>0.0</c:formatCode>
                <c:ptCount val="28"/>
                <c:pt idx="0">
                  <c:v>0.17784702557599033</c:v>
                </c:pt>
                <c:pt idx="1">
                  <c:v>-4.1153954550536498E-2</c:v>
                </c:pt>
                <c:pt idx="2">
                  <c:v>0.19675507185404387</c:v>
                </c:pt>
                <c:pt idx="3">
                  <c:v>4.4524490268410655E-2</c:v>
                </c:pt>
                <c:pt idx="4">
                  <c:v>0.13946448096623712</c:v>
                </c:pt>
                <c:pt idx="5">
                  <c:v>0.20828573579317947</c:v>
                </c:pt>
                <c:pt idx="6">
                  <c:v>0.13789200530936441</c:v>
                </c:pt>
                <c:pt idx="7">
                  <c:v>0.86068515110873312</c:v>
                </c:pt>
                <c:pt idx="8">
                  <c:v>1.7974934723664766</c:v>
                </c:pt>
                <c:pt idx="9">
                  <c:v>1.0846625349009715</c:v>
                </c:pt>
                <c:pt idx="10">
                  <c:v>1.1351852375742451</c:v>
                </c:pt>
                <c:pt idx="11">
                  <c:v>0.60468210639017606</c:v>
                </c:pt>
                <c:pt idx="12">
                  <c:v>1.7465012928992198</c:v>
                </c:pt>
                <c:pt idx="13">
                  <c:v>1.9213841091805361</c:v>
                </c:pt>
                <c:pt idx="14">
                  <c:v>1.4689302905524204</c:v>
                </c:pt>
                <c:pt idx="15">
                  <c:v>0.50117729578518855</c:v>
                </c:pt>
                <c:pt idx="16">
                  <c:v>0.75263240054785618</c:v>
                </c:pt>
                <c:pt idx="17">
                  <c:v>-8.121137806355179E-2</c:v>
                </c:pt>
                <c:pt idx="18">
                  <c:v>-0.66994926294940094</c:v>
                </c:pt>
                <c:pt idx="19">
                  <c:v>-0.54040905308684861</c:v>
                </c:pt>
                <c:pt idx="20">
                  <c:v>-1.8646944794628024</c:v>
                </c:pt>
                <c:pt idx="21">
                  <c:v>-6.878087924179022</c:v>
                </c:pt>
                <c:pt idx="22">
                  <c:v>-4.2189928547766087</c:v>
                </c:pt>
                <c:pt idx="23">
                  <c:v>-1.7609092819422958</c:v>
                </c:pt>
                <c:pt idx="24">
                  <c:v>-0.16804847993273522</c:v>
                </c:pt>
                <c:pt idx="25">
                  <c:v>6.9190435307348803</c:v>
                </c:pt>
                <c:pt idx="26">
                  <c:v>4.1516492855973404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F3-421F-8535-D3728491CD14}"/>
            </c:ext>
          </c:extLst>
        </c:ser>
        <c:ser>
          <c:idx val="1"/>
          <c:order val="2"/>
          <c:tx>
            <c:strRef>
              <c:f>'Služby-příspěvkyk růstu'!$E$25</c:f>
              <c:strCache>
                <c:ptCount val="1"/>
                <c:pt idx="0">
                  <c:v>Ubytování, stravování a pohostinství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invertIfNegative val="0"/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růstu'!$E$38:$E$65</c:f>
              <c:numCache>
                <c:formatCode>0.0</c:formatCode>
                <c:ptCount val="28"/>
                <c:pt idx="0">
                  <c:v>0.23068727874505793</c:v>
                </c:pt>
                <c:pt idx="1">
                  <c:v>0.65500430584103086</c:v>
                </c:pt>
                <c:pt idx="2">
                  <c:v>0.65445127748121035</c:v>
                </c:pt>
                <c:pt idx="3">
                  <c:v>0.40295089080303936</c:v>
                </c:pt>
                <c:pt idx="4">
                  <c:v>0.46667218520329662</c:v>
                </c:pt>
                <c:pt idx="5">
                  <c:v>0.17104444695300572</c:v>
                </c:pt>
                <c:pt idx="6">
                  <c:v>0.56704693143903195</c:v>
                </c:pt>
                <c:pt idx="7">
                  <c:v>0.60083208257587717</c:v>
                </c:pt>
                <c:pt idx="8">
                  <c:v>0.91455838493249142</c:v>
                </c:pt>
                <c:pt idx="9">
                  <c:v>1.231607253071263</c:v>
                </c:pt>
                <c:pt idx="10">
                  <c:v>0.5534510922648459</c:v>
                </c:pt>
                <c:pt idx="11">
                  <c:v>0.45394811178918809</c:v>
                </c:pt>
                <c:pt idx="12">
                  <c:v>0.20369258900958792</c:v>
                </c:pt>
                <c:pt idx="13">
                  <c:v>4.7235698176859818E-2</c:v>
                </c:pt>
                <c:pt idx="14">
                  <c:v>5.8750890591798624E-2</c:v>
                </c:pt>
                <c:pt idx="15">
                  <c:v>-3.8366347387654286E-2</c:v>
                </c:pt>
                <c:pt idx="16">
                  <c:v>0.19921781020350779</c:v>
                </c:pt>
                <c:pt idx="17">
                  <c:v>0.19028430952840486</c:v>
                </c:pt>
                <c:pt idx="18">
                  <c:v>-1.916690216819248E-2</c:v>
                </c:pt>
                <c:pt idx="19">
                  <c:v>-1.9416332102348634E-2</c:v>
                </c:pt>
                <c:pt idx="20">
                  <c:v>-1.1590920187971767</c:v>
                </c:pt>
                <c:pt idx="21">
                  <c:v>-4.9671767321872178</c:v>
                </c:pt>
                <c:pt idx="22">
                  <c:v>-1.9514933163814434</c:v>
                </c:pt>
                <c:pt idx="23">
                  <c:v>-4.5016218149526619</c:v>
                </c:pt>
                <c:pt idx="24">
                  <c:v>-3.7518319516703902</c:v>
                </c:pt>
                <c:pt idx="25">
                  <c:v>1.3814530018563129</c:v>
                </c:pt>
                <c:pt idx="26">
                  <c:v>0.63672724057763164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F3-421F-8535-D3728491CD14}"/>
            </c:ext>
          </c:extLst>
        </c:ser>
        <c:ser>
          <c:idx val="2"/>
          <c:order val="3"/>
          <c:tx>
            <c:strRef>
              <c:f>'Služby-příspěvkyk růstu'!$F$25</c:f>
              <c:strCache>
                <c:ptCount val="1"/>
                <c:pt idx="0">
                  <c:v>Informační a komunikační činnosti</c:v>
                </c:pt>
              </c:strCache>
            </c:strRef>
          </c:tx>
          <c:spPr>
            <a:solidFill>
              <a:srgbClr val="E6E100"/>
            </a:solidFill>
            <a:ln>
              <a:noFill/>
            </a:ln>
          </c:spPr>
          <c:invertIfNegative val="0"/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růstu'!$F$38:$F$65</c:f>
              <c:numCache>
                <c:formatCode>0.0</c:formatCode>
                <c:ptCount val="28"/>
                <c:pt idx="0">
                  <c:v>1.4078898109159903</c:v>
                </c:pt>
                <c:pt idx="1">
                  <c:v>0.82525906257812898</c:v>
                </c:pt>
                <c:pt idx="2">
                  <c:v>0.80495762868220244</c:v>
                </c:pt>
                <c:pt idx="3">
                  <c:v>1.3162338204655517</c:v>
                </c:pt>
                <c:pt idx="4">
                  <c:v>0.36033487670421366</c:v>
                </c:pt>
                <c:pt idx="5">
                  <c:v>0.15638027838317614</c:v>
                </c:pt>
                <c:pt idx="6">
                  <c:v>0.32610885513838739</c:v>
                </c:pt>
                <c:pt idx="7">
                  <c:v>0.17762627373781287</c:v>
                </c:pt>
                <c:pt idx="8">
                  <c:v>0.76282425945040022</c:v>
                </c:pt>
                <c:pt idx="9">
                  <c:v>0.98306885205975347</c:v>
                </c:pt>
                <c:pt idx="10">
                  <c:v>0.77131824944810223</c:v>
                </c:pt>
                <c:pt idx="11">
                  <c:v>0.58432043551404034</c:v>
                </c:pt>
                <c:pt idx="12">
                  <c:v>1.4410506386239601</c:v>
                </c:pt>
                <c:pt idx="13">
                  <c:v>0.76544504374458233</c:v>
                </c:pt>
                <c:pt idx="14">
                  <c:v>1.4164775798085461</c:v>
                </c:pt>
                <c:pt idx="15">
                  <c:v>0.98719747480527764</c:v>
                </c:pt>
                <c:pt idx="16">
                  <c:v>1.2347847857804872</c:v>
                </c:pt>
                <c:pt idx="17">
                  <c:v>1.1610055784403761</c:v>
                </c:pt>
                <c:pt idx="18">
                  <c:v>0.91432300980238912</c:v>
                </c:pt>
                <c:pt idx="19">
                  <c:v>1.1615543875830505</c:v>
                </c:pt>
                <c:pt idx="20">
                  <c:v>0.81914163756703751</c:v>
                </c:pt>
                <c:pt idx="21">
                  <c:v>1.0683374561022049E-2</c:v>
                </c:pt>
                <c:pt idx="22">
                  <c:v>-0.20768828902863873</c:v>
                </c:pt>
                <c:pt idx="23">
                  <c:v>-0.54203634461444483</c:v>
                </c:pt>
                <c:pt idx="24">
                  <c:v>0.48886869688955514</c:v>
                </c:pt>
                <c:pt idx="25">
                  <c:v>1.4749453942967019</c:v>
                </c:pt>
                <c:pt idx="26">
                  <c:v>1.406282767389208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F3-421F-8535-D3728491CD14}"/>
            </c:ext>
          </c:extLst>
        </c:ser>
        <c:ser>
          <c:idx val="4"/>
          <c:order val="4"/>
          <c:tx>
            <c:strRef>
              <c:f>'Služby-příspěvkyk růstu'!$G$25</c:f>
              <c:strCache>
                <c:ptCount val="1"/>
                <c:pt idx="0">
                  <c:v>Činnosti v oblasti nemovitostí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  <a:prstDash val="sysDash"/>
            </a:ln>
          </c:spPr>
          <c:invertIfNegative val="0"/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růstu'!$G$38:$G$65</c:f>
              <c:numCache>
                <c:formatCode>0.0</c:formatCode>
                <c:ptCount val="28"/>
                <c:pt idx="0">
                  <c:v>4.5114687215489196E-2</c:v>
                </c:pt>
                <c:pt idx="1">
                  <c:v>-4.633203545382855E-3</c:v>
                </c:pt>
                <c:pt idx="2">
                  <c:v>8.5015739753390329E-2</c:v>
                </c:pt>
                <c:pt idx="3">
                  <c:v>4.220830931986512E-2</c:v>
                </c:pt>
                <c:pt idx="4">
                  <c:v>0.22367935692513705</c:v>
                </c:pt>
                <c:pt idx="5">
                  <c:v>6.8179123861302385E-2</c:v>
                </c:pt>
                <c:pt idx="6">
                  <c:v>0.11569139719415283</c:v>
                </c:pt>
                <c:pt idx="7">
                  <c:v>-7.0466113098899399E-2</c:v>
                </c:pt>
                <c:pt idx="8">
                  <c:v>0.28170347372407545</c:v>
                </c:pt>
                <c:pt idx="9">
                  <c:v>0.36183937198533883</c:v>
                </c:pt>
                <c:pt idx="10">
                  <c:v>-3.8722623438578699E-2</c:v>
                </c:pt>
                <c:pt idx="11">
                  <c:v>0.13751786545078354</c:v>
                </c:pt>
                <c:pt idx="12">
                  <c:v>-1.6524917654980809E-2</c:v>
                </c:pt>
                <c:pt idx="13">
                  <c:v>-0.22648210744306341</c:v>
                </c:pt>
                <c:pt idx="14">
                  <c:v>-0.12424593391733178</c:v>
                </c:pt>
                <c:pt idx="15">
                  <c:v>-0.2069362641489616</c:v>
                </c:pt>
                <c:pt idx="16">
                  <c:v>0.14696794947238928</c:v>
                </c:pt>
                <c:pt idx="17">
                  <c:v>-2.7570980462265055E-2</c:v>
                </c:pt>
                <c:pt idx="18">
                  <c:v>-0.16565733818130893</c:v>
                </c:pt>
                <c:pt idx="19">
                  <c:v>-0.11837811648212067</c:v>
                </c:pt>
                <c:pt idx="20">
                  <c:v>0.43339495192195154</c:v>
                </c:pt>
                <c:pt idx="21">
                  <c:v>-0.29664667919137244</c:v>
                </c:pt>
                <c:pt idx="22">
                  <c:v>-0.27589755073842731</c:v>
                </c:pt>
                <c:pt idx="23">
                  <c:v>-0.22603611712587934</c:v>
                </c:pt>
                <c:pt idx="24">
                  <c:v>-0.21976379159449222</c:v>
                </c:pt>
                <c:pt idx="25">
                  <c:v>0.27047496115097869</c:v>
                </c:pt>
                <c:pt idx="26">
                  <c:v>2.075342471890437E-2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F3-421F-8535-D3728491CD14}"/>
            </c:ext>
          </c:extLst>
        </c:ser>
        <c:ser>
          <c:idx val="5"/>
          <c:order val="5"/>
          <c:tx>
            <c:strRef>
              <c:f>'Služby-příspěvkyk růstu'!$H$25</c:f>
              <c:strCache>
                <c:ptCount val="1"/>
                <c:pt idx="0">
                  <c:v>Profesní, vědecké a technické činnosti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</c:spPr>
          <c:invertIfNegative val="0"/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růstu'!$H$38:$H$65</c:f>
              <c:numCache>
                <c:formatCode>0.0</c:formatCode>
                <c:ptCount val="28"/>
                <c:pt idx="0">
                  <c:v>1.0484383463709321</c:v>
                </c:pt>
                <c:pt idx="1">
                  <c:v>0.72052999502781179</c:v>
                </c:pt>
                <c:pt idx="2">
                  <c:v>1.0868604197952834</c:v>
                </c:pt>
                <c:pt idx="3">
                  <c:v>-4.0322082082337972E-2</c:v>
                </c:pt>
                <c:pt idx="4">
                  <c:v>-0.43449187704976927</c:v>
                </c:pt>
                <c:pt idx="5">
                  <c:v>-1.3323039000266932</c:v>
                </c:pt>
                <c:pt idx="6">
                  <c:v>-3.9552220086378894E-3</c:v>
                </c:pt>
                <c:pt idx="7">
                  <c:v>-0.31462694364037369</c:v>
                </c:pt>
                <c:pt idx="8">
                  <c:v>0.96902063476099443</c:v>
                </c:pt>
                <c:pt idx="9">
                  <c:v>0.58685347143608046</c:v>
                </c:pt>
                <c:pt idx="10">
                  <c:v>0.3036767260079471</c:v>
                </c:pt>
                <c:pt idx="11">
                  <c:v>0.42723783324562753</c:v>
                </c:pt>
                <c:pt idx="12">
                  <c:v>1.0465166620234574</c:v>
                </c:pt>
                <c:pt idx="13">
                  <c:v>0.55031893076940297</c:v>
                </c:pt>
                <c:pt idx="14">
                  <c:v>0.36062690239541018</c:v>
                </c:pt>
                <c:pt idx="15">
                  <c:v>-0.26282042548043488</c:v>
                </c:pt>
                <c:pt idx="16">
                  <c:v>0.70683419275912829</c:v>
                </c:pt>
                <c:pt idx="17">
                  <c:v>0.58909336860858441</c:v>
                </c:pt>
                <c:pt idx="18">
                  <c:v>-0.76655146702786459</c:v>
                </c:pt>
                <c:pt idx="19">
                  <c:v>-0.57242584774453176</c:v>
                </c:pt>
                <c:pt idx="20">
                  <c:v>-0.86159954933211313</c:v>
                </c:pt>
                <c:pt idx="21">
                  <c:v>-3.1851816912738524</c:v>
                </c:pt>
                <c:pt idx="22">
                  <c:v>-1.4960642223795051</c:v>
                </c:pt>
                <c:pt idx="23">
                  <c:v>-1.5470412021321964</c:v>
                </c:pt>
                <c:pt idx="24">
                  <c:v>-1.561956763124712</c:v>
                </c:pt>
                <c:pt idx="25">
                  <c:v>2.2441486603574918</c:v>
                </c:pt>
                <c:pt idx="26">
                  <c:v>1.5809358722814144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F3-421F-8535-D3728491CD14}"/>
            </c:ext>
          </c:extLst>
        </c:ser>
        <c:ser>
          <c:idx val="6"/>
          <c:order val="6"/>
          <c:tx>
            <c:strRef>
              <c:f>'Služby-příspěvkyk růstu'!$I$25</c:f>
              <c:strCache>
                <c:ptCount val="1"/>
                <c:pt idx="0">
                  <c:v>Administrativní a podpůrné činnosti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</c:spPr>
          <c:invertIfNegative val="0"/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růstu'!$I$38:$I$65</c:f>
              <c:numCache>
                <c:formatCode>0.0</c:formatCode>
                <c:ptCount val="28"/>
                <c:pt idx="0">
                  <c:v>0.51529021776837436</c:v>
                </c:pt>
                <c:pt idx="1">
                  <c:v>0.62103855147350373</c:v>
                </c:pt>
                <c:pt idx="2">
                  <c:v>0.43595933582649415</c:v>
                </c:pt>
                <c:pt idx="3">
                  <c:v>0.5014624395084516</c:v>
                </c:pt>
                <c:pt idx="4">
                  <c:v>0.46409597389160773</c:v>
                </c:pt>
                <c:pt idx="5">
                  <c:v>0.16302807991689272</c:v>
                </c:pt>
                <c:pt idx="6">
                  <c:v>0.26998446590022002</c:v>
                </c:pt>
                <c:pt idx="7">
                  <c:v>0.51404132645830092</c:v>
                </c:pt>
                <c:pt idx="8">
                  <c:v>1.3081284665881006</c:v>
                </c:pt>
                <c:pt idx="9">
                  <c:v>1.0890272586366447</c:v>
                </c:pt>
                <c:pt idx="10">
                  <c:v>0.64167805687312862</c:v>
                </c:pt>
                <c:pt idx="11">
                  <c:v>0.3049450708114973</c:v>
                </c:pt>
                <c:pt idx="12">
                  <c:v>0.5336964228095209</c:v>
                </c:pt>
                <c:pt idx="13">
                  <c:v>0.37812124631965366</c:v>
                </c:pt>
                <c:pt idx="14">
                  <c:v>0.43585539133912715</c:v>
                </c:pt>
                <c:pt idx="15">
                  <c:v>-1.3565736472039135E-2</c:v>
                </c:pt>
                <c:pt idx="16">
                  <c:v>0.47293200908229094</c:v>
                </c:pt>
                <c:pt idx="17">
                  <c:v>0.12985986360314838</c:v>
                </c:pt>
                <c:pt idx="18">
                  <c:v>-0.12378098867957033</c:v>
                </c:pt>
                <c:pt idx="19">
                  <c:v>-0.21503501352804164</c:v>
                </c:pt>
                <c:pt idx="20">
                  <c:v>-1.0976257477412559</c:v>
                </c:pt>
                <c:pt idx="21">
                  <c:v>-4.3127906776344167</c:v>
                </c:pt>
                <c:pt idx="22">
                  <c:v>-4.4459987116732576</c:v>
                </c:pt>
                <c:pt idx="23">
                  <c:v>-2.3715093265748419</c:v>
                </c:pt>
                <c:pt idx="24">
                  <c:v>-1.5878169383982839</c:v>
                </c:pt>
                <c:pt idx="25">
                  <c:v>1.8635286192241076</c:v>
                </c:pt>
                <c:pt idx="26">
                  <c:v>1.8780420441601493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DF3-421F-8535-D3728491CD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156100864"/>
        <c:axId val="156573696"/>
      </c:barChart>
      <c:lineChart>
        <c:grouping val="standard"/>
        <c:varyColors val="0"/>
        <c:ser>
          <c:idx val="3"/>
          <c:order val="0"/>
          <c:tx>
            <c:strRef>
              <c:f>'Služby-příspěvkyk růstu'!$C$25</c:f>
              <c:strCache>
                <c:ptCount val="1"/>
                <c:pt idx="0">
                  <c:v>Služby celkem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9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růstu'!$C$38:$C$65</c:f>
              <c:numCache>
                <c:formatCode>0.0</c:formatCode>
                <c:ptCount val="28"/>
                <c:pt idx="0">
                  <c:v>3.3382433954487709</c:v>
                </c:pt>
                <c:pt idx="1">
                  <c:v>2.7103361038427067</c:v>
                </c:pt>
                <c:pt idx="2">
                  <c:v>3.223995038405846</c:v>
                </c:pt>
                <c:pt idx="3">
                  <c:v>2.2290744560856268</c:v>
                </c:pt>
                <c:pt idx="4">
                  <c:v>1.1705942918670047</c:v>
                </c:pt>
                <c:pt idx="5">
                  <c:v>-0.79617382665747982</c:v>
                </c:pt>
                <c:pt idx="6">
                  <c:v>1.3957902139005256</c:v>
                </c:pt>
                <c:pt idx="7">
                  <c:v>1.6187710312838277</c:v>
                </c:pt>
                <c:pt idx="8">
                  <c:v>5.8784103375347314</c:v>
                </c:pt>
                <c:pt idx="9">
                  <c:v>5.3482581483285117</c:v>
                </c:pt>
                <c:pt idx="10">
                  <c:v>3.3779943438431417</c:v>
                </c:pt>
                <c:pt idx="11">
                  <c:v>2.5043716841237824</c:v>
                </c:pt>
                <c:pt idx="12">
                  <c:v>5.0156711190807073</c:v>
                </c:pt>
                <c:pt idx="13">
                  <c:v>3.5070069282701297</c:v>
                </c:pt>
                <c:pt idx="14">
                  <c:v>3.6980924142605289</c:v>
                </c:pt>
                <c:pt idx="15">
                  <c:v>1.088994603733525</c:v>
                </c:pt>
                <c:pt idx="16">
                  <c:v>3.5749845129644342</c:v>
                </c:pt>
                <c:pt idx="17">
                  <c:v>1.9545765370271084</c:v>
                </c:pt>
                <c:pt idx="18">
                  <c:v>-0.74453873068148368</c:v>
                </c:pt>
                <c:pt idx="19">
                  <c:v>-0.1758632291653015</c:v>
                </c:pt>
                <c:pt idx="20">
                  <c:v>-3.7638680940537341</c:v>
                </c:pt>
                <c:pt idx="21">
                  <c:v>-19.649218614668754</c:v>
                </c:pt>
                <c:pt idx="22">
                  <c:v>-12.616138215500811</c:v>
                </c:pt>
                <c:pt idx="23">
                  <c:v>-10.905867430592082</c:v>
                </c:pt>
                <c:pt idx="24">
                  <c:v>-6.8078199930960324</c:v>
                </c:pt>
                <c:pt idx="25">
                  <c:v>14.153341761403254</c:v>
                </c:pt>
                <c:pt idx="26">
                  <c:v>9.7201719095486396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DF3-421F-8535-D3728491CD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100864"/>
        <c:axId val="156573696"/>
      </c:lineChart>
      <c:lineChart>
        <c:grouping val="standard"/>
        <c:varyColors val="0"/>
        <c:ser>
          <c:idx val="7"/>
          <c:order val="7"/>
          <c:tx>
            <c:strRef>
              <c:f>'Služby-příspěvkyk růstu'!$J$25</c:f>
              <c:strCache>
                <c:ptCount val="1"/>
                <c:pt idx="0">
                  <c:v>Saldo indikátoru důvěry ve službách</c:v>
                </c:pt>
              </c:strCache>
            </c:strRef>
          </c:tx>
          <c:spPr>
            <a:ln w="3175">
              <a:solidFill>
                <a:schemeClr val="bg1">
                  <a:lumMod val="50000"/>
                </a:schemeClr>
              </a:solidFill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 w="6350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růstu'!$J$38:$J$65</c:f>
              <c:numCache>
                <c:formatCode>0.0</c:formatCode>
                <c:ptCount val="28"/>
                <c:pt idx="0">
                  <c:v>29.7</c:v>
                </c:pt>
                <c:pt idx="1">
                  <c:v>28.7</c:v>
                </c:pt>
                <c:pt idx="2">
                  <c:v>31.3</c:v>
                </c:pt>
                <c:pt idx="3">
                  <c:v>32.700000000000003</c:v>
                </c:pt>
                <c:pt idx="4">
                  <c:v>32.299999999999997</c:v>
                </c:pt>
                <c:pt idx="5">
                  <c:v>33</c:v>
                </c:pt>
                <c:pt idx="6">
                  <c:v>33</c:v>
                </c:pt>
                <c:pt idx="7">
                  <c:v>37.700000000000003</c:v>
                </c:pt>
                <c:pt idx="8">
                  <c:v>35.299999999999997</c:v>
                </c:pt>
                <c:pt idx="9">
                  <c:v>37.700000000000003</c:v>
                </c:pt>
                <c:pt idx="10">
                  <c:v>37.299999999999997</c:v>
                </c:pt>
                <c:pt idx="11">
                  <c:v>35.700000000000003</c:v>
                </c:pt>
                <c:pt idx="12">
                  <c:v>38.299999999999997</c:v>
                </c:pt>
                <c:pt idx="13">
                  <c:v>37</c:v>
                </c:pt>
                <c:pt idx="14">
                  <c:v>38.299999999999997</c:v>
                </c:pt>
                <c:pt idx="15">
                  <c:v>40.700000000000003</c:v>
                </c:pt>
                <c:pt idx="16">
                  <c:v>39.299999999999997</c:v>
                </c:pt>
                <c:pt idx="17">
                  <c:v>33.700000000000003</c:v>
                </c:pt>
                <c:pt idx="18">
                  <c:v>35</c:v>
                </c:pt>
                <c:pt idx="19">
                  <c:v>32.700000000000003</c:v>
                </c:pt>
                <c:pt idx="20">
                  <c:v>29</c:v>
                </c:pt>
                <c:pt idx="21">
                  <c:v>-13.3</c:v>
                </c:pt>
                <c:pt idx="22">
                  <c:v>1</c:v>
                </c:pt>
                <c:pt idx="23">
                  <c:v>-5</c:v>
                </c:pt>
                <c:pt idx="24">
                  <c:v>8</c:v>
                </c:pt>
                <c:pt idx="25">
                  <c:v>22.3</c:v>
                </c:pt>
                <c:pt idx="26">
                  <c:v>24.3</c:v>
                </c:pt>
                <c:pt idx="27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DF3-421F-8535-D3728491CD14}"/>
            </c:ext>
          </c:extLst>
        </c:ser>
        <c:ser>
          <c:idx val="8"/>
          <c:order val="8"/>
          <c:tx>
            <c:strRef>
              <c:f>'Služby-příspěvkyk růstu'!$K$25</c:f>
              <c:strCache>
                <c:ptCount val="1"/>
                <c:pt idx="0">
                  <c:v>Bariéra růstu: nedostatečná poptávka</c:v>
                </c:pt>
              </c:strCache>
            </c:strRef>
          </c:tx>
          <c:spPr>
            <a:ln w="15875">
              <a:solidFill>
                <a:schemeClr val="bg2">
                  <a:lumMod val="25000"/>
                </a:schemeClr>
              </a:solidFill>
            </a:ln>
          </c:spPr>
          <c:marker>
            <c:symbol val="none"/>
          </c:marker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růstu'!$K$38:$K$65</c:f>
              <c:numCache>
                <c:formatCode>#\ ##0.0</c:formatCode>
                <c:ptCount val="28"/>
                <c:pt idx="0">
                  <c:v>26.2</c:v>
                </c:pt>
                <c:pt idx="1">
                  <c:v>29</c:v>
                </c:pt>
                <c:pt idx="2">
                  <c:v>26.9</c:v>
                </c:pt>
                <c:pt idx="3">
                  <c:v>23.3</c:v>
                </c:pt>
                <c:pt idx="4">
                  <c:v>24</c:v>
                </c:pt>
                <c:pt idx="5">
                  <c:v>24.5</c:v>
                </c:pt>
                <c:pt idx="6">
                  <c:v>21</c:v>
                </c:pt>
                <c:pt idx="7">
                  <c:v>23.3</c:v>
                </c:pt>
                <c:pt idx="8">
                  <c:v>26.2</c:v>
                </c:pt>
                <c:pt idx="9">
                  <c:v>20.5</c:v>
                </c:pt>
                <c:pt idx="10">
                  <c:v>19.899999999999999</c:v>
                </c:pt>
                <c:pt idx="11">
                  <c:v>20.9</c:v>
                </c:pt>
                <c:pt idx="12">
                  <c:v>17.3</c:v>
                </c:pt>
                <c:pt idx="13">
                  <c:v>18.600000000000001</c:v>
                </c:pt>
                <c:pt idx="14">
                  <c:v>18.899999999999999</c:v>
                </c:pt>
                <c:pt idx="15">
                  <c:v>19.8</c:v>
                </c:pt>
                <c:pt idx="16">
                  <c:v>20.7</c:v>
                </c:pt>
                <c:pt idx="17">
                  <c:v>17.100000000000001</c:v>
                </c:pt>
                <c:pt idx="18">
                  <c:v>21.7</c:v>
                </c:pt>
                <c:pt idx="19">
                  <c:v>14.1</c:v>
                </c:pt>
                <c:pt idx="20">
                  <c:v>20.399999999999999</c:v>
                </c:pt>
                <c:pt idx="21">
                  <c:v>29.1</c:v>
                </c:pt>
                <c:pt idx="22">
                  <c:v>30.9</c:v>
                </c:pt>
                <c:pt idx="23">
                  <c:v>39</c:v>
                </c:pt>
                <c:pt idx="24">
                  <c:v>35.799999999999997</c:v>
                </c:pt>
                <c:pt idx="25">
                  <c:v>37.1</c:v>
                </c:pt>
                <c:pt idx="26">
                  <c:v>30.9</c:v>
                </c:pt>
                <c:pt idx="27">
                  <c:v>26.8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DF3-421F-8535-D3728491CD14}"/>
            </c:ext>
          </c:extLst>
        </c:ser>
        <c:ser>
          <c:idx val="9"/>
          <c:order val="9"/>
          <c:tx>
            <c:strRef>
              <c:f>'Služby-příspěvkyk růstu'!$L$25</c:f>
              <c:strCache>
                <c:ptCount val="1"/>
                <c:pt idx="0">
                  <c:v>Bariéra růstu: nedostatek pracovníků</c:v>
                </c:pt>
              </c:strCache>
            </c:strRef>
          </c:tx>
          <c:spPr>
            <a:ln w="15875">
              <a:solidFill>
                <a:schemeClr val="bg2">
                  <a:lumMod val="2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'Služby-příspěvkyk růstu'!$A$38:$B$65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růstu'!$L$38:$L$65</c:f>
              <c:numCache>
                <c:formatCode>#\ ##0.0</c:formatCode>
                <c:ptCount val="28"/>
                <c:pt idx="0">
                  <c:v>2.8</c:v>
                </c:pt>
                <c:pt idx="1">
                  <c:v>5.7</c:v>
                </c:pt>
                <c:pt idx="2">
                  <c:v>5.9</c:v>
                </c:pt>
                <c:pt idx="3">
                  <c:v>5.8</c:v>
                </c:pt>
                <c:pt idx="4">
                  <c:v>8.6999999999999993</c:v>
                </c:pt>
                <c:pt idx="5">
                  <c:v>4.5999999999999996</c:v>
                </c:pt>
                <c:pt idx="6">
                  <c:v>7.1</c:v>
                </c:pt>
                <c:pt idx="7">
                  <c:v>9.1</c:v>
                </c:pt>
                <c:pt idx="8">
                  <c:v>10.1</c:v>
                </c:pt>
                <c:pt idx="9">
                  <c:v>10</c:v>
                </c:pt>
                <c:pt idx="10">
                  <c:v>9.3000000000000007</c:v>
                </c:pt>
                <c:pt idx="11">
                  <c:v>12.2</c:v>
                </c:pt>
                <c:pt idx="12">
                  <c:v>14.2</c:v>
                </c:pt>
                <c:pt idx="13">
                  <c:v>16.600000000000001</c:v>
                </c:pt>
                <c:pt idx="14">
                  <c:v>17.3</c:v>
                </c:pt>
                <c:pt idx="15">
                  <c:v>18.600000000000001</c:v>
                </c:pt>
                <c:pt idx="16">
                  <c:v>19.600000000000001</c:v>
                </c:pt>
                <c:pt idx="17">
                  <c:v>16.600000000000001</c:v>
                </c:pt>
                <c:pt idx="18">
                  <c:v>21.2</c:v>
                </c:pt>
                <c:pt idx="19">
                  <c:v>19.100000000000001</c:v>
                </c:pt>
                <c:pt idx="20">
                  <c:v>19.7</c:v>
                </c:pt>
                <c:pt idx="21">
                  <c:v>12.1</c:v>
                </c:pt>
                <c:pt idx="22">
                  <c:v>9.8000000000000007</c:v>
                </c:pt>
                <c:pt idx="23">
                  <c:v>11.1</c:v>
                </c:pt>
                <c:pt idx="24">
                  <c:v>11.2</c:v>
                </c:pt>
                <c:pt idx="25">
                  <c:v>10.8</c:v>
                </c:pt>
                <c:pt idx="26">
                  <c:v>16.3</c:v>
                </c:pt>
                <c:pt idx="27">
                  <c:v>18.899999999999999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DF3-421F-8535-D3728491CD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576768"/>
        <c:axId val="156575232"/>
      </c:lineChart>
      <c:catAx>
        <c:axId val="15610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cs-CZ"/>
          </a:p>
        </c:txPr>
        <c:crossAx val="156573696"/>
        <c:crosses val="autoZero"/>
        <c:auto val="1"/>
        <c:lblAlgn val="ctr"/>
        <c:lblOffset val="0"/>
        <c:noMultiLvlLbl val="0"/>
      </c:catAx>
      <c:valAx>
        <c:axId val="156573696"/>
        <c:scaling>
          <c:orientation val="minMax"/>
          <c:max val="15"/>
          <c:min val="-2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Příspěvky k</a:t>
                </a:r>
                <a:r>
                  <a:rPr lang="cs-CZ" sz="700" b="0" i="1" baseline="0"/>
                  <a:t>e změně tržeb ve službách</a:t>
                </a:r>
                <a:endParaRPr lang="cs-CZ" sz="700" b="0" i="1"/>
              </a:p>
            </c:rich>
          </c:tx>
          <c:layout>
            <c:manualLayout>
              <c:xMode val="edge"/>
              <c:yMode val="edge"/>
              <c:x val="7.9755416722052368E-3"/>
              <c:y val="0.1668774539007601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56100864"/>
        <c:crosses val="autoZero"/>
        <c:crossBetween val="between"/>
        <c:majorUnit val="3"/>
      </c:valAx>
      <c:valAx>
        <c:axId val="156575232"/>
        <c:scaling>
          <c:orientation val="minMax"/>
          <c:max val="100"/>
          <c:min val="-2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Saldo indikátoru důvěry, bariéry růstu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56576768"/>
        <c:crosses val="max"/>
        <c:crossBetween val="between"/>
        <c:majorUnit val="10"/>
      </c:valAx>
      <c:catAx>
        <c:axId val="156576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6575232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6.4054887921739166E-5"/>
          <c:y val="0.81821506531821531"/>
          <c:w val="0.98649823440865303"/>
          <c:h val="0.17117269183021638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5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481551840594413E-2"/>
          <c:y val="2.3304908251716772E-2"/>
          <c:w val="0.90781408308004052"/>
          <c:h val="0.60540526849037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-93.004999999999995</c:v>
                </c:pt>
                <c:pt idx="1">
                  <c:v>-31.91</c:v>
                </c:pt>
                <c:pt idx="2">
                  <c:v>-24.768000000000001</c:v>
                </c:pt>
                <c:pt idx="3">
                  <c:v>-16.138999999999999</c:v>
                </c:pt>
                <c:pt idx="4">
                  <c:v>-83.789000000000001</c:v>
                </c:pt>
                <c:pt idx="5">
                  <c:v>-40.218000000000004</c:v>
                </c:pt>
                <c:pt idx="6">
                  <c:v>17.417999999999999</c:v>
                </c:pt>
                <c:pt idx="7">
                  <c:v>-93.156999999999996</c:v>
                </c:pt>
                <c:pt idx="8">
                  <c:v>44.210999999999999</c:v>
                </c:pt>
                <c:pt idx="9">
                  <c:v>-8.2789999999999999</c:v>
                </c:pt>
                <c:pt idx="10">
                  <c:v>32.54</c:v>
                </c:pt>
                <c:pt idx="11">
                  <c:v>46.786999999999999</c:v>
                </c:pt>
                <c:pt idx="12">
                  <c:v>352.59300000000002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4F-4CBF-85B8-EB5C6A8D592E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2'!$B$7:$N$7</c:f>
              <c:numCache>
                <c:formatCode>General</c:formatCode>
                <c:ptCount val="13"/>
                <c:pt idx="0">
                  <c:v>-51.194000000000003</c:v>
                </c:pt>
                <c:pt idx="1">
                  <c:v>-31.603000000000002</c:v>
                </c:pt>
                <c:pt idx="2">
                  <c:v>-22.991</c:v>
                </c:pt>
                <c:pt idx="3">
                  <c:v>-16.54</c:v>
                </c:pt>
                <c:pt idx="4">
                  <c:v>-77.95</c:v>
                </c:pt>
                <c:pt idx="5">
                  <c:v>-46.048000000000002</c:v>
                </c:pt>
                <c:pt idx="6">
                  <c:v>17.992999999999999</c:v>
                </c:pt>
                <c:pt idx="7">
                  <c:v>-72.378</c:v>
                </c:pt>
                <c:pt idx="8">
                  <c:v>40.231000000000002</c:v>
                </c:pt>
                <c:pt idx="9">
                  <c:v>-25.565999999999999</c:v>
                </c:pt>
                <c:pt idx="10">
                  <c:v>15.53</c:v>
                </c:pt>
                <c:pt idx="11">
                  <c:v>43.491</c:v>
                </c:pt>
                <c:pt idx="12">
                  <c:v>290.91500000000002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4F-4CBF-85B8-EB5C6A8D592E}"/>
            </c:ext>
          </c:extLst>
        </c:ser>
        <c:ser>
          <c:idx val="2"/>
          <c:order val="2"/>
          <c:tx>
            <c:strRef>
              <c:f>'Vnější vztahy 2'!$A$8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2'!$B$8:$N$8</c:f>
              <c:numCache>
                <c:formatCode>General</c:formatCode>
                <c:ptCount val="13"/>
                <c:pt idx="0">
                  <c:v>-99.444000000000003</c:v>
                </c:pt>
                <c:pt idx="1">
                  <c:v>-30</c:v>
                </c:pt>
                <c:pt idx="2">
                  <c:v>-23.071999999999999</c:v>
                </c:pt>
                <c:pt idx="3">
                  <c:v>-18.780999999999999</c:v>
                </c:pt>
                <c:pt idx="4">
                  <c:v>-98.867000000000004</c:v>
                </c:pt>
                <c:pt idx="5">
                  <c:v>-56.264000000000003</c:v>
                </c:pt>
                <c:pt idx="6">
                  <c:v>19.190999999999999</c:v>
                </c:pt>
                <c:pt idx="7">
                  <c:v>-113.429</c:v>
                </c:pt>
                <c:pt idx="8">
                  <c:v>50.805</c:v>
                </c:pt>
                <c:pt idx="9">
                  <c:v>-26.007000000000001</c:v>
                </c:pt>
                <c:pt idx="10">
                  <c:v>0.69299999999999995</c:v>
                </c:pt>
                <c:pt idx="11">
                  <c:v>47.094999999999999</c:v>
                </c:pt>
                <c:pt idx="12">
                  <c:v>325.01900000000001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4F-4CBF-85B8-EB5C6A8D5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269967744"/>
        <c:axId val="269969280"/>
      </c:barChart>
      <c:catAx>
        <c:axId val="26996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269969280"/>
        <c:crosses val="autoZero"/>
        <c:auto val="1"/>
        <c:lblAlgn val="ctr"/>
        <c:lblOffset val="100"/>
        <c:noMultiLvlLbl val="0"/>
      </c:catAx>
      <c:valAx>
        <c:axId val="269969280"/>
        <c:scaling>
          <c:orientation val="minMax"/>
          <c:max val="360"/>
          <c:min val="-12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69967744"/>
        <c:crosses val="autoZero"/>
        <c:crossBetween val="between"/>
        <c:majorUnit val="40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9999155690645057E-2"/>
          <c:y val="0.93271781816746591"/>
          <c:w val="0.89870767208491664"/>
          <c:h val="4.7602442868400312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299E-2"/>
          <c:w val="0.92237743255066085"/>
          <c:h val="0.746887336133921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2'!$C$22:$C$44</c:f>
              <c:numCache>
                <c:formatCode>0.0</c:formatCode>
                <c:ptCount val="23"/>
                <c:pt idx="0">
                  <c:v>0.5</c:v>
                </c:pt>
                <c:pt idx="1">
                  <c:v>0.20000000000000284</c:v>
                </c:pt>
                <c:pt idx="2">
                  <c:v>0.5</c:v>
                </c:pt>
                <c:pt idx="3">
                  <c:v>1.4000000000000057</c:v>
                </c:pt>
                <c:pt idx="4" formatCode="General">
                  <c:v>2.4000000000000057</c:v>
                </c:pt>
                <c:pt idx="5" formatCode="General">
                  <c:v>2.2000000000000028</c:v>
                </c:pt>
                <c:pt idx="6">
                  <c:v>2.5</c:v>
                </c:pt>
                <c:pt idx="7">
                  <c:v>2.6</c:v>
                </c:pt>
                <c:pt idx="8">
                  <c:v>1.9</c:v>
                </c:pt>
                <c:pt idx="9">
                  <c:v>2.2999999999999998</c:v>
                </c:pt>
                <c:pt idx="10">
                  <c:v>2.4</c:v>
                </c:pt>
                <c:pt idx="11">
                  <c:v>2.1</c:v>
                </c:pt>
                <c:pt idx="12">
                  <c:v>2.7</c:v>
                </c:pt>
                <c:pt idx="13">
                  <c:v>2.8</c:v>
                </c:pt>
                <c:pt idx="14">
                  <c:v>2.8</c:v>
                </c:pt>
                <c:pt idx="15">
                  <c:v>3</c:v>
                </c:pt>
                <c:pt idx="16">
                  <c:v>3.6</c:v>
                </c:pt>
                <c:pt idx="17">
                  <c:v>3.1</c:v>
                </c:pt>
                <c:pt idx="18">
                  <c:v>3.3</c:v>
                </c:pt>
                <c:pt idx="19">
                  <c:v>2.6</c:v>
                </c:pt>
                <c:pt idx="20">
                  <c:v>2.2000000000000002</c:v>
                </c:pt>
                <c:pt idx="21">
                  <c:v>2.9</c:v>
                </c:pt>
                <c:pt idx="22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AB-4608-9345-DDAD83908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270120064"/>
        <c:axId val="270121600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2'!$D$22:$D$44</c:f>
              <c:numCache>
                <c:formatCode>0.0</c:formatCode>
                <c:ptCount val="23"/>
                <c:pt idx="0">
                  <c:v>-1.7000000000000028</c:v>
                </c:pt>
                <c:pt idx="1">
                  <c:v>-2.4000000000000057</c:v>
                </c:pt>
                <c:pt idx="2">
                  <c:v>-0.79999999999999716</c:v>
                </c:pt>
                <c:pt idx="3">
                  <c:v>1.2000000000000028</c:v>
                </c:pt>
                <c:pt idx="4" formatCode="General">
                  <c:v>4.2000000000000028</c:v>
                </c:pt>
                <c:pt idx="5" formatCode="General">
                  <c:v>4.5</c:v>
                </c:pt>
                <c:pt idx="6">
                  <c:v>5.7</c:v>
                </c:pt>
                <c:pt idx="7">
                  <c:v>6.3</c:v>
                </c:pt>
                <c:pt idx="8">
                  <c:v>2.9</c:v>
                </c:pt>
                <c:pt idx="9" formatCode="#\ ##0.0_ ;\-#\ ##0.0\ ">
                  <c:v>2.2999999999999998</c:v>
                </c:pt>
                <c:pt idx="10">
                  <c:v>0.6</c:v>
                </c:pt>
                <c:pt idx="11">
                  <c:v>-0.5</c:v>
                </c:pt>
                <c:pt idx="12">
                  <c:v>1</c:v>
                </c:pt>
                <c:pt idx="13">
                  <c:v>2.5</c:v>
                </c:pt>
                <c:pt idx="14">
                  <c:v>3.5</c:v>
                </c:pt>
                <c:pt idx="15">
                  <c:v>4.3</c:v>
                </c:pt>
                <c:pt idx="16">
                  <c:v>6.1</c:v>
                </c:pt>
                <c:pt idx="17">
                  <c:v>6.5</c:v>
                </c:pt>
                <c:pt idx="18">
                  <c:v>4</c:v>
                </c:pt>
                <c:pt idx="19">
                  <c:v>1.7</c:v>
                </c:pt>
                <c:pt idx="20">
                  <c:v>0.3</c:v>
                </c:pt>
                <c:pt idx="21">
                  <c:v>-0.8</c:v>
                </c:pt>
                <c:pt idx="22">
                  <c:v>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AB-4608-9345-DDAD83908384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2'!$F$22:$F$44</c:f>
              <c:numCache>
                <c:formatCode>0.0</c:formatCode>
                <c:ptCount val="23"/>
                <c:pt idx="0">
                  <c:v>0.90000000000000568</c:v>
                </c:pt>
                <c:pt idx="1">
                  <c:v>0.5</c:v>
                </c:pt>
                <c:pt idx="2">
                  <c:v>0.40000000000000568</c:v>
                </c:pt>
                <c:pt idx="3">
                  <c:v>0.59999999999999432</c:v>
                </c:pt>
                <c:pt idx="4" formatCode="General">
                  <c:v>0.79999999999999716</c:v>
                </c:pt>
                <c:pt idx="5" formatCode="General">
                  <c:v>1.5</c:v>
                </c:pt>
                <c:pt idx="6">
                  <c:v>2.1</c:v>
                </c:pt>
                <c:pt idx="7">
                  <c:v>2.2000000000000002</c:v>
                </c:pt>
                <c:pt idx="8">
                  <c:v>2.2999999999999998</c:v>
                </c:pt>
                <c:pt idx="9">
                  <c:v>2.6</c:v>
                </c:pt>
                <c:pt idx="10">
                  <c:v>3.2</c:v>
                </c:pt>
                <c:pt idx="11">
                  <c:v>3.8</c:v>
                </c:pt>
                <c:pt idx="12">
                  <c:v>5.4</c:v>
                </c:pt>
                <c:pt idx="13">
                  <c:v>5.7</c:v>
                </c:pt>
                <c:pt idx="14">
                  <c:v>5.2</c:v>
                </c:pt>
                <c:pt idx="15">
                  <c:v>5</c:v>
                </c:pt>
                <c:pt idx="16">
                  <c:v>4.2</c:v>
                </c:pt>
                <c:pt idx="17">
                  <c:v>3.2</c:v>
                </c:pt>
                <c:pt idx="18">
                  <c:v>2.7</c:v>
                </c:pt>
                <c:pt idx="19">
                  <c:v>1.4</c:v>
                </c:pt>
                <c:pt idx="20">
                  <c:v>0.6</c:v>
                </c:pt>
                <c:pt idx="21">
                  <c:v>1.3</c:v>
                </c:pt>
                <c:pt idx="22">
                  <c:v>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5AB-4608-9345-DDAD83908384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2'!$G$22:$G$44</c:f>
              <c:numCache>
                <c:formatCode>General</c:formatCode>
                <c:ptCount val="23"/>
                <c:pt idx="0">
                  <c:v>-2.7000000000000028</c:v>
                </c:pt>
                <c:pt idx="1">
                  <c:v>-2.9000000000000057</c:v>
                </c:pt>
                <c:pt idx="2">
                  <c:v>-2.2999999999999972</c:v>
                </c:pt>
                <c:pt idx="3">
                  <c:v>1.0999999999999943</c:v>
                </c:pt>
                <c:pt idx="4">
                  <c:v>6</c:v>
                </c:pt>
                <c:pt idx="5">
                  <c:v>3.9000000000000057</c:v>
                </c:pt>
                <c:pt idx="6" formatCode="0.0">
                  <c:v>2.5</c:v>
                </c:pt>
                <c:pt idx="7" formatCode="0.0">
                  <c:v>2.5</c:v>
                </c:pt>
                <c:pt idx="8" formatCode="0.0">
                  <c:v>1</c:v>
                </c:pt>
                <c:pt idx="9" formatCode="0.0">
                  <c:v>3</c:v>
                </c:pt>
                <c:pt idx="10" formatCode="0.0">
                  <c:v>4.5</c:v>
                </c:pt>
                <c:pt idx="11" formatCode="0.0">
                  <c:v>2.6</c:v>
                </c:pt>
                <c:pt idx="12" formatCode="0.0">
                  <c:v>0.6</c:v>
                </c:pt>
                <c:pt idx="13" formatCode="0.0">
                  <c:v>0.8</c:v>
                </c:pt>
                <c:pt idx="14" formatCode="0.0">
                  <c:v>-0.2</c:v>
                </c:pt>
                <c:pt idx="15" formatCode="0.0">
                  <c:v>0.5</c:v>
                </c:pt>
                <c:pt idx="16">
                  <c:v>1.7</c:v>
                </c:pt>
                <c:pt idx="17" formatCode="0.0">
                  <c:v>-3.4</c:v>
                </c:pt>
                <c:pt idx="18" formatCode="0.0">
                  <c:v>-0.2</c:v>
                </c:pt>
                <c:pt idx="19" formatCode="0.0">
                  <c:v>0.6</c:v>
                </c:pt>
                <c:pt idx="20" formatCode="0.0">
                  <c:v>2.4</c:v>
                </c:pt>
                <c:pt idx="21" formatCode="0.0">
                  <c:v>9.1</c:v>
                </c:pt>
                <c:pt idx="22" formatCode="0.0">
                  <c:v>8.8000000000000007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5AB-4608-9345-DDAD83908384}"/>
            </c:ext>
          </c:extLst>
        </c:ser>
        <c:ser>
          <c:idx val="2"/>
          <c:order val="4"/>
          <c:tx>
            <c:strRef>
              <c:f>'Ceny 2'!$E$5</c:f>
              <c:strCache>
                <c:ptCount val="1"/>
                <c:pt idx="0">
                  <c:v>Alkoholické nápoje a tabák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2'!$A$22:$B$44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2'!$E$22:$E$44</c:f>
              <c:numCache>
                <c:formatCode>0.0</c:formatCode>
                <c:ptCount val="23"/>
                <c:pt idx="0">
                  <c:v>3.5</c:v>
                </c:pt>
                <c:pt idx="1">
                  <c:v>4.4000000000000057</c:v>
                </c:pt>
                <c:pt idx="2">
                  <c:v>4.5</c:v>
                </c:pt>
                <c:pt idx="3">
                  <c:v>5.2000000000000028</c:v>
                </c:pt>
                <c:pt idx="4" formatCode="General">
                  <c:v>3.4000000000000057</c:v>
                </c:pt>
                <c:pt idx="5" formatCode="General">
                  <c:v>0.79999999999999716</c:v>
                </c:pt>
                <c:pt idx="6">
                  <c:v>1.3</c:v>
                </c:pt>
                <c:pt idx="7">
                  <c:v>1.5</c:v>
                </c:pt>
                <c:pt idx="8">
                  <c:v>2.5</c:v>
                </c:pt>
                <c:pt idx="9">
                  <c:v>3.6</c:v>
                </c:pt>
                <c:pt idx="10">
                  <c:v>2.8</c:v>
                </c:pt>
                <c:pt idx="11">
                  <c:v>3.1</c:v>
                </c:pt>
                <c:pt idx="12">
                  <c:v>3.3</c:v>
                </c:pt>
                <c:pt idx="13">
                  <c:v>1.7</c:v>
                </c:pt>
                <c:pt idx="14">
                  <c:v>1.9</c:v>
                </c:pt>
                <c:pt idx="15">
                  <c:v>1.8</c:v>
                </c:pt>
                <c:pt idx="16" formatCode="General">
                  <c:v>3.5</c:v>
                </c:pt>
                <c:pt idx="17">
                  <c:v>6.6</c:v>
                </c:pt>
                <c:pt idx="18">
                  <c:v>10.3</c:v>
                </c:pt>
                <c:pt idx="19">
                  <c:v>9.9</c:v>
                </c:pt>
                <c:pt idx="20">
                  <c:v>9.9</c:v>
                </c:pt>
                <c:pt idx="21">
                  <c:v>9.8000000000000007</c:v>
                </c:pt>
                <c:pt idx="22">
                  <c:v>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5AB-4608-9345-DDAD83908384}"/>
            </c:ext>
          </c:extLst>
        </c:ser>
        <c:ser>
          <c:idx val="5"/>
          <c:order val="5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'Ceny 2'!$A$22:$B$44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</c:lvl>
              </c:multiLvlStrCache>
            </c:multiLvlStrRef>
          </c:cat>
          <c:val>
            <c:numRef>
              <c:f>'Ceny 2'!$H$22:$H$44</c:f>
              <c:numCache>
                <c:formatCode>###\ ###\ ##0.0</c:formatCode>
                <c:ptCount val="23"/>
                <c:pt idx="0">
                  <c:v>1.2000000000000028</c:v>
                </c:pt>
                <c:pt idx="1">
                  <c:v>1.0999999999999943</c:v>
                </c:pt>
                <c:pt idx="2">
                  <c:v>1.2000000000000028</c:v>
                </c:pt>
                <c:pt idx="3">
                  <c:v>2.7000000000000028</c:v>
                </c:pt>
                <c:pt idx="4">
                  <c:v>5.2000000000000028</c:v>
                </c:pt>
                <c:pt idx="5">
                  <c:v>5.7999999999999972</c:v>
                </c:pt>
                <c:pt idx="6">
                  <c:v>6.2999999999999972</c:v>
                </c:pt>
                <c:pt idx="7" formatCode="0.0">
                  <c:v>5.6</c:v>
                </c:pt>
                <c:pt idx="8" formatCode="0.0">
                  <c:v>3.5</c:v>
                </c:pt>
                <c:pt idx="9" formatCode="0.0">
                  <c:v>3.6</c:v>
                </c:pt>
                <c:pt idx="10" formatCode="0.0">
                  <c:v>3.5</c:v>
                </c:pt>
                <c:pt idx="11" formatCode="0.0">
                  <c:v>3.7</c:v>
                </c:pt>
                <c:pt idx="12" formatCode="0.0">
                  <c:v>3.8</c:v>
                </c:pt>
                <c:pt idx="13" formatCode="0.0">
                  <c:v>4</c:v>
                </c:pt>
                <c:pt idx="14" formatCode="0.0">
                  <c:v>4.5</c:v>
                </c:pt>
                <c:pt idx="15" formatCode="0.0">
                  <c:v>4.5999999999999996</c:v>
                </c:pt>
                <c:pt idx="16" formatCode="0.0">
                  <c:v>5.5</c:v>
                </c:pt>
                <c:pt idx="17" formatCode="0.0">
                  <c:v>5.0999999999999996</c:v>
                </c:pt>
                <c:pt idx="18" formatCode="0.0">
                  <c:v>4.9000000000000004</c:v>
                </c:pt>
                <c:pt idx="19" formatCode="0.0">
                  <c:v>4.3</c:v>
                </c:pt>
                <c:pt idx="20" formatCode="0.0">
                  <c:v>3</c:v>
                </c:pt>
                <c:pt idx="21" formatCode="0.0">
                  <c:v>2.9</c:v>
                </c:pt>
                <c:pt idx="22" formatCode="0.0">
                  <c:v>4.5999999999999996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5AB-4608-9345-DDAD83908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120064"/>
        <c:axId val="270121600"/>
      </c:lineChart>
      <c:catAx>
        <c:axId val="27012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70121600"/>
        <c:crosses val="autoZero"/>
        <c:auto val="1"/>
        <c:lblAlgn val="ctr"/>
        <c:lblOffset val="100"/>
        <c:noMultiLvlLbl val="0"/>
      </c:catAx>
      <c:valAx>
        <c:axId val="270121600"/>
        <c:scaling>
          <c:orientation val="minMax"/>
          <c:max val="11"/>
          <c:min val="-4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01200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882134414049307E-2"/>
          <c:y val="0.88662092841611939"/>
          <c:w val="0.92202296521445437"/>
          <c:h val="0.10599283668629893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9646-91ED-429B-BEE5-191B5FCAE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293F2D-3B58-47CC-83F6-A3189D78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64</TotalTime>
  <Pages>34</Pages>
  <Words>13409</Words>
  <Characters>79117</Characters>
  <Application>Microsoft Office Word</Application>
  <DocSecurity>0</DocSecurity>
  <Lines>659</Lines>
  <Paragraphs>184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92342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5</cp:revision>
  <cp:lastPrinted>2019-04-08T10:52:00Z</cp:lastPrinted>
  <dcterms:created xsi:type="dcterms:W3CDTF">2021-12-15T07:16:00Z</dcterms:created>
  <dcterms:modified xsi:type="dcterms:W3CDTF">2021-12-15T09:30:00Z</dcterms:modified>
</cp:coreProperties>
</file>