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6ED5" w14:textId="77777777" w:rsidR="00144108" w:rsidRDefault="00144108" w:rsidP="00144108">
      <w:pPr>
        <w:pStyle w:val="Nadpis11"/>
      </w:pPr>
      <w:bookmarkStart w:id="0" w:name="_Toc98245447"/>
      <w:bookmarkStart w:id="1" w:name="_GoBack"/>
      <w:bookmarkEnd w:id="1"/>
      <w:r w:rsidRPr="00787441">
        <w:rPr>
          <w:szCs w:val="32"/>
        </w:rPr>
        <w:t>8</w:t>
      </w:r>
      <w:r>
        <w:t>. St</w:t>
      </w:r>
      <w:r w:rsidRPr="009110F7">
        <w:t>átní rozpočet</w:t>
      </w:r>
      <w:bookmarkEnd w:id="0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144108" w:rsidRPr="003C07E6" w14:paraId="45B8425E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90A9741" w14:textId="77777777" w:rsidR="00144108" w:rsidRPr="00D033C0" w:rsidRDefault="00144108" w:rsidP="008E039E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Státní rozpočet hospodařil v roce 2021 s rekordním deficitem, který byl však nižší než rozpočtové očekávání.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6596318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E3B5852" w14:textId="0FEE06A3" w:rsidR="00144108" w:rsidRDefault="00144108" w:rsidP="008E039E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>Hospodaření</w:t>
            </w:r>
            <w:r w:rsidRPr="009B277E">
              <w:rPr>
                <w:spacing w:val="-2"/>
              </w:rPr>
              <w:t xml:space="preserve"> státní</w:t>
            </w:r>
            <w:r>
              <w:rPr>
                <w:spacing w:val="-2"/>
              </w:rPr>
              <w:t>ho</w:t>
            </w:r>
            <w:r w:rsidRPr="009B277E">
              <w:rPr>
                <w:spacing w:val="-2"/>
              </w:rPr>
              <w:t xml:space="preserve"> </w:t>
            </w:r>
            <w:r>
              <w:rPr>
                <w:spacing w:val="-2"/>
              </w:rPr>
              <w:t>rozpoč</w:t>
            </w:r>
            <w:r w:rsidRPr="009B277E">
              <w:rPr>
                <w:spacing w:val="-2"/>
              </w:rPr>
              <w:t>t</w:t>
            </w:r>
            <w:r>
              <w:rPr>
                <w:spacing w:val="-2"/>
              </w:rPr>
              <w:t>u</w:t>
            </w:r>
            <w:r w:rsidRPr="009B277E">
              <w:rPr>
                <w:spacing w:val="-2"/>
              </w:rPr>
              <w:t xml:space="preserve"> (SR)</w:t>
            </w:r>
            <w:r w:rsidRPr="00F96252">
              <w:rPr>
                <w:spacing w:val="-2"/>
                <w:vertAlign w:val="superscript"/>
              </w:rPr>
              <w:footnoteReference w:id="1"/>
            </w:r>
            <w:r>
              <w:rPr>
                <w:spacing w:val="-2"/>
              </w:rPr>
              <w:t xml:space="preserve"> skončilo v roce 2021 hlubokým deficitem ve výši 419,7 mld. korun, který byl oproti </w:t>
            </w:r>
            <w:r w:rsidR="000671DB">
              <w:rPr>
                <w:spacing w:val="-2"/>
              </w:rPr>
              <w:t xml:space="preserve">dříve </w:t>
            </w:r>
            <w:r>
              <w:rPr>
                <w:spacing w:val="-2"/>
              </w:rPr>
              <w:t>rekordnímu schodku z roku 2020 o 52,2 mld. vyšší</w:t>
            </w:r>
            <w:r>
              <w:rPr>
                <w:rStyle w:val="Znakapoznpodarou"/>
                <w:spacing w:val="-2"/>
              </w:rPr>
              <w:footnoteReference w:id="2"/>
            </w:r>
            <w:r>
              <w:rPr>
                <w:spacing w:val="-2"/>
              </w:rPr>
              <w:t xml:space="preserve">. K prohloubení salda hospodaření přispěl zejména růst běžných výdajů. </w:t>
            </w:r>
            <w:r w:rsidRPr="00367B13">
              <w:rPr>
                <w:spacing w:val="-2"/>
              </w:rPr>
              <w:t xml:space="preserve">Přestože </w:t>
            </w:r>
            <w:r>
              <w:rPr>
                <w:spacing w:val="-2"/>
              </w:rPr>
              <w:t xml:space="preserve">rozpočtového </w:t>
            </w:r>
            <w:r w:rsidRPr="00367B13">
              <w:rPr>
                <w:spacing w:val="-2"/>
              </w:rPr>
              <w:t xml:space="preserve">deficitu </w:t>
            </w:r>
            <w:r>
              <w:rPr>
                <w:spacing w:val="-2"/>
              </w:rPr>
              <w:t xml:space="preserve">bylo dosaženo ve všech loňských </w:t>
            </w:r>
            <w:r w:rsidRPr="00367B13">
              <w:rPr>
                <w:spacing w:val="-2"/>
              </w:rPr>
              <w:t xml:space="preserve">měsících, na jeho celkové výši se </w:t>
            </w:r>
            <w:r>
              <w:rPr>
                <w:spacing w:val="-2"/>
              </w:rPr>
              <w:t xml:space="preserve">zásadně </w:t>
            </w:r>
            <w:r w:rsidRPr="00367B13">
              <w:rPr>
                <w:spacing w:val="-2"/>
              </w:rPr>
              <w:t>pod</w:t>
            </w:r>
            <w:r>
              <w:rPr>
                <w:spacing w:val="-2"/>
              </w:rPr>
              <w:t>ílela opatření realizovaná během jarní</w:t>
            </w:r>
            <w:r w:rsidRPr="00367B13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pandemické </w:t>
            </w:r>
            <w:r w:rsidRPr="00367B13">
              <w:rPr>
                <w:spacing w:val="-2"/>
              </w:rPr>
              <w:t>vlny</w:t>
            </w:r>
            <w:r>
              <w:rPr>
                <w:spacing w:val="-2"/>
              </w:rPr>
              <w:t>, která citelně zatížila rozpočtové výdaje</w:t>
            </w:r>
            <w:r>
              <w:rPr>
                <w:rStyle w:val="Znakapoznpodarou"/>
                <w:spacing w:val="-2"/>
              </w:rPr>
              <w:footnoteReference w:id="3"/>
            </w:r>
            <w:r>
              <w:rPr>
                <w:spacing w:val="-2"/>
              </w:rPr>
              <w:t>. Ve zbylé části roku došlo k částečnému uvolnění tlaku na některé běžné rozpočtové výdaje a postupné zotavování ekonomiky se začalo pozitivně odrážet v celkovém daňovém inkasu.</w:t>
            </w:r>
          </w:p>
        </w:tc>
      </w:tr>
      <w:tr w:rsidR="00144108" w:rsidRPr="003C07E6" w14:paraId="5E3395FC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8D6DE4C" w14:textId="77777777" w:rsidR="00144108" w:rsidRPr="00D033C0" w:rsidRDefault="00144108" w:rsidP="008E039E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Pokračující oživení ekonomiky i absence významnějších restrikcí během podzimní pandemické vlny vedly k tomu, že celostátní daňové inkaso na konci roku již dorovnalo předpandemickou úroveň.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61AF4C1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32C8694" w14:textId="77777777" w:rsidR="00144108" w:rsidRDefault="00144108" w:rsidP="008E039E">
            <w:pPr>
              <w:spacing w:after="200"/>
              <w:rPr>
                <w:spacing w:val="-2"/>
              </w:rPr>
            </w:pPr>
            <w:r w:rsidRPr="008B14C3">
              <w:rPr>
                <w:color w:val="0D0D0D" w:themeColor="text1" w:themeTint="F2"/>
                <w:spacing w:val="-2"/>
              </w:rPr>
              <w:t>Celkové příjmy</w:t>
            </w:r>
            <w:r>
              <w:rPr>
                <w:color w:val="0D0D0D" w:themeColor="text1" w:themeTint="F2"/>
                <w:spacing w:val="-2"/>
              </w:rPr>
              <w:t> </w:t>
            </w:r>
            <w:r>
              <w:rPr>
                <w:spacing w:val="-2"/>
              </w:rPr>
              <w:t>SR loni meziročně vzrostl</w:t>
            </w:r>
            <w:r w:rsidRPr="009B277E">
              <w:rPr>
                <w:spacing w:val="-2"/>
              </w:rPr>
              <w:t>y</w:t>
            </w:r>
            <w:r>
              <w:rPr>
                <w:spacing w:val="-2"/>
              </w:rPr>
              <w:t xml:space="preserve"> o 0,8 % (+11,8</w:t>
            </w:r>
            <w:r w:rsidRPr="009B277E">
              <w:rPr>
                <w:spacing w:val="-2"/>
              </w:rPr>
              <w:t> mld. korun).</w:t>
            </w:r>
            <w:r>
              <w:rPr>
                <w:spacing w:val="-2"/>
              </w:rPr>
              <w:t xml:space="preserve"> Mírné navýšení zde souviselo s vyššími daňovými příjmy (včetně pojistného), protože nedaňové i kapitálové příjmy a přijaté transfery úrovně roku 2020 nedosáhly. V posílení daňových příjmů (+35,4 mld. korun) se odrážela zejména nízká srovnávací základna, neboť ve 2. čtvrtletí 2020 došlo k mimořádnému odkladu zákonných termínů splatnosti váhově významných daní i pojistného na sociální zabezpečení (SZ). V příjmech SR za rok 2021 se </w:t>
            </w:r>
            <w:r w:rsidRPr="005E144F">
              <w:rPr>
                <w:color w:val="0D0D0D" w:themeColor="text1" w:themeTint="F2"/>
                <w:spacing w:val="-2"/>
              </w:rPr>
              <w:t xml:space="preserve">negativně </w:t>
            </w:r>
            <w:r>
              <w:rPr>
                <w:color w:val="0D0D0D" w:themeColor="text1" w:themeTint="F2"/>
                <w:spacing w:val="-2"/>
              </w:rPr>
              <w:t xml:space="preserve">projevilo </w:t>
            </w:r>
            <w:r>
              <w:rPr>
                <w:spacing w:val="-2"/>
              </w:rPr>
              <w:t>snížení</w:t>
            </w:r>
            <w:r w:rsidRPr="009B277E">
              <w:rPr>
                <w:spacing w:val="-2"/>
              </w:rPr>
              <w:t xml:space="preserve"> daňového zatížení práce</w:t>
            </w:r>
            <w:r>
              <w:rPr>
                <w:spacing w:val="-2"/>
              </w:rPr>
              <w:t xml:space="preserve"> i majetku a také změna rozpočtového určení daní </w:t>
            </w:r>
            <w:r w:rsidRPr="009B277E">
              <w:rPr>
                <w:spacing w:val="-2"/>
              </w:rPr>
              <w:t>ve prospěch</w:t>
            </w:r>
            <w:r w:rsidRPr="00641DA4">
              <w:rPr>
                <w:color w:val="0D0D0D" w:themeColor="text1" w:themeTint="F2"/>
                <w:spacing w:val="-2"/>
              </w:rPr>
              <w:t xml:space="preserve"> územních rozpočtů</w:t>
            </w:r>
            <w:r w:rsidRPr="00641DA4">
              <w:rPr>
                <w:rStyle w:val="Znakapoznpodarou"/>
                <w:color w:val="0D0D0D" w:themeColor="text1" w:themeTint="F2"/>
                <w:spacing w:val="-2"/>
              </w:rPr>
              <w:footnoteReference w:id="4"/>
            </w:r>
            <w:r w:rsidRPr="00641DA4">
              <w:rPr>
                <w:color w:val="0D0D0D" w:themeColor="text1" w:themeTint="F2"/>
                <w:spacing w:val="-2"/>
              </w:rPr>
              <w:t>. Souhrnný celostátní výběr daní (bez pojistného na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641DA4">
              <w:rPr>
                <w:color w:val="0D0D0D" w:themeColor="text1" w:themeTint="F2"/>
                <w:spacing w:val="-2"/>
              </w:rPr>
              <w:t xml:space="preserve">SZ) na úrovni </w:t>
            </w:r>
            <w:r>
              <w:rPr>
                <w:spacing w:val="-2"/>
              </w:rPr>
              <w:t>všech veřejných rozpočtů sice</w:t>
            </w:r>
            <w:r w:rsidRPr="009B277E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vloni meziročně posílil o 1,2 %, za úrovní z roku 2019 ovšem stále zaostával (o 4,2 %). V průběhu loňského roku se ale výběr postupně zlepšoval. </w:t>
            </w:r>
            <w:r>
              <w:t>O</w:t>
            </w:r>
            <w:r w:rsidRPr="00FD41BE">
              <w:t xml:space="preserve">živení </w:t>
            </w:r>
            <w:r>
              <w:t>ekonomiky výrazně nenarušila ani podzimní pandemická vlna, která již nebyla doprovázena významnějším omezením ekonomické aktivity ve službách.</w:t>
            </w:r>
            <w:r w:rsidRPr="00641DA4">
              <w:rPr>
                <w:color w:val="0D0D0D" w:themeColor="text1" w:themeTint="F2"/>
                <w:spacing w:val="-2"/>
              </w:rPr>
              <w:t xml:space="preserve"> </w:t>
            </w:r>
            <w:r>
              <w:rPr>
                <w:color w:val="0D0D0D" w:themeColor="text1" w:themeTint="F2"/>
                <w:spacing w:val="-2"/>
              </w:rPr>
              <w:t>C</w:t>
            </w:r>
            <w:r w:rsidRPr="00641DA4">
              <w:rPr>
                <w:color w:val="0D0D0D" w:themeColor="text1" w:themeTint="F2"/>
                <w:spacing w:val="-2"/>
              </w:rPr>
              <w:t>elostátní výběr daní</w:t>
            </w:r>
            <w:r>
              <w:rPr>
                <w:color w:val="0D0D0D" w:themeColor="text1" w:themeTint="F2"/>
                <w:spacing w:val="-2"/>
              </w:rPr>
              <w:t xml:space="preserve"> tak ve </w:t>
            </w:r>
            <w:r>
              <w:rPr>
                <w:spacing w:val="-2"/>
              </w:rPr>
              <w:t>3. čtvrtletí za shodným obdobím roku 2019 zaostal již jen o 0,7 % a ve 4. čtvrtletí byl s touto úrovní srovnatelný.</w:t>
            </w:r>
          </w:p>
        </w:tc>
      </w:tr>
      <w:tr w:rsidR="00144108" w:rsidRPr="003C07E6" w14:paraId="30D0A5B3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C0DC38E" w14:textId="77777777" w:rsidR="00144108" w:rsidRPr="00D033C0" w:rsidRDefault="00144108" w:rsidP="008E039E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Rostoucí výběr DPH odrážel dopad rychlého oživení soukromé spotřeby i akceleraci cen v ekonomice.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7141BB8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9782282" w14:textId="77777777" w:rsidR="00144108" w:rsidRPr="00144108" w:rsidRDefault="00144108" w:rsidP="008E039E">
            <w:pPr>
              <w:spacing w:after="200"/>
              <w:rPr>
                <w:spacing w:val="-5"/>
              </w:rPr>
            </w:pPr>
            <w:r w:rsidRPr="00144108">
              <w:rPr>
                <w:spacing w:val="-5"/>
              </w:rPr>
              <w:t>Z DPH, jež tradičně představuje váhově výrazně dominantní daň, plynulo loni do SR meziročně o 3,7 % (+10,7 mld. korun) více. Na úrovni všech veřejných rozpočtů posílilo inkaso o 8,7 % (za dva roky o 7,4 %). Efekt rychlého oživení soukromé spotřeby (podpořené svižným růstem objemu vyplacených mezd i platů v ekonomice) zastínil dopad snížení sazeb této daně u některých služeb</w:t>
            </w:r>
            <w:r w:rsidRPr="00144108">
              <w:rPr>
                <w:rStyle w:val="Znakapoznpodarou"/>
                <w:spacing w:val="-5"/>
              </w:rPr>
              <w:footnoteReference w:id="5"/>
            </w:r>
            <w:r w:rsidRPr="00144108">
              <w:rPr>
                <w:spacing w:val="-5"/>
              </w:rPr>
              <w:t>. Zejména na sklonku loňského roku se ve vyšším výběru daně stále více odrážel akcelerující cenový růst prostupující celou ekonomiku. Celostátní výběr DPH tak v listopadu i prosinci převýšil odpovídající úroveň z roku 2019 o více než 15 %.</w:t>
            </w:r>
          </w:p>
        </w:tc>
      </w:tr>
      <w:tr w:rsidR="00144108" w:rsidRPr="003C07E6" w14:paraId="3739E974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F71A103" w14:textId="77777777" w:rsidR="00144108" w:rsidRPr="00D033C0" w:rsidRDefault="00144108" w:rsidP="008E039E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Inkaso spotřební daně z minerálních olejů i tabáku meziročně kleslo a rozpočtové očekávání nenaplnilo.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53AD9E3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DC5C596" w14:textId="77777777" w:rsidR="00144108" w:rsidRPr="009B277E" w:rsidRDefault="00144108" w:rsidP="00144108">
            <w:pPr>
              <w:spacing w:after="0"/>
              <w:rPr>
                <w:spacing w:val="-2"/>
              </w:rPr>
            </w:pPr>
            <w:r>
              <w:rPr>
                <w:color w:val="0D0D0D" w:themeColor="text1" w:themeTint="F2"/>
                <w:spacing w:val="-5"/>
              </w:rPr>
              <w:t>P</w:t>
            </w:r>
            <w:r w:rsidRPr="00460F0F">
              <w:rPr>
                <w:color w:val="0D0D0D" w:themeColor="text1" w:themeTint="F2"/>
                <w:spacing w:val="-5"/>
              </w:rPr>
              <w:t>říjmy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59184C">
              <w:rPr>
                <w:color w:val="0D0D0D" w:themeColor="text1" w:themeTint="F2"/>
                <w:spacing w:val="-5"/>
              </w:rPr>
              <w:t xml:space="preserve">SR ze </w:t>
            </w:r>
            <w:r>
              <w:rPr>
                <w:color w:val="0D0D0D" w:themeColor="text1" w:themeTint="F2"/>
                <w:spacing w:val="-5"/>
              </w:rPr>
              <w:t xml:space="preserve">všech </w:t>
            </w:r>
            <w:r w:rsidRPr="0059184C">
              <w:rPr>
                <w:color w:val="0D0D0D" w:themeColor="text1" w:themeTint="F2"/>
                <w:spacing w:val="-5"/>
              </w:rPr>
              <w:t>spotřebních daní</w:t>
            </w:r>
            <w:r w:rsidRPr="0059184C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se loni meziročně snížily o rovná 3 % a mírně prohloubily svůj pokles z prvního roku pandemie. Vloni se nejvíce projevil nižší výběr daně z tabákových výrobků (</w:t>
            </w:r>
            <w:r>
              <w:rPr>
                <w:spacing w:val="-4"/>
              </w:rPr>
              <w:t>–</w:t>
            </w:r>
            <w:r>
              <w:rPr>
                <w:color w:val="0D0D0D" w:themeColor="text1" w:themeTint="F2"/>
                <w:spacing w:val="-4"/>
              </w:rPr>
              <w:t>5,5 %), a to navzdory tomu, že došlo k </w:t>
            </w:r>
            <w:r>
              <w:rPr>
                <w:spacing w:val="-4"/>
              </w:rPr>
              <w:t xml:space="preserve">10% navýšení </w:t>
            </w:r>
            <w:r>
              <w:rPr>
                <w:color w:val="0D0D0D" w:themeColor="text1" w:themeTint="F2"/>
                <w:spacing w:val="-5"/>
              </w:rPr>
              <w:t>daňové sazby. Naproti tomu u minerálních olejů měl pokles daňové sazby (o 1 korunu u motorové nafty) viditelný dopad, neboť bez něj by výběr daně vzrostl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6"/>
            </w:r>
            <w:r>
              <w:rPr>
                <w:color w:val="0D0D0D" w:themeColor="text1" w:themeTint="F2"/>
                <w:spacing w:val="-5"/>
              </w:rPr>
              <w:t>, což naznačují i (zatím neúplné) údaje o</w:t>
            </w:r>
            <w:r w:rsidRPr="009B7F92">
              <w:rPr>
                <w:spacing w:val="-4"/>
              </w:rPr>
              <w:t> </w:t>
            </w:r>
            <w:r>
              <w:rPr>
                <w:color w:val="0D0D0D" w:themeColor="text1" w:themeTint="F2"/>
                <w:spacing w:val="-5"/>
              </w:rPr>
              <w:t>spotřebě ropných produktů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>. Ve 4. čtvrtletí již bylo inkaso této daně meziročně vyšší (+5,1 %), avšak za úrovní z předpandemického roku stále lehce zaostávalo. Navzdory oživení na konci loňského roku zůstalo inkaso obou výše uvedených spotřebních daní, na rozdíl od všech ostatních váhově významnějších daní, za rozpočtovým očekáváním.</w:t>
            </w:r>
          </w:p>
        </w:tc>
      </w:tr>
      <w:tr w:rsidR="00144108" w:rsidRPr="003C07E6" w14:paraId="3B8C0163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3BDD870" w14:textId="77777777" w:rsidR="00144108" w:rsidRDefault="00144108" w:rsidP="008E039E">
            <w:pPr>
              <w:pStyle w:val="Marginlie"/>
            </w:pPr>
            <w:r>
              <w:lastRenderedPageBreak/>
              <w:t>Výběr spotřební daně z lihu rostl, z piva klesal.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5251D99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BED5969" w14:textId="77777777" w:rsidR="00144108" w:rsidRPr="00095212" w:rsidRDefault="00144108" w:rsidP="008E039E">
            <w:pPr>
              <w:spacing w:after="200"/>
              <w:rPr>
                <w:color w:val="0D0D0D" w:themeColor="text1" w:themeTint="F2"/>
                <w:spacing w:val="-2"/>
              </w:rPr>
            </w:pPr>
            <w:r w:rsidRPr="00095212">
              <w:rPr>
                <w:color w:val="0D0D0D" w:themeColor="text1" w:themeTint="F2"/>
                <w:spacing w:val="-2"/>
              </w:rPr>
              <w:t>Inkaso ostatních, váhově méně významných spotřebních daní meziročně mírně rostlo, a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095212">
              <w:rPr>
                <w:color w:val="0D0D0D" w:themeColor="text1" w:themeTint="F2"/>
                <w:spacing w:val="-2"/>
              </w:rPr>
              <w:t>to především vlivem nově zavedené daně z digitálních služeb a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095212">
              <w:rPr>
                <w:color w:val="0D0D0D" w:themeColor="text1" w:themeTint="F2"/>
                <w:spacing w:val="-2"/>
              </w:rPr>
              <w:t>vyššího výběru daně z lihu (i</w:t>
            </w:r>
            <w:r w:rsidRPr="00095212">
              <w:rPr>
                <w:spacing w:val="-2"/>
              </w:rPr>
              <w:t> </w:t>
            </w:r>
            <w:r w:rsidRPr="00095212">
              <w:rPr>
                <w:color w:val="0D0D0D" w:themeColor="text1" w:themeTint="F2"/>
                <w:spacing w:val="-2"/>
              </w:rPr>
              <w:t>díky zvýšené sazbě). Klesl naopak výběr u daně z piva (o 5,5 %), neboť některá administrativní opatření mající vliv na návštěvnost restauračních zařízení i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095212">
              <w:rPr>
                <w:color w:val="0D0D0D" w:themeColor="text1" w:themeTint="F2"/>
                <w:spacing w:val="-2"/>
              </w:rPr>
              <w:t>příjezdový cestovní ruch byla v platnosti i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095212">
              <w:rPr>
                <w:color w:val="0D0D0D" w:themeColor="text1" w:themeTint="F2"/>
                <w:spacing w:val="-2"/>
              </w:rPr>
              <w:t>v posledních měsících roku 2021.</w:t>
            </w:r>
          </w:p>
        </w:tc>
      </w:tr>
      <w:tr w:rsidR="00144108" w:rsidRPr="003C07E6" w14:paraId="447615D6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51E108E" w14:textId="77777777" w:rsidR="00144108" w:rsidRDefault="00144108" w:rsidP="008E039E">
            <w:pPr>
              <w:pStyle w:val="Marginlie"/>
            </w:pPr>
            <w:r>
              <w:t>Svižný růst výběru korporátní daně byl výrazně ovlivněn přesunutím části plateb z roku 2020 do roku 2021.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D6DC60A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7535F27" w14:textId="77777777" w:rsidR="00144108" w:rsidRPr="00D4578E" w:rsidRDefault="00144108" w:rsidP="008E039E">
            <w:pPr>
              <w:spacing w:after="200"/>
              <w:rPr>
                <w:spacing w:val="-4"/>
              </w:rPr>
            </w:pPr>
            <w:r w:rsidRPr="00BA5FE7">
              <w:rPr>
                <w:color w:val="0D0D0D" w:themeColor="text1" w:themeTint="F2"/>
                <w:spacing w:val="-5"/>
              </w:rPr>
              <w:t xml:space="preserve">Na korporátní dani </w:t>
            </w:r>
            <w:r>
              <w:rPr>
                <w:spacing w:val="-5"/>
              </w:rPr>
              <w:t>získal SR loni</w:t>
            </w:r>
            <w:r w:rsidRPr="00A66749">
              <w:rPr>
                <w:spacing w:val="-5"/>
              </w:rPr>
              <w:t xml:space="preserve"> o</w:t>
            </w:r>
            <w:r>
              <w:rPr>
                <w:spacing w:val="-5"/>
              </w:rPr>
              <w:t> 19 % (20,8 mld.</w:t>
            </w:r>
            <w:r w:rsidRPr="00A66749">
              <w:rPr>
                <w:spacing w:val="-5"/>
              </w:rPr>
              <w:t xml:space="preserve"> korun) více</w:t>
            </w:r>
            <w:r>
              <w:rPr>
                <w:spacing w:val="-5"/>
              </w:rPr>
              <w:t>. Společně s vyšším inkasem pojistného na SZ (+55 mld.) šlo o položky, které přispěly k růstu celkových příjmů SR nejvíce. Svižný růst výběru korporátní daně byl výrazně ovlivněn přesunutím části plateb z roku 2020 do následujícího roku</w:t>
            </w:r>
            <w:r>
              <w:rPr>
                <w:rStyle w:val="Znakapoznpodarou"/>
                <w:spacing w:val="-5"/>
              </w:rPr>
              <w:footnoteReference w:id="8"/>
            </w:r>
            <w:r>
              <w:rPr>
                <w:spacing w:val="-5"/>
              </w:rPr>
              <w:t xml:space="preserve">. Inkaso této daně v obou pandemických letech negativně ovlivňovaly </w:t>
            </w:r>
            <w:r w:rsidRPr="00A66749">
              <w:rPr>
                <w:spacing w:val="-5"/>
              </w:rPr>
              <w:t>individuální žádost</w:t>
            </w:r>
            <w:r>
              <w:rPr>
                <w:spacing w:val="-5"/>
              </w:rPr>
              <w:t>i</w:t>
            </w:r>
            <w:r w:rsidRPr="00A66749">
              <w:rPr>
                <w:spacing w:val="-5"/>
              </w:rPr>
              <w:t xml:space="preserve"> firem o</w:t>
            </w:r>
            <w:r>
              <w:rPr>
                <w:spacing w:val="-5"/>
              </w:rPr>
              <w:t> úpravu záloh</w:t>
            </w:r>
            <w:r w:rsidRPr="00A66749">
              <w:rPr>
                <w:rStyle w:val="Znakapoznpodarou"/>
                <w:spacing w:val="-5"/>
              </w:rPr>
              <w:footnoteReference w:id="9"/>
            </w:r>
            <w:r>
              <w:rPr>
                <w:spacing w:val="-5"/>
              </w:rPr>
              <w:t>. Relativně nezkreslený obraz podává srovnání celostátního výběru korporátní daně (na úrovni všech veřejných rozpočtů) za 2. pololetí 2021 se stejným obdobím roku 2019 (+6,2 %).</w:t>
            </w:r>
          </w:p>
        </w:tc>
      </w:tr>
      <w:tr w:rsidR="00144108" w:rsidRPr="003C07E6" w14:paraId="200B754B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1309534" w14:textId="77777777" w:rsidR="00144108" w:rsidRDefault="00144108" w:rsidP="008E039E">
            <w:pPr>
              <w:pStyle w:val="Marginlie"/>
            </w:pPr>
            <w:r>
              <w:t>Mimořádný rozpočtový propad u daně z příjmů fyzických osob šel zcela na vrub zákonným úpravám.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FD892EE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2898049" w14:textId="77777777" w:rsidR="00144108" w:rsidRPr="00460F0F" w:rsidRDefault="00144108" w:rsidP="008E039E">
            <w:pPr>
              <w:spacing w:after="20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V </w:t>
            </w:r>
            <w:r w:rsidRPr="00EA5553">
              <w:rPr>
                <w:spacing w:val="-5"/>
              </w:rPr>
              <w:t xml:space="preserve">mimořádném loňském </w:t>
            </w:r>
            <w:r>
              <w:rPr>
                <w:spacing w:val="-5"/>
              </w:rPr>
              <w:t>propadu příjmu SR z </w:t>
            </w:r>
            <w:r w:rsidRPr="00EA5553">
              <w:rPr>
                <w:spacing w:val="-5"/>
              </w:rPr>
              <w:t xml:space="preserve">daně </w:t>
            </w:r>
            <w:r>
              <w:rPr>
                <w:spacing w:val="-5"/>
              </w:rPr>
              <w:t xml:space="preserve">od </w:t>
            </w:r>
            <w:r w:rsidRPr="00EA5553">
              <w:rPr>
                <w:spacing w:val="-5"/>
              </w:rPr>
              <w:t>fyzických osob</w:t>
            </w:r>
            <w:r>
              <w:rPr>
                <w:spacing w:val="-5"/>
              </w:rPr>
              <w:t xml:space="preserve"> (o 29,2 %, resp. 45 mld. korun)</w:t>
            </w:r>
            <w:r>
              <w:rPr>
                <w:rStyle w:val="Znakapoznpodarou"/>
                <w:spacing w:val="-5"/>
              </w:rPr>
              <w:footnoteReference w:id="10"/>
            </w:r>
            <w:r>
              <w:rPr>
                <w:spacing w:val="-5"/>
              </w:rPr>
              <w:t xml:space="preserve"> se vedle změny rozpočtového určení daní nejvíce odráželo </w:t>
            </w:r>
            <w:r>
              <w:rPr>
                <w:spacing w:val="-4"/>
              </w:rPr>
              <w:t>s</w:t>
            </w:r>
            <w:r w:rsidRPr="0095443E">
              <w:rPr>
                <w:spacing w:val="-4"/>
              </w:rPr>
              <w:t>nížení daňového zatížení práce</w:t>
            </w:r>
            <w:r w:rsidRPr="00285F04">
              <w:rPr>
                <w:vertAlign w:val="superscript"/>
              </w:rPr>
              <w:footnoteReference w:id="11"/>
            </w:r>
            <w:r>
              <w:rPr>
                <w:spacing w:val="-4"/>
              </w:rPr>
              <w:t>. Na výši inkasa stále působily i záchranné programy (kompenzační bonusy – zejména OSVČ), jejich negativní rozpočtový dopad byl ale loni ve srovnání s rokem</w:t>
            </w:r>
            <w:r>
              <w:rPr>
                <w:spacing w:val="-5"/>
              </w:rPr>
              <w:t xml:space="preserve"> 2020</w:t>
            </w:r>
            <w:r>
              <w:rPr>
                <w:spacing w:val="-4"/>
              </w:rPr>
              <w:t xml:space="preserve"> slabší</w:t>
            </w:r>
            <w:r>
              <w:rPr>
                <w:rStyle w:val="Znakapoznpodarou"/>
                <w:spacing w:val="-4"/>
              </w:rPr>
              <w:footnoteReference w:id="12"/>
            </w:r>
            <w:r>
              <w:rPr>
                <w:spacing w:val="-4"/>
              </w:rPr>
              <w:t xml:space="preserve">. Propad inkasa byl tlumen </w:t>
            </w:r>
            <w:r w:rsidRPr="00CF0E31">
              <w:rPr>
                <w:spacing w:val="-6"/>
              </w:rPr>
              <w:t>rostoucí zaměstnaností, dalším navyšováním minimální mzdy, jakož i</w:t>
            </w:r>
            <w:r>
              <w:rPr>
                <w:spacing w:val="-6"/>
              </w:rPr>
              <w:t xml:space="preserve"> jarní </w:t>
            </w:r>
            <w:r w:rsidRPr="00CF0E31">
              <w:rPr>
                <w:spacing w:val="-6"/>
              </w:rPr>
              <w:t>výplatou mimořádných odměn pracovníkům veřejného sektoru stojící</w:t>
            </w:r>
            <w:r>
              <w:rPr>
                <w:spacing w:val="-6"/>
              </w:rPr>
              <w:t>m</w:t>
            </w:r>
            <w:r w:rsidRPr="00CF0E31">
              <w:rPr>
                <w:spacing w:val="-6"/>
              </w:rPr>
              <w:t xml:space="preserve"> v první linii </w:t>
            </w:r>
            <w:r>
              <w:rPr>
                <w:spacing w:val="-6"/>
              </w:rPr>
              <w:t>boje</w:t>
            </w:r>
            <w:r w:rsidRPr="00CF0E31">
              <w:rPr>
                <w:spacing w:val="-6"/>
              </w:rPr>
              <w:t xml:space="preserve"> proti pandemii.</w:t>
            </w:r>
          </w:p>
        </w:tc>
      </w:tr>
      <w:tr w:rsidR="00144108" w:rsidRPr="00F704D2" w14:paraId="43FED60F" w14:textId="77777777" w:rsidTr="008E039E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729F92FD" w14:textId="77777777" w:rsidR="00144108" w:rsidRDefault="00144108" w:rsidP="008E039E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6ED6DE75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42113BB" w14:textId="2FA4E6C6" w:rsidR="00144108" w:rsidRPr="001C3794" w:rsidRDefault="001C3794" w:rsidP="00A02E8B">
            <w:pPr>
              <w:spacing w:after="0" w:line="240" w:lineRule="auto"/>
              <w:rPr>
                <w:rFonts w:cs="Arial"/>
                <w:bCs/>
              </w:rPr>
            </w:pPr>
            <w:r w:rsidRPr="001C379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 w:rsidR="00A02E8B">
              <w:rPr>
                <w:rFonts w:cs="Arial"/>
                <w:b/>
                <w:bCs/>
                <w:color w:val="000000"/>
                <w:szCs w:val="20"/>
              </w:rPr>
              <w:t>8</w:t>
            </w:r>
            <w:r w:rsidR="00144108" w:rsidRPr="001C3794">
              <w:rPr>
                <w:rFonts w:cs="Arial"/>
                <w:b/>
                <w:bCs/>
                <w:color w:val="000000"/>
                <w:szCs w:val="20"/>
              </w:rPr>
              <w:t xml:space="preserve">  </w:t>
            </w:r>
            <w:r w:rsidR="00144108" w:rsidRPr="001C3794">
              <w:rPr>
                <w:rFonts w:cs="Arial"/>
                <w:b/>
                <w:bCs/>
              </w:rPr>
              <w:t xml:space="preserve">Celostátní inkasa vybraných daňových příjmů </w:t>
            </w:r>
            <w:r w:rsidR="00144108" w:rsidRPr="001C3794">
              <w:rPr>
                <w:rFonts w:cs="Arial"/>
                <w:bCs/>
              </w:rPr>
              <w:t>(</w:t>
            </w:r>
            <w:r w:rsidR="00144108" w:rsidRPr="001C3794">
              <w:t>meziročně</w:t>
            </w:r>
            <w:r>
              <w:rPr>
                <w:bCs/>
              </w:rPr>
              <w:t xml:space="preserve"> v %) </w:t>
            </w:r>
            <w:r w:rsidR="00144108" w:rsidRPr="001C3794">
              <w:rPr>
                <w:rFonts w:cs="Arial"/>
                <w:b/>
                <w:bCs/>
              </w:rPr>
              <w:t>a saldo státního rozpočtu</w:t>
            </w:r>
            <w:r w:rsidR="00144108" w:rsidRPr="001C3794">
              <w:t xml:space="preserve"> </w:t>
            </w:r>
            <w:r w:rsidR="00144108" w:rsidRPr="001C3794">
              <w:rPr>
                <w:rFonts w:cs="Arial"/>
                <w:bCs/>
              </w:rPr>
              <w:t>(v mld. korun)</w:t>
            </w:r>
          </w:p>
        </w:tc>
      </w:tr>
      <w:tr w:rsidR="00144108" w14:paraId="3939DF9F" w14:textId="77777777" w:rsidTr="008E039E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2266D139" w14:textId="77777777" w:rsidR="00144108" w:rsidRDefault="00144108" w:rsidP="008E039E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5D752E07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7373B6D4" w14:textId="77777777" w:rsidR="00144108" w:rsidRPr="0067514E" w:rsidRDefault="00144108" w:rsidP="008E039E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77526364" wp14:editId="6CC68820">
                  <wp:extent cx="4734415" cy="3577091"/>
                  <wp:effectExtent l="0" t="0" r="0" b="4445"/>
                  <wp:docPr id="26" name="Graf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44108" w:rsidRPr="007B3A78" w14:paraId="2B2C05BA" w14:textId="77777777" w:rsidTr="008E039E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7C44B34B" w14:textId="77777777" w:rsidR="00144108" w:rsidRDefault="00144108" w:rsidP="008E039E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729F50F5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4F1CC00" w14:textId="77777777" w:rsidR="00144108" w:rsidRPr="00A66749" w:rsidRDefault="00144108" w:rsidP="008E039E">
            <w:pPr>
              <w:tabs>
                <w:tab w:val="right" w:pos="7683"/>
              </w:tabs>
              <w:spacing w:after="180" w:line="240" w:lineRule="auto"/>
              <w:jc w:val="left"/>
              <w:rPr>
                <w:spacing w:val="-2"/>
                <w:sz w:val="14"/>
                <w:szCs w:val="14"/>
              </w:rPr>
            </w:pPr>
            <w:r w:rsidRPr="00A66749">
              <w:rPr>
                <w:spacing w:val="-2"/>
                <w:sz w:val="14"/>
                <w:szCs w:val="14"/>
              </w:rPr>
              <w:t>Zdroj: MF ČR</w:t>
            </w:r>
          </w:p>
        </w:tc>
      </w:tr>
      <w:tr w:rsidR="00144108" w:rsidRPr="008266F0" w14:paraId="5AB3DE73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2E46F5C" w14:textId="77777777" w:rsidR="00144108" w:rsidRPr="00A87E3B" w:rsidRDefault="00144108" w:rsidP="008E039E">
            <w:pPr>
              <w:pStyle w:val="Marginlie"/>
              <w:rPr>
                <w:spacing w:val="-5"/>
              </w:rPr>
            </w:pPr>
            <w:r>
              <w:lastRenderedPageBreak/>
              <w:t>Meziroční růst příjmů z rozpočtu EU se v roce 2021 zastavil.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090FE81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5806BC8" w14:textId="77777777" w:rsidR="00144108" w:rsidRDefault="00144108" w:rsidP="008E039E">
            <w:pPr>
              <w:spacing w:after="200"/>
              <w:rPr>
                <w:spacing w:val="-2"/>
              </w:rPr>
            </w:pPr>
            <w:r>
              <w:rPr>
                <w:color w:val="0D0D0D" w:themeColor="text1" w:themeTint="F2"/>
                <w:spacing w:val="-5"/>
              </w:rPr>
              <w:t xml:space="preserve">Svižný růst </w:t>
            </w:r>
            <w:r w:rsidRPr="00987E24">
              <w:rPr>
                <w:color w:val="0D0D0D" w:themeColor="text1" w:themeTint="F2"/>
                <w:spacing w:val="-2"/>
              </w:rPr>
              <w:t>nedaňových a kapitálových příjmů a transferů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987E24">
              <w:rPr>
                <w:color w:val="0D0D0D" w:themeColor="text1" w:themeTint="F2"/>
                <w:spacing w:val="-2"/>
              </w:rPr>
              <w:t xml:space="preserve">SR </w:t>
            </w:r>
            <w:r>
              <w:rPr>
                <w:color w:val="0D0D0D" w:themeColor="text1" w:themeTint="F2"/>
                <w:spacing w:val="-2"/>
              </w:rPr>
              <w:t>po roce 2017 se loni zastavil. Jejich meziroční pokles</w:t>
            </w:r>
            <w:r>
              <w:rPr>
                <w:spacing w:val="-2"/>
              </w:rPr>
              <w:t xml:space="preserve"> (o 23,7 mld. korun) byl takřka z poloviny ovlivněn nižšími příjmy z rozpočtu EU (sloužícími ke krytí již státem dříve předfinancovaných výdajů)</w:t>
            </w:r>
            <w:r>
              <w:rPr>
                <w:rStyle w:val="Znakapoznpodarou"/>
                <w:spacing w:val="-2"/>
              </w:rPr>
              <w:footnoteReference w:id="13"/>
            </w:r>
            <w:r>
              <w:rPr>
                <w:spacing w:val="-2"/>
              </w:rPr>
              <w:t>. P</w:t>
            </w:r>
            <w:r w:rsidRPr="009B277E">
              <w:rPr>
                <w:spacing w:val="-2"/>
              </w:rPr>
              <w:t xml:space="preserve">lánovaný </w:t>
            </w:r>
            <w:r>
              <w:rPr>
                <w:spacing w:val="-2"/>
              </w:rPr>
              <w:t xml:space="preserve">meziroční pokles objemu </w:t>
            </w:r>
            <w:r w:rsidRPr="009B277E">
              <w:rPr>
                <w:spacing w:val="-2"/>
              </w:rPr>
              <w:t>převod</w:t>
            </w:r>
            <w:r>
              <w:rPr>
                <w:spacing w:val="-2"/>
              </w:rPr>
              <w:t>u</w:t>
            </w:r>
            <w:r w:rsidRPr="009B277E">
              <w:rPr>
                <w:spacing w:val="-2"/>
              </w:rPr>
              <w:t xml:space="preserve"> prostřed</w:t>
            </w:r>
            <w:r>
              <w:rPr>
                <w:spacing w:val="-2"/>
              </w:rPr>
              <w:t xml:space="preserve">ků privatizačního účtu do SR byl zhruba kompenzován mimořádnými loňskými </w:t>
            </w:r>
            <w:r w:rsidRPr="00444DB0">
              <w:rPr>
                <w:spacing w:val="-2"/>
              </w:rPr>
              <w:t xml:space="preserve">výnosy z aukce </w:t>
            </w:r>
            <w:r>
              <w:rPr>
                <w:spacing w:val="-2"/>
              </w:rPr>
              <w:t xml:space="preserve">rádiových </w:t>
            </w:r>
            <w:r w:rsidRPr="00444DB0">
              <w:rPr>
                <w:spacing w:val="-2"/>
              </w:rPr>
              <w:t>kmitočtů (+5,6 mld.).</w:t>
            </w:r>
          </w:p>
        </w:tc>
      </w:tr>
      <w:tr w:rsidR="00144108" w:rsidRPr="008266F0" w14:paraId="5D1765FB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169D94A" w14:textId="77777777" w:rsidR="00144108" w:rsidRPr="00A87E3B" w:rsidRDefault="00144108" w:rsidP="008E039E">
            <w:pPr>
              <w:pStyle w:val="Marginlie"/>
              <w:rPr>
                <w:spacing w:val="-5"/>
              </w:rPr>
            </w:pPr>
            <w:r w:rsidRPr="00A87E3B">
              <w:rPr>
                <w:spacing w:val="-5"/>
              </w:rPr>
              <w:t xml:space="preserve">Nižší potřeba podpůrných </w:t>
            </w:r>
            <w:r w:rsidRPr="00A87E3B">
              <w:rPr>
                <w:spacing w:val="-4"/>
              </w:rPr>
              <w:t>programů a</w:t>
            </w:r>
            <w:r>
              <w:rPr>
                <w:spacing w:val="-4"/>
              </w:rPr>
              <w:t> </w:t>
            </w:r>
            <w:r w:rsidRPr="00A87E3B">
              <w:rPr>
                <w:spacing w:val="-4"/>
              </w:rPr>
              <w:t>opatření</w:t>
            </w:r>
            <w:r w:rsidRPr="00A87E3B">
              <w:rPr>
                <w:spacing w:val="-5"/>
              </w:rPr>
              <w:t xml:space="preserve"> </w:t>
            </w:r>
            <w:r>
              <w:t>díky</w:t>
            </w:r>
            <w:r w:rsidRPr="00A87E3B">
              <w:t xml:space="preserve"> </w:t>
            </w:r>
            <w:r>
              <w:t>zlepšené epidemické situaci se ve 2. pololetí</w:t>
            </w:r>
            <w:r w:rsidRPr="00A87E3B">
              <w:t xml:space="preserve"> odrazila v</w:t>
            </w:r>
            <w:r>
              <w:t> </w:t>
            </w:r>
            <w:r w:rsidRPr="00A87E3B">
              <w:t xml:space="preserve">citelném </w:t>
            </w:r>
            <w:r>
              <w:t xml:space="preserve">zvolnění růstu běžných </w:t>
            </w:r>
            <w:r w:rsidRPr="00A87E3B">
              <w:t>výdajů</w:t>
            </w:r>
            <w:r>
              <w:t> </w:t>
            </w:r>
            <w:r w:rsidRPr="00A87E3B">
              <w:t>SR</w:t>
            </w:r>
            <w:r>
              <w:t>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4C1BADC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72A4EA1" w14:textId="77777777" w:rsidR="00144108" w:rsidRDefault="00144108" w:rsidP="008E039E">
            <w:pPr>
              <w:spacing w:after="200"/>
              <w:rPr>
                <w:spacing w:val="-2"/>
              </w:rPr>
            </w:pPr>
            <w:r w:rsidRPr="00451427">
              <w:rPr>
                <w:color w:val="0D0D0D" w:themeColor="text1" w:themeTint="F2"/>
                <w:spacing w:val="-2"/>
              </w:rPr>
              <w:t>Celkové výdaje</w:t>
            </w:r>
            <w:r>
              <w:rPr>
                <w:color w:val="0D0D0D" w:themeColor="text1" w:themeTint="F2"/>
                <w:spacing w:val="-2"/>
              </w:rPr>
              <w:t> </w:t>
            </w:r>
            <w:r w:rsidRPr="00451427">
              <w:rPr>
                <w:color w:val="0D0D0D" w:themeColor="text1" w:themeTint="F2"/>
                <w:spacing w:val="-2"/>
              </w:rPr>
              <w:t xml:space="preserve">SR </w:t>
            </w:r>
            <w:r>
              <w:rPr>
                <w:color w:val="0D0D0D" w:themeColor="text1" w:themeTint="F2"/>
                <w:spacing w:val="-2"/>
              </w:rPr>
              <w:t xml:space="preserve">v roce 2021 v souladu s rozpočtovým očekáváním </w:t>
            </w:r>
            <w:r w:rsidRPr="00451427">
              <w:rPr>
                <w:color w:val="0D0D0D" w:themeColor="text1" w:themeTint="F2"/>
                <w:spacing w:val="-2"/>
              </w:rPr>
              <w:t xml:space="preserve">meziročně </w:t>
            </w:r>
            <w:r>
              <w:rPr>
                <w:color w:val="0D0D0D" w:themeColor="text1" w:themeTint="F2"/>
                <w:spacing w:val="-2"/>
              </w:rPr>
              <w:t xml:space="preserve">mírně vzrostly </w:t>
            </w:r>
            <w:r>
              <w:rPr>
                <w:spacing w:val="-2"/>
              </w:rPr>
              <w:t xml:space="preserve">o 3,5 % (+64 mld. korun). Ve srovnání s prudkým navýšením v prvním pandemickém roce (+291,2 mld.) šlo o citelné zmírnění fiskální expanze. Tempo výdajů zpomalovalo i v průběhu loňského roku – zatímco ve 2. čtvrtletí 2021 bylo oproti shodnému období „běžného“ roku 2019 vyšší o 31 %, ve 4. čtvrtletí již „jen“ o 17 %. To souviselo s rozvolňováním protipandemických opatření. </w:t>
            </w:r>
            <w:r w:rsidRPr="00AF5B4C">
              <w:rPr>
                <w:color w:val="0D0D0D" w:themeColor="text1" w:themeTint="F2"/>
                <w:spacing w:val="-2"/>
              </w:rPr>
              <w:t>Ze širokého spektra podpůrných programů a opatření</w:t>
            </w:r>
            <w:r w:rsidRPr="00AF5B4C">
              <w:rPr>
                <w:rStyle w:val="Znakapoznpodarou"/>
                <w:color w:val="0D0D0D" w:themeColor="text1" w:themeTint="F2"/>
                <w:spacing w:val="-5"/>
              </w:rPr>
              <w:footnoteReference w:id="14"/>
            </w:r>
            <w:r w:rsidRPr="00AF5B4C">
              <w:rPr>
                <w:color w:val="0D0D0D" w:themeColor="text1" w:themeTint="F2"/>
                <w:spacing w:val="-2"/>
              </w:rPr>
              <w:t xml:space="preserve"> tak byly </w:t>
            </w:r>
            <w:r>
              <w:rPr>
                <w:spacing w:val="-2"/>
              </w:rPr>
              <w:t xml:space="preserve">některé z nich na počátku léta fakticky pozastaveny, případně výrazně utlumeny (např. ošetřovné či program Antivirus). Ve 2. pololetí citelně kleslo také čerpání </w:t>
            </w:r>
            <w:r w:rsidRPr="0063225E">
              <w:rPr>
                <w:spacing w:val="-2"/>
              </w:rPr>
              <w:t>speciální</w:t>
            </w:r>
            <w:r>
              <w:rPr>
                <w:spacing w:val="-2"/>
              </w:rPr>
              <w:t>ch programů</w:t>
            </w:r>
            <w:r w:rsidRPr="0063225E">
              <w:rPr>
                <w:spacing w:val="-2"/>
              </w:rPr>
              <w:t xml:space="preserve"> na p</w:t>
            </w:r>
            <w:r>
              <w:rPr>
                <w:spacing w:val="-2"/>
              </w:rPr>
              <w:t>římou podporu zasažených odvětví</w:t>
            </w:r>
            <w:r w:rsidRPr="0063225E">
              <w:rPr>
                <w:spacing w:val="-2"/>
              </w:rPr>
              <w:t xml:space="preserve"> ekonomik</w:t>
            </w:r>
            <w:r>
              <w:rPr>
                <w:spacing w:val="-2"/>
              </w:rPr>
              <w:t>y. Rovnoměrně po celý loňský rok zatížily SR jen navýšené platby za státní</w:t>
            </w:r>
            <w:r w:rsidRPr="00AF5B4C">
              <w:rPr>
                <w:spacing w:val="-2"/>
              </w:rPr>
              <w:t xml:space="preserve"> pojištěnce</w:t>
            </w:r>
            <w:r>
              <w:rPr>
                <w:spacing w:val="-2"/>
              </w:rPr>
              <w:t xml:space="preserve"> a rovněž nákupy ochranných prostředků (např. vakcíny).</w:t>
            </w:r>
          </w:p>
        </w:tc>
      </w:tr>
      <w:tr w:rsidR="00144108" w:rsidRPr="008266F0" w14:paraId="37366BE8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65B032CF" w14:textId="77777777" w:rsidR="00144108" w:rsidRDefault="00144108" w:rsidP="008E039E">
            <w:pPr>
              <w:pStyle w:val="Marginlie"/>
              <w:rPr>
                <w:spacing w:val="-3"/>
              </w:rPr>
            </w:pPr>
            <w:r w:rsidRPr="00A87E3B">
              <w:rPr>
                <w:spacing w:val="-3"/>
              </w:rPr>
              <w:t>Nárůst bě</w:t>
            </w:r>
            <w:r>
              <w:rPr>
                <w:spacing w:val="-3"/>
              </w:rPr>
              <w:t>žných výdajů SR odrážel především navýšení platby</w:t>
            </w:r>
            <w:r w:rsidRPr="00A87E3B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do zdravotnictví </w:t>
            </w:r>
            <w:r w:rsidRPr="00A87E3B">
              <w:rPr>
                <w:spacing w:val="-3"/>
              </w:rPr>
              <w:t>za státní pojištěnce</w:t>
            </w:r>
            <w:r>
              <w:rPr>
                <w:spacing w:val="-3"/>
              </w:rPr>
              <w:t xml:space="preserve"> a také vyšší </w:t>
            </w:r>
            <w:r w:rsidRPr="00A87E3B">
              <w:rPr>
                <w:spacing w:val="-3"/>
              </w:rPr>
              <w:t>transfery podnikatelským subjektům</w:t>
            </w:r>
            <w:r>
              <w:rPr>
                <w:spacing w:val="-3"/>
              </w:rPr>
              <w:t>.</w:t>
            </w:r>
          </w:p>
          <w:p w14:paraId="339A2D3B" w14:textId="77777777" w:rsidR="00144108" w:rsidRDefault="00144108" w:rsidP="008E039E">
            <w:pPr>
              <w:pStyle w:val="Marginlie"/>
              <w:rPr>
                <w:spacing w:val="-3"/>
              </w:rPr>
            </w:pPr>
          </w:p>
          <w:p w14:paraId="3CC5F7D7" w14:textId="77777777" w:rsidR="00144108" w:rsidRDefault="00144108" w:rsidP="008E039E">
            <w:pPr>
              <w:pStyle w:val="Marginlie"/>
              <w:rPr>
                <w:spacing w:val="-3"/>
              </w:rPr>
            </w:pPr>
          </w:p>
          <w:p w14:paraId="11C1D0EB" w14:textId="77777777" w:rsidR="00144108" w:rsidRDefault="00144108" w:rsidP="008E039E">
            <w:pPr>
              <w:pStyle w:val="Marginlie"/>
              <w:rPr>
                <w:spacing w:val="-3"/>
              </w:rPr>
            </w:pPr>
          </w:p>
          <w:p w14:paraId="53788ABB" w14:textId="77777777" w:rsidR="00144108" w:rsidRDefault="00144108" w:rsidP="008E039E">
            <w:pPr>
              <w:pStyle w:val="Marginlie"/>
              <w:rPr>
                <w:spacing w:val="-3"/>
              </w:rPr>
            </w:pPr>
          </w:p>
          <w:p w14:paraId="526F0D16" w14:textId="77777777" w:rsidR="00144108" w:rsidRDefault="00144108" w:rsidP="008E039E">
            <w:pPr>
              <w:pStyle w:val="Marginlie"/>
              <w:rPr>
                <w:spacing w:val="-3"/>
              </w:rPr>
            </w:pPr>
          </w:p>
          <w:p w14:paraId="0955E714" w14:textId="77777777" w:rsidR="00144108" w:rsidRDefault="00144108" w:rsidP="008E039E">
            <w:pPr>
              <w:pStyle w:val="Marginlie"/>
              <w:rPr>
                <w:spacing w:val="-3"/>
              </w:rPr>
            </w:pPr>
          </w:p>
          <w:p w14:paraId="3F8E94D3" w14:textId="77777777" w:rsidR="00144108" w:rsidRDefault="00144108" w:rsidP="008E039E">
            <w:pPr>
              <w:pStyle w:val="Marginlie"/>
              <w:rPr>
                <w:spacing w:val="-3"/>
              </w:rPr>
            </w:pPr>
          </w:p>
          <w:p w14:paraId="5BF04315" w14:textId="77777777" w:rsidR="00144108" w:rsidRPr="00A87E3B" w:rsidRDefault="00144108" w:rsidP="008E039E">
            <w:pPr>
              <w:pStyle w:val="Marginlie"/>
              <w:rPr>
                <w:spacing w:val="-5"/>
              </w:rPr>
            </w:pPr>
            <w:r>
              <w:rPr>
                <w:spacing w:val="-3"/>
              </w:rPr>
              <w:t>Prudký předloňský růst u neinvestičních nákupů se v roce 2021 výrazně ztlumil.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B4A7411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253782E" w14:textId="77777777" w:rsidR="00144108" w:rsidRDefault="00144108" w:rsidP="008E039E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>K</w:t>
            </w:r>
            <w:r w:rsidRPr="00B522D7">
              <w:rPr>
                <w:color w:val="0D0D0D" w:themeColor="text1" w:themeTint="F2"/>
                <w:spacing w:val="-2"/>
              </w:rPr>
              <w:t> loňskému meziročnímu posílení běžných výdajů (+59,2 mld. korun) přispěly</w:t>
            </w:r>
            <w:r>
              <w:rPr>
                <w:color w:val="0D0D0D" w:themeColor="text1" w:themeTint="F2"/>
                <w:spacing w:val="-2"/>
              </w:rPr>
              <w:t xml:space="preserve"> navýšené platby za státní pojištěnce (s růstem o 30 %) a dále </w:t>
            </w:r>
            <w:r w:rsidRPr="00456B08">
              <w:rPr>
                <w:color w:val="0D0D0D" w:themeColor="text1" w:themeTint="F2"/>
                <w:spacing w:val="-5"/>
              </w:rPr>
              <w:t>neinvestiční trans</w:t>
            </w:r>
            <w:r>
              <w:rPr>
                <w:color w:val="0D0D0D" w:themeColor="text1" w:themeTint="F2"/>
                <w:spacing w:val="-5"/>
              </w:rPr>
              <w:t>fery podnikatelským subjektům (+18 %), jejichž čerpání významně překročilo rozpočtové očekávání (+19 mld. korun).</w:t>
            </w:r>
            <w:r>
              <w:rPr>
                <w:spacing w:val="-5"/>
              </w:rPr>
              <w:t xml:space="preserve"> Tyto transfery soustřeďují rozhodující část </w:t>
            </w:r>
            <w:r w:rsidRPr="00456B08">
              <w:rPr>
                <w:spacing w:val="-5"/>
              </w:rPr>
              <w:t>podpůrných opatření (program Antivirus, podpora firem v nejvíce</w:t>
            </w:r>
            <w:r>
              <w:rPr>
                <w:spacing w:val="-5"/>
              </w:rPr>
              <w:t xml:space="preserve"> zasažených odvětvích, ošetřovné pro OSVČ). I přes mírnější růst (+5,9 %) měly podstatný vliv i objemově významné běžné transfery územním rozpočtům, což</w:t>
            </w:r>
            <w:r>
              <w:rPr>
                <w:color w:val="0D0D0D" w:themeColor="text1" w:themeTint="F2"/>
                <w:spacing w:val="-2"/>
              </w:rPr>
              <w:t xml:space="preserve"> </w:t>
            </w:r>
            <w:r>
              <w:rPr>
                <w:spacing w:val="-5"/>
              </w:rPr>
              <w:t>souviselo s pokračujícím růstem platů v regionálním školství</w:t>
            </w:r>
            <w:r>
              <w:rPr>
                <w:rStyle w:val="Znakapoznpodarou"/>
                <w:spacing w:val="-5"/>
              </w:rPr>
              <w:footnoteReference w:id="15"/>
            </w:r>
            <w:r>
              <w:rPr>
                <w:spacing w:val="-5"/>
              </w:rPr>
              <w:t>, s navýšením financování sociálních služeb a v menší míře i s mimořádnými odměnami zaměstnancům v lůžkové péči. Tyto odměny se promítly i do transferů příspěvkovým organizacím, které ovšem celkově mírně klesly (o 3,5 %), neboť výdaje na oddlužení části nemocnic realizované v roce 2020 se loni neopakovaly. S pandemií souvisely i výdaje na neinvestiční nákupy</w:t>
            </w:r>
            <w:r>
              <w:rPr>
                <w:rStyle w:val="Znakapoznpodarou"/>
                <w:spacing w:val="-5"/>
              </w:rPr>
              <w:footnoteReference w:id="16"/>
            </w:r>
            <w:r>
              <w:rPr>
                <w:spacing w:val="-5"/>
              </w:rPr>
              <w:t>. Ty oproti rekordní výši z roku 2020 (77,9 mld. korun) vzrostly jen mírně (+1,6 %). Nižší potřeba ochranných pomůcek a zdravotnického materiálu byla z velké části nahrazena vyššími výdaji za nákupy vakcín. Tempo růstu výdajů na platy (a souvisejících výdajů) v organizačních složkách státu zvolňovalo třetí rok v řadě. Loni tyto výdaje meziročně vzrostly o 1,3 %, nejméně za posledních devět let. Většina růstu byla spojena s agendami intenzivněji zapojenými do boje s pandemií (např. policie, armáda, hygienické služby).</w:t>
            </w:r>
          </w:p>
        </w:tc>
      </w:tr>
      <w:tr w:rsidR="00144108" w:rsidRPr="008266F0" w14:paraId="41B376FA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3DD66C09" w14:textId="77777777" w:rsidR="00144108" w:rsidRPr="00A87E3B" w:rsidRDefault="00144108" w:rsidP="008E039E">
            <w:pPr>
              <w:pStyle w:val="Marginlie"/>
              <w:rPr>
                <w:spacing w:val="-3"/>
              </w:rPr>
            </w:pPr>
            <w:r>
              <w:rPr>
                <w:spacing w:val="-3"/>
              </w:rPr>
              <w:t>Podíl výdajů SR alokovaných na sociální dávky dále klesal. Důchodový účet se vrátil do mírného přebytku.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5FB7D6B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C075E24" w14:textId="77777777" w:rsidR="00144108" w:rsidRPr="008F5C08" w:rsidRDefault="00144108" w:rsidP="008E039E">
            <w:pPr>
              <w:spacing w:after="200"/>
              <w:rPr>
                <w:spacing w:val="-3"/>
              </w:rPr>
            </w:pPr>
            <w:r>
              <w:rPr>
                <w:spacing w:val="-3"/>
              </w:rPr>
              <w:t xml:space="preserve">Prostředky </w:t>
            </w:r>
            <w:r w:rsidRPr="00F414D7">
              <w:rPr>
                <w:color w:val="0D0D0D" w:themeColor="text1" w:themeTint="F2"/>
                <w:spacing w:val="-3"/>
              </w:rPr>
              <w:t xml:space="preserve">na sociální dávky, </w:t>
            </w:r>
            <w:r>
              <w:rPr>
                <w:spacing w:val="-3"/>
              </w:rPr>
              <w:t>které dlouhodobě představují</w:t>
            </w:r>
            <w:r w:rsidRPr="008E078C">
              <w:rPr>
                <w:spacing w:val="-3"/>
              </w:rPr>
              <w:t xml:space="preserve"> váhově dominantní výdaj</w:t>
            </w:r>
            <w:r>
              <w:rPr>
                <w:spacing w:val="-3"/>
              </w:rPr>
              <w:t> </w:t>
            </w:r>
            <w:r w:rsidRPr="008E078C">
              <w:rPr>
                <w:spacing w:val="-3"/>
              </w:rPr>
              <w:t>SR</w:t>
            </w:r>
            <w:r w:rsidRPr="008E078C">
              <w:rPr>
                <w:rStyle w:val="Znakapoznpodarou"/>
                <w:spacing w:val="-3"/>
              </w:rPr>
              <w:footnoteReference w:id="17"/>
            </w:r>
            <w:r w:rsidRPr="008E078C">
              <w:rPr>
                <w:spacing w:val="-3"/>
              </w:rPr>
              <w:t xml:space="preserve">, </w:t>
            </w:r>
            <w:r>
              <w:rPr>
                <w:spacing w:val="-3"/>
              </w:rPr>
              <w:t>vzrostly vloni meziročně o 0,8 %, když v roce 2020 eskalovaly na 14,2</w:t>
            </w:r>
            <w:r>
              <w:rPr>
                <w:spacing w:val="-5"/>
              </w:rPr>
              <w:t> </w:t>
            </w:r>
            <w:r>
              <w:rPr>
                <w:spacing w:val="-3"/>
              </w:rPr>
              <w:t>%</w:t>
            </w:r>
            <w:r>
              <w:rPr>
                <w:rStyle w:val="Znakapoznpodarou"/>
                <w:spacing w:val="-3"/>
              </w:rPr>
              <w:footnoteReference w:id="18"/>
            </w:r>
            <w:r>
              <w:rPr>
                <w:spacing w:val="-3"/>
              </w:rPr>
              <w:t xml:space="preserve">. Na rozdíl od roku 2020 byl loňský růst sycen výhradně vyššími výdaji na důchody (+2,1 %). Slabší tempo růstu důchodů souvisí s vyplacením jednorázového příspěvku všem důchodcům v prosinci </w:t>
            </w:r>
            <w:r>
              <w:rPr>
                <w:spacing w:val="-3"/>
              </w:rPr>
              <w:lastRenderedPageBreak/>
              <w:t>2020</w:t>
            </w:r>
            <w:r>
              <w:rPr>
                <w:rStyle w:val="Znakapoznpodarou"/>
                <w:spacing w:val="-3"/>
              </w:rPr>
              <w:footnoteReference w:id="19"/>
            </w:r>
            <w:r>
              <w:rPr>
                <w:spacing w:val="-3"/>
              </w:rPr>
              <w:t xml:space="preserve">. V menší míře se projevil i pokles počtu příjemců důchodů (o necelé 1 %). </w:t>
            </w:r>
            <w:r w:rsidRPr="00AC6ABB">
              <w:rPr>
                <w:spacing w:val="-5"/>
              </w:rPr>
              <w:t>P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říjmy důchodového po</w:t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jištění se oproti slabší 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základně</w:t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 roku 2020</w:t>
            </w:r>
            <w:r w:rsidRPr="00AC6ABB">
              <w:rPr>
                <w:rStyle w:val="Znakapoznpodarou"/>
                <w:color w:val="0D0D0D" w:themeColor="text1" w:themeTint="F2"/>
                <w:spacing w:val="-5"/>
              </w:rPr>
              <w:footnoteReference w:id="20"/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 loni navýšily o 9,8 %. S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aldo důchodového účtu</w:t>
            </w:r>
            <w:r w:rsidRPr="00AC6ABB">
              <w:rPr>
                <w:rStyle w:val="Znakapoznpodarou"/>
                <w:color w:val="0D0D0D" w:themeColor="text1" w:themeTint="F2"/>
                <w:spacing w:val="-5"/>
              </w:rPr>
              <w:footnoteReference w:id="21"/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 se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5"/>
              </w:rPr>
              <w:t>tak po mimořádném propadu v prvním roce pandemie (</w:t>
            </w:r>
            <w:r>
              <w:rPr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  <w:spacing w:val="-5"/>
              </w:rPr>
              <w:t>34 mld. korun) loni vrátilo do mírného přebytku (+2 mld.).</w:t>
            </w:r>
          </w:p>
        </w:tc>
      </w:tr>
      <w:tr w:rsidR="00144108" w:rsidRPr="008266F0" w14:paraId="61E6A1FE" w14:textId="77777777" w:rsidTr="008E039E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CE81DE1" w14:textId="77777777" w:rsidR="00144108" w:rsidRDefault="00144108" w:rsidP="008E039E">
            <w:pPr>
              <w:pStyle w:val="Marginlie"/>
            </w:pPr>
            <w:r>
              <w:lastRenderedPageBreak/>
              <w:t>Čerpání většiny nedůchodových sociálních dávek díky oživení ekonomiky v roce 2021 kleslo.</w:t>
            </w:r>
          </w:p>
          <w:p w14:paraId="0FCEF80A" w14:textId="77777777" w:rsidR="00144108" w:rsidRDefault="00144108" w:rsidP="008E039E">
            <w:pPr>
              <w:pStyle w:val="Marginlie"/>
            </w:pPr>
          </w:p>
          <w:p w14:paraId="120E4D0F" w14:textId="77777777" w:rsidR="00144108" w:rsidRDefault="00144108" w:rsidP="008E039E">
            <w:pPr>
              <w:pStyle w:val="Marginlie"/>
            </w:pPr>
          </w:p>
          <w:p w14:paraId="49AEFF7B" w14:textId="77777777" w:rsidR="00144108" w:rsidRDefault="00144108" w:rsidP="008E039E">
            <w:pPr>
              <w:pStyle w:val="Marginlie"/>
            </w:pPr>
          </w:p>
          <w:p w14:paraId="598BF304" w14:textId="77777777" w:rsidR="00144108" w:rsidRDefault="00144108" w:rsidP="008E039E">
            <w:pPr>
              <w:pStyle w:val="Marginlie"/>
            </w:pPr>
          </w:p>
          <w:p w14:paraId="68F6B86B" w14:textId="77777777" w:rsidR="00144108" w:rsidRDefault="00144108" w:rsidP="008E039E">
            <w:pPr>
              <w:pStyle w:val="Marginlie"/>
            </w:pPr>
            <w:r>
              <w:t>Růst výdajů na nemocenské dávky, pomoc v mateřství i dávky hmotné nouze ale pokračoval.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C0DC426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72AD97F" w14:textId="77777777" w:rsidR="00144108" w:rsidRPr="00144108" w:rsidRDefault="00144108" w:rsidP="008E039E">
            <w:pPr>
              <w:spacing w:after="200"/>
              <w:rPr>
                <w:spacing w:val="-5"/>
              </w:rPr>
            </w:pPr>
            <w:r w:rsidRPr="00144108">
              <w:rPr>
                <w:color w:val="0D0D0D" w:themeColor="text1" w:themeTint="F2"/>
                <w:spacing w:val="-5"/>
              </w:rPr>
              <w:t xml:space="preserve">Na nedůchodové sociální dávky směřovalo </w:t>
            </w:r>
            <w:r w:rsidRPr="00144108">
              <w:rPr>
                <w:spacing w:val="-5"/>
              </w:rPr>
              <w:t>loni 162 mld. korun, meziročně o 5,7 % méně (oproti roku 2019 ovšem výdaje stouply skoro o čtvrtinu). Projevilo se v nich primárně nižší čerpání ošetřovného, které ve srovnání s rekordní úrovní z roku 2020 (11,5 mld. korun) o více než polovinu propadlo. Peněžitá pomoc v mateřství (+6,9 %) i objemově významnější nemocenské dávky ale loni pokračovaly v růstu (+3,1</w:t>
            </w:r>
            <w:r w:rsidRPr="00144108">
              <w:rPr>
                <w:rFonts w:cs="Arial"/>
                <w:color w:val="0D0D0D" w:themeColor="text1" w:themeTint="F2"/>
                <w:spacing w:val="-5"/>
              </w:rPr>
              <w:t> </w:t>
            </w:r>
            <w:r w:rsidRPr="00144108">
              <w:rPr>
                <w:spacing w:val="-5"/>
              </w:rPr>
              <w:t xml:space="preserve">%), byť ve druhém případě podstatně slabším tempem než v předešlých letech. Růst objemu dávek státní sociální podpory se po </w:t>
            </w:r>
            <w:r w:rsidRPr="00144108">
              <w:rPr>
                <w:color w:val="0D0D0D" w:themeColor="text1" w:themeTint="F2"/>
                <w:spacing w:val="-5"/>
              </w:rPr>
              <w:t xml:space="preserve">předloňském skokovém </w:t>
            </w:r>
            <w:r w:rsidRPr="00144108">
              <w:rPr>
                <w:spacing w:val="-5"/>
              </w:rPr>
              <w:t>navýšení zastavil (–5,5 %), protože klesly klíčové výdaje na rodičovské příspěvky při současném vyšším čerpání přídavku na dítě (vlivem legislativní úpravy od 1. 7. 2021)</w:t>
            </w:r>
            <w:r w:rsidRPr="00144108">
              <w:rPr>
                <w:rStyle w:val="Znakapoznpodarou"/>
                <w:spacing w:val="-5"/>
              </w:rPr>
              <w:footnoteReference w:id="22"/>
            </w:r>
            <w:r w:rsidRPr="00144108">
              <w:rPr>
                <w:spacing w:val="-5"/>
              </w:rPr>
              <w:t>. Zlepšení situace na trhu práce díky ústupu pandemie vyústilo v nižší objem vyplacených podpor v nezaměstnanosti (–5,2 %). Zhoršenou příjmovou situaci některých domácností ale naznačuje vyšší čerpání dávek hmotné nouze, patrné po celé pandemické období. Za rok 2021 na ně směřovalo meziročně o desetinu více, k růstu zčásti přispěla i mimořádná pomoc osobám poškozeným živelní událostí (červnovým tornádem).</w:t>
            </w:r>
          </w:p>
        </w:tc>
      </w:tr>
      <w:tr w:rsidR="00144108" w:rsidRPr="00F704D2" w14:paraId="6DA2B77A" w14:textId="77777777" w:rsidTr="008E039E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67E18AB4" w14:textId="77777777" w:rsidR="00144108" w:rsidRDefault="00144108" w:rsidP="008E039E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5292F7C7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B3865B5" w14:textId="1139A49B" w:rsidR="00144108" w:rsidRPr="009E555E" w:rsidRDefault="001C3794" w:rsidP="00A02E8B">
            <w:pPr>
              <w:spacing w:after="20" w:line="240" w:lineRule="auto"/>
              <w:jc w:val="left"/>
              <w:rPr>
                <w:rFonts w:cs="Arial"/>
                <w:bCs/>
                <w:spacing w:val="-2"/>
              </w:rPr>
            </w:pPr>
            <w:r>
              <w:rPr>
                <w:b/>
                <w:spacing w:val="-2"/>
              </w:rPr>
              <w:t>Graf č. 1</w:t>
            </w:r>
            <w:r w:rsidR="00A02E8B">
              <w:rPr>
                <w:b/>
                <w:spacing w:val="-2"/>
              </w:rPr>
              <w:t>9</w:t>
            </w:r>
            <w:r w:rsidR="00144108" w:rsidRPr="009E555E">
              <w:rPr>
                <w:b/>
                <w:spacing w:val="-2"/>
              </w:rPr>
              <w:t xml:space="preserve">  </w:t>
            </w:r>
            <w:r w:rsidR="00144108" w:rsidRPr="009E555E">
              <w:rPr>
                <w:rFonts w:cs="Arial"/>
                <w:b/>
                <w:bCs/>
                <w:spacing w:val="-2"/>
              </w:rPr>
              <w:t>Vybrané výdaje státního</w:t>
            </w:r>
            <w:r w:rsidR="00144108">
              <w:rPr>
                <w:rFonts w:cs="Arial"/>
                <w:b/>
                <w:bCs/>
                <w:spacing w:val="-2"/>
              </w:rPr>
              <w:t xml:space="preserve"> rozpočtu</w:t>
            </w:r>
            <w:r w:rsidR="00144108" w:rsidRPr="009E555E">
              <w:rPr>
                <w:rFonts w:cs="Arial"/>
                <w:spacing w:val="-2"/>
              </w:rPr>
              <w:t xml:space="preserve"> (v mld. korun)</w:t>
            </w:r>
          </w:p>
        </w:tc>
      </w:tr>
      <w:tr w:rsidR="00144108" w14:paraId="59682A5A" w14:textId="77777777" w:rsidTr="008E039E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1665C4B9" w14:textId="77777777" w:rsidR="00144108" w:rsidRDefault="00144108" w:rsidP="008E039E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5938BB5B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70787D34" w14:textId="77777777" w:rsidR="00144108" w:rsidRPr="0067514E" w:rsidRDefault="00144108" w:rsidP="008E039E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7A91A4B3" wp14:editId="7898D932">
                  <wp:extent cx="4769485" cy="3271755"/>
                  <wp:effectExtent l="0" t="0" r="0" b="5080"/>
                  <wp:docPr id="27" name="Graf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44108" w:rsidRPr="00343AC1" w14:paraId="09A84D7F" w14:textId="77777777" w:rsidTr="008E039E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0C2D9F48" w14:textId="77777777" w:rsidR="00144108" w:rsidRDefault="00144108" w:rsidP="008E039E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4D4445CD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F36AF99" w14:textId="77777777" w:rsidR="00144108" w:rsidRPr="008F2BE2" w:rsidRDefault="00144108" w:rsidP="008E039E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*Pokrývají výdaje na platy v organizačních složkách státu. Nezahrnují například mzdové výdaje na regionální školství.</w:t>
            </w:r>
          </w:p>
          <w:p w14:paraId="7FFB7085" w14:textId="77777777" w:rsidR="00144108" w:rsidRDefault="00144108" w:rsidP="008E039E">
            <w:pPr>
              <w:pStyle w:val="Textpoznpodarou"/>
              <w:tabs>
                <w:tab w:val="right" w:pos="7683"/>
              </w:tabs>
              <w:rPr>
                <w:spacing w:val="-6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**Zahrnuje i dávky pěstounské péče</w:t>
            </w:r>
            <w:r>
              <w:rPr>
                <w:spacing w:val="-4"/>
                <w:sz w:val="14"/>
                <w:szCs w:val="14"/>
              </w:rPr>
              <w:t xml:space="preserve"> a náhradní výživné</w:t>
            </w:r>
            <w:r w:rsidRPr="008F2BE2">
              <w:rPr>
                <w:spacing w:val="-4"/>
                <w:sz w:val="14"/>
                <w:szCs w:val="14"/>
              </w:rPr>
              <w:t>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8F2BE2">
              <w:rPr>
                <w:spacing w:val="-4"/>
                <w:sz w:val="14"/>
                <w:szCs w:val="14"/>
              </w:rPr>
              <w:t>***Zahrnují dávky pomoci v hmotné nouzi, dávky osobám se zdravotním postižením, příspěvek na péči dle zákona o soc. službách.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8F2BE2">
              <w:rPr>
                <w:spacing w:val="-4"/>
                <w:sz w:val="14"/>
                <w:szCs w:val="14"/>
              </w:rPr>
              <w:t>****Obsahují zejména výdaje na nákup služeb, materiálu, energií či ostatních služeb (například výdaje na opravy a udržování).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67514E">
              <w:rPr>
                <w:spacing w:val="-6"/>
                <w:sz w:val="14"/>
                <w:szCs w:val="14"/>
              </w:rPr>
              <w:t>*****Odpovídá saldu rozpočtové kapitoly Státní dluh.</w:t>
            </w:r>
          </w:p>
          <w:p w14:paraId="6C18ACC1" w14:textId="77777777" w:rsidR="00144108" w:rsidRPr="008F2BE2" w:rsidRDefault="00144108" w:rsidP="008E039E">
            <w:pPr>
              <w:pStyle w:val="Textpoznpodarou"/>
              <w:tabs>
                <w:tab w:val="right" w:pos="7683"/>
              </w:tabs>
              <w:spacing w:after="200"/>
              <w:rPr>
                <w:spacing w:val="-4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Zdroj: MF ČR, MPSV</w:t>
            </w:r>
          </w:p>
        </w:tc>
      </w:tr>
      <w:tr w:rsidR="00144108" w:rsidRPr="00343AC1" w14:paraId="4DC93201" w14:textId="77777777" w:rsidTr="008E039E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8B1AB79" w14:textId="77777777" w:rsidR="00144108" w:rsidRDefault="00144108" w:rsidP="008E039E">
            <w:pPr>
              <w:pStyle w:val="Marginlie"/>
            </w:pPr>
            <w:r w:rsidRPr="0038388C">
              <w:rPr>
                <w:color w:val="0D0D0D" w:themeColor="text1" w:themeTint="F2"/>
              </w:rPr>
              <w:t>Investiční výdaje i</w:t>
            </w:r>
            <w:r>
              <w:rPr>
                <w:color w:val="0D0D0D" w:themeColor="text1" w:themeTint="F2"/>
              </w:rPr>
              <w:t> </w:t>
            </w:r>
            <w:r w:rsidRPr="0038388C">
              <w:rPr>
                <w:color w:val="0D0D0D" w:themeColor="text1" w:themeTint="F2"/>
              </w:rPr>
              <w:t>přes mírný meziroční růst za rozpočtovým očekáváním loni zaostaly.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30C0C7B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047CE7C" w14:textId="77777777" w:rsidR="00144108" w:rsidRPr="0038388C" w:rsidRDefault="00144108" w:rsidP="008E039E">
            <w:pPr>
              <w:spacing w:after="180"/>
              <w:rPr>
                <w:color w:val="0D0D0D" w:themeColor="text1" w:themeTint="F2"/>
                <w:szCs w:val="20"/>
              </w:rPr>
            </w:pPr>
            <w:r w:rsidRPr="004D1FA4">
              <w:rPr>
                <w:bCs/>
                <w:color w:val="0D0D0D" w:themeColor="text1" w:themeTint="F2"/>
                <w:szCs w:val="20"/>
              </w:rPr>
              <w:t>Kapitálové výdaje</w:t>
            </w:r>
            <w:r>
              <w:rPr>
                <w:color w:val="0D0D0D" w:themeColor="text1" w:themeTint="F2"/>
                <w:szCs w:val="20"/>
              </w:rPr>
              <w:t xml:space="preserve"> </w:t>
            </w:r>
            <w:r w:rsidRPr="004D1FA4">
              <w:rPr>
                <w:color w:val="0D0D0D" w:themeColor="text1" w:themeTint="F2"/>
                <w:szCs w:val="20"/>
              </w:rPr>
              <w:t>dosáhly</w:t>
            </w:r>
            <w:r w:rsidRPr="00760059">
              <w:rPr>
                <w:color w:val="0D0D0D" w:themeColor="text1" w:themeTint="F2"/>
                <w:szCs w:val="20"/>
              </w:rPr>
              <w:t xml:space="preserve"> </w:t>
            </w:r>
            <w:r>
              <w:rPr>
                <w:color w:val="0D0D0D" w:themeColor="text1" w:themeTint="F2"/>
                <w:szCs w:val="20"/>
              </w:rPr>
              <w:t>loni rekordních 177,4 mld. korun a meziročně posílily o 2,8</w:t>
            </w:r>
            <w:r>
              <w:rPr>
                <w:color w:val="0D0D0D" w:themeColor="text1" w:themeTint="F2"/>
                <w:spacing w:val="-5"/>
              </w:rPr>
              <w:t> </w:t>
            </w:r>
            <w:r>
              <w:rPr>
                <w:color w:val="0D0D0D" w:themeColor="text1" w:themeTint="F2"/>
                <w:szCs w:val="20"/>
              </w:rPr>
              <w:t>%. I přes rychlé čerpání ke konci roku zůstaly okolo 6 % za rozpočtovým očekáváním. To souvisí s pomalejší realizací projektů v oblasti dopravy, územního rozvoje, sportu a </w:t>
            </w:r>
            <w:r w:rsidRPr="00760059">
              <w:rPr>
                <w:color w:val="0D0D0D" w:themeColor="text1" w:themeTint="F2"/>
                <w:szCs w:val="20"/>
              </w:rPr>
              <w:t>kultury</w:t>
            </w:r>
            <w:r>
              <w:rPr>
                <w:color w:val="0D0D0D" w:themeColor="text1" w:themeTint="F2"/>
                <w:szCs w:val="20"/>
              </w:rPr>
              <w:t xml:space="preserve">. Více než třetina investic směřovala do </w:t>
            </w:r>
            <w:r w:rsidRPr="00760059">
              <w:rPr>
                <w:color w:val="0D0D0D" w:themeColor="text1" w:themeTint="F2"/>
                <w:szCs w:val="20"/>
              </w:rPr>
              <w:t>Státní</w:t>
            </w:r>
            <w:r>
              <w:rPr>
                <w:color w:val="0D0D0D" w:themeColor="text1" w:themeTint="F2"/>
                <w:szCs w:val="20"/>
              </w:rPr>
              <w:t>ho</w:t>
            </w:r>
            <w:r w:rsidRPr="00760059">
              <w:rPr>
                <w:color w:val="0D0D0D" w:themeColor="text1" w:themeTint="F2"/>
                <w:szCs w:val="20"/>
              </w:rPr>
              <w:t xml:space="preserve"> fondu do</w:t>
            </w:r>
            <w:r>
              <w:rPr>
                <w:color w:val="0D0D0D" w:themeColor="text1" w:themeTint="F2"/>
                <w:szCs w:val="20"/>
              </w:rPr>
              <w:t xml:space="preserve">pravní infrastruktury. Jeho rozpočet byl touto formou meziročně posílen o 3,5 mld. korun, což společně </w:t>
            </w:r>
            <w:r>
              <w:rPr>
                <w:color w:val="0D0D0D" w:themeColor="text1" w:themeTint="F2"/>
                <w:szCs w:val="20"/>
              </w:rPr>
              <w:lastRenderedPageBreak/>
              <w:t xml:space="preserve">s vyššími vlastními příjmy (z výběru </w:t>
            </w:r>
            <w:r w:rsidRPr="009C284F">
              <w:rPr>
                <w:color w:val="0D0D0D" w:themeColor="text1" w:themeTint="F2"/>
                <w:szCs w:val="20"/>
              </w:rPr>
              <w:t xml:space="preserve">mýta) vedlo k mírnému </w:t>
            </w:r>
            <w:r>
              <w:rPr>
                <w:color w:val="0D0D0D" w:themeColor="text1" w:themeTint="F2"/>
                <w:szCs w:val="20"/>
              </w:rPr>
              <w:t>posílení výdajů Fondu na dopravu. Podíl investic na celkových výdajích SR zůstal loni na podobné výši jako v roce 2020 (9,3 %) a ani od dlouhodobého průměru se významně neodchyloval.</w:t>
            </w:r>
          </w:p>
        </w:tc>
      </w:tr>
      <w:tr w:rsidR="00144108" w:rsidRPr="00343AC1" w14:paraId="6BE8E008" w14:textId="77777777" w:rsidTr="008E039E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3A902ABA" w14:textId="77777777" w:rsidR="00144108" w:rsidRDefault="00144108" w:rsidP="008E039E">
            <w:pPr>
              <w:pStyle w:val="Marginlie"/>
            </w:pPr>
            <w:r w:rsidRPr="005C7C48">
              <w:lastRenderedPageBreak/>
              <w:t>Dynamický růst státního dluhu druhým rokem v řadě pokračoval. Výdaje na</w:t>
            </w:r>
            <w:r>
              <w:t xml:space="preserve"> obsluhu </w:t>
            </w:r>
            <w:r w:rsidRPr="005C7C48">
              <w:t xml:space="preserve">dluhu </w:t>
            </w:r>
            <w:r>
              <w:t xml:space="preserve">však </w:t>
            </w:r>
            <w:r w:rsidRPr="005C7C48">
              <w:t>zatím významně nerostly.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7C3FDA8" w14:textId="77777777" w:rsidR="00144108" w:rsidRPr="009C284F" w:rsidRDefault="00144108" w:rsidP="008E039E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4E6F8F0" w14:textId="77777777" w:rsidR="00144108" w:rsidRPr="0087093E" w:rsidRDefault="00144108" w:rsidP="008E039E">
            <w:pPr>
              <w:spacing w:after="180"/>
              <w:rPr>
                <w:color w:val="0D0D0D" w:themeColor="text1" w:themeTint="F2"/>
                <w:spacing w:val="-5"/>
              </w:rPr>
            </w:pPr>
            <w:r w:rsidRPr="0087093E">
              <w:rPr>
                <w:color w:val="0D0D0D" w:themeColor="text1" w:themeTint="F2"/>
                <w:spacing w:val="-5"/>
              </w:rPr>
              <w:t>Silně rostoucí potřeba financování vázaná na nutnost pokrytí krizového schodku SR vyústila během pandemického období v akceleraci státního dluhu. Ten činil na konci loňského prosince 2 466 mld. korun a od ledna 2021 vystoupal o 416 mld., tedy srovnatelně jako za rok 2020. Celkový nárůst dluhu za oba pandemické roky byl o necelých 40 mld. korun vyšší než rozpočtové schodky. Nárůst dluhu byl z drtivé části financován prostřednictvím domácích dluhopisů. Jejich celkový objem se za rok 2021 navýšil o 22 % (za dva roky o 60 %), na konci prosince činil 2 292 mld. korun. Mezi držiteli dluhopisů stále více dominovaly domácí finanční instituce, podíl nerezidentů se naopak mezi roky 2019 a 2021 snížil ze 40,6 % na 26,5 %. Podíl vnějšího dluhu na celkové zadluženosti dál klesal, především díky splátkám zahraničních dluhopisů. Čisté výdaje na obsluhu státního dluhu</w:t>
            </w:r>
            <w:r w:rsidRPr="0087093E">
              <w:rPr>
                <w:rStyle w:val="Znakapoznpodarou"/>
                <w:color w:val="0D0D0D" w:themeColor="text1" w:themeTint="F2"/>
                <w:spacing w:val="-5"/>
              </w:rPr>
              <w:footnoteReference w:id="23"/>
            </w:r>
            <w:r w:rsidRPr="0087093E">
              <w:rPr>
                <w:color w:val="0D0D0D" w:themeColor="text1" w:themeTint="F2"/>
                <w:spacing w:val="-5"/>
              </w:rPr>
              <w:t xml:space="preserve"> loni i vlivem zvyšujících se úrokových sazeb tuzemských státních dluhopisů meziročně mírně vzrostly (o 5,2 %) na 42,2 mld. korun. Výdaje v posledních šesti letech oscilovaly okolo 40 mld. korun.</w:t>
            </w:r>
          </w:p>
        </w:tc>
      </w:tr>
      <w:tr w:rsidR="00144108" w:rsidRPr="00E65CA0" w14:paraId="7CC43DE9" w14:textId="77777777" w:rsidTr="008E039E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FE792BB" w14:textId="77777777" w:rsidR="00144108" w:rsidRDefault="00144108" w:rsidP="008E039E">
            <w:pPr>
              <w:pStyle w:val="Marginlie"/>
            </w:pPr>
            <w:r>
              <w:t>Hospodaření sektoru vládních institucí (VI) dosáhlo za tři čtvrtletí schodku 246 mld. korun.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1F50BA4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0CC6826" w14:textId="19B14AAB" w:rsidR="00144108" w:rsidRPr="00703403" w:rsidRDefault="00144108" w:rsidP="008E039E">
            <w:pPr>
              <w:spacing w:after="180"/>
              <w:rPr>
                <w:spacing w:val="-4"/>
              </w:rPr>
            </w:pPr>
            <w:r w:rsidRPr="00720F42">
              <w:rPr>
                <w:color w:val="0D0D0D" w:themeColor="text1" w:themeTint="F2"/>
                <w:spacing w:val="-4"/>
              </w:rPr>
              <w:t xml:space="preserve">Sektor vládních institucí (VI) v ČR hospodařil </w:t>
            </w:r>
            <w:r>
              <w:rPr>
                <w:color w:val="0D0D0D" w:themeColor="text1" w:themeTint="F2"/>
                <w:spacing w:val="-4"/>
              </w:rPr>
              <w:t xml:space="preserve">v úhrnu </w:t>
            </w:r>
            <w:r w:rsidRPr="00720F42">
              <w:rPr>
                <w:color w:val="0D0D0D" w:themeColor="text1" w:themeTint="F2"/>
                <w:spacing w:val="-4"/>
              </w:rPr>
              <w:t>za tři čtvrtletí 2021</w:t>
            </w:r>
            <w:r w:rsidRPr="00720F42">
              <w:rPr>
                <w:rStyle w:val="Znakapoznpodarou"/>
                <w:color w:val="0D0D0D" w:themeColor="text1" w:themeTint="F2"/>
                <w:spacing w:val="-4"/>
              </w:rPr>
              <w:footnoteReference w:id="24"/>
            </w:r>
            <w:r>
              <w:rPr>
                <w:color w:val="0D0D0D" w:themeColor="text1" w:themeTint="F2"/>
                <w:spacing w:val="-4"/>
              </w:rPr>
              <w:t xml:space="preserve"> se schodkem 245,9 mld. korun, meziročně o 61,7</w:t>
            </w:r>
            <w:r w:rsidRPr="00720F42">
              <w:rPr>
                <w:color w:val="0D0D0D" w:themeColor="text1" w:themeTint="F2"/>
                <w:spacing w:val="-4"/>
              </w:rPr>
              <w:t> mld. hlubším.</w:t>
            </w:r>
            <w:r>
              <w:rPr>
                <w:spacing w:val="-4"/>
              </w:rPr>
              <w:t xml:space="preserve"> Růst celkových příjmů VI (6,0</w:t>
            </w:r>
            <w:r w:rsidRPr="009D20C8">
              <w:rPr>
                <w:spacing w:val="-4"/>
              </w:rPr>
              <w:t xml:space="preserve"> %) byl </w:t>
            </w:r>
            <w:r w:rsidRPr="00D20663">
              <w:rPr>
                <w:color w:val="0D0D0D" w:themeColor="text1" w:themeTint="F2"/>
                <w:spacing w:val="-4"/>
              </w:rPr>
              <w:t>zásadně ovlivněn p</w:t>
            </w:r>
            <w:r w:rsidRPr="00D20663">
              <w:rPr>
                <w:color w:val="0D0D0D" w:themeColor="text1" w:themeTint="F2"/>
              </w:rPr>
              <w:t xml:space="preserve">řijatými </w:t>
            </w:r>
            <w:r>
              <w:t xml:space="preserve">čistými sociálními příspěvky (+89,5 mld. korun), </w:t>
            </w:r>
            <w:r>
              <w:rPr>
                <w:spacing w:val="-4"/>
              </w:rPr>
              <w:t>neboť díky vládní stabilizační podpoře ekonomiky během pandemie nedošlo k významnějšímu poklesu zaměstnanosti.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Pr="003B7A7A">
              <w:rPr>
                <w:color w:val="0D0D0D" w:themeColor="text1" w:themeTint="F2"/>
                <w:spacing w:val="-4"/>
              </w:rPr>
              <w:t xml:space="preserve">Meziročně vzrostl </w:t>
            </w:r>
            <w:r>
              <w:rPr>
                <w:color w:val="0D0D0D" w:themeColor="text1" w:themeTint="F2"/>
                <w:spacing w:val="-4"/>
              </w:rPr>
              <w:t>i </w:t>
            </w:r>
            <w:r w:rsidRPr="003B7A7A">
              <w:rPr>
                <w:color w:val="0D0D0D" w:themeColor="text1" w:themeTint="F2"/>
                <w:spacing w:val="-4"/>
              </w:rPr>
              <w:t>příjem z daní z výroby a z dovozu (+6,1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3B7A7A">
              <w:rPr>
                <w:color w:val="0D0D0D" w:themeColor="text1" w:themeTint="F2"/>
                <w:spacing w:val="-4"/>
              </w:rPr>
              <w:t>)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3B7A7A">
              <w:rPr>
                <w:color w:val="0D0D0D" w:themeColor="text1" w:themeTint="F2"/>
                <w:spacing w:val="-4"/>
              </w:rPr>
              <w:t xml:space="preserve">dorovnal se </w:t>
            </w:r>
            <w:r>
              <w:rPr>
                <w:color w:val="0D0D0D" w:themeColor="text1" w:themeTint="F2"/>
                <w:spacing w:val="-4"/>
              </w:rPr>
              <w:t xml:space="preserve">již </w:t>
            </w:r>
            <w:r w:rsidRPr="003B7A7A">
              <w:rPr>
                <w:color w:val="0D0D0D" w:themeColor="text1" w:themeTint="F2"/>
                <w:spacing w:val="-4"/>
              </w:rPr>
              <w:t>úrovni z</w:t>
            </w:r>
            <w:r>
              <w:rPr>
                <w:color w:val="0D0D0D" w:themeColor="text1" w:themeTint="F2"/>
                <w:spacing w:val="-4"/>
              </w:rPr>
              <w:t> 1. až 3. čtvrtletí</w:t>
            </w:r>
            <w:r w:rsidRPr="003B7A7A">
              <w:rPr>
                <w:color w:val="0D0D0D" w:themeColor="text1" w:themeTint="F2"/>
                <w:spacing w:val="-4"/>
              </w:rPr>
              <w:t xml:space="preserve"> 2019. </w:t>
            </w:r>
            <w:r w:rsidRPr="003B7A7A">
              <w:rPr>
                <w:color w:val="0D0D0D" w:themeColor="text1" w:themeTint="F2"/>
              </w:rPr>
              <w:t xml:space="preserve">Meziroční </w:t>
            </w:r>
            <w:r w:rsidRPr="003B7A7A">
              <w:rPr>
                <w:color w:val="0D0D0D" w:themeColor="text1" w:themeTint="F2"/>
                <w:spacing w:val="-4"/>
              </w:rPr>
              <w:t>růst celkových výdajů VI byl</w:t>
            </w:r>
            <w:r>
              <w:rPr>
                <w:color w:val="0D0D0D" w:themeColor="text1" w:themeTint="F2"/>
                <w:spacing w:val="-4"/>
              </w:rPr>
              <w:t xml:space="preserve"> za tři loňská</w:t>
            </w:r>
            <w:r w:rsidRPr="003B7A7A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čtvrt</w:t>
            </w:r>
            <w:r w:rsidRPr="003B7A7A">
              <w:rPr>
                <w:color w:val="0D0D0D" w:themeColor="text1" w:themeTint="F2"/>
                <w:spacing w:val="-4"/>
              </w:rPr>
              <w:t>letí navzdory svižnému tempu (8,7 %) nejnižší za čtyři roky.</w:t>
            </w:r>
            <w:r>
              <w:rPr>
                <w:color w:val="0D0D0D" w:themeColor="text1" w:themeTint="F2"/>
                <w:spacing w:val="-4"/>
              </w:rPr>
              <w:t xml:space="preserve"> Loňský růst byl tažen zejména vyššími </w:t>
            </w:r>
            <w:r>
              <w:rPr>
                <w:spacing w:val="-4"/>
              </w:rPr>
              <w:t>sociálními dávkami a</w:t>
            </w:r>
            <w:r w:rsidRPr="009D20C8">
              <w:rPr>
                <w:spacing w:val="-4"/>
              </w:rPr>
              <w:t> </w:t>
            </w:r>
            <w:r>
              <w:rPr>
                <w:spacing w:val="-4"/>
              </w:rPr>
              <w:t xml:space="preserve">naturálními sociálními transfery (+57,5 mld. korun), </w:t>
            </w:r>
            <w:r w:rsidR="00AC78F1">
              <w:rPr>
                <w:spacing w:val="-4"/>
              </w:rPr>
              <w:t>byť jejich růst oproti tempu z 1. až 3. čtvrtletí 2020</w:t>
            </w:r>
            <w:r>
              <w:rPr>
                <w:spacing w:val="-4"/>
              </w:rPr>
              <w:t xml:space="preserve"> zvolnil (na 7,8 %). Významný byl i příspěvek vyplacených dotací (+40,0 mld., šlo hlavně o pomoc zasaženým podnikům během pandemie) a náhrad zaměstnancům (+43,1 mld.), v nichž se významně projevilo </w:t>
            </w:r>
            <w:r>
              <w:t>vyplacení odměn zdravotníkům a dalším složkám podílejícím se na řešení pandemie.</w:t>
            </w:r>
          </w:p>
        </w:tc>
      </w:tr>
      <w:tr w:rsidR="00144108" w:rsidRPr="000D151F" w14:paraId="3730028C" w14:textId="77777777" w:rsidTr="008E039E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F88181F" w14:textId="77777777" w:rsidR="00144108" w:rsidRPr="00551AB1" w:rsidRDefault="00144108" w:rsidP="008E039E">
            <w:pPr>
              <w:pStyle w:val="Marginlie"/>
              <w:rPr>
                <w:spacing w:val="0"/>
              </w:rPr>
            </w:pPr>
            <w:r w:rsidRPr="00551AB1">
              <w:rPr>
                <w:spacing w:val="0"/>
              </w:rPr>
              <w:t>Schodek hospodaření VI v EU se na rozdíl od</w:t>
            </w:r>
            <w:r>
              <w:rPr>
                <w:spacing w:val="0"/>
              </w:rPr>
              <w:t> </w:t>
            </w:r>
            <w:r w:rsidRPr="00551AB1">
              <w:rPr>
                <w:spacing w:val="0"/>
              </w:rPr>
              <w:t>ČR ve 3.</w:t>
            </w:r>
            <w:r>
              <w:rPr>
                <w:spacing w:val="0"/>
              </w:rPr>
              <w:t> čt</w:t>
            </w:r>
            <w:r w:rsidRPr="00551AB1">
              <w:rPr>
                <w:spacing w:val="0"/>
              </w:rPr>
              <w:t>vrtletí meziročně i mezi</w:t>
            </w:r>
            <w:r>
              <w:rPr>
                <w:spacing w:val="0"/>
              </w:rPr>
              <w:t>-</w:t>
            </w:r>
            <w:r w:rsidRPr="00551AB1">
              <w:rPr>
                <w:spacing w:val="0"/>
              </w:rPr>
              <w:t>kvartálně snížil.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3121621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7E7EB06" w14:textId="77777777" w:rsidR="00144108" w:rsidRPr="00703403" w:rsidRDefault="00144108" w:rsidP="008E039E">
            <w:pPr>
              <w:spacing w:after="180"/>
              <w:rPr>
                <w:color w:val="0D0D0D" w:themeColor="text1" w:themeTint="F2"/>
                <w:spacing w:val="-4"/>
              </w:rPr>
            </w:pPr>
            <w:r w:rsidRPr="00703403">
              <w:rPr>
                <w:color w:val="0D0D0D" w:themeColor="text1" w:themeTint="F2"/>
                <w:spacing w:val="-4"/>
              </w:rPr>
              <w:t xml:space="preserve">Sezónně očištěné saldo hospodaření VI </w:t>
            </w:r>
            <w:r>
              <w:rPr>
                <w:color w:val="0D0D0D" w:themeColor="text1" w:themeTint="F2"/>
                <w:spacing w:val="-4"/>
              </w:rPr>
              <w:t xml:space="preserve">v ČR </w:t>
            </w:r>
            <w:r w:rsidRPr="00703403">
              <w:rPr>
                <w:color w:val="0D0D0D" w:themeColor="text1" w:themeTint="F2"/>
                <w:spacing w:val="-4"/>
              </w:rPr>
              <w:t>činilo</w:t>
            </w:r>
            <w:r>
              <w:rPr>
                <w:color w:val="0D0D0D" w:themeColor="text1" w:themeTint="F2"/>
                <w:spacing w:val="-4"/>
              </w:rPr>
              <w:t xml:space="preserve"> loni</w:t>
            </w:r>
            <w:r w:rsidRPr="00703403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ve 3</w:t>
            </w:r>
            <w:r w:rsidRPr="00703403">
              <w:rPr>
                <w:color w:val="0D0D0D" w:themeColor="text1" w:themeTint="F2"/>
                <w:spacing w:val="-4"/>
              </w:rPr>
              <w:t>. čtvrtletí –</w:t>
            </w:r>
            <w:r>
              <w:rPr>
                <w:color w:val="0D0D0D" w:themeColor="text1" w:themeTint="F2"/>
                <w:spacing w:val="-4"/>
              </w:rPr>
              <w:t>6,0</w:t>
            </w:r>
            <w:r w:rsidRPr="00703403">
              <w:rPr>
                <w:color w:val="0D0D0D" w:themeColor="text1" w:themeTint="F2"/>
                <w:spacing w:val="-4"/>
              </w:rPr>
              <w:t> %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03403">
              <w:rPr>
                <w:color w:val="0D0D0D" w:themeColor="text1" w:themeTint="F2"/>
                <w:spacing w:val="-4"/>
              </w:rPr>
              <w:t>H</w:t>
            </w:r>
            <w:r>
              <w:rPr>
                <w:color w:val="0D0D0D" w:themeColor="text1" w:themeTint="F2"/>
                <w:spacing w:val="-4"/>
              </w:rPr>
              <w:t>DP, což znamenalo mírné zhoršení jak ve vztahu k předchozímu čtvrtletí, tak v meziročním srovnání (shodně o 0,6 p. b.). Naopak v EU se loňské zlepšení pandemické situace již promítlo do schodku VI pozitivně. Zatímco ten ve 4. čtvrtletí 2020 čítal 7,3 % HDP, ve 3.</w:t>
            </w:r>
            <w:r w:rsidRPr="00703403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čtvrtletí následujícího roku „jen“ 3,7 % HDP, když hlubší schodek než Česko měly jen Belgie, Rumunsko, Španělsko a Malta (v rozmezí 6,6 % až 8,1 % HDP)</w:t>
            </w:r>
            <w:r>
              <w:rPr>
                <w:rStyle w:val="Znakapoznpodarou"/>
                <w:spacing w:val="-4"/>
              </w:rPr>
              <w:footnoteReference w:id="25"/>
            </w:r>
            <w:r>
              <w:rPr>
                <w:color w:val="0D0D0D" w:themeColor="text1" w:themeTint="F2"/>
                <w:spacing w:val="-4"/>
              </w:rPr>
              <w:t>.</w:t>
            </w:r>
            <w:r>
              <w:rPr>
                <w:spacing w:val="-4"/>
              </w:rPr>
              <w:t xml:space="preserve"> Naopak s přebytkem hospodařil loni ve </w:t>
            </w:r>
            <w:r>
              <w:rPr>
                <w:color w:val="0D0D0D" w:themeColor="text1" w:themeTint="F2"/>
                <w:spacing w:val="-4"/>
              </w:rPr>
              <w:t>3</w:t>
            </w:r>
            <w:r w:rsidRPr="00703403">
              <w:rPr>
                <w:color w:val="0D0D0D" w:themeColor="text1" w:themeTint="F2"/>
                <w:spacing w:val="-4"/>
              </w:rPr>
              <w:t xml:space="preserve">. čtvrtletí </w:t>
            </w:r>
            <w:r>
              <w:rPr>
                <w:spacing w:val="-4"/>
              </w:rPr>
              <w:t>vládní sektor jen v Dánsku (2,7 % HDP), kde však v předkrizovém roce 2019 vykazoval ještě významnější přebytky.</w:t>
            </w:r>
          </w:p>
        </w:tc>
      </w:tr>
      <w:tr w:rsidR="00144108" w:rsidRPr="000D151F" w14:paraId="1EB0950A" w14:textId="77777777" w:rsidTr="008E039E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7DE85A2" w14:textId="77777777" w:rsidR="00144108" w:rsidRDefault="00144108" w:rsidP="008E039E">
            <w:pPr>
              <w:pStyle w:val="Marginlie"/>
            </w:pPr>
            <w:r>
              <w:t>Meziroční růst míry zadlužení VI v ČR byl významně tlumen nominálním zvýšením HDP.</w:t>
            </w:r>
          </w:p>
          <w:p w14:paraId="3EB96A59" w14:textId="77777777" w:rsidR="00144108" w:rsidRDefault="00144108" w:rsidP="008E039E">
            <w:pPr>
              <w:pStyle w:val="Marginlie"/>
            </w:pPr>
          </w:p>
          <w:p w14:paraId="6A31B1A5" w14:textId="77777777" w:rsidR="00144108" w:rsidRDefault="00144108" w:rsidP="008E039E">
            <w:pPr>
              <w:pStyle w:val="Marginlie"/>
            </w:pPr>
          </w:p>
          <w:p w14:paraId="0F78F491" w14:textId="77777777" w:rsidR="00144108" w:rsidRDefault="00144108" w:rsidP="008E039E">
            <w:pPr>
              <w:pStyle w:val="Marginlie"/>
            </w:pPr>
            <w:r>
              <w:t>Oproti konci roku 2019 byl kumulativní nárůst zadlužení v ČR srovnatelný s Polskem či Německem.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E4B0830" w14:textId="77777777" w:rsidR="00144108" w:rsidRDefault="00144108" w:rsidP="008E03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F85E50B" w14:textId="77777777" w:rsidR="00144108" w:rsidRPr="00D1491B" w:rsidRDefault="00144108" w:rsidP="008E039E">
            <w:pPr>
              <w:spacing w:after="0"/>
              <w:rPr>
                <w:color w:val="0D0D0D" w:themeColor="text1" w:themeTint="F2"/>
                <w:spacing w:val="-5"/>
              </w:rPr>
            </w:pPr>
            <w:r w:rsidRPr="00D1491B">
              <w:rPr>
                <w:color w:val="0D0D0D" w:themeColor="text1" w:themeTint="F2"/>
                <w:spacing w:val="-5"/>
              </w:rPr>
              <w:t>Nominální dluh VI v ČR dosáhl loni na konci 3. čtvrtletí 2 432,9 mld. korun, meziročně o 260,0</w:t>
            </w:r>
            <w:r>
              <w:rPr>
                <w:color w:val="0D0D0D" w:themeColor="text1" w:themeTint="F2"/>
                <w:spacing w:val="-5"/>
              </w:rPr>
              <w:t> mld</w:t>
            </w:r>
            <w:r w:rsidRPr="00D1491B">
              <w:rPr>
                <w:color w:val="0D0D0D" w:themeColor="text1" w:themeTint="F2"/>
                <w:spacing w:val="-5"/>
              </w:rPr>
              <w:t>. více. Míra zadlužení za poslední rok analogicky narostla ze 38,1</w:t>
            </w:r>
            <w:r>
              <w:rPr>
                <w:color w:val="0D0D0D" w:themeColor="text1" w:themeTint="F2"/>
                <w:spacing w:val="-5"/>
              </w:rPr>
              <w:t> %</w:t>
            </w:r>
            <w:r w:rsidRPr="00D1491B">
              <w:rPr>
                <w:color w:val="0D0D0D" w:themeColor="text1" w:themeTint="F2"/>
                <w:spacing w:val="-5"/>
              </w:rPr>
              <w:t xml:space="preserve"> na 40,5</w:t>
            </w:r>
            <w:r>
              <w:rPr>
                <w:color w:val="0D0D0D" w:themeColor="text1" w:themeTint="F2"/>
                <w:spacing w:val="-5"/>
              </w:rPr>
              <w:t> % </w:t>
            </w:r>
            <w:r w:rsidRPr="00D1491B">
              <w:rPr>
                <w:color w:val="0D0D0D" w:themeColor="text1" w:themeTint="F2"/>
                <w:spacing w:val="-5"/>
              </w:rPr>
              <w:t xml:space="preserve">HDP. </w:t>
            </w:r>
            <w:r>
              <w:rPr>
                <w:color w:val="0D0D0D" w:themeColor="text1" w:themeTint="F2"/>
                <w:spacing w:val="-5"/>
              </w:rPr>
              <w:t>Růst zadluženosti byl</w:t>
            </w:r>
            <w:r w:rsidRPr="00D1491B">
              <w:rPr>
                <w:color w:val="0D0D0D" w:themeColor="text1" w:themeTint="F2"/>
                <w:spacing w:val="-5"/>
              </w:rPr>
              <w:t xml:space="preserve"> tlumen svižným nominálním posílením HDP (příspěvek </w:t>
            </w:r>
            <w:r>
              <w:rPr>
                <w:color w:val="0D0D0D" w:themeColor="text1" w:themeTint="F2"/>
                <w:spacing w:val="-5"/>
              </w:rPr>
              <w:br/>
            </w:r>
            <w:r w:rsidRPr="00D1491B">
              <w:rPr>
                <w:color w:val="0D0D0D" w:themeColor="text1" w:themeTint="F2"/>
                <w:spacing w:val="-5"/>
              </w:rPr>
              <w:t>–1,9 p. b.). Míra zadlužení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D1491B">
              <w:rPr>
                <w:color w:val="0D0D0D" w:themeColor="text1" w:themeTint="F2"/>
                <w:spacing w:val="-5"/>
              </w:rPr>
              <w:t>VI v EU čítala ve 3.</w:t>
            </w:r>
            <w:r>
              <w:rPr>
                <w:color w:val="0D0D0D" w:themeColor="text1" w:themeTint="F2"/>
                <w:spacing w:val="-5"/>
              </w:rPr>
              <w:t> čt</w:t>
            </w:r>
            <w:r w:rsidRPr="00D1491B">
              <w:rPr>
                <w:color w:val="0D0D0D" w:themeColor="text1" w:themeTint="F2"/>
                <w:spacing w:val="-5"/>
              </w:rPr>
              <w:t>vrtletí 90,1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D1491B">
              <w:rPr>
                <w:color w:val="0D0D0D" w:themeColor="text1" w:themeTint="F2"/>
                <w:spacing w:val="-5"/>
              </w:rPr>
              <w:t>%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D1491B">
              <w:rPr>
                <w:color w:val="0D0D0D" w:themeColor="text1" w:themeTint="F2"/>
                <w:spacing w:val="-5"/>
              </w:rPr>
              <w:t>HDP, v mezikvartálním pohledu se ale podruhé v řadě mírně snížila. Oproti konci roku 2019 míra zadlužení narostla ve všech státech Unie, nejvíce v zemích jižního křídla eurozóny (např. ve Španělsku z 95,5</w:t>
            </w:r>
            <w:r>
              <w:rPr>
                <w:color w:val="0D0D0D" w:themeColor="text1" w:themeTint="F2"/>
                <w:spacing w:val="-5"/>
              </w:rPr>
              <w:t> %</w:t>
            </w:r>
            <w:r w:rsidRPr="00D1491B">
              <w:rPr>
                <w:color w:val="0D0D0D" w:themeColor="text1" w:themeTint="F2"/>
                <w:spacing w:val="-5"/>
              </w:rPr>
              <w:t xml:space="preserve"> na 121,8</w:t>
            </w:r>
            <w:r>
              <w:rPr>
                <w:color w:val="0D0D0D" w:themeColor="text1" w:themeTint="F2"/>
                <w:spacing w:val="-5"/>
              </w:rPr>
              <w:t> % </w:t>
            </w:r>
            <w:r w:rsidRPr="00D1491B">
              <w:rPr>
                <w:color w:val="0D0D0D" w:themeColor="text1" w:themeTint="F2"/>
                <w:spacing w:val="-5"/>
              </w:rPr>
              <w:t>HDP), které vyjma Malty patřily v tomto ohledu k nejpostiženějším ještě před vzplanutím pandemie. V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D1491B">
              <w:rPr>
                <w:color w:val="0D0D0D" w:themeColor="text1" w:themeTint="F2"/>
                <w:spacing w:val="-5"/>
              </w:rPr>
              <w:t>celé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D1491B">
              <w:rPr>
                <w:color w:val="0D0D0D" w:themeColor="text1" w:themeTint="F2"/>
                <w:spacing w:val="-5"/>
              </w:rPr>
              <w:t>EU činil tento nárůst 12,9</w:t>
            </w:r>
            <w:r>
              <w:rPr>
                <w:color w:val="0D0D0D" w:themeColor="text1" w:themeTint="F2"/>
                <w:spacing w:val="-5"/>
              </w:rPr>
              <w:t> p. </w:t>
            </w:r>
            <w:r w:rsidRPr="00D1491B">
              <w:rPr>
                <w:color w:val="0D0D0D" w:themeColor="text1" w:themeTint="F2"/>
                <w:spacing w:val="-5"/>
              </w:rPr>
              <w:t>b., v ČR o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D1491B">
              <w:rPr>
                <w:color w:val="0D0D0D" w:themeColor="text1" w:themeTint="F2"/>
                <w:spacing w:val="-5"/>
              </w:rPr>
              <w:t>10,5</w:t>
            </w:r>
            <w:r>
              <w:rPr>
                <w:color w:val="0D0D0D" w:themeColor="text1" w:themeTint="F2"/>
                <w:spacing w:val="-5"/>
              </w:rPr>
              <w:t> p. </w:t>
            </w:r>
            <w:r w:rsidRPr="00D1491B">
              <w:rPr>
                <w:color w:val="0D0D0D" w:themeColor="text1" w:themeTint="F2"/>
                <w:spacing w:val="-5"/>
              </w:rPr>
              <w:t>b. – podobně jako v Německu či Polsku. Jen minimální zhoršení vykázal</w:t>
            </w:r>
            <w:r>
              <w:rPr>
                <w:color w:val="0D0D0D" w:themeColor="text1" w:themeTint="F2"/>
                <w:spacing w:val="-5"/>
              </w:rPr>
              <w:t>y</w:t>
            </w:r>
            <w:r w:rsidRPr="00D1491B">
              <w:rPr>
                <w:color w:val="0D0D0D" w:themeColor="text1" w:themeTint="F2"/>
                <w:spacing w:val="-5"/>
              </w:rPr>
              <w:t xml:space="preserve"> Irsko (o 0,4 p. b.) a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D1491B">
              <w:rPr>
                <w:color w:val="0D0D0D" w:themeColor="text1" w:themeTint="F2"/>
                <w:spacing w:val="-5"/>
              </w:rPr>
              <w:t>Švédsko (</w:t>
            </w:r>
            <w:r>
              <w:rPr>
                <w:color w:val="0D0D0D" w:themeColor="text1" w:themeTint="F2"/>
                <w:spacing w:val="-5"/>
              </w:rPr>
              <w:t>o </w:t>
            </w:r>
            <w:r w:rsidRPr="00D1491B">
              <w:rPr>
                <w:color w:val="0D0D0D" w:themeColor="text1" w:themeTint="F2"/>
                <w:spacing w:val="-5"/>
              </w:rPr>
              <w:t>1,2</w:t>
            </w:r>
            <w:r>
              <w:rPr>
                <w:color w:val="0D0D0D" w:themeColor="text1" w:themeTint="F2"/>
                <w:spacing w:val="-5"/>
              </w:rPr>
              <w:t> p. </w:t>
            </w:r>
            <w:r w:rsidRPr="00D1491B">
              <w:rPr>
                <w:color w:val="0D0D0D" w:themeColor="text1" w:themeTint="F2"/>
                <w:spacing w:val="-5"/>
              </w:rPr>
              <w:t>b.) a spolu s da</w:t>
            </w:r>
            <w:r>
              <w:rPr>
                <w:color w:val="0D0D0D" w:themeColor="text1" w:themeTint="F2"/>
                <w:spacing w:val="-5"/>
              </w:rPr>
              <w:t>lšími jedenácti</w:t>
            </w:r>
            <w:r w:rsidRPr="00D1491B">
              <w:rPr>
                <w:color w:val="0D0D0D" w:themeColor="text1" w:themeTint="F2"/>
                <w:spacing w:val="-5"/>
              </w:rPr>
              <w:t xml:space="preserve"> státy EU držely </w:t>
            </w:r>
            <w:r>
              <w:rPr>
                <w:color w:val="0D0D0D" w:themeColor="text1" w:themeTint="F2"/>
                <w:spacing w:val="-5"/>
              </w:rPr>
              <w:t xml:space="preserve">svou </w:t>
            </w:r>
            <w:r w:rsidRPr="00D1491B">
              <w:rPr>
                <w:color w:val="0D0D0D" w:themeColor="text1" w:themeTint="F2"/>
                <w:spacing w:val="-5"/>
              </w:rPr>
              <w:t>zadluženost pod 60 % HDP.</w:t>
            </w:r>
          </w:p>
        </w:tc>
      </w:tr>
    </w:tbl>
    <w:p w14:paraId="5BAB8EA3" w14:textId="0FD9E887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0E7B7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3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00F2" w14:textId="77777777" w:rsidR="00C55202" w:rsidRDefault="00C55202" w:rsidP="00E71A58">
      <w:r>
        <w:separator/>
      </w:r>
    </w:p>
  </w:endnote>
  <w:endnote w:type="continuationSeparator" w:id="0">
    <w:p w14:paraId="3112A010" w14:textId="77777777" w:rsidR="00C55202" w:rsidRDefault="00C5520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AFF1CED" w:rsidR="00CD7E9E" w:rsidRPr="00932443" w:rsidRDefault="00CD7E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E7B78">
      <w:rPr>
        <w:szCs w:val="16"/>
      </w:rPr>
      <w:t>36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452E50A2" w:rsidR="00CD7E9E" w:rsidRPr="00932443" w:rsidRDefault="00CD7E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E7B78">
      <w:rPr>
        <w:rStyle w:val="ZpatChar"/>
        <w:szCs w:val="16"/>
      </w:rPr>
      <w:t>35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B177" w14:textId="77777777" w:rsidR="00C55202" w:rsidRDefault="00C55202" w:rsidP="00A21B4D">
      <w:pPr>
        <w:spacing w:after="0"/>
      </w:pPr>
      <w:r>
        <w:separator/>
      </w:r>
    </w:p>
  </w:footnote>
  <w:footnote w:type="continuationSeparator" w:id="0">
    <w:p w14:paraId="5DA3E1A7" w14:textId="77777777" w:rsidR="00C55202" w:rsidRDefault="00C55202" w:rsidP="00E71A58">
      <w:r>
        <w:continuationSeparator/>
      </w:r>
    </w:p>
  </w:footnote>
  <w:footnote w:id="1">
    <w:p w14:paraId="009AB0C5" w14:textId="77777777" w:rsidR="00CD7E9E" w:rsidRPr="004A27B5" w:rsidRDefault="00CD7E9E" w:rsidP="00144108">
      <w:pPr>
        <w:pStyle w:val="Textpoznpodarou"/>
        <w:jc w:val="both"/>
        <w:rPr>
          <w:spacing w:val="-3"/>
          <w:sz w:val="16"/>
          <w:szCs w:val="16"/>
        </w:rPr>
      </w:pPr>
      <w:r w:rsidRPr="004A27B5">
        <w:rPr>
          <w:rStyle w:val="Znakapoznpodarou"/>
          <w:spacing w:val="-3"/>
          <w:sz w:val="16"/>
          <w:szCs w:val="16"/>
        </w:rPr>
        <w:footnoteRef/>
      </w:r>
      <w:r w:rsidRPr="004A27B5">
        <w:rPr>
          <w:spacing w:val="-3"/>
          <w:sz w:val="16"/>
          <w:szCs w:val="16"/>
        </w:rPr>
        <w:t xml:space="preserve"> </w:t>
      </w:r>
      <w:r w:rsidRPr="004A27B5">
        <w:rPr>
          <w:color w:val="0D0D0D" w:themeColor="text1" w:themeTint="F2"/>
          <w:spacing w:val="-3"/>
          <w:sz w:val="16"/>
          <w:szCs w:val="16"/>
        </w:rPr>
        <w:t xml:space="preserve">Pokud není uvedeno jinak, vycházejí všechny údaje týkající se státního rozpočtu </w:t>
      </w:r>
      <w:r w:rsidRPr="004A27B5">
        <w:rPr>
          <w:rFonts w:cs="Arial"/>
          <w:color w:val="0D0D0D" w:themeColor="text1" w:themeTint="F2"/>
          <w:spacing w:val="-3"/>
          <w:sz w:val="16"/>
          <w:szCs w:val="16"/>
        </w:rPr>
        <w:t>z dat Ministerstva financí o pokladním plnění.</w:t>
      </w:r>
    </w:p>
  </w:footnote>
  <w:footnote w:id="2">
    <w:p w14:paraId="497C13FD" w14:textId="77777777" w:rsidR="00CD7E9E" w:rsidRPr="001156AE" w:rsidRDefault="00CD7E9E" w:rsidP="00144108">
      <w:pPr>
        <w:pStyle w:val="Textpoznpodarou"/>
        <w:jc w:val="both"/>
        <w:rPr>
          <w:sz w:val="16"/>
          <w:szCs w:val="16"/>
        </w:rPr>
      </w:pPr>
      <w:r w:rsidRPr="001156AE">
        <w:rPr>
          <w:rStyle w:val="Znakapoznpodarou"/>
          <w:sz w:val="16"/>
          <w:szCs w:val="16"/>
        </w:rPr>
        <w:footnoteRef/>
      </w:r>
      <w:r w:rsidRPr="001156AE">
        <w:rPr>
          <w:sz w:val="16"/>
          <w:szCs w:val="16"/>
        </w:rPr>
        <w:t xml:space="preserve"> Ve srovnání s rozpočtovým očekáváním (ukotveným v novele zákona o</w:t>
      </w:r>
      <w:r>
        <w:rPr>
          <w:sz w:val="16"/>
          <w:szCs w:val="16"/>
        </w:rPr>
        <w:t> </w:t>
      </w:r>
      <w:r w:rsidRPr="001156AE">
        <w:rPr>
          <w:sz w:val="16"/>
          <w:szCs w:val="16"/>
        </w:rPr>
        <w:t>státním rozpočtu na rok 2021, platné od 1</w:t>
      </w:r>
      <w:r>
        <w:rPr>
          <w:sz w:val="16"/>
          <w:szCs w:val="16"/>
        </w:rPr>
        <w:t>. </w:t>
      </w:r>
      <w:r w:rsidRPr="001156AE">
        <w:rPr>
          <w:sz w:val="16"/>
          <w:szCs w:val="16"/>
        </w:rPr>
        <w:t>března</w:t>
      </w:r>
      <w:r>
        <w:rPr>
          <w:sz w:val="16"/>
          <w:szCs w:val="16"/>
        </w:rPr>
        <w:t> 2021</w:t>
      </w:r>
      <w:r w:rsidRPr="001156AE">
        <w:rPr>
          <w:sz w:val="16"/>
          <w:szCs w:val="16"/>
        </w:rPr>
        <w:t xml:space="preserve">) </w:t>
      </w:r>
      <w:r>
        <w:rPr>
          <w:sz w:val="16"/>
          <w:szCs w:val="16"/>
        </w:rPr>
        <w:t>šlo ale o deficit nižší o 80 mld. korun. Stál za tím především vyšší než očekávaný růst inkasa přímých daní (především korporátní daně).</w:t>
      </w:r>
    </w:p>
  </w:footnote>
  <w:footnote w:id="3">
    <w:p w14:paraId="3817A103" w14:textId="77777777" w:rsidR="00CD7E9E" w:rsidRPr="00367B13" w:rsidRDefault="00CD7E9E" w:rsidP="00144108">
      <w:pPr>
        <w:pStyle w:val="Textpoznpodarou"/>
        <w:jc w:val="both"/>
        <w:rPr>
          <w:sz w:val="16"/>
          <w:szCs w:val="16"/>
        </w:rPr>
      </w:pPr>
      <w:r w:rsidRPr="00367B13">
        <w:rPr>
          <w:rStyle w:val="Znakapoznpodarou"/>
          <w:sz w:val="16"/>
          <w:szCs w:val="16"/>
        </w:rPr>
        <w:footnoteRef/>
      </w:r>
      <w:r w:rsidRPr="00367B13">
        <w:rPr>
          <w:sz w:val="16"/>
          <w:szCs w:val="16"/>
        </w:rPr>
        <w:t xml:space="preserve"> Za prvních pět měsíců roku 2021 činil kumulovaný schodek</w:t>
      </w:r>
      <w:r>
        <w:rPr>
          <w:sz w:val="16"/>
          <w:szCs w:val="16"/>
        </w:rPr>
        <w:t> </w:t>
      </w:r>
      <w:r w:rsidRPr="00367B13">
        <w:rPr>
          <w:sz w:val="16"/>
          <w:szCs w:val="16"/>
        </w:rPr>
        <w:t>SR 255</w:t>
      </w:r>
      <w:r>
        <w:rPr>
          <w:sz w:val="16"/>
          <w:szCs w:val="16"/>
        </w:rPr>
        <w:t> mld</w:t>
      </w:r>
      <w:r w:rsidRPr="00367B13">
        <w:rPr>
          <w:sz w:val="16"/>
          <w:szCs w:val="16"/>
        </w:rPr>
        <w:t>. korun.</w:t>
      </w:r>
    </w:p>
  </w:footnote>
  <w:footnote w:id="4">
    <w:p w14:paraId="7D88B5B2" w14:textId="77777777" w:rsidR="00CD7E9E" w:rsidRPr="004A27B5" w:rsidRDefault="00CD7E9E" w:rsidP="00144108">
      <w:pPr>
        <w:pStyle w:val="Textpoznpodarou"/>
        <w:jc w:val="both"/>
        <w:rPr>
          <w:spacing w:val="-2"/>
          <w:sz w:val="16"/>
          <w:szCs w:val="16"/>
        </w:rPr>
      </w:pPr>
      <w:r w:rsidRPr="004A27B5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Od ledna 2021 vzrostl obcím podíl na celostátním výběru sdílených daní z 23,58 % na 25,84 % a krajům z 8,92 % na 9,78 %. Toto navýšení znamenalo dle odhadů MF negativní dopad na celoroční daňové inkaso SR ve výši 27,4 mld. korun.</w:t>
      </w:r>
    </w:p>
  </w:footnote>
  <w:footnote w:id="5">
    <w:p w14:paraId="00AF640E" w14:textId="77777777" w:rsidR="00CD7E9E" w:rsidRPr="00277984" w:rsidRDefault="00CD7E9E" w:rsidP="00144108">
      <w:pPr>
        <w:pStyle w:val="Textpoznpodarou"/>
        <w:jc w:val="both"/>
        <w:rPr>
          <w:sz w:val="16"/>
          <w:szCs w:val="16"/>
        </w:rPr>
      </w:pPr>
      <w:r w:rsidRPr="00277984">
        <w:rPr>
          <w:rStyle w:val="Znakapoznpodarou"/>
          <w:sz w:val="16"/>
          <w:szCs w:val="16"/>
        </w:rPr>
        <w:footnoteRef/>
      </w:r>
      <w:r w:rsidRPr="00277984">
        <w:rPr>
          <w:sz w:val="16"/>
          <w:szCs w:val="16"/>
        </w:rPr>
        <w:t xml:space="preserve"> </w:t>
      </w:r>
      <w:r>
        <w:rPr>
          <w:sz w:val="16"/>
          <w:szCs w:val="16"/>
        </w:rPr>
        <w:t>Snížená</w:t>
      </w:r>
      <w:r w:rsidRPr="00277984">
        <w:rPr>
          <w:sz w:val="16"/>
          <w:szCs w:val="16"/>
        </w:rPr>
        <w:t xml:space="preserve"> sazba </w:t>
      </w:r>
      <w:r>
        <w:rPr>
          <w:sz w:val="16"/>
          <w:szCs w:val="16"/>
        </w:rPr>
        <w:t xml:space="preserve">(z 15 % na 10 %) </w:t>
      </w:r>
      <w:r w:rsidRPr="00277984">
        <w:rPr>
          <w:sz w:val="16"/>
          <w:szCs w:val="16"/>
        </w:rPr>
        <w:t>na stravovací a</w:t>
      </w:r>
      <w:r>
        <w:rPr>
          <w:sz w:val="16"/>
          <w:szCs w:val="16"/>
        </w:rPr>
        <w:t> ubytovací</w:t>
      </w:r>
      <w:r w:rsidRPr="00277984">
        <w:rPr>
          <w:sz w:val="16"/>
          <w:szCs w:val="16"/>
        </w:rPr>
        <w:t xml:space="preserve"> služby</w:t>
      </w:r>
      <w:r>
        <w:rPr>
          <w:sz w:val="16"/>
          <w:szCs w:val="16"/>
        </w:rPr>
        <w:t>, kulturní a sportovní akce, dále také např. na vodné, stočné, pitnou vodu či točené pivo, byla zavedena loni od května, resp. července. I</w:t>
      </w:r>
      <w:r w:rsidRPr="00277984">
        <w:rPr>
          <w:sz w:val="16"/>
          <w:szCs w:val="16"/>
        </w:rPr>
        <w:t>nkaso</w:t>
      </w:r>
      <w:r>
        <w:rPr>
          <w:sz w:val="16"/>
          <w:szCs w:val="16"/>
        </w:rPr>
        <w:t> </w:t>
      </w:r>
      <w:r w:rsidRPr="00277984">
        <w:rPr>
          <w:sz w:val="16"/>
          <w:szCs w:val="16"/>
        </w:rPr>
        <w:t xml:space="preserve">DPH </w:t>
      </w:r>
      <w:r>
        <w:rPr>
          <w:sz w:val="16"/>
          <w:szCs w:val="16"/>
        </w:rPr>
        <w:t>za rok 2021 bylo mírně tlumeno i dočasným</w:t>
      </w:r>
      <w:r w:rsidRPr="00277984">
        <w:rPr>
          <w:sz w:val="16"/>
          <w:szCs w:val="16"/>
        </w:rPr>
        <w:t xml:space="preserve"> prominutí</w:t>
      </w:r>
      <w:r>
        <w:rPr>
          <w:sz w:val="16"/>
          <w:szCs w:val="16"/>
        </w:rPr>
        <w:t>m</w:t>
      </w:r>
      <w:r w:rsidRPr="00277984">
        <w:rPr>
          <w:sz w:val="16"/>
          <w:szCs w:val="16"/>
        </w:rPr>
        <w:t xml:space="preserve"> daně u</w:t>
      </w:r>
      <w:r>
        <w:rPr>
          <w:sz w:val="16"/>
          <w:szCs w:val="16"/>
        </w:rPr>
        <w:t> </w:t>
      </w:r>
      <w:r w:rsidRPr="00277984">
        <w:rPr>
          <w:sz w:val="16"/>
          <w:szCs w:val="16"/>
        </w:rPr>
        <w:t>ochranných pomůcek (</w:t>
      </w:r>
      <w:r>
        <w:rPr>
          <w:sz w:val="16"/>
          <w:szCs w:val="16"/>
        </w:rPr>
        <w:t>např. respirátorů) a u testů i </w:t>
      </w:r>
      <w:r w:rsidRPr="00277984">
        <w:rPr>
          <w:sz w:val="16"/>
          <w:szCs w:val="16"/>
        </w:rPr>
        <w:t xml:space="preserve">vakcín souvisejících s epidemií </w:t>
      </w:r>
      <w:r>
        <w:rPr>
          <w:sz w:val="16"/>
          <w:szCs w:val="16"/>
        </w:rPr>
        <w:t>covidu</w:t>
      </w:r>
      <w:r w:rsidRPr="00277984">
        <w:rPr>
          <w:sz w:val="16"/>
          <w:szCs w:val="16"/>
        </w:rPr>
        <w:t>-19.</w:t>
      </w:r>
    </w:p>
  </w:footnote>
  <w:footnote w:id="6">
    <w:p w14:paraId="639E2043" w14:textId="77777777" w:rsidR="00CD7E9E" w:rsidRPr="006A31EC" w:rsidRDefault="00CD7E9E" w:rsidP="00144108">
      <w:pPr>
        <w:pStyle w:val="Textpoznpodarou"/>
        <w:jc w:val="both"/>
        <w:rPr>
          <w:spacing w:val="-4"/>
          <w:sz w:val="16"/>
          <w:szCs w:val="16"/>
        </w:rPr>
      </w:pPr>
      <w:r w:rsidRPr="006A31EC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Inkaso SR u </w:t>
      </w:r>
      <w:r w:rsidRPr="006A31EC">
        <w:rPr>
          <w:spacing w:val="-4"/>
          <w:sz w:val="16"/>
          <w:szCs w:val="16"/>
        </w:rPr>
        <w:t>této daně loni meziročně kleslo o</w:t>
      </w:r>
      <w:r>
        <w:rPr>
          <w:spacing w:val="-4"/>
          <w:sz w:val="16"/>
          <w:szCs w:val="16"/>
        </w:rPr>
        <w:t> </w:t>
      </w:r>
      <w:r w:rsidRPr="006A31EC">
        <w:rPr>
          <w:spacing w:val="-4"/>
          <w:sz w:val="16"/>
          <w:szCs w:val="16"/>
        </w:rPr>
        <w:t>2,3</w:t>
      </w:r>
      <w:r>
        <w:rPr>
          <w:spacing w:val="-4"/>
          <w:sz w:val="16"/>
          <w:szCs w:val="16"/>
        </w:rPr>
        <w:t> mld</w:t>
      </w:r>
      <w:r w:rsidRPr="006A31EC">
        <w:rPr>
          <w:spacing w:val="-4"/>
          <w:sz w:val="16"/>
          <w:szCs w:val="16"/>
        </w:rPr>
        <w:t>. korun (</w:t>
      </w:r>
      <w:r w:rsidRPr="006A31EC">
        <w:rPr>
          <w:color w:val="0D0D0D" w:themeColor="text1" w:themeTint="F2"/>
          <w:spacing w:val="-4"/>
          <w:sz w:val="16"/>
          <w:szCs w:val="16"/>
        </w:rPr>
        <w:t>–</w:t>
      </w:r>
      <w:r>
        <w:rPr>
          <w:spacing w:val="-4"/>
          <w:sz w:val="16"/>
          <w:szCs w:val="16"/>
        </w:rPr>
        <w:t xml:space="preserve">3,0 %), </w:t>
      </w:r>
      <w:r w:rsidRPr="006A31EC">
        <w:rPr>
          <w:spacing w:val="-4"/>
          <w:sz w:val="16"/>
          <w:szCs w:val="16"/>
        </w:rPr>
        <w:t>samotné snížení sazby vedlo dle odhadu</w:t>
      </w:r>
      <w:r>
        <w:rPr>
          <w:spacing w:val="-4"/>
          <w:sz w:val="16"/>
          <w:szCs w:val="16"/>
        </w:rPr>
        <w:t> </w:t>
      </w:r>
      <w:r w:rsidRPr="006A31EC">
        <w:rPr>
          <w:spacing w:val="-4"/>
          <w:sz w:val="16"/>
          <w:szCs w:val="16"/>
        </w:rPr>
        <w:t xml:space="preserve">MF </w:t>
      </w:r>
      <w:r>
        <w:rPr>
          <w:spacing w:val="-4"/>
          <w:sz w:val="16"/>
          <w:szCs w:val="16"/>
        </w:rPr>
        <w:t xml:space="preserve">ke snížení </w:t>
      </w:r>
      <w:r w:rsidRPr="006A31EC">
        <w:rPr>
          <w:spacing w:val="-4"/>
          <w:sz w:val="16"/>
          <w:szCs w:val="16"/>
        </w:rPr>
        <w:t>výběru o</w:t>
      </w:r>
      <w:r>
        <w:rPr>
          <w:spacing w:val="-4"/>
          <w:sz w:val="16"/>
          <w:szCs w:val="16"/>
        </w:rPr>
        <w:t> </w:t>
      </w:r>
      <w:r w:rsidRPr="006A31EC">
        <w:rPr>
          <w:spacing w:val="-4"/>
          <w:sz w:val="16"/>
          <w:szCs w:val="16"/>
        </w:rPr>
        <w:t>4,7</w:t>
      </w:r>
      <w:r>
        <w:rPr>
          <w:spacing w:val="-4"/>
          <w:sz w:val="16"/>
          <w:szCs w:val="16"/>
        </w:rPr>
        <w:t> mld</w:t>
      </w:r>
      <w:r w:rsidRPr="006A31EC">
        <w:rPr>
          <w:spacing w:val="-4"/>
          <w:sz w:val="16"/>
          <w:szCs w:val="16"/>
        </w:rPr>
        <w:t>.</w:t>
      </w:r>
    </w:p>
  </w:footnote>
  <w:footnote w:id="7">
    <w:p w14:paraId="44488681" w14:textId="77777777" w:rsidR="00CD7E9E" w:rsidRPr="00C108C4" w:rsidRDefault="00CD7E9E" w:rsidP="00144108">
      <w:pPr>
        <w:pStyle w:val="Textpoznpodarou"/>
        <w:jc w:val="both"/>
        <w:rPr>
          <w:sz w:val="16"/>
          <w:szCs w:val="16"/>
        </w:rPr>
      </w:pPr>
      <w:r w:rsidRPr="00C108C4">
        <w:rPr>
          <w:rStyle w:val="Znakapoznpodarou"/>
          <w:sz w:val="16"/>
          <w:szCs w:val="16"/>
        </w:rPr>
        <w:footnoteRef/>
      </w:r>
      <w:r w:rsidRPr="00C108C4">
        <w:rPr>
          <w:sz w:val="16"/>
          <w:szCs w:val="16"/>
        </w:rPr>
        <w:t xml:space="preserve"> Dle údajů ČS</w:t>
      </w:r>
      <w:r>
        <w:rPr>
          <w:sz w:val="16"/>
          <w:szCs w:val="16"/>
        </w:rPr>
        <w:t>Ú vzrostla v ČR od ledna do října</w:t>
      </w:r>
      <w:r w:rsidRPr="00C108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2021 </w:t>
      </w:r>
      <w:r w:rsidRPr="00C108C4">
        <w:rPr>
          <w:sz w:val="16"/>
          <w:szCs w:val="16"/>
        </w:rPr>
        <w:t xml:space="preserve">meziročně spotřeba </w:t>
      </w:r>
      <w:r>
        <w:rPr>
          <w:sz w:val="16"/>
          <w:szCs w:val="16"/>
        </w:rPr>
        <w:t>motorové nafty (+7,1 %) a mírnějším tempem i </w:t>
      </w:r>
      <w:r w:rsidRPr="00C108C4">
        <w:rPr>
          <w:sz w:val="16"/>
          <w:szCs w:val="16"/>
        </w:rPr>
        <w:t>motorového benz</w:t>
      </w:r>
      <w:r>
        <w:rPr>
          <w:sz w:val="16"/>
          <w:szCs w:val="16"/>
        </w:rPr>
        <w:t>i</w:t>
      </w:r>
      <w:r w:rsidRPr="00C108C4">
        <w:rPr>
          <w:sz w:val="16"/>
          <w:szCs w:val="16"/>
        </w:rPr>
        <w:t xml:space="preserve">nu </w:t>
      </w:r>
      <w:r>
        <w:rPr>
          <w:sz w:val="16"/>
          <w:szCs w:val="16"/>
        </w:rPr>
        <w:t>(+0,9 %). Po prudkém propadu během roku 2020 spotřeba</w:t>
      </w:r>
      <w:r w:rsidRPr="00C108C4">
        <w:rPr>
          <w:sz w:val="16"/>
          <w:szCs w:val="16"/>
        </w:rPr>
        <w:t xml:space="preserve"> leteckého petroleje </w:t>
      </w:r>
      <w:r>
        <w:rPr>
          <w:sz w:val="16"/>
          <w:szCs w:val="16"/>
        </w:rPr>
        <w:t>za prvních deset měsíců loňského roku fakticky stagnovala (</w:t>
      </w:r>
      <w:r>
        <w:rPr>
          <w:color w:val="0D0D0D" w:themeColor="text1" w:themeTint="F2"/>
          <w:spacing w:val="-4"/>
          <w:sz w:val="16"/>
          <w:szCs w:val="16"/>
        </w:rPr>
        <w:t>–</w:t>
      </w:r>
      <w:r>
        <w:rPr>
          <w:sz w:val="16"/>
          <w:szCs w:val="16"/>
        </w:rPr>
        <w:t>0,</w:t>
      </w:r>
      <w:r w:rsidRPr="00C108C4">
        <w:rPr>
          <w:sz w:val="16"/>
          <w:szCs w:val="16"/>
        </w:rPr>
        <w:t>7</w:t>
      </w:r>
      <w:r>
        <w:rPr>
          <w:sz w:val="16"/>
          <w:szCs w:val="16"/>
        </w:rPr>
        <w:t> %)</w:t>
      </w:r>
      <w:r w:rsidRPr="00C108C4">
        <w:rPr>
          <w:sz w:val="16"/>
          <w:szCs w:val="16"/>
        </w:rPr>
        <w:t xml:space="preserve">. </w:t>
      </w:r>
      <w:r>
        <w:rPr>
          <w:sz w:val="16"/>
          <w:szCs w:val="16"/>
        </w:rPr>
        <w:t>Ve srovnání s předpandemickým rokem 2019 ovšem spotřeba všech hlavních ropných produktů stále citelně zaostávala, vyjma motorové nafty (+1,8 %).</w:t>
      </w:r>
    </w:p>
  </w:footnote>
  <w:footnote w:id="8">
    <w:p w14:paraId="2D5CD1D7" w14:textId="77777777" w:rsidR="00CD7E9E" w:rsidRPr="009A1F08" w:rsidRDefault="00CD7E9E" w:rsidP="00144108">
      <w:pPr>
        <w:pStyle w:val="Textpoznpodarou"/>
        <w:jc w:val="both"/>
        <w:rPr>
          <w:sz w:val="16"/>
          <w:szCs w:val="16"/>
        </w:rPr>
      </w:pPr>
      <w:r w:rsidRPr="009A1F08">
        <w:rPr>
          <w:rStyle w:val="Znakapoznpodarou"/>
          <w:sz w:val="16"/>
          <w:szCs w:val="16"/>
        </w:rPr>
        <w:footnoteRef/>
      </w:r>
      <w:r w:rsidRPr="009A1F08">
        <w:rPr>
          <w:sz w:val="16"/>
          <w:szCs w:val="16"/>
        </w:rPr>
        <w:t xml:space="preserve"> </w:t>
      </w:r>
      <w:r w:rsidRPr="009A1F08">
        <w:rPr>
          <w:spacing w:val="-2"/>
          <w:sz w:val="16"/>
          <w:szCs w:val="16"/>
        </w:rPr>
        <w:t>Jednalo se hlavně o</w:t>
      </w:r>
      <w:r>
        <w:rPr>
          <w:spacing w:val="-2"/>
          <w:sz w:val="16"/>
          <w:szCs w:val="16"/>
        </w:rPr>
        <w:t> </w:t>
      </w:r>
      <w:r w:rsidRPr="009A1F08">
        <w:rPr>
          <w:spacing w:val="-2"/>
          <w:sz w:val="16"/>
          <w:szCs w:val="16"/>
        </w:rPr>
        <w:t>prominutí červnové zálohy na tuto daň (</w:t>
      </w:r>
      <w:r>
        <w:rPr>
          <w:spacing w:val="-2"/>
          <w:sz w:val="16"/>
          <w:szCs w:val="16"/>
        </w:rPr>
        <w:t>s negativním dopadem v roce 2020</w:t>
      </w:r>
      <w:r w:rsidRPr="009A1F08">
        <w:rPr>
          <w:spacing w:val="-2"/>
          <w:sz w:val="16"/>
          <w:szCs w:val="16"/>
        </w:rPr>
        <w:t xml:space="preserve"> na výběr na úrovni</w:t>
      </w:r>
      <w:r>
        <w:rPr>
          <w:spacing w:val="-2"/>
          <w:sz w:val="16"/>
          <w:szCs w:val="16"/>
        </w:rPr>
        <w:t> </w:t>
      </w:r>
      <w:r w:rsidRPr="009A1F08">
        <w:rPr>
          <w:spacing w:val="-2"/>
          <w:sz w:val="16"/>
          <w:szCs w:val="16"/>
        </w:rPr>
        <w:t>SR ve výši 13,5</w:t>
      </w:r>
      <w:r>
        <w:rPr>
          <w:spacing w:val="-2"/>
          <w:sz w:val="16"/>
          <w:szCs w:val="16"/>
        </w:rPr>
        <w:t> mld</w:t>
      </w:r>
      <w:r w:rsidRPr="009A1F08">
        <w:rPr>
          <w:spacing w:val="-2"/>
          <w:sz w:val="16"/>
          <w:szCs w:val="16"/>
        </w:rPr>
        <w:t>. korun). Část zrušené a</w:t>
      </w:r>
      <w:r>
        <w:rPr>
          <w:spacing w:val="-2"/>
          <w:sz w:val="16"/>
          <w:szCs w:val="16"/>
        </w:rPr>
        <w:t> </w:t>
      </w:r>
      <w:r w:rsidRPr="009A1F08">
        <w:rPr>
          <w:spacing w:val="-2"/>
          <w:sz w:val="16"/>
          <w:szCs w:val="16"/>
        </w:rPr>
        <w:t xml:space="preserve">neuhrazené červnové zálohy roku 2020 byla doplacena </w:t>
      </w:r>
      <w:r>
        <w:rPr>
          <w:spacing w:val="-2"/>
          <w:sz w:val="16"/>
          <w:szCs w:val="16"/>
        </w:rPr>
        <w:t>vloni</w:t>
      </w:r>
      <w:r w:rsidRPr="009A1F08">
        <w:rPr>
          <w:spacing w:val="-2"/>
          <w:sz w:val="16"/>
          <w:szCs w:val="16"/>
        </w:rPr>
        <w:t xml:space="preserve"> ve vyrovnání daně.</w:t>
      </w:r>
    </w:p>
  </w:footnote>
  <w:footnote w:id="9">
    <w:p w14:paraId="5CEAE9D0" w14:textId="77777777" w:rsidR="00CD7E9E" w:rsidRPr="004A27B5" w:rsidRDefault="00CD7E9E" w:rsidP="00144108">
      <w:pPr>
        <w:pStyle w:val="Textpoznpodarou"/>
        <w:jc w:val="both"/>
        <w:rPr>
          <w:spacing w:val="-2"/>
          <w:sz w:val="16"/>
          <w:szCs w:val="16"/>
        </w:rPr>
      </w:pPr>
      <w:r w:rsidRPr="004A27B5">
        <w:rPr>
          <w:rStyle w:val="Znakapoznpodarou"/>
          <w:spacing w:val="-2"/>
          <w:sz w:val="16"/>
          <w:szCs w:val="16"/>
        </w:rPr>
        <w:footnoteRef/>
      </w:r>
      <w:r w:rsidRPr="004A27B5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Ty reagují na zhoršenou finanční situaci podniků. Podle odhadů MF</w:t>
      </w:r>
      <w:r w:rsidRPr="004A27B5">
        <w:rPr>
          <w:spacing w:val="-2"/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>edly tyto žádosti v roce 2020</w:t>
      </w:r>
      <w:r w:rsidRPr="004A27B5">
        <w:rPr>
          <w:spacing w:val="-2"/>
          <w:sz w:val="16"/>
          <w:szCs w:val="16"/>
        </w:rPr>
        <w:t xml:space="preserve"> k poklesu příjmů korporátní daně do</w:t>
      </w:r>
      <w:r>
        <w:rPr>
          <w:spacing w:val="-2"/>
          <w:sz w:val="16"/>
          <w:szCs w:val="16"/>
        </w:rPr>
        <w:t> </w:t>
      </w:r>
      <w:r w:rsidRPr="004A27B5">
        <w:rPr>
          <w:spacing w:val="-2"/>
          <w:sz w:val="16"/>
          <w:szCs w:val="16"/>
        </w:rPr>
        <w:t>SR o</w:t>
      </w:r>
      <w:r>
        <w:rPr>
          <w:spacing w:val="-2"/>
          <w:sz w:val="16"/>
          <w:szCs w:val="16"/>
        </w:rPr>
        <w:t> 6,9 mld., v roce 2021 pak o 22,1 mld.</w:t>
      </w:r>
    </w:p>
  </w:footnote>
  <w:footnote w:id="10">
    <w:p w14:paraId="3B18C00E" w14:textId="77777777" w:rsidR="00CD7E9E" w:rsidRPr="00140AA6" w:rsidRDefault="00CD7E9E" w:rsidP="00144108">
      <w:pPr>
        <w:pStyle w:val="Textpoznpodarou"/>
        <w:jc w:val="both"/>
        <w:rPr>
          <w:sz w:val="16"/>
          <w:szCs w:val="16"/>
        </w:rPr>
      </w:pPr>
      <w:r w:rsidRPr="00140AA6">
        <w:rPr>
          <w:rStyle w:val="Znakapoznpodarou"/>
          <w:sz w:val="16"/>
          <w:szCs w:val="16"/>
        </w:rPr>
        <w:footnoteRef/>
      </w:r>
      <w:r w:rsidRPr="00140AA6">
        <w:rPr>
          <w:sz w:val="16"/>
          <w:szCs w:val="16"/>
        </w:rPr>
        <w:t xml:space="preserve"> Příjem</w:t>
      </w:r>
      <w:r>
        <w:rPr>
          <w:sz w:val="16"/>
          <w:szCs w:val="16"/>
        </w:rPr>
        <w:t> </w:t>
      </w:r>
      <w:r w:rsidRPr="00140AA6">
        <w:rPr>
          <w:sz w:val="16"/>
          <w:szCs w:val="16"/>
        </w:rPr>
        <w:t>SR z této daně loni činil 109,1</w:t>
      </w:r>
      <w:r>
        <w:rPr>
          <w:sz w:val="16"/>
          <w:szCs w:val="16"/>
        </w:rPr>
        <w:t> mld</w:t>
      </w:r>
      <w:r w:rsidRPr="00140AA6">
        <w:rPr>
          <w:sz w:val="16"/>
          <w:szCs w:val="16"/>
        </w:rPr>
        <w:t>. korun, což bylo nejméně za posledních šest let.</w:t>
      </w:r>
      <w:r>
        <w:rPr>
          <w:sz w:val="16"/>
          <w:szCs w:val="16"/>
        </w:rPr>
        <w:t xml:space="preserve"> I tak šlo o výsledek výrazně převyšující loňské rozpočtové očekávání (o více než 21 mld.).</w:t>
      </w:r>
    </w:p>
  </w:footnote>
  <w:footnote w:id="11">
    <w:p w14:paraId="3F8CBDB7" w14:textId="77777777" w:rsidR="00CD7E9E" w:rsidRPr="00F7045A" w:rsidRDefault="00CD7E9E" w:rsidP="00144108">
      <w:pPr>
        <w:pStyle w:val="Textpoznpodarou"/>
        <w:jc w:val="both"/>
        <w:rPr>
          <w:spacing w:val="-4"/>
          <w:sz w:val="16"/>
          <w:szCs w:val="16"/>
        </w:rPr>
      </w:pPr>
      <w:r w:rsidRPr="00F7045A">
        <w:rPr>
          <w:rStyle w:val="Znakapoznpodarou"/>
          <w:spacing w:val="-4"/>
          <w:sz w:val="16"/>
          <w:szCs w:val="16"/>
        </w:rPr>
        <w:footnoteRef/>
      </w:r>
      <w:r w:rsidRPr="00F7045A">
        <w:rPr>
          <w:spacing w:val="-4"/>
          <w:sz w:val="16"/>
          <w:szCs w:val="16"/>
        </w:rPr>
        <w:t xml:space="preserve"> Po zrušení superhrubé mzdy byla od 1. ledna 2021 zavedena základní daňová sazba 15 % (a doplňková 23 %) a navýšena roční daňová sleva na poplatníka (+3 tis. korun). Dle propočtu</w:t>
      </w:r>
      <w:r>
        <w:rPr>
          <w:spacing w:val="-4"/>
          <w:sz w:val="16"/>
          <w:szCs w:val="16"/>
        </w:rPr>
        <w:t> </w:t>
      </w:r>
      <w:r w:rsidRPr="00F7045A">
        <w:rPr>
          <w:spacing w:val="-4"/>
          <w:sz w:val="16"/>
          <w:szCs w:val="16"/>
        </w:rPr>
        <w:t xml:space="preserve">MF činil dopad těchto opatření na </w:t>
      </w:r>
      <w:r>
        <w:rPr>
          <w:spacing w:val="-4"/>
          <w:sz w:val="16"/>
          <w:szCs w:val="16"/>
        </w:rPr>
        <w:t>loňské inkaso daně na úrovni SR 56,7 mld</w:t>
      </w:r>
      <w:r w:rsidRPr="00F7045A">
        <w:rPr>
          <w:spacing w:val="-4"/>
          <w:sz w:val="16"/>
          <w:szCs w:val="16"/>
        </w:rPr>
        <w:t>. korun.</w:t>
      </w:r>
    </w:p>
  </w:footnote>
  <w:footnote w:id="12">
    <w:p w14:paraId="1556ED26" w14:textId="77777777" w:rsidR="00CD7E9E" w:rsidRPr="00870A2B" w:rsidRDefault="00CD7E9E" w:rsidP="00144108">
      <w:pPr>
        <w:pStyle w:val="Textpoznpodarou"/>
        <w:jc w:val="both"/>
        <w:rPr>
          <w:sz w:val="16"/>
          <w:szCs w:val="16"/>
        </w:rPr>
      </w:pPr>
      <w:r w:rsidRPr="00870A2B">
        <w:rPr>
          <w:rStyle w:val="Znakapoznpodarou"/>
          <w:sz w:val="16"/>
          <w:szCs w:val="16"/>
        </w:rPr>
        <w:footnoteRef/>
      </w:r>
      <w:r w:rsidRPr="00870A2B">
        <w:rPr>
          <w:sz w:val="16"/>
          <w:szCs w:val="16"/>
        </w:rPr>
        <w:t xml:space="preserve"> Dle propočtů</w:t>
      </w:r>
      <w:r>
        <w:rPr>
          <w:sz w:val="16"/>
          <w:szCs w:val="16"/>
        </w:rPr>
        <w:t> </w:t>
      </w:r>
      <w:r w:rsidRPr="00870A2B">
        <w:rPr>
          <w:sz w:val="16"/>
          <w:szCs w:val="16"/>
        </w:rPr>
        <w:t>MF šlo na úrovni</w:t>
      </w:r>
      <w:r>
        <w:rPr>
          <w:sz w:val="16"/>
          <w:szCs w:val="16"/>
        </w:rPr>
        <w:t> </w:t>
      </w:r>
      <w:r w:rsidRPr="00870A2B">
        <w:rPr>
          <w:sz w:val="16"/>
          <w:szCs w:val="16"/>
        </w:rPr>
        <w:t>SR v roce 2020 o</w:t>
      </w:r>
      <w:r>
        <w:rPr>
          <w:sz w:val="16"/>
          <w:szCs w:val="16"/>
        </w:rPr>
        <w:t> </w:t>
      </w:r>
      <w:r w:rsidRPr="00870A2B">
        <w:rPr>
          <w:sz w:val="16"/>
          <w:szCs w:val="16"/>
        </w:rPr>
        <w:t>16,1</w:t>
      </w:r>
      <w:r>
        <w:rPr>
          <w:sz w:val="16"/>
          <w:szCs w:val="16"/>
        </w:rPr>
        <w:t> mld</w:t>
      </w:r>
      <w:r w:rsidRPr="00870A2B">
        <w:rPr>
          <w:sz w:val="16"/>
          <w:szCs w:val="16"/>
        </w:rPr>
        <w:t>. korun, o</w:t>
      </w:r>
      <w:r>
        <w:rPr>
          <w:sz w:val="16"/>
          <w:szCs w:val="16"/>
        </w:rPr>
        <w:t> </w:t>
      </w:r>
      <w:r w:rsidRPr="00870A2B">
        <w:rPr>
          <w:sz w:val="16"/>
          <w:szCs w:val="16"/>
        </w:rPr>
        <w:t>rok později o</w:t>
      </w:r>
      <w:r>
        <w:rPr>
          <w:sz w:val="16"/>
          <w:szCs w:val="16"/>
        </w:rPr>
        <w:t> </w:t>
      </w:r>
      <w:r w:rsidRPr="00870A2B">
        <w:rPr>
          <w:sz w:val="16"/>
          <w:szCs w:val="16"/>
        </w:rPr>
        <w:t>12,1</w:t>
      </w:r>
      <w:r>
        <w:rPr>
          <w:sz w:val="16"/>
          <w:szCs w:val="16"/>
        </w:rPr>
        <w:t> mld</w:t>
      </w:r>
      <w:r w:rsidRPr="00870A2B">
        <w:rPr>
          <w:sz w:val="16"/>
          <w:szCs w:val="16"/>
        </w:rPr>
        <w:t>.</w:t>
      </w:r>
    </w:p>
  </w:footnote>
  <w:footnote w:id="13">
    <w:p w14:paraId="42D49236" w14:textId="77777777" w:rsidR="00CD7E9E" w:rsidRPr="002940A2" w:rsidRDefault="00CD7E9E" w:rsidP="00144108">
      <w:pPr>
        <w:pStyle w:val="Textpoznpodarou"/>
        <w:jc w:val="both"/>
        <w:rPr>
          <w:spacing w:val="-4"/>
          <w:sz w:val="16"/>
          <w:szCs w:val="16"/>
        </w:rPr>
      </w:pPr>
      <w:r w:rsidRPr="002940A2">
        <w:rPr>
          <w:rStyle w:val="Znakapoznpodarou"/>
          <w:spacing w:val="-4"/>
          <w:sz w:val="16"/>
          <w:szCs w:val="16"/>
        </w:rPr>
        <w:footnoteRef/>
      </w:r>
      <w:r w:rsidRPr="002940A2">
        <w:rPr>
          <w:spacing w:val="-4"/>
          <w:sz w:val="16"/>
          <w:szCs w:val="16"/>
        </w:rPr>
        <w:t xml:space="preserve"> Celkové čisté příjmy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ČR z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rozpočtu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EU činily loni 131,7</w:t>
      </w:r>
      <w:r>
        <w:rPr>
          <w:spacing w:val="-4"/>
          <w:sz w:val="16"/>
          <w:szCs w:val="16"/>
        </w:rPr>
        <w:t> mld</w:t>
      </w:r>
      <w:r w:rsidRPr="002940A2">
        <w:rPr>
          <w:spacing w:val="-4"/>
          <w:sz w:val="16"/>
          <w:szCs w:val="16"/>
        </w:rPr>
        <w:t>. korun a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meziročně se snížily skoro o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desetinu. Nejvíce k tomu přispěly slabší příjmy z kohezních fondů (</w:t>
      </w:r>
      <w:r w:rsidRPr="002940A2">
        <w:rPr>
          <w:color w:val="0D0D0D" w:themeColor="text1" w:themeTint="F2"/>
          <w:spacing w:val="-4"/>
          <w:sz w:val="16"/>
          <w:szCs w:val="16"/>
        </w:rPr>
        <w:t>–</w:t>
      </w:r>
      <w:r w:rsidRPr="002940A2">
        <w:rPr>
          <w:spacing w:val="-4"/>
          <w:sz w:val="16"/>
          <w:szCs w:val="16"/>
        </w:rPr>
        <w:t>5,8</w:t>
      </w:r>
      <w:r>
        <w:rPr>
          <w:spacing w:val="-4"/>
          <w:sz w:val="16"/>
          <w:szCs w:val="16"/>
        </w:rPr>
        <w:t> mld</w:t>
      </w:r>
      <w:r w:rsidRPr="002940A2">
        <w:rPr>
          <w:spacing w:val="-4"/>
          <w:sz w:val="16"/>
          <w:szCs w:val="16"/>
        </w:rPr>
        <w:t xml:space="preserve">. korun, resp. </w:t>
      </w:r>
      <w:r w:rsidRPr="002940A2">
        <w:rPr>
          <w:color w:val="0D0D0D" w:themeColor="text1" w:themeTint="F2"/>
          <w:spacing w:val="-4"/>
          <w:sz w:val="16"/>
          <w:szCs w:val="16"/>
        </w:rPr>
        <w:t>–</w:t>
      </w:r>
      <w:r w:rsidRPr="002940A2">
        <w:rPr>
          <w:spacing w:val="-4"/>
          <w:sz w:val="16"/>
          <w:szCs w:val="16"/>
        </w:rPr>
        <w:t>19</w:t>
      </w:r>
      <w:r>
        <w:rPr>
          <w:spacing w:val="-4"/>
          <w:sz w:val="16"/>
          <w:szCs w:val="16"/>
        </w:rPr>
        <w:t> %</w:t>
      </w:r>
      <w:r w:rsidRPr="002940A2">
        <w:rPr>
          <w:spacing w:val="-4"/>
          <w:sz w:val="16"/>
          <w:szCs w:val="16"/>
        </w:rPr>
        <w:t>) a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ze strukturálních fondů (</w:t>
      </w:r>
      <w:r w:rsidRPr="002940A2">
        <w:rPr>
          <w:color w:val="0D0D0D" w:themeColor="text1" w:themeTint="F2"/>
          <w:spacing w:val="-4"/>
          <w:sz w:val="16"/>
          <w:szCs w:val="16"/>
        </w:rPr>
        <w:t>–</w:t>
      </w:r>
      <w:r w:rsidRPr="002940A2">
        <w:rPr>
          <w:spacing w:val="-4"/>
          <w:sz w:val="16"/>
          <w:szCs w:val="16"/>
        </w:rPr>
        <w:t>5,6</w:t>
      </w:r>
      <w:r>
        <w:rPr>
          <w:spacing w:val="-4"/>
          <w:sz w:val="16"/>
          <w:szCs w:val="16"/>
        </w:rPr>
        <w:t> mld</w:t>
      </w:r>
      <w:r w:rsidRPr="002940A2">
        <w:rPr>
          <w:spacing w:val="-4"/>
          <w:sz w:val="16"/>
          <w:szCs w:val="16"/>
        </w:rPr>
        <w:t xml:space="preserve">., </w:t>
      </w:r>
      <w:r w:rsidRPr="002940A2">
        <w:rPr>
          <w:color w:val="0D0D0D" w:themeColor="text1" w:themeTint="F2"/>
          <w:spacing w:val="-4"/>
          <w:sz w:val="16"/>
          <w:szCs w:val="16"/>
        </w:rPr>
        <w:t>–</w:t>
      </w:r>
      <w:r w:rsidRPr="002940A2">
        <w:rPr>
          <w:spacing w:val="-4"/>
          <w:sz w:val="16"/>
          <w:szCs w:val="16"/>
        </w:rPr>
        <w:t>7</w:t>
      </w:r>
      <w:r>
        <w:rPr>
          <w:spacing w:val="-4"/>
          <w:sz w:val="16"/>
          <w:szCs w:val="16"/>
        </w:rPr>
        <w:t> %</w:t>
      </w:r>
      <w:r w:rsidRPr="002940A2">
        <w:rPr>
          <w:spacing w:val="-4"/>
          <w:sz w:val="16"/>
          <w:szCs w:val="16"/>
        </w:rPr>
        <w:t>). Relativně stabilní naopak zůstaly přijaté přímé platby do zemědělství, jež dosáhly 21,8</w:t>
      </w:r>
      <w:r>
        <w:rPr>
          <w:spacing w:val="-4"/>
          <w:sz w:val="16"/>
          <w:szCs w:val="16"/>
        </w:rPr>
        <w:t> mld</w:t>
      </w:r>
      <w:r w:rsidRPr="002940A2">
        <w:rPr>
          <w:spacing w:val="-4"/>
          <w:sz w:val="16"/>
          <w:szCs w:val="16"/>
        </w:rPr>
        <w:t>. korun a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meziročně klesly jen o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4</w:t>
      </w:r>
      <w:r>
        <w:rPr>
          <w:spacing w:val="-4"/>
          <w:sz w:val="16"/>
          <w:szCs w:val="16"/>
        </w:rPr>
        <w:t> %</w:t>
      </w:r>
      <w:r w:rsidRPr="002940A2">
        <w:rPr>
          <w:spacing w:val="-4"/>
          <w:sz w:val="16"/>
          <w:szCs w:val="16"/>
        </w:rPr>
        <w:t>. Česko setrvalo v pozici významného čistého příjemce z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fondů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EU (+65,3</w:t>
      </w:r>
      <w:r>
        <w:rPr>
          <w:spacing w:val="-4"/>
          <w:sz w:val="16"/>
          <w:szCs w:val="16"/>
        </w:rPr>
        <w:t> mld.</w:t>
      </w:r>
      <w:r w:rsidRPr="002940A2">
        <w:rPr>
          <w:spacing w:val="-4"/>
          <w:sz w:val="16"/>
          <w:szCs w:val="16"/>
        </w:rPr>
        <w:t xml:space="preserve"> korun), a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to přesto, že platby ČR do rozpočtu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EU oproti roku 2020 vzrostly o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desetinu (mj.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i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kvůli navýšení objemu rozpočtu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EU i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vlivem covidové krize). Po připočtení příjmů z nového nástroje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 xml:space="preserve">EU na podporu oživení, které Česko využívá v Národním plánu obnovy, by se loni čistá </w:t>
      </w:r>
      <w:r>
        <w:rPr>
          <w:spacing w:val="-4"/>
          <w:sz w:val="16"/>
          <w:szCs w:val="16"/>
        </w:rPr>
        <w:t xml:space="preserve">kladná </w:t>
      </w:r>
      <w:r w:rsidRPr="002940A2">
        <w:rPr>
          <w:spacing w:val="-4"/>
          <w:sz w:val="16"/>
          <w:szCs w:val="16"/>
        </w:rPr>
        <w:t>pozice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ČR vůči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>EU přiblížila 90</w:t>
      </w:r>
      <w:r>
        <w:rPr>
          <w:spacing w:val="-4"/>
          <w:sz w:val="16"/>
          <w:szCs w:val="16"/>
        </w:rPr>
        <w:t> mld</w:t>
      </w:r>
      <w:r w:rsidRPr="002940A2">
        <w:rPr>
          <w:spacing w:val="-4"/>
          <w:sz w:val="16"/>
          <w:szCs w:val="16"/>
        </w:rPr>
        <w:t>. korun a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 xml:space="preserve">mírně tak překonala hodnotu z roku 2019, jež byla druhá nejvyšší </w:t>
      </w:r>
      <w:r>
        <w:rPr>
          <w:spacing w:val="-4"/>
          <w:sz w:val="16"/>
          <w:szCs w:val="16"/>
        </w:rPr>
        <w:t>v </w:t>
      </w:r>
      <w:r w:rsidRPr="002940A2">
        <w:rPr>
          <w:spacing w:val="-4"/>
          <w:sz w:val="16"/>
          <w:szCs w:val="16"/>
        </w:rPr>
        <w:t>historii členství</w:t>
      </w:r>
      <w:r>
        <w:rPr>
          <w:spacing w:val="-4"/>
          <w:sz w:val="16"/>
          <w:szCs w:val="16"/>
        </w:rPr>
        <w:t> </w:t>
      </w:r>
      <w:r w:rsidRPr="002940A2">
        <w:rPr>
          <w:spacing w:val="-4"/>
          <w:sz w:val="16"/>
          <w:szCs w:val="16"/>
        </w:rPr>
        <w:t xml:space="preserve">ČR </w:t>
      </w:r>
      <w:r>
        <w:rPr>
          <w:spacing w:val="-4"/>
          <w:sz w:val="16"/>
          <w:szCs w:val="16"/>
        </w:rPr>
        <w:t>v</w:t>
      </w:r>
      <w:r w:rsidRPr="002940A2">
        <w:rPr>
          <w:spacing w:val="-4"/>
          <w:sz w:val="16"/>
          <w:szCs w:val="16"/>
        </w:rPr>
        <w:t> Unii.</w:t>
      </w:r>
    </w:p>
  </w:footnote>
  <w:footnote w:id="14">
    <w:p w14:paraId="6FF9FF6D" w14:textId="77777777" w:rsidR="00CD7E9E" w:rsidRDefault="00CD7E9E" w:rsidP="00144108">
      <w:pPr>
        <w:pStyle w:val="Textpoznpodarou"/>
        <w:jc w:val="both"/>
        <w:rPr>
          <w:color w:val="0D0D0D" w:themeColor="text1" w:themeTint="F2"/>
          <w:spacing w:val="-4"/>
          <w:sz w:val="16"/>
          <w:szCs w:val="16"/>
        </w:rPr>
      </w:pPr>
      <w:r w:rsidRPr="00813E8A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Šlo</w:t>
      </w:r>
      <w:r>
        <w:rPr>
          <w:color w:val="0D0D0D" w:themeColor="text1" w:themeTint="F2"/>
          <w:spacing w:val="-4"/>
          <w:sz w:val="16"/>
          <w:szCs w:val="16"/>
        </w:rPr>
        <w:t xml:space="preserve"> zejména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o </w:t>
      </w:r>
      <w:r w:rsidRPr="00813E8A">
        <w:rPr>
          <w:color w:val="0D0D0D" w:themeColor="text1" w:themeTint="F2"/>
          <w:spacing w:val="-4"/>
          <w:sz w:val="16"/>
          <w:szCs w:val="16"/>
        </w:rPr>
        <w:t>náhradu části mezd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povinných odvodů v rámci programu Antivirus A, A+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B</w:t>
      </w:r>
      <w:r>
        <w:rPr>
          <w:color w:val="0D0D0D" w:themeColor="text1" w:themeTint="F2"/>
          <w:spacing w:val="-4"/>
          <w:sz w:val="16"/>
          <w:szCs w:val="16"/>
        </w:rPr>
        <w:t xml:space="preserve"> (v roce 2021 vyplaceno ze SR 25,8</w:t>
      </w:r>
      <w:r w:rsidRPr="00813E8A">
        <w:rPr>
          <w:color w:val="0D0D0D" w:themeColor="text1" w:themeTint="F2"/>
          <w:spacing w:val="-4"/>
          <w:sz w:val="16"/>
          <w:szCs w:val="16"/>
        </w:rPr>
        <w:t> mld.</w:t>
      </w:r>
      <w:r>
        <w:rPr>
          <w:color w:val="0D0D0D" w:themeColor="text1" w:themeTint="F2"/>
          <w:spacing w:val="-4"/>
          <w:sz w:val="16"/>
          <w:szCs w:val="16"/>
        </w:rPr>
        <w:t xml:space="preserve"> korun</w:t>
      </w:r>
      <w:r w:rsidRPr="00813E8A">
        <w:rPr>
          <w:color w:val="0D0D0D" w:themeColor="text1" w:themeTint="F2"/>
          <w:spacing w:val="-4"/>
          <w:sz w:val="16"/>
          <w:szCs w:val="16"/>
        </w:rPr>
        <w:t>)</w:t>
      </w:r>
      <w:r>
        <w:rPr>
          <w:color w:val="0D0D0D" w:themeColor="text1" w:themeTint="F2"/>
          <w:spacing w:val="-4"/>
          <w:sz w:val="16"/>
          <w:szCs w:val="16"/>
        </w:rPr>
        <w:t xml:space="preserve"> a 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speciální programy na přímou podporu zasažených sektorů ekonomiky, např. v oblasti pohostinství, cestovního ruchu, kultury, vzdělávání, sportu, </w:t>
      </w:r>
      <w:r>
        <w:rPr>
          <w:color w:val="0D0D0D" w:themeColor="text1" w:themeTint="F2"/>
          <w:spacing w:val="-4"/>
          <w:sz w:val="16"/>
          <w:szCs w:val="16"/>
        </w:rPr>
        <w:t xml:space="preserve">dopravy, </w:t>
      </w:r>
      <w:r w:rsidRPr="00813E8A">
        <w:rPr>
          <w:color w:val="0D0D0D" w:themeColor="text1" w:themeTint="F2"/>
          <w:spacing w:val="-4"/>
          <w:sz w:val="16"/>
          <w:szCs w:val="16"/>
        </w:rPr>
        <w:t>zemědělství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potravinářství (v</w:t>
      </w:r>
      <w:r>
        <w:rPr>
          <w:color w:val="0D0D0D" w:themeColor="text1" w:themeTint="F2"/>
          <w:spacing w:val="-4"/>
          <w:sz w:val="16"/>
          <w:szCs w:val="16"/>
        </w:rPr>
        <w:t>četně novějších programů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CO</w:t>
      </w:r>
      <w:r>
        <w:rPr>
          <w:color w:val="0D0D0D" w:themeColor="text1" w:themeTint="F2"/>
          <w:spacing w:val="-4"/>
          <w:sz w:val="16"/>
          <w:szCs w:val="16"/>
        </w:rPr>
        <w:t xml:space="preserve">VID 2021, </w:t>
      </w:r>
      <w:r w:rsidRPr="00813E8A">
        <w:rPr>
          <w:color w:val="0D0D0D" w:themeColor="text1" w:themeTint="F2"/>
          <w:spacing w:val="-4"/>
          <w:sz w:val="16"/>
          <w:szCs w:val="16"/>
        </w:rPr>
        <w:t>CO</w:t>
      </w:r>
      <w:r>
        <w:rPr>
          <w:color w:val="0D0D0D" w:themeColor="text1" w:themeTint="F2"/>
          <w:spacing w:val="-4"/>
          <w:sz w:val="16"/>
          <w:szCs w:val="16"/>
        </w:rPr>
        <w:t xml:space="preserve">VID Nájemné, </w:t>
      </w:r>
      <w:r w:rsidRPr="00813E8A">
        <w:rPr>
          <w:color w:val="0D0D0D" w:themeColor="text1" w:themeTint="F2"/>
          <w:spacing w:val="-4"/>
          <w:sz w:val="16"/>
          <w:szCs w:val="16"/>
        </w:rPr>
        <w:t>CO</w:t>
      </w:r>
      <w:r>
        <w:rPr>
          <w:color w:val="0D0D0D" w:themeColor="text1" w:themeTint="F2"/>
          <w:spacing w:val="-4"/>
          <w:sz w:val="16"/>
          <w:szCs w:val="16"/>
        </w:rPr>
        <w:t>VID</w:t>
      </w:r>
      <w:r w:rsidRPr="009263AE">
        <w:rPr>
          <w:color w:val="0D0D0D" w:themeColor="text1" w:themeTint="F2"/>
          <w:spacing w:val="-4"/>
          <w:sz w:val="16"/>
          <w:szCs w:val="16"/>
        </w:rPr>
        <w:t xml:space="preserve"> Nepokryté náklady</w:t>
      </w:r>
      <w:r>
        <w:rPr>
          <w:color w:val="0D0D0D" w:themeColor="text1" w:themeTint="F2"/>
          <w:spacing w:val="-4"/>
          <w:sz w:val="16"/>
          <w:szCs w:val="16"/>
        </w:rPr>
        <w:t>), v celkové výši 38,5 mld. D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ále </w:t>
      </w:r>
      <w:r>
        <w:rPr>
          <w:color w:val="0D0D0D" w:themeColor="text1" w:themeTint="F2"/>
          <w:spacing w:val="-4"/>
          <w:sz w:val="16"/>
          <w:szCs w:val="16"/>
        </w:rPr>
        <w:t xml:space="preserve">to byly </w:t>
      </w:r>
      <w:r w:rsidRPr="00813E8A">
        <w:rPr>
          <w:color w:val="0D0D0D" w:themeColor="text1" w:themeTint="F2"/>
          <w:spacing w:val="-4"/>
          <w:sz w:val="16"/>
          <w:szCs w:val="16"/>
        </w:rPr>
        <w:t>vyšší vý</w:t>
      </w:r>
      <w:r>
        <w:rPr>
          <w:color w:val="0D0D0D" w:themeColor="text1" w:themeTint="F2"/>
          <w:spacing w:val="-4"/>
          <w:sz w:val="16"/>
          <w:szCs w:val="16"/>
        </w:rPr>
        <w:t>daje ve zdravotnictví, zejména posílené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platby státu za tzv.</w:t>
      </w:r>
      <w:r>
        <w:rPr>
          <w:color w:val="0D0D0D" w:themeColor="text1" w:themeTint="F2"/>
          <w:spacing w:val="-4"/>
          <w:sz w:val="16"/>
          <w:szCs w:val="16"/>
        </w:rPr>
        <w:t> státního pojištěnce (50,0 mld.</w:t>
      </w:r>
      <w:r w:rsidRPr="00813E8A">
        <w:rPr>
          <w:color w:val="0D0D0D" w:themeColor="text1" w:themeTint="F2"/>
          <w:spacing w:val="-4"/>
          <w:sz w:val="16"/>
          <w:szCs w:val="16"/>
        </w:rPr>
        <w:t>)</w:t>
      </w:r>
      <w:r>
        <w:rPr>
          <w:color w:val="0D0D0D" w:themeColor="text1" w:themeTint="F2"/>
          <w:spacing w:val="-4"/>
          <w:sz w:val="16"/>
          <w:szCs w:val="16"/>
        </w:rPr>
        <w:t>, z</w:t>
      </w:r>
      <w:r w:rsidRPr="009263AE">
        <w:rPr>
          <w:color w:val="0D0D0D" w:themeColor="text1" w:themeTint="F2"/>
          <w:spacing w:val="-4"/>
          <w:sz w:val="16"/>
          <w:szCs w:val="16"/>
        </w:rPr>
        <w:t>výšené osobní náklady pracovníků ve zdravotnictví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9263AE">
        <w:rPr>
          <w:color w:val="0D0D0D" w:themeColor="text1" w:themeTint="F2"/>
          <w:spacing w:val="-4"/>
          <w:sz w:val="16"/>
          <w:szCs w:val="16"/>
        </w:rPr>
        <w:t>sociálních službách</w:t>
      </w:r>
      <w:r>
        <w:rPr>
          <w:color w:val="0D0D0D" w:themeColor="text1" w:themeTint="F2"/>
          <w:spacing w:val="-4"/>
          <w:sz w:val="16"/>
          <w:szCs w:val="16"/>
        </w:rPr>
        <w:t xml:space="preserve"> (16,8 mld.),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n</w:t>
      </w:r>
      <w:r>
        <w:rPr>
          <w:color w:val="0D0D0D" w:themeColor="text1" w:themeTint="F2"/>
          <w:spacing w:val="-4"/>
          <w:sz w:val="16"/>
          <w:szCs w:val="16"/>
        </w:rPr>
        <w:t>ákupy ochranných prostředků včetně vakcín (7,9 mld.) a konečně i zvýšené výdaje na některé sociální dávky – ošetřovné,</w:t>
      </w:r>
      <w: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m</w:t>
      </w:r>
      <w:r w:rsidRPr="002B0A36">
        <w:rPr>
          <w:color w:val="0D0D0D" w:themeColor="text1" w:themeTint="F2"/>
          <w:spacing w:val="-4"/>
          <w:sz w:val="16"/>
          <w:szCs w:val="16"/>
        </w:rPr>
        <w:t>imořádný příspě</w:t>
      </w:r>
      <w:r>
        <w:rPr>
          <w:color w:val="0D0D0D" w:themeColor="text1" w:themeTint="F2"/>
          <w:spacing w:val="-4"/>
          <w:sz w:val="16"/>
          <w:szCs w:val="16"/>
        </w:rPr>
        <w:t xml:space="preserve">vek pro zaměstnance v karanténě či </w:t>
      </w:r>
      <w:r w:rsidRPr="002B0A36">
        <w:rPr>
          <w:color w:val="0D0D0D" w:themeColor="text1" w:themeTint="F2"/>
          <w:spacing w:val="-4"/>
          <w:sz w:val="16"/>
          <w:szCs w:val="16"/>
        </w:rPr>
        <w:t>izolaci</w:t>
      </w:r>
      <w:r>
        <w:rPr>
          <w:color w:val="0D0D0D" w:themeColor="text1" w:themeTint="F2"/>
          <w:spacing w:val="-4"/>
          <w:sz w:val="16"/>
          <w:szCs w:val="16"/>
        </w:rPr>
        <w:t xml:space="preserve"> (5,9 mld.).</w:t>
      </w:r>
    </w:p>
    <w:p w14:paraId="64C8E252" w14:textId="77777777" w:rsidR="00CD7E9E" w:rsidRPr="00813E8A" w:rsidRDefault="00CD7E9E" w:rsidP="00144108">
      <w:pPr>
        <w:pStyle w:val="Textpoznpodarou"/>
        <w:jc w:val="both"/>
        <w:rPr>
          <w:color w:val="0D0D0D" w:themeColor="text1" w:themeTint="F2"/>
          <w:spacing w:val="-4"/>
          <w:sz w:val="16"/>
          <w:szCs w:val="16"/>
        </w:rPr>
      </w:pPr>
      <w:r>
        <w:rPr>
          <w:color w:val="0D0D0D" w:themeColor="text1" w:themeTint="F2"/>
          <w:spacing w:val="-4"/>
          <w:sz w:val="16"/>
          <w:szCs w:val="16"/>
        </w:rPr>
        <w:t>Většina z uvedených výdajů ve srovnání s rokem 2020 narostla. Výjimkou byly ošetřovné, nákupy ochranných pomůcek a oddlužení nemocnic.</w:t>
      </w:r>
    </w:p>
  </w:footnote>
  <w:footnote w:id="15">
    <w:p w14:paraId="099F4905" w14:textId="77777777" w:rsidR="00CD7E9E" w:rsidRPr="00813E8A" w:rsidRDefault="00CD7E9E" w:rsidP="00144108">
      <w:pPr>
        <w:pStyle w:val="Textpoznpodarou"/>
        <w:rPr>
          <w:spacing w:val="-2"/>
          <w:sz w:val="16"/>
          <w:szCs w:val="16"/>
        </w:rPr>
      </w:pPr>
      <w:r w:rsidRPr="00813E8A">
        <w:rPr>
          <w:rStyle w:val="Znakapoznpodarou"/>
          <w:spacing w:val="-2"/>
          <w:sz w:val="16"/>
          <w:szCs w:val="16"/>
        </w:rPr>
        <w:footnoteRef/>
      </w:r>
      <w:r w:rsidRPr="00813E8A">
        <w:rPr>
          <w:spacing w:val="-2"/>
          <w:sz w:val="16"/>
          <w:szCs w:val="16"/>
        </w:rPr>
        <w:t xml:space="preserve"> Odráží schválený </w:t>
      </w:r>
      <w:r>
        <w:rPr>
          <w:spacing w:val="-2"/>
          <w:sz w:val="16"/>
          <w:szCs w:val="16"/>
        </w:rPr>
        <w:t xml:space="preserve">loňský </w:t>
      </w:r>
      <w:r w:rsidRPr="00813E8A">
        <w:rPr>
          <w:spacing w:val="-2"/>
          <w:sz w:val="16"/>
          <w:szCs w:val="16"/>
        </w:rPr>
        <w:t>meziroční nárůst u</w:t>
      </w:r>
      <w:r>
        <w:rPr>
          <w:spacing w:val="-2"/>
          <w:sz w:val="16"/>
          <w:szCs w:val="16"/>
        </w:rPr>
        <w:t> </w:t>
      </w:r>
      <w:r w:rsidRPr="00813E8A">
        <w:rPr>
          <w:spacing w:val="-2"/>
          <w:sz w:val="16"/>
          <w:szCs w:val="16"/>
        </w:rPr>
        <w:t>pedagogických i</w:t>
      </w:r>
      <w:r>
        <w:rPr>
          <w:spacing w:val="-2"/>
          <w:sz w:val="16"/>
          <w:szCs w:val="16"/>
        </w:rPr>
        <w:t> </w:t>
      </w:r>
      <w:r w:rsidRPr="00813E8A">
        <w:rPr>
          <w:spacing w:val="-2"/>
          <w:sz w:val="16"/>
          <w:szCs w:val="16"/>
        </w:rPr>
        <w:t>nepedagogických pracovníků (o</w:t>
      </w:r>
      <w:r>
        <w:rPr>
          <w:spacing w:val="-2"/>
          <w:sz w:val="16"/>
          <w:szCs w:val="16"/>
        </w:rPr>
        <w:t> </w:t>
      </w:r>
      <w:r w:rsidRPr="00813E8A">
        <w:rPr>
          <w:spacing w:val="-2"/>
          <w:sz w:val="16"/>
          <w:szCs w:val="16"/>
        </w:rPr>
        <w:t>9</w:t>
      </w:r>
      <w:r>
        <w:rPr>
          <w:spacing w:val="-2"/>
          <w:sz w:val="16"/>
          <w:szCs w:val="16"/>
        </w:rPr>
        <w:t> %</w:t>
      </w:r>
      <w:r w:rsidRPr="00813E8A">
        <w:rPr>
          <w:spacing w:val="-2"/>
          <w:sz w:val="16"/>
          <w:szCs w:val="16"/>
        </w:rPr>
        <w:t>, resp. 4,3</w:t>
      </w:r>
      <w:r>
        <w:rPr>
          <w:spacing w:val="-2"/>
          <w:sz w:val="16"/>
          <w:szCs w:val="16"/>
        </w:rPr>
        <w:t> %</w:t>
      </w:r>
      <w:r w:rsidRPr="00813E8A">
        <w:rPr>
          <w:spacing w:val="-2"/>
          <w:sz w:val="16"/>
          <w:szCs w:val="16"/>
        </w:rPr>
        <w:t>).</w:t>
      </w:r>
    </w:p>
  </w:footnote>
  <w:footnote w:id="16">
    <w:p w14:paraId="3EC10781" w14:textId="77777777" w:rsidR="00CD7E9E" w:rsidRPr="00D671AC" w:rsidRDefault="00CD7E9E" w:rsidP="00144108">
      <w:pPr>
        <w:pStyle w:val="Textpoznpodarou"/>
        <w:rPr>
          <w:sz w:val="16"/>
          <w:szCs w:val="16"/>
        </w:rPr>
      </w:pPr>
      <w:r w:rsidRPr="00813E8A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V těchto výdajích nejsou zahrnuty výdaje na obsluhu státního dluhu a též v posledních letech okrajová položka výdajů na realizaci záruk.</w:t>
      </w:r>
    </w:p>
  </w:footnote>
  <w:footnote w:id="17">
    <w:p w14:paraId="0E49ACAB" w14:textId="77777777" w:rsidR="00CD7E9E" w:rsidRPr="00FA3B92" w:rsidRDefault="00CD7E9E" w:rsidP="00144108">
      <w:pPr>
        <w:pStyle w:val="Textpoznpodarou"/>
        <w:rPr>
          <w:sz w:val="16"/>
          <w:szCs w:val="16"/>
        </w:rPr>
      </w:pPr>
      <w:r w:rsidRPr="00FA3B92">
        <w:rPr>
          <w:rStyle w:val="Znakapoznpodarou"/>
          <w:sz w:val="16"/>
          <w:szCs w:val="16"/>
        </w:rPr>
        <w:footnoteRef/>
      </w:r>
      <w:r w:rsidRPr="00FA3B92">
        <w:rPr>
          <w:sz w:val="16"/>
          <w:szCs w:val="16"/>
        </w:rPr>
        <w:t xml:space="preserve"> </w:t>
      </w:r>
      <w:r w:rsidRPr="00FA3B92">
        <w:rPr>
          <w:spacing w:val="-5"/>
          <w:sz w:val="16"/>
          <w:szCs w:val="16"/>
        </w:rPr>
        <w:t>Podíl sociálníc</w:t>
      </w:r>
      <w:r>
        <w:rPr>
          <w:spacing w:val="-5"/>
          <w:sz w:val="16"/>
          <w:szCs w:val="16"/>
        </w:rPr>
        <w:t>h dávek na všech výdajích SR se loni meziročně snížil popáté v řadě (na 36,3 %, minimum ve srovnatelné řadě po roce 2011).</w:t>
      </w:r>
    </w:p>
  </w:footnote>
  <w:footnote w:id="18">
    <w:p w14:paraId="3B71D691" w14:textId="77777777" w:rsidR="00CD7E9E" w:rsidRPr="00502763" w:rsidRDefault="00CD7E9E" w:rsidP="00144108">
      <w:pPr>
        <w:pStyle w:val="Textpoznpodarou"/>
        <w:rPr>
          <w:sz w:val="16"/>
          <w:szCs w:val="16"/>
        </w:rPr>
      </w:pPr>
      <w:r w:rsidRPr="00502763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Ve vysokém</w:t>
      </w:r>
      <w:r w:rsidRPr="00502763">
        <w:rPr>
          <w:sz w:val="16"/>
          <w:szCs w:val="16"/>
        </w:rPr>
        <w:t xml:space="preserve"> růstu se projevilo zejména zavedení krizového ošetřovného (souvisejí</w:t>
      </w:r>
      <w:r>
        <w:rPr>
          <w:sz w:val="16"/>
          <w:szCs w:val="16"/>
        </w:rPr>
        <w:t>cího</w:t>
      </w:r>
      <w:r w:rsidRPr="00502763">
        <w:rPr>
          <w:sz w:val="16"/>
          <w:szCs w:val="16"/>
        </w:rPr>
        <w:t xml:space="preserve"> s domácí péč</w:t>
      </w:r>
      <w:r>
        <w:rPr>
          <w:sz w:val="16"/>
          <w:szCs w:val="16"/>
        </w:rPr>
        <w:t>í</w:t>
      </w:r>
      <w:r w:rsidRPr="00502763">
        <w:rPr>
          <w:sz w:val="16"/>
          <w:szCs w:val="16"/>
        </w:rPr>
        <w:t xml:space="preserve"> o</w:t>
      </w:r>
      <w:r>
        <w:rPr>
          <w:sz w:val="16"/>
          <w:szCs w:val="16"/>
        </w:rPr>
        <w:t> </w:t>
      </w:r>
      <w:r w:rsidRPr="00502763">
        <w:rPr>
          <w:sz w:val="16"/>
          <w:szCs w:val="16"/>
        </w:rPr>
        <w:t xml:space="preserve">děti z důvodu nuceného uzavření škol či </w:t>
      </w:r>
      <w:r>
        <w:rPr>
          <w:sz w:val="16"/>
          <w:szCs w:val="16"/>
        </w:rPr>
        <w:t xml:space="preserve">kvůli </w:t>
      </w:r>
      <w:r w:rsidRPr="00502763">
        <w:rPr>
          <w:sz w:val="16"/>
          <w:szCs w:val="16"/>
        </w:rPr>
        <w:t>karantén</w:t>
      </w:r>
      <w:r>
        <w:rPr>
          <w:sz w:val="16"/>
          <w:szCs w:val="16"/>
        </w:rPr>
        <w:t>ě</w:t>
      </w:r>
      <w:r w:rsidRPr="00502763">
        <w:rPr>
          <w:sz w:val="16"/>
          <w:szCs w:val="16"/>
        </w:rPr>
        <w:t>), n</w:t>
      </w:r>
      <w:r>
        <w:rPr>
          <w:sz w:val="16"/>
          <w:szCs w:val="16"/>
        </w:rPr>
        <w:t>avýšení rodičovského příspěvku a vyšší tempo valorizace důchodů.</w:t>
      </w:r>
    </w:p>
  </w:footnote>
  <w:footnote w:id="19">
    <w:p w14:paraId="1941463B" w14:textId="77777777" w:rsidR="00CD7E9E" w:rsidRPr="00D80E29" w:rsidRDefault="00CD7E9E" w:rsidP="00144108">
      <w:pPr>
        <w:pStyle w:val="Textpoznpodarou"/>
        <w:rPr>
          <w:sz w:val="16"/>
          <w:szCs w:val="16"/>
        </w:rPr>
      </w:pPr>
      <w:r w:rsidRPr="00D80E29">
        <w:rPr>
          <w:rStyle w:val="Znakapoznpodarou"/>
          <w:sz w:val="16"/>
          <w:szCs w:val="16"/>
        </w:rPr>
        <w:footnoteRef/>
      </w:r>
      <w:r w:rsidRPr="00D80E29">
        <w:rPr>
          <w:sz w:val="16"/>
          <w:szCs w:val="16"/>
        </w:rPr>
        <w:t xml:space="preserve"> Příspěvek činil 5</w:t>
      </w:r>
      <w:r>
        <w:rPr>
          <w:sz w:val="16"/>
          <w:szCs w:val="16"/>
        </w:rPr>
        <w:t> tis.</w:t>
      </w:r>
      <w:r w:rsidRPr="00D80E29">
        <w:rPr>
          <w:sz w:val="16"/>
          <w:szCs w:val="16"/>
        </w:rPr>
        <w:t xml:space="preserve"> korun a</w:t>
      </w:r>
      <w:r>
        <w:rPr>
          <w:sz w:val="16"/>
          <w:szCs w:val="16"/>
        </w:rPr>
        <w:t> </w:t>
      </w:r>
      <w:r w:rsidRPr="00D80E29">
        <w:rPr>
          <w:sz w:val="16"/>
          <w:szCs w:val="16"/>
        </w:rPr>
        <w:t>znamenal pro</w:t>
      </w:r>
      <w:r>
        <w:rPr>
          <w:sz w:val="16"/>
          <w:szCs w:val="16"/>
        </w:rPr>
        <w:t> </w:t>
      </w:r>
      <w:r w:rsidRPr="00D80E29">
        <w:rPr>
          <w:sz w:val="16"/>
          <w:szCs w:val="16"/>
        </w:rPr>
        <w:t>SR navýšení celkových výdajů o</w:t>
      </w:r>
      <w:r>
        <w:rPr>
          <w:sz w:val="16"/>
          <w:szCs w:val="16"/>
        </w:rPr>
        <w:t> </w:t>
      </w:r>
      <w:r w:rsidRPr="00D80E29">
        <w:rPr>
          <w:sz w:val="16"/>
          <w:szCs w:val="16"/>
        </w:rPr>
        <w:t>necelých 15</w:t>
      </w:r>
      <w:r>
        <w:rPr>
          <w:sz w:val="16"/>
          <w:szCs w:val="16"/>
        </w:rPr>
        <w:t> mld</w:t>
      </w:r>
      <w:r w:rsidRPr="00D80E29">
        <w:rPr>
          <w:sz w:val="16"/>
          <w:szCs w:val="16"/>
        </w:rPr>
        <w:t>. korun. Od ledna do listopadu 2021 se meziroční růst</w:t>
      </w:r>
      <w:r>
        <w:rPr>
          <w:sz w:val="16"/>
          <w:szCs w:val="16"/>
        </w:rPr>
        <w:t xml:space="preserve"> výdajů na důchody rovnal 5,4 % a odrážel z drtivé většiny efekt běžné valorizace důchodů.</w:t>
      </w:r>
    </w:p>
  </w:footnote>
  <w:footnote w:id="20">
    <w:p w14:paraId="782FF8D5" w14:textId="77777777" w:rsidR="00CD7E9E" w:rsidRPr="00813E8A" w:rsidRDefault="00CD7E9E" w:rsidP="00144108">
      <w:pPr>
        <w:pStyle w:val="Textpoznpodarou"/>
        <w:jc w:val="both"/>
        <w:rPr>
          <w:spacing w:val="-4"/>
          <w:sz w:val="16"/>
          <w:szCs w:val="16"/>
        </w:rPr>
      </w:pPr>
      <w:r w:rsidRPr="00813E8A">
        <w:rPr>
          <w:rStyle w:val="Znakapoznpodarou"/>
          <w:spacing w:val="-4"/>
          <w:sz w:val="16"/>
          <w:szCs w:val="16"/>
        </w:rPr>
        <w:footnoteRef/>
      </w:r>
      <w:r w:rsidRPr="00813E8A">
        <w:rPr>
          <w:spacing w:val="-4"/>
          <w:sz w:val="16"/>
          <w:szCs w:val="16"/>
        </w:rPr>
        <w:t xml:space="preserve"> Objem vybraného pojistného </w:t>
      </w:r>
      <w:r>
        <w:rPr>
          <w:spacing w:val="-4"/>
          <w:sz w:val="16"/>
          <w:szCs w:val="16"/>
        </w:rPr>
        <w:t>byl ve 2. i 3. čtvrtletí</w:t>
      </w:r>
      <w:r w:rsidRPr="00813E8A">
        <w:rPr>
          <w:spacing w:val="-4"/>
          <w:sz w:val="16"/>
          <w:szCs w:val="16"/>
        </w:rPr>
        <w:t xml:space="preserve"> negativně poznamenán zrušením minimálních záloh pro osoby samostatně výdělečně činné a</w:t>
      </w:r>
      <w:r>
        <w:rPr>
          <w:spacing w:val="-4"/>
          <w:sz w:val="16"/>
          <w:szCs w:val="16"/>
        </w:rPr>
        <w:t> </w:t>
      </w:r>
      <w:r w:rsidRPr="00813E8A">
        <w:rPr>
          <w:spacing w:val="-4"/>
          <w:sz w:val="16"/>
          <w:szCs w:val="16"/>
        </w:rPr>
        <w:t>též prominutím pojistného placeného zaměstnavatelem (program Antivirus</w:t>
      </w:r>
      <w:r>
        <w:rPr>
          <w:spacing w:val="-4"/>
          <w:sz w:val="16"/>
          <w:szCs w:val="16"/>
        </w:rPr>
        <w:t> </w:t>
      </w:r>
      <w:r w:rsidRPr="00813E8A">
        <w:rPr>
          <w:spacing w:val="-4"/>
          <w:sz w:val="16"/>
          <w:szCs w:val="16"/>
        </w:rPr>
        <w:t>C).</w:t>
      </w:r>
    </w:p>
  </w:footnote>
  <w:footnote w:id="21">
    <w:p w14:paraId="6369F472" w14:textId="77777777" w:rsidR="00CD7E9E" w:rsidRPr="00EC2E06" w:rsidRDefault="00CD7E9E" w:rsidP="00144108">
      <w:pPr>
        <w:pStyle w:val="Textpoznpodarou"/>
        <w:jc w:val="both"/>
        <w:rPr>
          <w:spacing w:val="-4"/>
        </w:rPr>
      </w:pPr>
      <w:r w:rsidRPr="00EC2E06">
        <w:rPr>
          <w:rStyle w:val="Znakapoznpodarou"/>
          <w:spacing w:val="-4"/>
          <w:sz w:val="16"/>
          <w:szCs w:val="16"/>
        </w:rPr>
        <w:footnoteRef/>
      </w:r>
      <w:r w:rsidRPr="00EC2E06">
        <w:rPr>
          <w:spacing w:val="-4"/>
          <w:sz w:val="16"/>
          <w:szCs w:val="16"/>
        </w:rPr>
        <w:t xml:space="preserve"> Je vyjádřeno </w:t>
      </w:r>
      <w:r w:rsidRPr="00EC2E06">
        <w:rPr>
          <w:rFonts w:cs="Arial"/>
          <w:color w:val="000000" w:themeColor="text1"/>
          <w:spacing w:val="-4"/>
          <w:sz w:val="16"/>
          <w:szCs w:val="16"/>
        </w:rPr>
        <w:t xml:space="preserve">rozdílem mezi příjmy a výdaji na důchody ze SR. Ve výdajích nejsou zahrnuty náklady na správu systému důchodového </w:t>
      </w:r>
      <w:r w:rsidRPr="00EC2E06">
        <w:rPr>
          <w:rFonts w:cs="Arial"/>
          <w:color w:val="0D0D0D" w:themeColor="text1" w:themeTint="F2"/>
          <w:spacing w:val="-4"/>
          <w:sz w:val="16"/>
          <w:szCs w:val="16"/>
        </w:rPr>
        <w:t>pojištění.</w:t>
      </w:r>
    </w:p>
  </w:footnote>
  <w:footnote w:id="22">
    <w:p w14:paraId="72D396FF" w14:textId="77777777" w:rsidR="00CD7E9E" w:rsidRPr="00F73096" w:rsidRDefault="00CD7E9E" w:rsidP="00144108">
      <w:pPr>
        <w:pStyle w:val="Textpoznpodarou"/>
        <w:jc w:val="both"/>
        <w:rPr>
          <w:spacing w:val="-2"/>
          <w:sz w:val="16"/>
          <w:szCs w:val="16"/>
        </w:rPr>
      </w:pPr>
      <w:r w:rsidRPr="00F73096">
        <w:rPr>
          <w:rStyle w:val="Znakapoznpodarou"/>
          <w:spacing w:val="-2"/>
          <w:sz w:val="16"/>
          <w:szCs w:val="16"/>
        </w:rPr>
        <w:footnoteRef/>
      </w:r>
      <w:r w:rsidRPr="00F73096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Od 1. července 2021 došlo ke</w:t>
      </w:r>
      <w:r w:rsidRPr="00F73096">
        <w:rPr>
          <w:spacing w:val="-2"/>
          <w:sz w:val="16"/>
          <w:szCs w:val="16"/>
        </w:rPr>
        <w:t xml:space="preserve"> zvýšení hranice rozhodného příjmu pro čerpání (z</w:t>
      </w:r>
      <w:r>
        <w:rPr>
          <w:spacing w:val="-2"/>
          <w:sz w:val="16"/>
          <w:szCs w:val="16"/>
        </w:rPr>
        <w:t> </w:t>
      </w:r>
      <w:r w:rsidRPr="00F73096">
        <w:rPr>
          <w:spacing w:val="-2"/>
          <w:sz w:val="16"/>
          <w:szCs w:val="16"/>
        </w:rPr>
        <w:t>2,7</w:t>
      </w:r>
      <w:r>
        <w:rPr>
          <w:spacing w:val="-2"/>
          <w:sz w:val="16"/>
          <w:szCs w:val="16"/>
        </w:rPr>
        <w:t>-</w:t>
      </w:r>
      <w:r w:rsidRPr="00F73096">
        <w:rPr>
          <w:spacing w:val="-2"/>
          <w:sz w:val="16"/>
          <w:szCs w:val="16"/>
        </w:rPr>
        <w:t xml:space="preserve"> na 3,4násobek životního minima rodiny) i</w:t>
      </w:r>
      <w:r>
        <w:rPr>
          <w:spacing w:val="-2"/>
          <w:sz w:val="16"/>
          <w:szCs w:val="16"/>
        </w:rPr>
        <w:t> k </w:t>
      </w:r>
      <w:r w:rsidRPr="00F73096">
        <w:rPr>
          <w:spacing w:val="-2"/>
          <w:sz w:val="16"/>
          <w:szCs w:val="16"/>
        </w:rPr>
        <w:t>valorizaci výš</w:t>
      </w:r>
      <w:r>
        <w:rPr>
          <w:spacing w:val="-2"/>
          <w:sz w:val="16"/>
          <w:szCs w:val="16"/>
        </w:rPr>
        <w:t>e</w:t>
      </w:r>
      <w:r w:rsidRPr="00F73096">
        <w:rPr>
          <w:spacing w:val="-2"/>
          <w:sz w:val="16"/>
          <w:szCs w:val="16"/>
        </w:rPr>
        <w:t xml:space="preserve"> přídavku (o</w:t>
      </w:r>
      <w:r>
        <w:rPr>
          <w:spacing w:val="-2"/>
          <w:sz w:val="16"/>
          <w:szCs w:val="16"/>
        </w:rPr>
        <w:t> 26 %)</w:t>
      </w:r>
      <w:r w:rsidRPr="00C20E4A">
        <w:rPr>
          <w:spacing w:val="-3"/>
          <w:sz w:val="16"/>
          <w:szCs w:val="16"/>
        </w:rPr>
        <w:t>.</w:t>
      </w:r>
    </w:p>
  </w:footnote>
  <w:footnote w:id="23">
    <w:p w14:paraId="3A54AFD2" w14:textId="77777777" w:rsidR="00CD7E9E" w:rsidRPr="00720F42" w:rsidRDefault="00CD7E9E" w:rsidP="00144108">
      <w:pPr>
        <w:spacing w:after="0"/>
        <w:rPr>
          <w:sz w:val="16"/>
          <w:szCs w:val="16"/>
        </w:rPr>
      </w:pPr>
      <w:r w:rsidRPr="00720F42">
        <w:rPr>
          <w:rStyle w:val="Znakapoznpodarou"/>
          <w:sz w:val="16"/>
          <w:szCs w:val="16"/>
        </w:rPr>
        <w:footnoteRef/>
      </w:r>
      <w:r w:rsidRPr="00720F42">
        <w:rPr>
          <w:sz w:val="16"/>
          <w:szCs w:val="16"/>
        </w:rPr>
        <w:t xml:space="preserve"> Odpovídá saldu rozpočtové kapitoly Státní dluh.</w:t>
      </w:r>
    </w:p>
  </w:footnote>
  <w:footnote w:id="24">
    <w:p w14:paraId="5DE9D671" w14:textId="77777777" w:rsidR="00CD7E9E" w:rsidRDefault="00CD7E9E" w:rsidP="00144108">
      <w:pPr>
        <w:pStyle w:val="Textpoznpodarou"/>
      </w:pPr>
      <w:r w:rsidRPr="008C2F4A">
        <w:rPr>
          <w:rStyle w:val="Znakapoznpodarou"/>
          <w:sz w:val="16"/>
          <w:szCs w:val="16"/>
        </w:rPr>
        <w:footnoteRef/>
      </w:r>
      <w:r w:rsidRPr="008C2F4A">
        <w:rPr>
          <w:sz w:val="16"/>
          <w:szCs w:val="16"/>
        </w:rPr>
        <w:t xml:space="preserve"> </w:t>
      </w:r>
      <w:r>
        <w:rPr>
          <w:sz w:val="16"/>
          <w:szCs w:val="16"/>
        </w:rPr>
        <w:t>Údaje o hospodaření vládních institucí v ČR za 4. čtvrtletí 2021 i celý loňský rok zveřejní ČSÚ 1. dubna 2022, Eurostat za své členské státy následně 22. dubna. Podrobnější zhodnocení vývoje v tuzemsku za 3. čtvrtletí je obsaženo v publikaci Analýza sektorových účtů:</w:t>
      </w:r>
    </w:p>
    <w:p w14:paraId="6ED48E01" w14:textId="77777777" w:rsidR="00CD7E9E" w:rsidRPr="008F18A4" w:rsidRDefault="00C55202" w:rsidP="00144108">
      <w:pPr>
        <w:pStyle w:val="Textpoznpodarou"/>
        <w:rPr>
          <w:sz w:val="16"/>
          <w:szCs w:val="16"/>
        </w:rPr>
      </w:pPr>
      <w:hyperlink r:id="rId1" w:history="1">
        <w:r w:rsidR="00CD7E9E" w:rsidRPr="0021327C">
          <w:rPr>
            <w:rStyle w:val="Hypertextovodkaz"/>
            <w:sz w:val="16"/>
            <w:szCs w:val="16"/>
          </w:rPr>
          <w:t>https://www.czso.cz/csu/czso/cri/analyza-ctvrtletnich-sektorovych-uctu-3-ctvrtleti-2021</w:t>
        </w:r>
      </w:hyperlink>
    </w:p>
  </w:footnote>
  <w:footnote w:id="25">
    <w:p w14:paraId="6B58BE36" w14:textId="77777777" w:rsidR="00CD7E9E" w:rsidRPr="00CB5D70" w:rsidRDefault="00CD7E9E" w:rsidP="00144108">
      <w:pPr>
        <w:pStyle w:val="Textpoznpodarou"/>
        <w:rPr>
          <w:spacing w:val="-2"/>
          <w:sz w:val="16"/>
          <w:szCs w:val="16"/>
        </w:rPr>
      </w:pPr>
      <w:r w:rsidRPr="00CB5D70">
        <w:rPr>
          <w:rStyle w:val="Znakapoznpodarou"/>
          <w:spacing w:val="-2"/>
          <w:sz w:val="16"/>
          <w:szCs w:val="16"/>
        </w:rPr>
        <w:footnoteRef/>
      </w:r>
      <w:r w:rsidRPr="00CB5D70">
        <w:rPr>
          <w:spacing w:val="-2"/>
          <w:sz w:val="16"/>
          <w:szCs w:val="16"/>
        </w:rPr>
        <w:t xml:space="preserve"> Bez Itálie, Řecka, Chorvatska a</w:t>
      </w:r>
      <w:r>
        <w:rPr>
          <w:spacing w:val="-2"/>
          <w:sz w:val="16"/>
          <w:szCs w:val="16"/>
        </w:rPr>
        <w:t> </w:t>
      </w:r>
      <w:r w:rsidRPr="00CB5D70">
        <w:rPr>
          <w:spacing w:val="-2"/>
          <w:sz w:val="16"/>
          <w:szCs w:val="16"/>
        </w:rPr>
        <w:t>Kypru</w:t>
      </w:r>
      <w:r>
        <w:rPr>
          <w:spacing w:val="-2"/>
          <w:sz w:val="16"/>
          <w:szCs w:val="16"/>
        </w:rPr>
        <w:t>, za které nebyly</w:t>
      </w:r>
      <w:r w:rsidRPr="00CB5D70">
        <w:rPr>
          <w:spacing w:val="-2"/>
          <w:sz w:val="16"/>
          <w:szCs w:val="16"/>
        </w:rPr>
        <w:t xml:space="preserve"> sezó</w:t>
      </w:r>
      <w:r>
        <w:rPr>
          <w:spacing w:val="-2"/>
          <w:sz w:val="16"/>
          <w:szCs w:val="16"/>
        </w:rPr>
        <w:t>nně očištěné údaje k dispozici</w:t>
      </w:r>
      <w:r w:rsidRPr="00CB5D70">
        <w:rPr>
          <w:spacing w:val="-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D7E9E" w:rsidRDefault="00CD7E9E" w:rsidP="00937AE2">
    <w:pPr>
      <w:pStyle w:val="Zhlav"/>
    </w:pPr>
    <w:r>
      <w:t>Vývoj ekonomiky České republiky</w:t>
    </w:r>
  </w:p>
  <w:p w14:paraId="3E881AB3" w14:textId="77777777" w:rsidR="00CD7E9E" w:rsidRPr="006F5416" w:rsidRDefault="00CD7E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D7E9E" w:rsidRDefault="00CD7E9E" w:rsidP="00937AE2">
    <w:pPr>
      <w:pStyle w:val="Zhlav"/>
    </w:pPr>
    <w:r>
      <w:t>Vývoj ekonomiky České republiky</w:t>
    </w:r>
  </w:p>
  <w:p w14:paraId="57266714" w14:textId="77777777" w:rsidR="00CD7E9E" w:rsidRPr="006F5416" w:rsidRDefault="00CD7E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E7B78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202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cri/analyza-ctvrtletnich-sektorovych-uctu-3-ctvrtleti-20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Celorok\ST&#193;TN&#205;%20ROZPO&#268;ET\Grafy-st&#225;tn&#237;%20rozpo&#269;et-rok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Celorok\ST&#193;TN&#205;%20ROZPO&#268;ET\Grafy-st&#225;tn&#237;%20rozpo&#269;et-rok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935993017189728E-2"/>
          <c:y val="1.7107238390107405E-2"/>
          <c:w val="0.83559968783080529"/>
          <c:h val="0.82188956339158548"/>
        </c:manualLayout>
      </c:layout>
      <c:barChart>
        <c:barDir val="col"/>
        <c:grouping val="clustered"/>
        <c:varyColors val="0"/>
        <c:ser>
          <c:idx val="2"/>
          <c:order val="4"/>
          <c:tx>
            <c:strRef>
              <c:f>'GRAF-1-Státní rozpočet-příjmy'!$A$40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cat>
            <c:strRef>
              <c:f>'GRAF-1-Státní rozpočet-příjmy'!$E$34:$R$35</c:f>
              <c:strCach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strCache>
            </c:strRef>
          </c:cat>
          <c:val>
            <c:numRef>
              <c:f>'GRAF-1-Státní rozpočet-příjmy'!$E$40:$R$40</c:f>
              <c:numCache>
                <c:formatCode>#\ ##0.0</c:formatCode>
                <c:ptCount val="14"/>
                <c:pt idx="0">
                  <c:v>-20.003</c:v>
                </c:pt>
                <c:pt idx="1">
                  <c:v>-192.39400000000001</c:v>
                </c:pt>
                <c:pt idx="2">
                  <c:v>-156.416</c:v>
                </c:pt>
                <c:pt idx="3">
                  <c:v>-142.77099999999999</c:v>
                </c:pt>
                <c:pt idx="4">
                  <c:v>-101</c:v>
                </c:pt>
                <c:pt idx="5">
                  <c:v>-81.263999999999996</c:v>
                </c:pt>
                <c:pt idx="6">
                  <c:v>-77.78</c:v>
                </c:pt>
                <c:pt idx="7">
                  <c:v>-62.8</c:v>
                </c:pt>
                <c:pt idx="8">
                  <c:v>61.77</c:v>
                </c:pt>
                <c:pt idx="9">
                  <c:v>-6.15</c:v>
                </c:pt>
                <c:pt idx="10">
                  <c:v>2.94</c:v>
                </c:pt>
                <c:pt idx="11">
                  <c:v>-28.52</c:v>
                </c:pt>
                <c:pt idx="12">
                  <c:v>-367.44997523070992</c:v>
                </c:pt>
                <c:pt idx="13">
                  <c:v>-419.68746344218994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F9-4BDD-990E-8D21DF791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axId val="194477056"/>
        <c:axId val="194475520"/>
      </c:barChart>
      <c:lineChart>
        <c:grouping val="standard"/>
        <c:varyColors val="0"/>
        <c:ser>
          <c:idx val="0"/>
          <c:order val="0"/>
          <c:tx>
            <c:strRef>
              <c:f>'GRAF-1-Státní rozpočet-příjmy'!$A$36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strRef>
              <c:f>'GRAF-1-Státní rozpočet-příjmy'!$E$34:$R$35</c:f>
              <c:strCach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strCache>
            </c:strRef>
          </c:cat>
          <c:val>
            <c:numRef>
              <c:f>'GRAF-1-Státní rozpočet-příjmy'!$E$36:$R$36</c:f>
              <c:numCache>
                <c:formatCode>0.0</c:formatCode>
                <c:ptCount val="14"/>
                <c:pt idx="0">
                  <c:v>7.9575260174295579</c:v>
                </c:pt>
                <c:pt idx="1">
                  <c:v>-0.61914651828048761</c:v>
                </c:pt>
                <c:pt idx="2">
                  <c:v>6.2852411182524435</c:v>
                </c:pt>
                <c:pt idx="3">
                  <c:v>2.1665739194954341</c:v>
                </c:pt>
                <c:pt idx="4">
                  <c:v>1.0312647518065461</c:v>
                </c:pt>
                <c:pt idx="5">
                  <c:v>10.865111598317938</c:v>
                </c:pt>
                <c:pt idx="6">
                  <c:v>4.674836283472743</c:v>
                </c:pt>
                <c:pt idx="7">
                  <c:v>2.7750247770069336</c:v>
                </c:pt>
                <c:pt idx="8">
                  <c:v>5.3881388621022381</c:v>
                </c:pt>
                <c:pt idx="9">
                  <c:v>9.138739563079028</c:v>
                </c:pt>
                <c:pt idx="10">
                  <c:v>8.2844267449172122</c:v>
                </c:pt>
                <c:pt idx="11">
                  <c:v>4.4229373336559235</c:v>
                </c:pt>
                <c:pt idx="12">
                  <c:v>-1.1889677782264414</c:v>
                </c:pt>
                <c:pt idx="13">
                  <c:v>8.7290514464571913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F9-4BDD-990E-8D21DF791820}"/>
            </c:ext>
          </c:extLst>
        </c:ser>
        <c:ser>
          <c:idx val="1"/>
          <c:order val="1"/>
          <c:tx>
            <c:strRef>
              <c:f>'GRAF-1-Státní rozpočet-příjmy'!$A$37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strRef>
              <c:f>'GRAF-1-Státní rozpočet-příjmy'!$E$34:$R$35</c:f>
              <c:strCach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strCache>
            </c:strRef>
          </c:cat>
          <c:val>
            <c:numRef>
              <c:f>'GRAF-1-Státní rozpočet-příjmy'!$E$37:$R$37</c:f>
              <c:numCache>
                <c:formatCode>0.0</c:formatCode>
                <c:ptCount val="14"/>
                <c:pt idx="0">
                  <c:v>-4.2605253688377047</c:v>
                </c:pt>
                <c:pt idx="1">
                  <c:v>-1.4733518755167978</c:v>
                </c:pt>
                <c:pt idx="2">
                  <c:v>5.4932478828107207</c:v>
                </c:pt>
                <c:pt idx="3">
                  <c:v>6.0099804729876354</c:v>
                </c:pt>
                <c:pt idx="4">
                  <c:v>0.13644426251875075</c:v>
                </c:pt>
                <c:pt idx="5">
                  <c:v>-2.2891402098378535</c:v>
                </c:pt>
                <c:pt idx="6">
                  <c:v>-1.4712034583739921</c:v>
                </c:pt>
                <c:pt idx="7">
                  <c:v>6.5034321704055031</c:v>
                </c:pt>
                <c:pt idx="8">
                  <c:v>5.1362126245847008</c:v>
                </c:pt>
                <c:pt idx="9">
                  <c:v>2.9071604626177248</c:v>
                </c:pt>
                <c:pt idx="10">
                  <c:v>2.8495977399742003</c:v>
                </c:pt>
                <c:pt idx="11">
                  <c:v>-0.19705021794949573</c:v>
                </c:pt>
                <c:pt idx="12">
                  <c:v>-2.7816349769886841</c:v>
                </c:pt>
                <c:pt idx="13">
                  <c:v>-2.9872460318545677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F9-4BDD-990E-8D21DF791820}"/>
            </c:ext>
          </c:extLst>
        </c:ser>
        <c:ser>
          <c:idx val="3"/>
          <c:order val="2"/>
          <c:tx>
            <c:strRef>
              <c:f>'GRAF-1-Státní rozpočet-příjmy'!$A$38</c:f>
              <c:strCache>
                <c:ptCount val="1"/>
                <c:pt idx="0">
                  <c:v>Daně z příjmů fyzic. osob ze závislé čin.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strRef>
              <c:f>'GRAF-1-Státní rozpočet-příjmy'!$E$34:$R$35</c:f>
              <c:strCach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strCache>
            </c:strRef>
          </c:cat>
          <c:val>
            <c:numRef>
              <c:f>'GRAF-1-Státní rozpočet-příjmy'!$E$38:$R$38</c:f>
              <c:numCache>
                <c:formatCode>0.0</c:formatCode>
                <c:ptCount val="14"/>
                <c:pt idx="0">
                  <c:v>-8.8693725769443859</c:v>
                </c:pt>
                <c:pt idx="1">
                  <c:v>-3.5943740232679318</c:v>
                </c:pt>
                <c:pt idx="2">
                  <c:v>0.72046109510085898</c:v>
                </c:pt>
                <c:pt idx="3">
                  <c:v>6.7328326180257534</c:v>
                </c:pt>
                <c:pt idx="4">
                  <c:v>0.35184719778837348</c:v>
                </c:pt>
                <c:pt idx="5">
                  <c:v>5.2925953752399835</c:v>
                </c:pt>
                <c:pt idx="6">
                  <c:v>3.7580274320145861</c:v>
                </c:pt>
                <c:pt idx="7">
                  <c:v>4.011614579353548</c:v>
                </c:pt>
                <c:pt idx="8">
                  <c:v>9.7487511019688498</c:v>
                </c:pt>
                <c:pt idx="9">
                  <c:v>13.2873686324386</c:v>
                </c:pt>
                <c:pt idx="10">
                  <c:v>14.441030489246032</c:v>
                </c:pt>
                <c:pt idx="11">
                  <c:v>11.673895084675763</c:v>
                </c:pt>
                <c:pt idx="12">
                  <c:v>-5.2524854091793571</c:v>
                </c:pt>
                <c:pt idx="13">
                  <c:v>-32.432390722060816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5F9-4BDD-990E-8D21DF791820}"/>
            </c:ext>
          </c:extLst>
        </c:ser>
        <c:ser>
          <c:idx val="4"/>
          <c:order val="3"/>
          <c:tx>
            <c:strRef>
              <c:f>'GRAF-1-Státní rozpočet-příjmy'!$A$39</c:f>
              <c:strCache>
                <c:ptCount val="1"/>
                <c:pt idx="0">
                  <c:v>Daně z příjmů právnických osob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strRef>
              <c:f>'GRAF-1-Státní rozpočet-příjmy'!$E$34:$R$35</c:f>
              <c:strCach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strCache>
            </c:strRef>
          </c:cat>
          <c:val>
            <c:numRef>
              <c:f>'GRAF-1-Státní rozpočet-příjmy'!$E$39:$R$39</c:f>
              <c:numCache>
                <c:formatCode>0.0</c:formatCode>
                <c:ptCount val="14"/>
                <c:pt idx="0">
                  <c:v>12.113766201855157</c:v>
                </c:pt>
                <c:pt idx="1">
                  <c:v>-34.469344145526264</c:v>
                </c:pt>
                <c:pt idx="2">
                  <c:v>3.5618729096990052</c:v>
                </c:pt>
                <c:pt idx="3">
                  <c:v>-4.6423381236880346</c:v>
                </c:pt>
                <c:pt idx="4">
                  <c:v>8.3735500804335032</c:v>
                </c:pt>
                <c:pt idx="5">
                  <c:v>-5.6875</c:v>
                </c:pt>
                <c:pt idx="6">
                  <c:v>9.6752816434725162</c:v>
                </c:pt>
                <c:pt idx="7">
                  <c:v>11.412386706948624</c:v>
                </c:pt>
                <c:pt idx="8">
                  <c:v>11.667005626737165</c:v>
                </c:pt>
                <c:pt idx="9">
                  <c:v>3.6000485672656595</c:v>
                </c:pt>
                <c:pt idx="10">
                  <c:v>1.9689422795194673</c:v>
                </c:pt>
                <c:pt idx="11">
                  <c:v>5.1089017872536004</c:v>
                </c:pt>
                <c:pt idx="12">
                  <c:v>-12.218154305953917</c:v>
                </c:pt>
                <c:pt idx="13">
                  <c:v>24.923332261143941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5F9-4BDD-990E-8D21DF791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467712"/>
        <c:axId val="194473984"/>
      </c:lineChart>
      <c:catAx>
        <c:axId val="1944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4473984"/>
        <c:crosses val="autoZero"/>
        <c:auto val="1"/>
        <c:lblAlgn val="ctr"/>
        <c:lblOffset val="0"/>
        <c:noMultiLvlLbl val="0"/>
      </c:catAx>
      <c:valAx>
        <c:axId val="194473984"/>
        <c:scaling>
          <c:orientation val="minMax"/>
          <c:max val="30"/>
          <c:min val="-4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Vybrané druhy daňových příjmů (meziročně,</a:t>
                </a:r>
                <a:r>
                  <a:rPr lang="cs-CZ" sz="700" b="0" i="1" baseline="0"/>
                  <a:t> v %)</a:t>
                </a:r>
                <a:endParaRPr lang="cs-CZ" sz="700" b="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194467712"/>
        <c:crosses val="autoZero"/>
        <c:crossBetween val="between"/>
        <c:majorUnit val="5"/>
      </c:valAx>
      <c:valAx>
        <c:axId val="194475520"/>
        <c:scaling>
          <c:orientation val="minMax"/>
          <c:max val="300"/>
          <c:min val="-45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Saldo státního rozpočtu (v mld. korun)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94477056"/>
        <c:crosses val="max"/>
        <c:crossBetween val="between"/>
        <c:majorUnit val="50"/>
      </c:valAx>
      <c:catAx>
        <c:axId val="194477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4475520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0344127578841362E-2"/>
          <c:y val="0.88304677703270718"/>
          <c:w val="0.91625051787327827"/>
          <c:h val="0.1097981364459401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260484943049881E-2"/>
          <c:y val="1.7112323287741892E-2"/>
          <c:w val="0.82719862375806086"/>
          <c:h val="0.7675532098402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'G2-Stání rozpočet-výdaje'!$B$31</c:f>
              <c:strCache>
                <c:ptCount val="1"/>
                <c:pt idx="0">
                  <c:v>Běžné výdaje celkem (pravá osa)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rozpočet-výdaje'!$B$35:$B$48</c:f>
              <c:numCache>
                <c:formatCode>0.0</c:formatCode>
                <c:ptCount val="14"/>
                <c:pt idx="0">
                  <c:v>975.86</c:v>
                </c:pt>
                <c:pt idx="1">
                  <c:v>1032.78</c:v>
                </c:pt>
                <c:pt idx="2">
                  <c:v>1021.89</c:v>
                </c:pt>
                <c:pt idx="3">
                  <c:v>1031.83</c:v>
                </c:pt>
                <c:pt idx="4">
                  <c:v>1038.76</c:v>
                </c:pt>
                <c:pt idx="5">
                  <c:v>1070.8130000000001</c:v>
                </c:pt>
                <c:pt idx="6">
                  <c:v>1100.1020000000001</c:v>
                </c:pt>
                <c:pt idx="7">
                  <c:v>1121.6600000000001</c:v>
                </c:pt>
                <c:pt idx="8">
                  <c:v>1135.57</c:v>
                </c:pt>
                <c:pt idx="9">
                  <c:v>1198.05</c:v>
                </c:pt>
                <c:pt idx="10">
                  <c:v>1284.5</c:v>
                </c:pt>
                <c:pt idx="11">
                  <c:v>1412.5989294339895</c:v>
                </c:pt>
                <c:pt idx="12">
                  <c:v>1670.3085864663701</c:v>
                </c:pt>
                <c:pt idx="13">
                  <c:v>1729.5240345791999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1-40C0-A02F-461B1B8A2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72836608"/>
        <c:axId val="72835072"/>
      </c:barChart>
      <c:lineChart>
        <c:grouping val="standard"/>
        <c:varyColors val="0"/>
        <c:ser>
          <c:idx val="1"/>
          <c:order val="1"/>
          <c:tx>
            <c:strRef>
              <c:f>'G2-Stání rozpočet-výdaje'!$C$31</c:f>
              <c:strCache>
                <c:ptCount val="1"/>
                <c:pt idx="0">
                  <c:v>Platy státních zaměstnanců*</c:v>
                </c:pt>
              </c:strCache>
            </c:strRef>
          </c:tx>
          <c:spPr>
            <a:ln w="15875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rozpočet-výdaje'!$C$35:$C$48</c:f>
              <c:numCache>
                <c:formatCode>0.0</c:formatCode>
                <c:ptCount val="14"/>
                <c:pt idx="0">
                  <c:v>97.33</c:v>
                </c:pt>
                <c:pt idx="1">
                  <c:v>100.19</c:v>
                </c:pt>
                <c:pt idx="2">
                  <c:v>97.67</c:v>
                </c:pt>
                <c:pt idx="3">
                  <c:v>89.6</c:v>
                </c:pt>
                <c:pt idx="4">
                  <c:v>90.45</c:v>
                </c:pt>
                <c:pt idx="5">
                  <c:v>92.375</c:v>
                </c:pt>
                <c:pt idx="6">
                  <c:v>96.582999999999998</c:v>
                </c:pt>
                <c:pt idx="7">
                  <c:v>104.19</c:v>
                </c:pt>
                <c:pt idx="8">
                  <c:v>109.86</c:v>
                </c:pt>
                <c:pt idx="9">
                  <c:v>120.08</c:v>
                </c:pt>
                <c:pt idx="10">
                  <c:v>133.9</c:v>
                </c:pt>
                <c:pt idx="11">
                  <c:v>143.72754730148006</c:v>
                </c:pt>
                <c:pt idx="12">
                  <c:v>150.49796216553</c:v>
                </c:pt>
                <c:pt idx="13">
                  <c:v>152.51231683097001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891-40C0-A02F-461B1B8A2802}"/>
            </c:ext>
          </c:extLst>
        </c:ser>
        <c:ser>
          <c:idx val="6"/>
          <c:order val="2"/>
          <c:tx>
            <c:strRef>
              <c:f>'G2-Stání rozpočet-výdaje'!$D$31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rozpočet-výdaje'!$D$35:$D$48</c:f>
              <c:numCache>
                <c:formatCode>0.0</c:formatCode>
                <c:ptCount val="14"/>
                <c:pt idx="0">
                  <c:v>7.11</c:v>
                </c:pt>
                <c:pt idx="1">
                  <c:v>15.077999999999999</c:v>
                </c:pt>
                <c:pt idx="2">
                  <c:v>13.355</c:v>
                </c:pt>
                <c:pt idx="3">
                  <c:v>10.349</c:v>
                </c:pt>
                <c:pt idx="4">
                  <c:v>8.76</c:v>
                </c:pt>
                <c:pt idx="5">
                  <c:v>9.65</c:v>
                </c:pt>
                <c:pt idx="6">
                  <c:v>9.2620000000000005</c:v>
                </c:pt>
                <c:pt idx="7">
                  <c:v>8.2759999999999998</c:v>
                </c:pt>
                <c:pt idx="8">
                  <c:v>8.2200000000000006</c:v>
                </c:pt>
                <c:pt idx="9">
                  <c:v>7.82</c:v>
                </c:pt>
                <c:pt idx="10">
                  <c:v>7.51</c:v>
                </c:pt>
                <c:pt idx="11">
                  <c:v>8.1136251569399995</c:v>
                </c:pt>
                <c:pt idx="12">
                  <c:v>10.524849742540001</c:v>
                </c:pt>
                <c:pt idx="13">
                  <c:v>9.9748101241900002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891-40C0-A02F-461B1B8A2802}"/>
            </c:ext>
          </c:extLst>
        </c:ser>
        <c:ser>
          <c:idx val="7"/>
          <c:order val="3"/>
          <c:tx>
            <c:strRef>
              <c:f>'G2-Stání rozpočet-výdaje'!$E$31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rozpočet-výdaje'!$E$35:$E$48</c:f>
              <c:numCache>
                <c:formatCode>0.0</c:formatCode>
                <c:ptCount val="14"/>
                <c:pt idx="0">
                  <c:v>41.97</c:v>
                </c:pt>
                <c:pt idx="1">
                  <c:v>41.167999999999999</c:v>
                </c:pt>
                <c:pt idx="2">
                  <c:v>40.881</c:v>
                </c:pt>
                <c:pt idx="3">
                  <c:v>36.094000000000001</c:v>
                </c:pt>
                <c:pt idx="4">
                  <c:v>35.554000000000002</c:v>
                </c:pt>
                <c:pt idx="5">
                  <c:v>37.423000000000002</c:v>
                </c:pt>
                <c:pt idx="6">
                  <c:v>37.543999999999997</c:v>
                </c:pt>
                <c:pt idx="7">
                  <c:v>37.65</c:v>
                </c:pt>
                <c:pt idx="8">
                  <c:v>37.78</c:v>
                </c:pt>
                <c:pt idx="9">
                  <c:v>37.22</c:v>
                </c:pt>
                <c:pt idx="10">
                  <c:v>39.22</c:v>
                </c:pt>
                <c:pt idx="11">
                  <c:v>37.87859106618</c:v>
                </c:pt>
                <c:pt idx="12">
                  <c:v>51.685289497479999</c:v>
                </c:pt>
                <c:pt idx="13">
                  <c:v>48.818915255749999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891-40C0-A02F-461B1B8A2802}"/>
            </c:ext>
          </c:extLst>
        </c:ser>
        <c:ser>
          <c:idx val="2"/>
          <c:order val="4"/>
          <c:tx>
            <c:strRef>
              <c:f>'G2-Stání rozpočet-výdaje'!$F$31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B0F0"/>
              </a:solidFill>
            </a:ln>
          </c:spPr>
          <c:marker>
            <c:symbol val="none"/>
          </c:marker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rozpočet-výdaje'!$F$35:$F$48</c:f>
              <c:numCache>
                <c:formatCode>0.0</c:formatCode>
                <c:ptCount val="14"/>
                <c:pt idx="0">
                  <c:v>31.882000000000001</c:v>
                </c:pt>
                <c:pt idx="1">
                  <c:v>26.233000000000001</c:v>
                </c:pt>
                <c:pt idx="2">
                  <c:v>22.995999999999999</c:v>
                </c:pt>
                <c:pt idx="3">
                  <c:v>21.734000000000002</c:v>
                </c:pt>
                <c:pt idx="4">
                  <c:v>19.602</c:v>
                </c:pt>
                <c:pt idx="5">
                  <c:v>20.350000000000001</c:v>
                </c:pt>
                <c:pt idx="6">
                  <c:v>22.283000000000001</c:v>
                </c:pt>
                <c:pt idx="7">
                  <c:v>24.31</c:v>
                </c:pt>
                <c:pt idx="8">
                  <c:v>26.5</c:v>
                </c:pt>
                <c:pt idx="9">
                  <c:v>28.57</c:v>
                </c:pt>
                <c:pt idx="10">
                  <c:v>34.173699999999997</c:v>
                </c:pt>
                <c:pt idx="11">
                  <c:v>39.094712799999996</c:v>
                </c:pt>
                <c:pt idx="12">
                  <c:v>55.4</c:v>
                </c:pt>
                <c:pt idx="13">
                  <c:v>51.355800000000002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891-40C0-A02F-461B1B8A2802}"/>
            </c:ext>
          </c:extLst>
        </c:ser>
        <c:ser>
          <c:idx val="3"/>
          <c:order val="5"/>
          <c:tx>
            <c:strRef>
              <c:f>'G2-Stání rozpočet-výdaje'!$G$31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rozpočet-výdaje'!$G$35:$G$48</c:f>
              <c:numCache>
                <c:formatCode>0.0</c:formatCode>
                <c:ptCount val="14"/>
                <c:pt idx="0">
                  <c:v>23.542000000000002</c:v>
                </c:pt>
                <c:pt idx="1">
                  <c:v>24.256</c:v>
                </c:pt>
                <c:pt idx="2">
                  <c:v>25.292000000000002</c:v>
                </c:pt>
                <c:pt idx="3">
                  <c:v>24.966999999999999</c:v>
                </c:pt>
                <c:pt idx="4">
                  <c:v>27.695499999999999</c:v>
                </c:pt>
                <c:pt idx="5">
                  <c:v>31.978999999999999</c:v>
                </c:pt>
                <c:pt idx="6">
                  <c:v>33.622</c:v>
                </c:pt>
                <c:pt idx="7">
                  <c:v>33.621000000000002</c:v>
                </c:pt>
                <c:pt idx="8">
                  <c:v>34.295000000000002</c:v>
                </c:pt>
                <c:pt idx="9">
                  <c:v>34.439</c:v>
                </c:pt>
                <c:pt idx="10">
                  <c:v>33.990400000000001</c:v>
                </c:pt>
                <c:pt idx="11">
                  <c:v>36.831099999999999</c:v>
                </c:pt>
                <c:pt idx="12">
                  <c:v>40.510199999999998</c:v>
                </c:pt>
                <c:pt idx="13">
                  <c:v>40.537129800000002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891-40C0-A02F-461B1B8A2802}"/>
            </c:ext>
          </c:extLst>
        </c:ser>
        <c:ser>
          <c:idx val="4"/>
          <c:order val="6"/>
          <c:tx>
            <c:strRef>
              <c:f>'G2-Stání rozpočet-výdaje'!$H$31</c:f>
              <c:strCache>
                <c:ptCount val="1"/>
                <c:pt idx="0">
                  <c:v>Neinvestič. nákupy a souvis. výdaje****</c:v>
                </c:pt>
              </c:strCache>
            </c:strRef>
          </c:tx>
          <c:spPr>
            <a:ln w="15875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rozpočet-výdaje'!$H$35:$H$48</c:f>
              <c:numCache>
                <c:formatCode>0.0</c:formatCode>
                <c:ptCount val="14"/>
                <c:pt idx="0">
                  <c:v>71.581999999999994</c:v>
                </c:pt>
                <c:pt idx="1">
                  <c:v>69.73</c:v>
                </c:pt>
                <c:pt idx="2">
                  <c:v>65.116</c:v>
                </c:pt>
                <c:pt idx="3">
                  <c:v>57.98</c:v>
                </c:pt>
                <c:pt idx="4">
                  <c:v>53.174999999999997</c:v>
                </c:pt>
                <c:pt idx="5">
                  <c:v>54.192999999999998</c:v>
                </c:pt>
                <c:pt idx="6">
                  <c:v>54.751000000000005</c:v>
                </c:pt>
                <c:pt idx="7">
                  <c:v>62.36</c:v>
                </c:pt>
                <c:pt idx="8">
                  <c:v>57.560000000000009</c:v>
                </c:pt>
                <c:pt idx="9">
                  <c:v>62.76</c:v>
                </c:pt>
                <c:pt idx="10">
                  <c:v>68.41</c:v>
                </c:pt>
                <c:pt idx="11">
                  <c:v>66.430000000000007</c:v>
                </c:pt>
                <c:pt idx="12">
                  <c:v>77.884951001920001</c:v>
                </c:pt>
                <c:pt idx="13">
                  <c:v>79.132175103670008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891-40C0-A02F-461B1B8A2802}"/>
            </c:ext>
          </c:extLst>
        </c:ser>
        <c:ser>
          <c:idx val="5"/>
          <c:order val="7"/>
          <c:tx>
            <c:strRef>
              <c:f>'G2-Stání rozpočet-výdaje'!$I$31</c:f>
              <c:strCache>
                <c:ptCount val="1"/>
                <c:pt idx="0">
                  <c:v>Státní dluh (čisté výdaje)*****</c:v>
                </c:pt>
              </c:strCache>
            </c:strRef>
          </c:tx>
          <c:spPr>
            <a:ln w="1587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rozpočet-výdaje'!$I$35:$I$48</c:f>
              <c:numCache>
                <c:formatCode>0.0</c:formatCode>
                <c:ptCount val="14"/>
                <c:pt idx="0">
                  <c:v>37.64</c:v>
                </c:pt>
                <c:pt idx="1">
                  <c:v>44.46</c:v>
                </c:pt>
                <c:pt idx="2">
                  <c:v>35.840000000000003</c:v>
                </c:pt>
                <c:pt idx="3">
                  <c:v>45.120000000000005</c:v>
                </c:pt>
                <c:pt idx="4">
                  <c:v>41.400000000000006</c:v>
                </c:pt>
                <c:pt idx="5">
                  <c:v>50.89</c:v>
                </c:pt>
                <c:pt idx="6">
                  <c:v>48.49</c:v>
                </c:pt>
                <c:pt idx="7">
                  <c:v>45.28</c:v>
                </c:pt>
                <c:pt idx="8">
                  <c:v>40.65</c:v>
                </c:pt>
                <c:pt idx="9">
                  <c:v>39.769999999999996</c:v>
                </c:pt>
                <c:pt idx="10">
                  <c:v>40.729999999999997</c:v>
                </c:pt>
                <c:pt idx="11">
                  <c:v>39.550577993799998</c:v>
                </c:pt>
                <c:pt idx="12">
                  <c:v>40.145474011320005</c:v>
                </c:pt>
                <c:pt idx="13">
                  <c:v>42.233847726199997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891-40C0-A02F-461B1B8A2802}"/>
            </c:ext>
          </c:extLst>
        </c:ser>
        <c:ser>
          <c:idx val="8"/>
          <c:order val="8"/>
          <c:tx>
            <c:strRef>
              <c:f>'G2-Stání rozpočet-výdaje'!$J$31</c:f>
              <c:strCache>
                <c:ptCount val="1"/>
                <c:pt idx="0">
                  <c:v>Neinvestič. transfery podnikat. subjektům</c:v>
                </c:pt>
              </c:strCache>
            </c:strRef>
          </c:tx>
          <c:spPr>
            <a:ln w="15875">
              <a:solidFill>
                <a:schemeClr val="bg2">
                  <a:lumMod val="2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rozpočet-výdaje'!$J$35:$J$48</c:f>
              <c:numCache>
                <c:formatCode>0.00</c:formatCode>
                <c:ptCount val="14"/>
                <c:pt idx="0">
                  <c:v>26.108000000000001</c:v>
                </c:pt>
                <c:pt idx="1">
                  <c:v>28.491</c:v>
                </c:pt>
                <c:pt idx="2">
                  <c:v>28.100999999999999</c:v>
                </c:pt>
                <c:pt idx="3">
                  <c:v>33.262999999999998</c:v>
                </c:pt>
                <c:pt idx="4">
                  <c:v>35.61</c:v>
                </c:pt>
                <c:pt idx="5">
                  <c:v>35.03</c:v>
                </c:pt>
                <c:pt idx="6">
                  <c:v>41.23</c:v>
                </c:pt>
                <c:pt idx="7">
                  <c:v>39.14</c:v>
                </c:pt>
                <c:pt idx="8">
                  <c:v>44.23</c:v>
                </c:pt>
                <c:pt idx="9">
                  <c:v>48.3</c:v>
                </c:pt>
                <c:pt idx="10">
                  <c:v>57.32</c:v>
                </c:pt>
                <c:pt idx="11">
                  <c:v>57.932912725290002</c:v>
                </c:pt>
                <c:pt idx="12">
                  <c:v>106.75302514385</c:v>
                </c:pt>
                <c:pt idx="13">
                  <c:v>125.50813247993001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891-40C0-A02F-461B1B8A2802}"/>
            </c:ext>
          </c:extLst>
        </c:ser>
        <c:ser>
          <c:idx val="9"/>
          <c:order val="9"/>
          <c:tx>
            <c:strRef>
              <c:f>'G2-Stání rozpočet-výdaje'!$K$31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'G2-Stání rozpočet-výdaje'!$A$35:$A$48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'G2-Stání rozpočet-výdaje'!$K$35:$K$48</c:f>
              <c:numCache>
                <c:formatCode>0.0</c:formatCode>
                <c:ptCount val="14"/>
                <c:pt idx="0">
                  <c:v>108.08</c:v>
                </c:pt>
                <c:pt idx="1">
                  <c:v>134.22999999999999</c:v>
                </c:pt>
                <c:pt idx="2">
                  <c:v>134.91</c:v>
                </c:pt>
                <c:pt idx="3">
                  <c:v>123.69</c:v>
                </c:pt>
                <c:pt idx="4">
                  <c:v>113.62</c:v>
                </c:pt>
                <c:pt idx="5">
                  <c:v>102.315</c:v>
                </c:pt>
                <c:pt idx="6">
                  <c:v>111.50700000000001</c:v>
                </c:pt>
                <c:pt idx="7">
                  <c:v>175.66</c:v>
                </c:pt>
                <c:pt idx="8">
                  <c:v>84.27</c:v>
                </c:pt>
                <c:pt idx="9">
                  <c:v>81.75</c:v>
                </c:pt>
                <c:pt idx="10">
                  <c:v>116.46</c:v>
                </c:pt>
                <c:pt idx="11">
                  <c:v>139.13928546782003</c:v>
                </c:pt>
                <c:pt idx="12">
                  <c:v>172.62079654905</c:v>
                </c:pt>
                <c:pt idx="13">
                  <c:v>177.40106130625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891-40C0-A02F-461B1B8A2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27648"/>
        <c:axId val="72829184"/>
      </c:lineChart>
      <c:catAx>
        <c:axId val="72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72829184"/>
        <c:crosses val="autoZero"/>
        <c:auto val="1"/>
        <c:lblAlgn val="ctr"/>
        <c:lblOffset val="20"/>
        <c:noMultiLvlLbl val="0"/>
      </c:catAx>
      <c:valAx>
        <c:axId val="72829184"/>
        <c:scaling>
          <c:orientation val="minMax"/>
          <c:max val="180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Ostatní výdaje (v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 mld</a:t>
                </a:r>
                <a:r>
                  <a:rPr lang="cs-CZ" sz="700" b="0" i="1"/>
                  <a:t>. korun)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27648"/>
        <c:crosses val="autoZero"/>
        <c:crossBetween val="between"/>
        <c:majorUnit val="20"/>
      </c:valAx>
      <c:valAx>
        <c:axId val="72835072"/>
        <c:scaling>
          <c:orientation val="minMax"/>
          <c:max val="18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Běžné výdaje celkem (v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 mld</a:t>
                </a:r>
                <a:r>
                  <a:rPr lang="cs-CZ" sz="700" b="0" i="1"/>
                  <a:t>. korun)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36608"/>
        <c:crosses val="max"/>
        <c:crossBetween val="between"/>
        <c:majorUnit val="200"/>
      </c:valAx>
      <c:catAx>
        <c:axId val="7283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83507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3271238604906565E-2"/>
          <c:y val="0.83696214669034863"/>
          <c:w val="0.96476067347509487"/>
          <c:h val="0.15176133786848073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E42F-5F20-4233-8902-0292D4C1A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BAEAC-A395-4E72-992C-294B180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5</Pages>
  <Words>2385</Words>
  <Characters>14078</Characters>
  <Application>Microsoft Office Word</Application>
  <DocSecurity>0</DocSecurity>
  <Lines>117</Lines>
  <Paragraphs>32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16431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3</cp:revision>
  <cp:lastPrinted>2019-04-08T10:52:00Z</cp:lastPrinted>
  <dcterms:created xsi:type="dcterms:W3CDTF">2022-03-21T10:52:00Z</dcterms:created>
  <dcterms:modified xsi:type="dcterms:W3CDTF">2022-03-21T11:05:00Z</dcterms:modified>
</cp:coreProperties>
</file>