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B718" w14:textId="27F98F79" w:rsidR="009B553D" w:rsidRPr="009110F7" w:rsidRDefault="009B553D" w:rsidP="009B553D">
      <w:pPr>
        <w:pStyle w:val="Nadpis11"/>
      </w:pPr>
      <w:bookmarkStart w:id="0" w:name="_Toc90395913"/>
      <w:bookmarkStart w:id="1" w:name="_Toc50712130"/>
      <w:bookmarkStart w:id="2" w:name="_Toc58605377"/>
      <w:bookmarkStart w:id="3" w:name="_Toc26865023"/>
      <w:bookmarkStart w:id="4" w:name="_Toc74246554"/>
      <w:bookmarkStart w:id="5" w:name="_Toc66719933"/>
      <w:bookmarkStart w:id="6" w:name="_Toc50712132"/>
      <w:bookmarkStart w:id="7" w:name="_Toc98245444"/>
      <w:r w:rsidRPr="009110F7">
        <w:t>5</w:t>
      </w:r>
      <w:r>
        <w:t>. </w:t>
      </w:r>
      <w:r w:rsidRPr="009110F7">
        <w:t>Ceny</w:t>
      </w:r>
      <w:bookmarkEnd w:id="0"/>
      <w:bookmarkEnd w:id="7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9B553D" w:rsidRPr="009110F7" w14:paraId="5E9509D1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CF3200F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Celková cenová hladina v ekonomice byla meziročně výrazně vyšší.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621C188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80A4F68" w14:textId="77777777" w:rsidR="009B553D" w:rsidRPr="00793D78" w:rsidRDefault="009B553D" w:rsidP="00913237">
            <w:pPr>
              <w:rPr>
                <w:szCs w:val="20"/>
              </w:rPr>
            </w:pPr>
            <w:r>
              <w:rPr>
                <w:szCs w:val="20"/>
              </w:rPr>
              <w:t>Celkový růst cenové hladiny v domácí ekonomice v roce 2021 podle deflátoru HDP dosáhl 4,1 %. Rostla cenová hladina spotřeby (3,4 %) i kapitálových statků (5,6 %). Směnné relace zahraničního obchodu v loňském roce dosáhly 100,1 %. Meziroční růst cenové hladiny ve 4. čtvrtletí 2021 celkem dosáhl 3,3 %. Z toho spotřební statky zdražily o 4,0 %, zejména pod vlivem posilující dynamiky cen spotřeby domácností (4,7 %). Ceny kapitálových statků se zvýšily o 6,0 %. Směnné relace byly záporné (98,0 %), především vlivem obchodu se zbožím (97,7 %), kde se projevil prudký růst cen dovozu. Ve srovnání se 3. čtvrtletím 2021 se cenová hladina snížila o 0,6 %. Ceny spotřeby sice mezičtvrtletně rostly o 1,0 %, ale kapitálové statky zlevnily o 0,1 % a směnné relace byly záporné (98,2 %).</w:t>
            </w:r>
          </w:p>
        </w:tc>
      </w:tr>
      <w:tr w:rsidR="009B553D" w:rsidRPr="009110F7" w14:paraId="0F686B8E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6A68A3E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Spotřebitelské ceny se loni zvýšily nejsilněji od roku 2008.</w:t>
            </w:r>
          </w:p>
          <w:p w14:paraId="0E1234E8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  <w:p w14:paraId="6B846D96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  <w:p w14:paraId="526D145E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  <w:p w14:paraId="3DB3442C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  <w:p w14:paraId="214B26A6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  <w:p w14:paraId="5B167FE6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  <w:p w14:paraId="09359358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  <w:p w14:paraId="676242F3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v průběhu roku zrychloval.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FAF5605" w14:textId="77777777" w:rsidR="009B553D" w:rsidRPr="00793D78" w:rsidRDefault="009B553D" w:rsidP="00913237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483CD51" w14:textId="12793540" w:rsidR="009B553D" w:rsidRPr="000316FC" w:rsidRDefault="009B553D" w:rsidP="00FF0989">
            <w:r>
              <w:t>Index spotřebitelských cen se celkově oproti roku 2020 zvýšil o 3,8 %. To byl nejvyšší přírůstek od roku 2008. Nejvíce k tomuto nárůstu přispěl vývoj cen dopravy, alkoholických nápojů a tabáku a bydlení, vody, energií a paliv (dále bydlení a energie). Vyšší ale byly ceny v téměř všech oddílech spotřebního koše (výjimkou byly ceny pošt a telekomunikací). Zejména ve 2. pololetí se do cenového růstu výrazněji než obvykle promítal vývoj cen odívání a obuvi nebo bytového vybavení a zařízení, což byly položky ovlivněné protiepidemickými opatřeními v maloobchodě a zároveň narušením mezinárodních dodavatelských řetězců. Zrychloval i růst cen některých služeb. Meziroční růst spotřebitelských cen v průběhu celého roku 2021 výrazně zrychloval a ve 4. čtvrtletí dosáhl 6,1 % (nejvíce od 3. čtvrtletí 2008). K tomu nejvíce přispěl přírůstek cen dopravy, bydlení a energií a alkoholických nápojů a tabáku. Bydlení a doprava byly také hlavními faktory prudkého zrychlení celkové meziroční dynamiky. Velmi výrazný ale byl i příspěvek cen odívání a obuvi, rekreac</w:t>
            </w:r>
            <w:r w:rsidR="00FF0989">
              <w:t>e</w:t>
            </w:r>
            <w:r>
              <w:t xml:space="preserve"> a kultury, potravin a nealkoholických nápojů a stravování a ubytování. Oproti 3. čtvrtletí se spotřebitelské ceny zvýšily o 1,6 %.</w:t>
            </w:r>
          </w:p>
        </w:tc>
      </w:tr>
      <w:tr w:rsidR="009B553D" w:rsidRPr="00D75AC1" w14:paraId="52D9EA72" w14:textId="77777777" w:rsidTr="00913237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33F2D2DF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59075E7" w14:textId="77777777" w:rsidR="009B553D" w:rsidRPr="00793D78" w:rsidRDefault="009B553D" w:rsidP="00913237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207DDF0" w14:textId="0BB082E3" w:rsidR="009B553D" w:rsidRPr="00D75AC1" w:rsidRDefault="009B553D" w:rsidP="00913237">
            <w:pPr>
              <w:spacing w:after="0"/>
              <w:rPr>
                <w:b/>
                <w:szCs w:val="20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A02E8B">
              <w:rPr>
                <w:rFonts w:cs="Arial"/>
                <w:b/>
                <w:bCs/>
                <w:color w:val="000000"/>
                <w:sz w:val="18"/>
                <w:szCs w:val="18"/>
              </w:rPr>
              <w:t>č. 11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9B553D" w:rsidRPr="009110F7" w14:paraId="0046282E" w14:textId="77777777" w:rsidTr="0091323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0D040257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6DDA7ECC" w14:textId="77777777" w:rsidR="009B553D" w:rsidRPr="00793D78" w:rsidRDefault="009B553D" w:rsidP="00913237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723F44FA" w14:textId="77777777" w:rsidR="009B553D" w:rsidRPr="00793D78" w:rsidRDefault="009B553D" w:rsidP="0091323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83DE0AB" wp14:editId="38E0E1C1">
                  <wp:extent cx="4734425" cy="3375400"/>
                  <wp:effectExtent l="0" t="0" r="0" b="0"/>
                  <wp:docPr id="9" name="Graf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B553D" w:rsidRPr="009110F7" w14:paraId="124117F3" w14:textId="77777777" w:rsidTr="00913237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1E801BD8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33B8EA9D" w14:textId="77777777" w:rsidR="009B553D" w:rsidRPr="00793D78" w:rsidRDefault="009B553D" w:rsidP="00913237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80D534A" w14:textId="77777777" w:rsidR="009B553D" w:rsidRPr="00793D78" w:rsidRDefault="009B553D" w:rsidP="00913237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9B553D" w:rsidRPr="009110F7" w14:paraId="7786A1D6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640857D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Za výrazným růstem cen bydlení a energií stálo především imputované nájemné.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44DFFCC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F5B2AD2" w14:textId="0F0E0933" w:rsidR="009B553D" w:rsidRDefault="009B553D" w:rsidP="00913237">
            <w:r>
              <w:t>Ceny bydlení a energií se v roce 2021 zvýšily o 2,8 %. Nejvýrazněji vzrostly položky imputovaného nájemného</w:t>
            </w:r>
            <w:r>
              <w:rPr>
                <w:rStyle w:val="Znakapoznpodarou"/>
              </w:rPr>
              <w:footnoteReference w:id="1"/>
            </w:r>
            <w:r>
              <w:t xml:space="preserve"> (7,0 %), cen běžné údržby a drobných oprav (5,6 %) a ostatních služeb souvisejících s bydlením (4,0 %). Nájemné z bytu se loni zvýšilo o 2,4 %. Naproti tomu ceny elektřiny, plynu a paliv loni klesly o 3,2 %. K tomu částečně přispělo i dočasné prominutí DPH u energií, ke kterému došlo v závěru roku v reakci na prudké zvýšení cen elektřiny na světových trzích. V samotném 4. čtvrtletí se ceny bydlení a energií meziročně zvýšily o 5,6 % a jejich růst prudce zrychlil ve srovnání s předchozím kvartálem. Důvodem byl zejména prudký nárůst imputovaného nájemného (13,9 %). Ceny běžné údržby a oprav byly vyšší o 9,6 %, ostatních služeb</w:t>
            </w:r>
            <w:r w:rsidR="00FF0989">
              <w:t xml:space="preserve"> souvisejících s bydlením</w:t>
            </w:r>
            <w:r>
              <w:t xml:space="preserve"> o 4,7 % a nájemného z bytu o 3,7 %. Ceny elektřiny, plynu a paliv se ve 4. čtvrtletí meziročně snížily o 4,9 % a jejich pokles byl prohlouben výše zmíněným prominutím DPH.</w:t>
            </w:r>
          </w:p>
        </w:tc>
      </w:tr>
      <w:tr w:rsidR="009B553D" w:rsidRPr="009110F7" w14:paraId="32ACFA0D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2FB8FFF" w14:textId="77777777" w:rsidR="009B553D" w:rsidRPr="00EB06EF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Silně rostly ceny nákupů dopravních prostředků i náklady na jejich provoz.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7CFE9DB" w14:textId="77777777" w:rsidR="009B553D" w:rsidRPr="00EB06EF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E4B1D39" w14:textId="484E5663" w:rsidR="009B553D" w:rsidRDefault="009B553D" w:rsidP="00FF0989">
            <w:r>
              <w:t xml:space="preserve">Ceny dopravy se v roce 2021 celkově zvýšily o 8,4 %. Nejvíce k tomu přispěl silný nárůst nákladů na provoz osobních dopravních prostředků (11,2 %), který odrážel prudké zvýšení cen ropy. Velmi výrazně ale rostly také ceny automobilů, motocyklů a jízdních kol (7,5 %). Jejich meziroční přírůstky zrychlily už v roce 2020, kdy došlo k dočasnému pozastavení zahraničního obchodu a průmyslu a specificky v českém případě také k oslabení měnového kurzu, což zdražilo dovoz. Loni se dál prohlubovaly problémy s nedostatkem součástek v automobilovém průmyslu a v logistice, což dopravní prostředky dál zdražovalo. Ceny dopravních služeb loni vzrostly o 2,4 %. Také meziroční růst cen dopravy v závěru roku prudce zrychlil a ve 4. čtvrtletí dosáhl 13,1 %. Přitom náklady na provoz dopravních prostředků byly </w:t>
            </w:r>
            <w:r w:rsidR="00FF0989">
              <w:t xml:space="preserve">ve 4. čtvrtletí </w:t>
            </w:r>
            <w:r>
              <w:t xml:space="preserve">vyšší o 20,9 % a ceny </w:t>
            </w:r>
            <w:r w:rsidR="00FF0989">
              <w:t>automobilů, motocyklů a jízdních kol</w:t>
            </w:r>
            <w:r>
              <w:t xml:space="preserve"> vzrostly o 8,2 %. Ceny dopravních služeb se zvýšily o 5,2 %.</w:t>
            </w:r>
          </w:p>
        </w:tc>
      </w:tr>
      <w:tr w:rsidR="009B553D" w:rsidRPr="009110F7" w14:paraId="2B71579F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10193EC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Velmi silně nadále rostly ceny tabáku.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4949E5A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48B9F76" w14:textId="77777777" w:rsidR="009B553D" w:rsidRDefault="009B553D" w:rsidP="00913237">
            <w:r>
              <w:t>Ceny alkoholických nápojů a tabáku byly loni vyšší o 8,4 %. Většina z tohoto nárůstu připadla na ceny tabáku (13,1 %), zatímco ceny alkoholických nápojů se zvyšovaly mírněji (2,3 %). V samotném 4. čtvrtletí ceny alkoholických nápojů a tabáku meziročně vzrostly o 7,7 %. Z toho ceny tabáku byly vyšší o 11,9 % a alkoholu o 1,9 %. Ceny potravin a nealkoholických nápojů loni vzrostly o 0,8 % a přispěly k tomu zejména ceny olejů a tuků (12,3 %), pekárenských výrobků a obilovin (1,9 %) a mléka, sýrů a vajec (1,1 %). Naopak ceny masa byly nižší o 1,8 %. V závěru roku ale růst cen potravin a nealkoholických nápojů sílil a ve 4. čtvrtletí dosáhl 2,3 %. Meziroční navýšení cen pekárenských výrobků a obilovin zrychlilo na 4,4 %, mléka, sýrů a vajec na 3,9 % a olejů a tuků na 21,2 %. Pokračoval pokles cen masa, které byly ve 4. čtvrtletí nižší o 1,8 %.</w:t>
            </w:r>
          </w:p>
        </w:tc>
      </w:tr>
      <w:tr w:rsidR="009B553D" w:rsidRPr="009110F7" w14:paraId="1AE7548C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63B3C04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Rostly ceny ve většině oddílů spotřebního koše.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97A2359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DAAC227" w14:textId="4F2D83BE" w:rsidR="009B553D" w:rsidRDefault="009B553D" w:rsidP="00FF0989">
            <w:r>
              <w:t>Ve většině ostatních oddílů spotřebního koše loni došlo k posílení cenového růstu a ve velké míře se to týkalo zboží, kterého se dotklo narušení světové dopravy, případně položek, na které dopadla protiepidemická opatření v maloobchodě a službách. Ceny odívání a obuvi tak vzrostly o 6,5 %, bytové vybavení a zařízení domácnosti zdražilo o 3,5 %, ceny rekreac</w:t>
            </w:r>
            <w:r w:rsidR="00FF0989">
              <w:t>e</w:t>
            </w:r>
            <w:r>
              <w:t xml:space="preserve"> a kultury byly vyšší o 3,0 %, stravování a ubytování o 4,3 % a ostatního zboží a služeb o 3,5 %. Přitom ke zrychlení cenového růstu u těchto položek docházelo zejména ve druhé polovině roku. Ve 4. čtvrtletí tak meziroční přírůstek cen odívání a obuvi dosáhl 12,6 %, bytového vybavení a zařízení domácnosti 6,1 %, rekreac</w:t>
            </w:r>
            <w:r w:rsidR="00FF0989">
              <w:t>e</w:t>
            </w:r>
            <w:r>
              <w:t xml:space="preserve"> a kultury 5,3 %, stravování a ubytování 6,8 % a ostatního zboží a služeb 4,5 %. Pouze ceny pošt a telekomunikací se loni snížily o 0,6 % a klesaly v průběhu celého roku – v samotném 4. čtvrtletí byly nižší o 0,5 %.</w:t>
            </w:r>
          </w:p>
        </w:tc>
      </w:tr>
      <w:tr w:rsidR="009B553D" w:rsidRPr="009110F7" w14:paraId="4CEB2CF5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7A3346F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Meziroční růst spotřebitelských cen v EU v průběhu loňského roku posiloval.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B1F5B4C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CFE2556" w14:textId="77777777" w:rsidR="009B553D" w:rsidRDefault="009B553D" w:rsidP="00913237">
            <w:r>
              <w:t>Harmonizovaný index spotřebitelských cen (HICP)</w:t>
            </w:r>
            <w:r>
              <w:rPr>
                <w:rStyle w:val="Znakapoznpodarou"/>
              </w:rPr>
              <w:footnoteReference w:id="2"/>
            </w:r>
            <w:r>
              <w:t xml:space="preserve"> v EU se v roce 2021 zvýšil o 2,9 %, nejvíce od roku 2008. Poměrně výrazný nárůst byl ovlivněn především posílením cen dopravy (6,8 %) a bydlení a energií (4,8 %). Nejvíce se zvyšoval HICP v Polsku (5,2 %), Maďarsku (5,2 %) a Litvě (4,6 %). V seznamu zemí s nadprůměrným růstem HICP převažují novější členové EU včetně Česka (3,3 %). Nejmírněji se loni navyšovaly ceny v Řecku (0,6 %), na Maltě (0,7 %) a v Portugalsku (0,9 %). Meziroční růst HICP v EU v průběhu celého roku 2021 posiloval a ve 4. čtvrtletí dosáhl 4,9 %. Zrychlení ovlivnily především prudce rostoucí ceny dopravy a bydlení a energií. Nejvíce se zvyšovaly spotřebitelské ceny v Litvě (9,4 %), Estonsku (9,1 %) a Polsku (7,3 %). Nejmírnější meziroční přírůstky ve 4. čtvrtletí vykázala Malta (2,1 %), Portugalsko (2,4 %) a Finsko (3,1 %).</w:t>
            </w:r>
          </w:p>
        </w:tc>
      </w:tr>
      <w:tr w:rsidR="009B553D" w:rsidRPr="009110F7" w14:paraId="6D98820C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5288F3D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bytů rostly mimořádně vysokými tempy.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00C0801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89BD71E" w14:textId="77777777" w:rsidR="009B553D" w:rsidRDefault="009B553D" w:rsidP="00913237">
            <w:r>
              <w:t>Napětí na trhu nemovitostí se nadále prohlubovalo a s ním také rapidně zrychloval růst cen nemovitostí v celém Česku. Převis poptávky nad nabídkou posiloval přebytek volné hotovosti v domácnostech i tlak na zajištění výhodnějšího financování v očekávání dalšího nárůstu úrokových sazeb. Meziroční růst nabídkových cen bytů v ČR ve 4. čtvrtletí dosáhl 12,4 %, což bylo nejvíce od 1. čtvrtletí 2018. Růst nabídkových cen bytů mimo Prahu posílil na 16,5 %, což bylo nejvíce od konce roku 2008. Nabídkové ceny bytů v Praze meziročně vzrostly o 9,1 %. Realizované ceny starších bytů v ČR byly ve 4. čtvrtletí meziročně vyšší o 25,2 %. Z toho byty mimo Prahu byly dražší o 26,7 %, zatímco ceny bytů v Praze se zvedly o pětinu. Realizované ceny nových bytů v Praze se ve 4. čtvrtletí meziročně zvýšily o 26,5 %.</w:t>
            </w:r>
          </w:p>
        </w:tc>
      </w:tr>
      <w:tr w:rsidR="009B553D" w:rsidRPr="009110F7" w14:paraId="5EC2F05E" w14:textId="77777777" w:rsidTr="00913237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0EC1F2A2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4185F676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B4CDCE4" w14:textId="3B2F9E2B" w:rsidR="009B553D" w:rsidRDefault="001C3794" w:rsidP="00A02E8B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</w:t>
            </w:r>
            <w:r w:rsidR="00A02E8B">
              <w:rPr>
                <w:b/>
                <w:sz w:val="18"/>
                <w:szCs w:val="18"/>
                <w:lang w:eastAsia="en-US"/>
              </w:rPr>
              <w:t>2</w:t>
            </w:r>
            <w:r w:rsidR="009B553D"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="009B553D"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9B553D" w:rsidRPr="009110F7" w14:paraId="44AF19B3" w14:textId="77777777" w:rsidTr="0091323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778C224F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560D1A92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4FC14634" w14:textId="77777777" w:rsidR="009B553D" w:rsidRDefault="009B553D" w:rsidP="0091323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6417697" wp14:editId="386F51A7">
                  <wp:extent cx="4737600" cy="3553200"/>
                  <wp:effectExtent l="0" t="0" r="6350" b="0"/>
                  <wp:docPr id="21" name="Graf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B553D" w:rsidRPr="009110F7" w14:paraId="491A13AF" w14:textId="77777777" w:rsidTr="00913237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0C79B595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3437C888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B14D41C" w14:textId="77777777" w:rsidR="009B553D" w:rsidRDefault="009B553D" w:rsidP="00913237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9B553D" w:rsidRPr="009110F7" w14:paraId="59B5CF3A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871EE6E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loni rostly rekordním tempem.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5D49AE0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8463D99" w14:textId="77777777" w:rsidR="009B553D" w:rsidRDefault="009B553D" w:rsidP="00913237">
            <w:r>
              <w:t>Ceny průmyslových výrobců se v roce 2021 zvýšily o 7,1 %, což bylo nejvíce od roku 1995. Většinu z tohoto nárůstu ovlivnily ceny výrobků a služeb zpracovatelského průmyslu, které vzrostly o 8,4 %. Přispívalo k tomu zejména navýšení cen obecných kovů a kovodělných výrobků (17,2 %) a koksu a rafinovaných ropných produktů</w:t>
            </w:r>
            <w:r>
              <w:rPr>
                <w:rStyle w:val="Znakapoznpodarou"/>
              </w:rPr>
              <w:footnoteReference w:id="3"/>
            </w:r>
            <w:r>
              <w:t xml:space="preserve">. S vývojem cen ropy byl spojen i silný přírůstek cen chemických látek a výrobků </w:t>
            </w:r>
            <w:r>
              <w:lastRenderedPageBreak/>
              <w:t xml:space="preserve">(31,8 %) a výrazné zdražení se dotklo i dřeva, papíru a tisku (13,4 %). Solidně rostly i ceny pryžových a plastových výrobků (4,6 %), elektrických zařízení (4,6 %), textilu, oděvů a usní (4,4 %), nábytku a ostatních výrobků zpracovatelského průmyslu (3,6 %) a strojů a zařízení (3,1 %). Mírně rostly ceny základních farmaceutických výrobků (2,0 %), potravinářských výrobků, nápojů a tabáku (0,8 %) a počítačů, elektronických a optických přístrojů (0,4 %). Nižší byly loni pouze ceny dopravních prostředků </w:t>
            </w:r>
            <w:r>
              <w:br/>
              <w:t>(–0,9 %). Ceny elektřiny, plynu, páry a klimatizovaného vzduchu loni celkově vzrostly o 1,7 %, těžby a dobývání o 4,3 % a zásobování vodou a souvisejících služeb o 6,2 %.</w:t>
            </w:r>
          </w:p>
        </w:tc>
      </w:tr>
      <w:tr w:rsidR="009B553D" w:rsidRPr="009110F7" w14:paraId="7CC45A67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EDBCA33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Meziroční přírůstek cen průmyslových výrobců v průběhu roku 2021 sílil.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0E8D01B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E8483E2" w14:textId="77777777" w:rsidR="009B553D" w:rsidRDefault="009B553D" w:rsidP="00913237">
            <w:pPr>
              <w:rPr>
                <w:rStyle w:val="Znakapoznpodarou"/>
              </w:rPr>
            </w:pPr>
            <w:r>
              <w:t>Podobně jako u spotřebitelských cen i meziroční růst cen průmyslových výrobců v průběhu roku prudce zrychloval a ve 4. čtvrtletí dosáhl 12,8 %. V závěru roku zrychlil cenový růst ve většině sekcí. Výrobky a služby zpracovatelského průmyslu byly meziročně dražší o 14,5 % a posílení dynamiky bylo podpořeno především vývojem u různých surovin. Mimořádně vysoký tak byl přírůstek cen koksu a rafinovaných ropných výrobků, chemických látek a výrobků (51,4 %), obecných kovů a kovodělných výrobků (26,5 %) a dřeva, papíru a tisku (25,1 %). S výjimkou dopravních prostředků (pokles o 1,4 %) ale narůstaly ceny ve všech oddílech průmyslové produkce a u většiny se růst zrychloval, protože se jich do nějaké míry dotýkaly problémy s narušením globální dopravy a dodavatelských řetězců. Meziroční přírůstek cen elektřiny, plynu, páry a klimatizovaného vzduchu ve 4. čtvrtletí prudce zrychlil na 5,5 %. Podobně posílil růst cen těžby a dobývání na 13,8 %. Ceny zásobování vodou a souvisejících služeb byly vyšší o 5,9 %.</w:t>
            </w:r>
          </w:p>
        </w:tc>
      </w:tr>
      <w:tr w:rsidR="009B553D" w:rsidRPr="009110F7" w14:paraId="4B62D9CC" w14:textId="77777777" w:rsidTr="00913237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13CD1170" w14:textId="77777777" w:rsidR="009B553D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3D22BE72" w14:textId="77777777" w:rsidR="009B553D" w:rsidRPr="00793D78" w:rsidRDefault="009B553D" w:rsidP="00913237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8F0DD33" w14:textId="13D7ED2A" w:rsidR="009B553D" w:rsidRPr="00D75AC1" w:rsidRDefault="001C3794" w:rsidP="00A02E8B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</w:t>
            </w:r>
            <w:r w:rsidR="00A02E8B">
              <w:rPr>
                <w:b/>
                <w:sz w:val="18"/>
                <w:szCs w:val="18"/>
              </w:rPr>
              <w:t>3</w:t>
            </w:r>
            <w:r w:rsidR="009B553D" w:rsidRPr="00793D78">
              <w:rPr>
                <w:b/>
                <w:sz w:val="18"/>
                <w:szCs w:val="18"/>
              </w:rPr>
              <w:t xml:space="preserve">  </w:t>
            </w:r>
            <w:r w:rsidR="009B553D"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="009B553D"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9B553D" w:rsidRPr="009110F7" w14:paraId="36CB296B" w14:textId="77777777" w:rsidTr="0091323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2A4A5315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00621CA8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4EF20C35" w14:textId="77777777" w:rsidR="009B553D" w:rsidRPr="00793D78" w:rsidRDefault="009B553D" w:rsidP="0091323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19C427F" wp14:editId="02AFB8EA">
                  <wp:extent cx="4737600" cy="3378575"/>
                  <wp:effectExtent l="0" t="0" r="6350" b="0"/>
                  <wp:docPr id="29" name="Graf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B553D" w:rsidRPr="009110F7" w14:paraId="0EA01CAA" w14:textId="77777777" w:rsidTr="00913237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2B00BFC5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56C9B07F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284E05D" w14:textId="77777777" w:rsidR="009B553D" w:rsidRPr="00793D78" w:rsidRDefault="009B553D" w:rsidP="00913237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9B553D" w:rsidRPr="009110F7" w14:paraId="0B241F7D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F78672C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v EU rekordně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91ACC6A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420D8A5" w14:textId="1AD9D391" w:rsidR="009B553D" w:rsidRDefault="009B553D" w:rsidP="006D47D9">
            <w:r>
              <w:t>Ceny průmyslových výrobců v EU v roce 2021 vzrostly celkově o 12,</w:t>
            </w:r>
            <w:r w:rsidR="006D47D9">
              <w:t>4</w:t>
            </w:r>
            <w:r>
              <w:t> %</w:t>
            </w:r>
            <w:r>
              <w:rPr>
                <w:rStyle w:val="Znakapoznpodarou"/>
              </w:rPr>
              <w:footnoteReference w:id="4"/>
            </w:r>
            <w:r>
              <w:t>. Jde o zcela rekordní úroveň přírůstku. Velmi silně loni rostly ceny elektřiny, plynu, páry a klimatizovaného vzduchu (31,9 %) a těžby a dobývání (30,</w:t>
            </w:r>
            <w:r w:rsidR="006D47D9">
              <w:t>3</w:t>
            </w:r>
            <w:r>
              <w:t> %), ale také ceny zboží a služeb zpracovatelského průmyslu (7,</w:t>
            </w:r>
            <w:r w:rsidR="006D47D9">
              <w:t>7</w:t>
            </w:r>
            <w:r>
              <w:t> %). Nejvíce vzrostly ceny průmyslových výrobců v Irsku (55,</w:t>
            </w:r>
            <w:r w:rsidR="006D47D9">
              <w:t>8</w:t>
            </w:r>
            <w:r>
              <w:t xml:space="preserve"> %), Dánsku (25,2 %) a v Belgii (21,1 %). Nejmírnější přírůstek </w:t>
            </w:r>
            <w:r>
              <w:lastRenderedPageBreak/>
              <w:t>vykázala Malta (1,9 %) a dále Slovensko (5,5 %), Slovinsko (6,</w:t>
            </w:r>
            <w:r w:rsidR="006D47D9">
              <w:t>1</w:t>
            </w:r>
            <w:r>
              <w:t> %) a Česko (7,1 %). Také meziroční růst cen průmyslových výrobců v průběhu roku zrychloval a ve 4. čtvrtletí dosáhl 23,9 %. Nejvíce se zvyšovaly ceny v Irsku (92,</w:t>
            </w:r>
            <w:r w:rsidR="006D47D9">
              <w:t>6</w:t>
            </w:r>
            <w:r>
              <w:t> %), Dánsku (50,3 %) a Rumunsku (38,4 %). Nejnižší přírůstek cen opět vykázala Malta (3,</w:t>
            </w:r>
            <w:r w:rsidR="006D47D9">
              <w:t>8</w:t>
            </w:r>
            <w:r>
              <w:t> %) a za ní Slovinsko (10,</w:t>
            </w:r>
            <w:r w:rsidR="006D47D9">
              <w:t>1</w:t>
            </w:r>
            <w:r>
              <w:t xml:space="preserve"> %), </w:t>
            </w:r>
            <w:r w:rsidR="006D47D9">
              <w:t>Česko (12,8 %) a Slovensko (13,4</w:t>
            </w:r>
            <w:r>
              <w:t> %).</w:t>
            </w:r>
          </w:p>
        </w:tc>
      </w:tr>
      <w:tr w:rsidR="009B553D" w:rsidRPr="009110F7" w14:paraId="25BCA707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3D8C752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Na cenách stavebních prací se projevilo mimořádné zdražování materiálu.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E633E27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0541BD6" w14:textId="77777777" w:rsidR="009B553D" w:rsidRPr="00793D78" w:rsidRDefault="009B553D" w:rsidP="00913237">
            <w:r>
              <w:t>Přírůstek cen stavebních prací loni výrazně posílil a celkově dosáhl 5,1 %. Značně se na tom podílelo zdražení materiálů a výrobků spotřebovaných ve stavebnictví (10,9 %). Meziroční růst indexu cen stavebních prací v průběhu celého roku 2021 zrychloval a ve 4. čtvrtletí dosáhl 7,9 %. Přitom ceny materiálů a výrobků spotřebovávaných ve stavebnictví byly meziročně vyšší o 17,0 %. Oproti 3. čtvrtletí se ceny stavebních prací zvýšily o 2,0 % a ceny materiálů a výrobků o 2,5 %.</w:t>
            </w:r>
          </w:p>
        </w:tc>
      </w:tr>
      <w:tr w:rsidR="009B553D" w:rsidRPr="009110F7" w14:paraId="319F021C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160798E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Přírůstek cen tržních služeb loni zvolnil.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D241765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CA28396" w14:textId="77777777" w:rsidR="009B553D" w:rsidRPr="00793D78" w:rsidRDefault="009B553D" w:rsidP="00913237">
            <w:r>
              <w:t>Ceny tržních služeb se v roce 2021 zvýšily o 1,3 %. Přírůstek tak byl nejmírnější od roku 2016 a promítala se do něj problematická situace v některých odvětvích. Ke zpomalení nejvíce přispěl vývoj cen skladování a podpůrných služeb v dopravě, jejichž přírůstek loni zmírnil na 1,1 %. Pomaleji rostly například i ceny služeb v oblasti programování a souvisejícího poradenství (2,9 %), pojištění, zajištění a penzijního financování (0,6 %) a služeb v oblasti nemovitostí (1,7 %). Stagnovaly ceny architektonických a inženýrských služeb a technických zkoušek a analýz a nižší byly ceny informačních služeb (–2,9 %). Naopak růst cen reklamních služeb a průzkumu trhu loni zrychlil na 1,6 % a posílil i přírůstek cen služeb v oblasti zaměstnání (6,1 %).</w:t>
            </w:r>
          </w:p>
        </w:tc>
      </w:tr>
      <w:tr w:rsidR="009B553D" w:rsidRPr="009110F7" w14:paraId="032DB279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C20C650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Na konci roku 2021 růst cen tržních služeb posiloval.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064B23E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216E3CB" w14:textId="77777777" w:rsidR="009B553D" w:rsidRDefault="009B553D" w:rsidP="00913237">
            <w:r>
              <w:t>Meziroční růst cen tržních služeb v druhé polovině roku 2021 posiloval a ve 4. čtvrtletí dosáhl 1,8 %. K celkovému přírůstku nejvíce přispělo prudké navýšení cen reklamních služeb a průzkumu trhu (6,6 %), cen služeb v oblasti zaměstnání (9,8 %), pozemní a potrubní dopravy (1,6 %), služeb v oblasti programování a souvisejícího poradenství (2,0 %) a služeb v oblasti nemovitostí (1,9 %). Mírně také přispívaly ceny vedení podniků a poradenství (2,7 %), služeb v oblasti pronájmu a operativního leasingu (2,0 %), poštovních a kurýrních služeb (2,0 %), skladování a podpůrných služeb v dopravě (1,5 %) a pojištění, zajištění a penzijního financování (1,0 %). Ve směru poklesu ve 4. čtvrtletí působily zejména ceny telekomunikačních služeb (–0,7 %).</w:t>
            </w:r>
          </w:p>
        </w:tc>
      </w:tr>
      <w:tr w:rsidR="009B553D" w:rsidRPr="009110F7" w14:paraId="11EC28AC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B2489A0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Loni se silně zvyšovaly hlavně ceny rostlinné výroby.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3C0856A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BCAE626" w14:textId="77777777" w:rsidR="009B553D" w:rsidRPr="00CB64E1" w:rsidRDefault="009B553D" w:rsidP="00913237">
            <w:pPr>
              <w:rPr>
                <w:spacing w:val="-2"/>
              </w:rPr>
            </w:pPr>
            <w:r>
              <w:rPr>
                <w:spacing w:val="-2"/>
              </w:rPr>
              <w:t xml:space="preserve">Ceny zemědělské výroby v roce 2021 vzrostly o 6,9 %. Vyšší byly jen ceny rostlinné výroby (12,4 %). Výrazně rostly ceny obilovin (16,3 %, především pod vlivem cen pšenice, které byly vyšší o 19,3 %) i průmyslových plodin (12,8 %, z toho olejniny zdražily o 14,8 %, luskoviny o 13,9 % a cukrová řepa o 9,7 %). Ceny krmných plodin se zvýšily o 1,1 % a zeleniny a zahradnických produktů o 11,6 %. Naopak výrazně nižší byly ceny brambor (–12,6 %) a klesly i ceny ovoce (–5,0 %). Ceny živočišné výroby stagnovaly </w:t>
            </w:r>
            <w:r>
              <w:rPr>
                <w:spacing w:val="-2"/>
              </w:rPr>
              <w:br/>
              <w:t xml:space="preserve">(–0,2 %). Nižší byly ceny hospodářských zvířat (–5,8 %), zejména prasat a selat </w:t>
            </w:r>
            <w:r>
              <w:rPr>
                <w:spacing w:val="-2"/>
              </w:rPr>
              <w:br/>
              <w:t>(–16,2 %). Naopak skot byl dražší o 4,3 % a drůbež o 1,3 %. Ceny živočišných výrobků loni vzrostly o 4,5 %, z toho mléka o 4,7 % a vajec o 2,1 %.</w:t>
            </w:r>
          </w:p>
        </w:tc>
      </w:tr>
      <w:tr w:rsidR="009B553D" w:rsidRPr="009110F7" w14:paraId="2ED926F0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BE0F6A6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Ve 4. čtvrtletí 2021 byly meziročně vyšší ceny rostlinné i živočišné výroby.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062FF91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0F33F89" w14:textId="1346BC1B" w:rsidR="009B553D" w:rsidRDefault="009B553D" w:rsidP="00602998">
            <w:pPr>
              <w:rPr>
                <w:spacing w:val="-2"/>
              </w:rPr>
            </w:pPr>
            <w:r>
              <w:rPr>
                <w:spacing w:val="-2"/>
              </w:rPr>
              <w:t>Meziroční růst cen zemědělské výroby loni v průběhu roku zrychloval a ve 4. čtvrtletí vyšplhal až na 15,7 %. Přitom ceny rostlinné výroby byly vyšší o 2</w:t>
            </w:r>
            <w:r w:rsidR="00602998">
              <w:rPr>
                <w:spacing w:val="-2"/>
              </w:rPr>
              <w:t>1,5</w:t>
            </w:r>
            <w:r>
              <w:rPr>
                <w:spacing w:val="-2"/>
              </w:rPr>
              <w:t xml:space="preserve"> %. Meziroční přírůstek cen obilovin zrychlil na 28,0 %. Podílel se na tom hlavně vývoj cen pšenice (přírůstek 29,4 % ve 4. čtvrtletí), podobně se ale chovaly i ceny mnoha dalších obilovin (žito 24,0 %, ječmen 21,2 %, oves 9,9 %, kukuřice na zrno 40,8 %). Ceny průmyslových plodin meziročně vzrostly o 21,6 %, z toho olejnin o 32,3 %, luskovin o 23,1 % a cukrové řepy o 10,4 %. Krmné plodiny meziročně zdražily o 7,4 % a zelenina a zahradnické produkty o 18,9 %. Ceny brambor se ve 4. čtvrtletí dostaly ze sedm čtvrtletí trvající série meziročních poklesů (1,8 %). Ovoce bylo meziročně levnější o 1,2 %. Ceny živočišné výroby meziročně vzrostly o 5,9 %. Ceny hospodářských zvířat byly vyšší o 1,6 %. Zatímco propad cen prasat a selat se zmírnil na 5,9 %, růst cen skotu zrychlil na 10,8 % </w:t>
            </w:r>
            <w:r>
              <w:rPr>
                <w:spacing w:val="-2"/>
              </w:rPr>
              <w:lastRenderedPageBreak/>
              <w:t>a drůbeže na 3,2 %. Ceny živočišných výrobků byly vyšší o 9,0 %, z toho mléko zdražilo o 9,5 % a vejce o 3,3 %.</w:t>
            </w:r>
          </w:p>
        </w:tc>
      </w:tr>
      <w:tr w:rsidR="009B553D" w:rsidRPr="009110F7" w14:paraId="0B02EFF0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BB7998E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vývozu v roce 2021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D8ACAA8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08D625A" w14:textId="77777777" w:rsidR="009B553D" w:rsidRPr="00793D78" w:rsidRDefault="009B553D" w:rsidP="00913237">
            <w:r>
              <w:t>Ceny vývozu v roce 2021 vzrostly o 5,8 %. Jejich dynamika tak výrazně posílila. Vývoj kurzu koruny (zejména posilování vůči euru) přitom růst cen zahraničního obchodu tlumil</w:t>
            </w:r>
            <w:r>
              <w:rPr>
                <w:rStyle w:val="Znakapoznpodarou"/>
              </w:rPr>
              <w:footnoteReference w:id="5"/>
            </w:r>
            <w:r>
              <w:t>. Velký podíl na tom měl vývoj cen exportu minerálních paliv (57,9 %) a ostatních surovin</w:t>
            </w:r>
            <w:r>
              <w:rPr>
                <w:rStyle w:val="Znakapoznpodarou"/>
              </w:rPr>
              <w:footnoteReference w:id="6"/>
            </w:r>
            <w:r>
              <w:t xml:space="preserve"> (45,2 %). Silně se zvyšovaly i ceny vývozu chemikálií (10,4 %). Podstatně rostly i ceny polotovarů</w:t>
            </w:r>
            <w:r>
              <w:rPr>
                <w:rStyle w:val="Znakapoznpodarou"/>
              </w:rPr>
              <w:footnoteReference w:id="7"/>
            </w:r>
            <w:r>
              <w:t xml:space="preserve"> (9,1 %) nebo potravin a živých zvířat (4,6 %). Nižší byly loni ceny nápojů a tabáku (–3,2 %) a průmyslového spotřebního zboží (–0,5 %). Meziroční růst cen vývozu v průběhu roku posiloval a v samotném 4. čtvrtletí 2021 dosáhl 9,8 %. Nejvíce meziročně rostly ceny vývozu minerálních paliv (119,2 %) a ostatních surovin (55,6 %). Ceny polotovarů byly vyšší o 16,2 %, chemikálií o 15,7 % a potravin a živých zvířat o 8,9 %. Mírně rostly i ceny vývozu strojů a dopravních prostředků (0,9 %) a průmyslového spotřebního zboží (0,9 %). Klesaly jen ceny nápojů a tabáku (–3,6 %).</w:t>
            </w:r>
          </w:p>
        </w:tc>
      </w:tr>
      <w:tr w:rsidR="009B553D" w:rsidRPr="009110F7" w14:paraId="451B1298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ABB8A7B" w14:textId="77777777" w:rsidR="009B553D" w:rsidRPr="00793D78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dovozu byly také výrazně vyšší.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7BC3E50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BAF74A7" w14:textId="77777777" w:rsidR="009B553D" w:rsidRDefault="009B553D" w:rsidP="00913237">
            <w:r>
              <w:t>Ceny dovozu v roce 2021 vzrostly o 6,1 %. Nejvíce rostly ceny importu minerálních paliv (68,8 %), ostatních surovin (24,5 %), polotovarů (9,0 %) a chemikálií (8,3 %). Mírně vyšší byly i ceny nápojů a tabáku (0,4 %). Naopak loni klesly ceny dovozu průmyslového spotřebního zboží (–2,3 %), potravin a živých zvířat (–1,7 %) a strojů a dopravních prostředků (–1,6 %). Ve 4. čtvrtletí 2021 se ceny dovozu meziročně zvýšily o 12,2 %. Ceny importu minerálních paliv meziročně vzrostly o 123,1 % a ostatních surovin o 23,1 %. Ceny polotovarů byly vyšší o 14,6 % a chemikálií o 14,3 %. Mírně rostly ceny potravin a živých zvířat a nápojů a tabáku (shodně o 0,5 %). Naopak meziročně nižší byly ceny dovozu průmyslového spotřebního zboží (–1,4 %) a strojů a dopravních prostředků (–0,1 %).</w:t>
            </w:r>
          </w:p>
        </w:tc>
      </w:tr>
      <w:tr w:rsidR="009B553D" w:rsidRPr="009110F7" w14:paraId="4CDDC47B" w14:textId="77777777" w:rsidTr="00913237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AA528A9" w14:textId="77777777" w:rsidR="009B553D" w:rsidRDefault="009B553D" w:rsidP="00913237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Směnné relace byly loni záporné.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D15B442" w14:textId="77777777" w:rsidR="009B553D" w:rsidRPr="00793D78" w:rsidRDefault="009B553D" w:rsidP="00913237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4B13226" w14:textId="77777777" w:rsidR="009B553D" w:rsidRDefault="009B553D" w:rsidP="00913237">
            <w:r>
              <w:t>Směnné relace v roce 2021 dosáhly 99,7 % (v roce 2020 byly kladné). Výrazně záporné byly směnné relace obchodu s minerálními palivy (93,5 %), nápoji a tabákem (96,4 %). Naopak kladné byly směnné relace obchodu s ostatními surovinami (116,6 %), potravinami a živými zvířaty (106,4 %), stroji a dopravními prostředky (102,8 %), chemikáliemi (101,9 %), průmyslovým spotřebním zbožím (101,8 %) a polotovary (100,1 %). Ve 4. čtvrtletí směnné relace činily 97,9 %. Záporné byly směnné relace obchodu s nápoji a tabákem (95,9 %) a minerálními palivy (98,3 %). Kladné byly směnné relace u ostatních surovin (126,4 %), potravin a živých zvířat (108,4 %), průmyslového spotřebního zboží (102,3 %), polotovarů (101,4 %), chemikálií (101,2 %) a strojů a dopravních prostředků (101,0 %).</w:t>
            </w:r>
          </w:p>
        </w:tc>
      </w:tr>
    </w:tbl>
    <w:p w14:paraId="5BAB8EA3" w14:textId="0FD9E887" w:rsidR="000663F0" w:rsidRPr="00E42054" w:rsidRDefault="000663F0" w:rsidP="00B80934">
      <w:pPr>
        <w:pStyle w:val="Nadpis11"/>
        <w:rPr>
          <w:b w:val="0"/>
          <w:sz w:val="2"/>
          <w:szCs w:val="2"/>
        </w:rPr>
      </w:pPr>
      <w:bookmarkStart w:id="8" w:name="_GoBack"/>
      <w:bookmarkEnd w:id="1"/>
      <w:bookmarkEnd w:id="2"/>
      <w:bookmarkEnd w:id="3"/>
      <w:bookmarkEnd w:id="4"/>
      <w:bookmarkEnd w:id="5"/>
      <w:bookmarkEnd w:id="6"/>
      <w:bookmarkEnd w:id="8"/>
    </w:p>
    <w:sectPr w:rsidR="000663F0" w:rsidRPr="00E42054" w:rsidSect="00B80934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82775" w14:textId="77777777" w:rsidR="00196480" w:rsidRDefault="00196480" w:rsidP="00E71A58">
      <w:r>
        <w:separator/>
      </w:r>
    </w:p>
  </w:endnote>
  <w:endnote w:type="continuationSeparator" w:id="0">
    <w:p w14:paraId="4F405D23" w14:textId="77777777" w:rsidR="00196480" w:rsidRDefault="0019648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A052436" w:rsidR="00CD7E9E" w:rsidRPr="00932443" w:rsidRDefault="00CD7E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80934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661A58A" w:rsidR="00CD7E9E" w:rsidRPr="00932443" w:rsidRDefault="00CD7E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80934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335A" w14:textId="77777777" w:rsidR="00196480" w:rsidRDefault="00196480" w:rsidP="00A21B4D">
      <w:pPr>
        <w:spacing w:after="0"/>
      </w:pPr>
      <w:r>
        <w:separator/>
      </w:r>
    </w:p>
  </w:footnote>
  <w:footnote w:type="continuationSeparator" w:id="0">
    <w:p w14:paraId="43006C87" w14:textId="77777777" w:rsidR="00196480" w:rsidRDefault="00196480" w:rsidP="00E71A58">
      <w:r>
        <w:continuationSeparator/>
      </w:r>
    </w:p>
  </w:footnote>
  <w:footnote w:id="1">
    <w:p w14:paraId="2A559405" w14:textId="77777777" w:rsidR="00CD7E9E" w:rsidRPr="000A4298" w:rsidRDefault="00CD7E9E" w:rsidP="009B553D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</w:p>
  </w:footnote>
  <w:footnote w:id="2">
    <w:p w14:paraId="301C4156" w14:textId="77777777" w:rsidR="00CD7E9E" w:rsidRPr="00C055FA" w:rsidRDefault="00CD7E9E" w:rsidP="009B553D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HICP neobsahuje imputované nájemné.</w:t>
      </w:r>
    </w:p>
  </w:footnote>
  <w:footnote w:id="3">
    <w:p w14:paraId="47034F97" w14:textId="77777777" w:rsidR="00CD7E9E" w:rsidRPr="005F66A4" w:rsidRDefault="00CD7E9E" w:rsidP="009B553D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>
        <w:rPr>
          <w:sz w:val="16"/>
          <w:szCs w:val="16"/>
        </w:rPr>
        <w:t>Ukazatele nejsou uvedeny kvůli ochraně i</w:t>
      </w:r>
      <w:r w:rsidRPr="005F66A4">
        <w:rPr>
          <w:sz w:val="16"/>
          <w:szCs w:val="16"/>
        </w:rPr>
        <w:t>ndividuální</w:t>
      </w:r>
      <w:r>
        <w:rPr>
          <w:sz w:val="16"/>
          <w:szCs w:val="16"/>
        </w:rPr>
        <w:t>ch</w:t>
      </w:r>
      <w:r w:rsidRPr="005F66A4">
        <w:rPr>
          <w:sz w:val="16"/>
          <w:szCs w:val="16"/>
        </w:rPr>
        <w:t xml:space="preserve"> dat.</w:t>
      </w:r>
    </w:p>
  </w:footnote>
  <w:footnote w:id="4">
    <w:p w14:paraId="65113B68" w14:textId="77777777" w:rsidR="00CD7E9E" w:rsidRPr="000C5F73" w:rsidRDefault="00CD7E9E" w:rsidP="009B553D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5">
    <w:p w14:paraId="6120DFAB" w14:textId="77777777" w:rsidR="00CD7E9E" w:rsidRPr="00C11C5A" w:rsidRDefault="00CD7E9E" w:rsidP="009B553D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dosáhl v roce 2020 </w:t>
      </w:r>
      <w:r w:rsidRPr="00C11C5A">
        <w:rPr>
          <w:sz w:val="16"/>
          <w:szCs w:val="16"/>
        </w:rPr>
        <w:t>průměrný kurz koruny vůči euru 2</w:t>
      </w:r>
      <w:r>
        <w:rPr>
          <w:sz w:val="16"/>
          <w:szCs w:val="16"/>
        </w:rPr>
        <w:t>6,444 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Loni</w:t>
      </w:r>
      <w:r w:rsidRPr="00C11C5A">
        <w:rPr>
          <w:sz w:val="16"/>
          <w:szCs w:val="16"/>
        </w:rPr>
        <w:t xml:space="preserve"> to bylo 25,</w:t>
      </w:r>
      <w:r>
        <w:rPr>
          <w:sz w:val="16"/>
          <w:szCs w:val="16"/>
        </w:rPr>
        <w:t>645 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Silnější byl i kurz</w:t>
      </w:r>
      <w:r w:rsidRPr="00C11C5A">
        <w:rPr>
          <w:sz w:val="16"/>
          <w:szCs w:val="16"/>
        </w:rPr>
        <w:t xml:space="preserve"> vůči dolaru. </w:t>
      </w:r>
      <w:r>
        <w:rPr>
          <w:sz w:val="16"/>
          <w:szCs w:val="16"/>
        </w:rPr>
        <w:t xml:space="preserve">V roce 2020 </w:t>
      </w:r>
      <w:r w:rsidRPr="00C11C5A">
        <w:rPr>
          <w:sz w:val="16"/>
          <w:szCs w:val="16"/>
        </w:rPr>
        <w:t xml:space="preserve">průměr činil </w:t>
      </w:r>
      <w:r>
        <w:rPr>
          <w:sz w:val="16"/>
          <w:szCs w:val="16"/>
        </w:rPr>
        <w:t>23,196 </w:t>
      </w:r>
      <w:r w:rsidRPr="00C11C5A">
        <w:rPr>
          <w:sz w:val="16"/>
          <w:szCs w:val="16"/>
        </w:rPr>
        <w:t xml:space="preserve">CZK/USD, </w:t>
      </w:r>
      <w:r>
        <w:rPr>
          <w:sz w:val="16"/>
          <w:szCs w:val="16"/>
        </w:rPr>
        <w:t>loni</w:t>
      </w:r>
      <w:r w:rsidRPr="00C11C5A">
        <w:rPr>
          <w:sz w:val="16"/>
          <w:szCs w:val="16"/>
        </w:rPr>
        <w:t xml:space="preserve"> 2</w:t>
      </w:r>
      <w:r>
        <w:rPr>
          <w:sz w:val="16"/>
          <w:szCs w:val="16"/>
        </w:rPr>
        <w:t>1</w:t>
      </w:r>
      <w:r w:rsidRPr="00C11C5A">
        <w:rPr>
          <w:sz w:val="16"/>
          <w:szCs w:val="16"/>
        </w:rPr>
        <w:t>,</w:t>
      </w:r>
      <w:r>
        <w:rPr>
          <w:sz w:val="16"/>
          <w:szCs w:val="16"/>
        </w:rPr>
        <w:t>682 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6">
    <w:p w14:paraId="4531899F" w14:textId="77777777" w:rsidR="00CD7E9E" w:rsidRPr="00940B11" w:rsidRDefault="00CD7E9E" w:rsidP="009B553D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</w:p>
  </w:footnote>
  <w:footnote w:id="7">
    <w:p w14:paraId="18798530" w14:textId="77777777" w:rsidR="00CD7E9E" w:rsidRPr="00940B11" w:rsidRDefault="00CD7E9E" w:rsidP="009B553D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D7E9E" w:rsidRDefault="00CD7E9E" w:rsidP="00937AE2">
    <w:pPr>
      <w:pStyle w:val="Zhlav"/>
    </w:pPr>
    <w:r>
      <w:t>Vývoj ekonomiky České republiky</w:t>
    </w:r>
  </w:p>
  <w:p w14:paraId="3E881AB3" w14:textId="77777777" w:rsidR="00CD7E9E" w:rsidRPr="006F5416" w:rsidRDefault="00CD7E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D7E9E" w:rsidRDefault="00CD7E9E" w:rsidP="00937AE2">
    <w:pPr>
      <w:pStyle w:val="Zhlav"/>
    </w:pPr>
    <w:r>
      <w:t>Vývoj ekonomiky České republiky</w:t>
    </w:r>
  </w:p>
  <w:p w14:paraId="57266714" w14:textId="77777777" w:rsidR="00CD7E9E" w:rsidRPr="006F5416" w:rsidRDefault="00CD7E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6480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9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4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4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1471575213004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2'!$C$22:$C$45</c:f>
              <c:numCache>
                <c:formatCode>0.0</c:formatCode>
                <c:ptCount val="24"/>
                <c:pt idx="0">
                  <c:v>0.5</c:v>
                </c:pt>
                <c:pt idx="1">
                  <c:v>0.20000000000000284</c:v>
                </c:pt>
                <c:pt idx="2">
                  <c:v>0.5</c:v>
                </c:pt>
                <c:pt idx="3">
                  <c:v>1.4000000000000057</c:v>
                </c:pt>
                <c:pt idx="4" formatCode="General">
                  <c:v>2.4000000000000057</c:v>
                </c:pt>
                <c:pt idx="5" formatCode="General">
                  <c:v>2.2000000000000028</c:v>
                </c:pt>
                <c:pt idx="6">
                  <c:v>2.5</c:v>
                </c:pt>
                <c:pt idx="7">
                  <c:v>2.6</c:v>
                </c:pt>
                <c:pt idx="8">
                  <c:v>1.9</c:v>
                </c:pt>
                <c:pt idx="9">
                  <c:v>2.2999999999999998</c:v>
                </c:pt>
                <c:pt idx="10">
                  <c:v>2.4</c:v>
                </c:pt>
                <c:pt idx="11">
                  <c:v>2.1</c:v>
                </c:pt>
                <c:pt idx="12">
                  <c:v>2.7</c:v>
                </c:pt>
                <c:pt idx="13">
                  <c:v>2.8</c:v>
                </c:pt>
                <c:pt idx="14">
                  <c:v>2.8</c:v>
                </c:pt>
                <c:pt idx="15">
                  <c:v>3</c:v>
                </c:pt>
                <c:pt idx="16">
                  <c:v>3.6</c:v>
                </c:pt>
                <c:pt idx="17">
                  <c:v>3.1</c:v>
                </c:pt>
                <c:pt idx="18">
                  <c:v>3.3</c:v>
                </c:pt>
                <c:pt idx="19">
                  <c:v>2.6</c:v>
                </c:pt>
                <c:pt idx="20">
                  <c:v>2.2000000000000002</c:v>
                </c:pt>
                <c:pt idx="21">
                  <c:v>2.9</c:v>
                </c:pt>
                <c:pt idx="22">
                  <c:v>4.0999999999999996</c:v>
                </c:pt>
                <c:pt idx="23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6D-4903-8536-1D14F742A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2'!$D$22:$D$45</c:f>
              <c:numCache>
                <c:formatCode>0.0</c:formatCode>
                <c:ptCount val="24"/>
                <c:pt idx="0">
                  <c:v>-1.7000000000000028</c:v>
                </c:pt>
                <c:pt idx="1">
                  <c:v>-2.4000000000000057</c:v>
                </c:pt>
                <c:pt idx="2">
                  <c:v>-0.79999999999999716</c:v>
                </c:pt>
                <c:pt idx="3">
                  <c:v>1.2000000000000028</c:v>
                </c:pt>
                <c:pt idx="4" formatCode="General">
                  <c:v>4.2000000000000028</c:v>
                </c:pt>
                <c:pt idx="5" formatCode="General">
                  <c:v>4.5</c:v>
                </c:pt>
                <c:pt idx="6">
                  <c:v>5.7</c:v>
                </c:pt>
                <c:pt idx="7">
                  <c:v>6.3</c:v>
                </c:pt>
                <c:pt idx="8">
                  <c:v>2.9</c:v>
                </c:pt>
                <c:pt idx="9" formatCode="#\ ##0.0_ ;\-#\ ##0.0\ ">
                  <c:v>2.2999999999999998</c:v>
                </c:pt>
                <c:pt idx="10">
                  <c:v>0.6</c:v>
                </c:pt>
                <c:pt idx="11">
                  <c:v>-0.5</c:v>
                </c:pt>
                <c:pt idx="12">
                  <c:v>1</c:v>
                </c:pt>
                <c:pt idx="13">
                  <c:v>2.5</c:v>
                </c:pt>
                <c:pt idx="14">
                  <c:v>3.5</c:v>
                </c:pt>
                <c:pt idx="15">
                  <c:v>4.3</c:v>
                </c:pt>
                <c:pt idx="16">
                  <c:v>6.1</c:v>
                </c:pt>
                <c:pt idx="17">
                  <c:v>6.5</c:v>
                </c:pt>
                <c:pt idx="18">
                  <c:v>4</c:v>
                </c:pt>
                <c:pt idx="19">
                  <c:v>1.7</c:v>
                </c:pt>
                <c:pt idx="20">
                  <c:v>0.3</c:v>
                </c:pt>
                <c:pt idx="21">
                  <c:v>-0.8</c:v>
                </c:pt>
                <c:pt idx="22">
                  <c:v>1.4</c:v>
                </c:pt>
                <c:pt idx="23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6D-4903-8536-1D14F742A2C6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2'!$F$22:$F$45</c:f>
              <c:numCache>
                <c:formatCode>0.0</c:formatCode>
                <c:ptCount val="24"/>
                <c:pt idx="0">
                  <c:v>0.90000000000000568</c:v>
                </c:pt>
                <c:pt idx="1">
                  <c:v>0.5</c:v>
                </c:pt>
                <c:pt idx="2">
                  <c:v>0.40000000000000568</c:v>
                </c:pt>
                <c:pt idx="3">
                  <c:v>0.59999999999999432</c:v>
                </c:pt>
                <c:pt idx="4" formatCode="General">
                  <c:v>0.79999999999999716</c:v>
                </c:pt>
                <c:pt idx="5" formatCode="General">
                  <c:v>1.5</c:v>
                </c:pt>
                <c:pt idx="6">
                  <c:v>2.1</c:v>
                </c:pt>
                <c:pt idx="7">
                  <c:v>2.2000000000000002</c:v>
                </c:pt>
                <c:pt idx="8">
                  <c:v>2.2999999999999998</c:v>
                </c:pt>
                <c:pt idx="9">
                  <c:v>2.6</c:v>
                </c:pt>
                <c:pt idx="10">
                  <c:v>3.2</c:v>
                </c:pt>
                <c:pt idx="11">
                  <c:v>3.8</c:v>
                </c:pt>
                <c:pt idx="12">
                  <c:v>5.4</c:v>
                </c:pt>
                <c:pt idx="13">
                  <c:v>5.7</c:v>
                </c:pt>
                <c:pt idx="14">
                  <c:v>5.2</c:v>
                </c:pt>
                <c:pt idx="15">
                  <c:v>5</c:v>
                </c:pt>
                <c:pt idx="16">
                  <c:v>4.2</c:v>
                </c:pt>
                <c:pt idx="17">
                  <c:v>3.2</c:v>
                </c:pt>
                <c:pt idx="18">
                  <c:v>2.7</c:v>
                </c:pt>
                <c:pt idx="19">
                  <c:v>1.4</c:v>
                </c:pt>
                <c:pt idx="20">
                  <c:v>0.6</c:v>
                </c:pt>
                <c:pt idx="21">
                  <c:v>1.3</c:v>
                </c:pt>
                <c:pt idx="22">
                  <c:v>3.6</c:v>
                </c:pt>
                <c:pt idx="23">
                  <c:v>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6D-4903-8536-1D14F742A2C6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2'!$G$22:$G$45</c:f>
              <c:numCache>
                <c:formatCode>General</c:formatCode>
                <c:ptCount val="24"/>
                <c:pt idx="0">
                  <c:v>-2.7000000000000028</c:v>
                </c:pt>
                <c:pt idx="1">
                  <c:v>-2.9000000000000057</c:v>
                </c:pt>
                <c:pt idx="2">
                  <c:v>-2.2999999999999972</c:v>
                </c:pt>
                <c:pt idx="3">
                  <c:v>1.0999999999999943</c:v>
                </c:pt>
                <c:pt idx="4">
                  <c:v>6</c:v>
                </c:pt>
                <c:pt idx="5">
                  <c:v>3.9000000000000057</c:v>
                </c:pt>
                <c:pt idx="6" formatCode="0.0">
                  <c:v>2.5</c:v>
                </c:pt>
                <c:pt idx="7" formatCode="0.0">
                  <c:v>2.5</c:v>
                </c:pt>
                <c:pt idx="8" formatCode="0.0">
                  <c:v>1</c:v>
                </c:pt>
                <c:pt idx="9" formatCode="0.0">
                  <c:v>3</c:v>
                </c:pt>
                <c:pt idx="10" formatCode="0.0">
                  <c:v>4.5</c:v>
                </c:pt>
                <c:pt idx="11" formatCode="0.0">
                  <c:v>2.6</c:v>
                </c:pt>
                <c:pt idx="12" formatCode="0.0">
                  <c:v>0.6</c:v>
                </c:pt>
                <c:pt idx="13" formatCode="0.0">
                  <c:v>0.8</c:v>
                </c:pt>
                <c:pt idx="14" formatCode="0.0">
                  <c:v>-0.2</c:v>
                </c:pt>
                <c:pt idx="15" formatCode="0.0">
                  <c:v>0.5</c:v>
                </c:pt>
                <c:pt idx="16">
                  <c:v>1.7</c:v>
                </c:pt>
                <c:pt idx="17" formatCode="0.0">
                  <c:v>-3.4</c:v>
                </c:pt>
                <c:pt idx="18" formatCode="0.0">
                  <c:v>-0.2</c:v>
                </c:pt>
                <c:pt idx="19" formatCode="0.0">
                  <c:v>0.6</c:v>
                </c:pt>
                <c:pt idx="20" formatCode="0.0">
                  <c:v>2.4</c:v>
                </c:pt>
                <c:pt idx="21" formatCode="0.0">
                  <c:v>9.1</c:v>
                </c:pt>
                <c:pt idx="22" formatCode="0.0">
                  <c:v>8.8000000000000007</c:v>
                </c:pt>
                <c:pt idx="23" formatCode="0.0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E6D-4903-8536-1D14F742A2C6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2'!$E$22:$E$45</c:f>
              <c:numCache>
                <c:formatCode>0.0</c:formatCode>
                <c:ptCount val="24"/>
                <c:pt idx="0">
                  <c:v>3.5</c:v>
                </c:pt>
                <c:pt idx="1">
                  <c:v>4.4000000000000057</c:v>
                </c:pt>
                <c:pt idx="2">
                  <c:v>4.5</c:v>
                </c:pt>
                <c:pt idx="3">
                  <c:v>5.2000000000000028</c:v>
                </c:pt>
                <c:pt idx="4" formatCode="General">
                  <c:v>3.4000000000000057</c:v>
                </c:pt>
                <c:pt idx="5" formatCode="General">
                  <c:v>0.79999999999999716</c:v>
                </c:pt>
                <c:pt idx="6">
                  <c:v>1.3</c:v>
                </c:pt>
                <c:pt idx="7">
                  <c:v>1.5</c:v>
                </c:pt>
                <c:pt idx="8">
                  <c:v>2.5</c:v>
                </c:pt>
                <c:pt idx="9">
                  <c:v>3.6</c:v>
                </c:pt>
                <c:pt idx="10">
                  <c:v>2.8</c:v>
                </c:pt>
                <c:pt idx="11">
                  <c:v>3.1</c:v>
                </c:pt>
                <c:pt idx="12">
                  <c:v>3.3</c:v>
                </c:pt>
                <c:pt idx="13">
                  <c:v>1.7</c:v>
                </c:pt>
                <c:pt idx="14">
                  <c:v>1.9</c:v>
                </c:pt>
                <c:pt idx="15">
                  <c:v>1.8</c:v>
                </c:pt>
                <c:pt idx="16" formatCode="General">
                  <c:v>3.5</c:v>
                </c:pt>
                <c:pt idx="17">
                  <c:v>6.6</c:v>
                </c:pt>
                <c:pt idx="18">
                  <c:v>10.3</c:v>
                </c:pt>
                <c:pt idx="19">
                  <c:v>9.9</c:v>
                </c:pt>
                <c:pt idx="20">
                  <c:v>9.9</c:v>
                </c:pt>
                <c:pt idx="21">
                  <c:v>9.8000000000000007</c:v>
                </c:pt>
                <c:pt idx="22">
                  <c:v>6.5</c:v>
                </c:pt>
                <c:pt idx="23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E6D-4903-8536-1D14F742A2C6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2'!$H$22:$H$45</c:f>
              <c:numCache>
                <c:formatCode>###\ ###\ ##0.0</c:formatCode>
                <c:ptCount val="24"/>
                <c:pt idx="0">
                  <c:v>1.2000000000000028</c:v>
                </c:pt>
                <c:pt idx="1">
                  <c:v>1.0999999999999943</c:v>
                </c:pt>
                <c:pt idx="2">
                  <c:v>1.2000000000000028</c:v>
                </c:pt>
                <c:pt idx="3">
                  <c:v>2.7000000000000028</c:v>
                </c:pt>
                <c:pt idx="4">
                  <c:v>5.2000000000000028</c:v>
                </c:pt>
                <c:pt idx="5">
                  <c:v>5.7999999999999972</c:v>
                </c:pt>
                <c:pt idx="6">
                  <c:v>6.2999999999999972</c:v>
                </c:pt>
                <c:pt idx="7" formatCode="0.0">
                  <c:v>5.6</c:v>
                </c:pt>
                <c:pt idx="8" formatCode="0.0">
                  <c:v>3.5</c:v>
                </c:pt>
                <c:pt idx="9" formatCode="0.0">
                  <c:v>3.6</c:v>
                </c:pt>
                <c:pt idx="10" formatCode="0.0">
                  <c:v>3.5</c:v>
                </c:pt>
                <c:pt idx="11" formatCode="0.0">
                  <c:v>3.7</c:v>
                </c:pt>
                <c:pt idx="12" formatCode="0.0">
                  <c:v>3.8</c:v>
                </c:pt>
                <c:pt idx="13" formatCode="0.0">
                  <c:v>4</c:v>
                </c:pt>
                <c:pt idx="14" formatCode="0.0">
                  <c:v>4.5</c:v>
                </c:pt>
                <c:pt idx="15" formatCode="0.0">
                  <c:v>4.5999999999999996</c:v>
                </c:pt>
                <c:pt idx="16" formatCode="0.0">
                  <c:v>5.5</c:v>
                </c:pt>
                <c:pt idx="17" formatCode="0.0">
                  <c:v>5.0999999999999996</c:v>
                </c:pt>
                <c:pt idx="18" formatCode="0.0">
                  <c:v>4.9000000000000004</c:v>
                </c:pt>
                <c:pt idx="19" formatCode="0.0">
                  <c:v>4.3</c:v>
                </c:pt>
                <c:pt idx="20" formatCode="0.0">
                  <c:v>3</c:v>
                </c:pt>
                <c:pt idx="21" formatCode="0.0">
                  <c:v>2.9</c:v>
                </c:pt>
                <c:pt idx="22" formatCode="0.0">
                  <c:v>4.5999999999999996</c:v>
                </c:pt>
                <c:pt idx="23" formatCode="0.0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E6D-4903-8536-1D14F742A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  <c:min val="-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07E-2"/>
          <c:y val="0.85444938788566116"/>
          <c:w val="0.92202296521445437"/>
          <c:h val="0.1381645293553171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341875831204752E-2"/>
          <c:y val="2.9569886214146503E-2"/>
          <c:w val="0.91029511726583778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1'!$C$22:$C$45</c:f>
              <c:numCache>
                <c:formatCode>General</c:formatCode>
                <c:ptCount val="24"/>
                <c:pt idx="0">
                  <c:v>8.9000000000000057</c:v>
                </c:pt>
                <c:pt idx="1">
                  <c:v>10.299999999999997</c:v>
                </c:pt>
                <c:pt idx="2">
                  <c:v>12.299999999999997</c:v>
                </c:pt>
                <c:pt idx="3">
                  <c:v>14.599999999999994</c:v>
                </c:pt>
                <c:pt idx="4">
                  <c:v>17.200000000000003</c:v>
                </c:pt>
                <c:pt idx="5">
                  <c:v>18.700000000000003</c:v>
                </c:pt>
                <c:pt idx="6">
                  <c:v>15.799999999999997</c:v>
                </c:pt>
                <c:pt idx="7">
                  <c:v>12</c:v>
                </c:pt>
                <c:pt idx="8">
                  <c:v>9.2000000000000028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11.400000000000006</c:v>
                </c:pt>
                <c:pt idx="12">
                  <c:v>11.299999999999997</c:v>
                </c:pt>
                <c:pt idx="13">
                  <c:v>10.599999999999994</c:v>
                </c:pt>
                <c:pt idx="14">
                  <c:v>9.5</c:v>
                </c:pt>
                <c:pt idx="15">
                  <c:v>9.4000000000000057</c:v>
                </c:pt>
                <c:pt idx="16">
                  <c:v>10.599999999999994</c:v>
                </c:pt>
                <c:pt idx="17">
                  <c:v>10.200000000000003</c:v>
                </c:pt>
                <c:pt idx="18">
                  <c:v>11.200000000000003</c:v>
                </c:pt>
                <c:pt idx="19">
                  <c:v>13.299999999999997</c:v>
                </c:pt>
                <c:pt idx="20">
                  <c:v>15.200000000000003</c:v>
                </c:pt>
                <c:pt idx="21">
                  <c:v>17.900000000000006</c:v>
                </c:pt>
                <c:pt idx="22">
                  <c:v>21.299999999999997</c:v>
                </c:pt>
                <c:pt idx="23">
                  <c:v>25.200000000000003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6-4151-AF94-B51DEBC3A96E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1'!$D$22:$D$45</c:f>
              <c:numCache>
                <c:formatCode>General</c:formatCode>
                <c:ptCount val="24"/>
                <c:pt idx="0">
                  <c:v>5.7999999999999972</c:v>
                </c:pt>
                <c:pt idx="1">
                  <c:v>7.5</c:v>
                </c:pt>
                <c:pt idx="2">
                  <c:v>9.4000000000000057</c:v>
                </c:pt>
                <c:pt idx="3">
                  <c:v>13.900000000000006</c:v>
                </c:pt>
                <c:pt idx="4">
                  <c:v>16.200000000000003</c:v>
                </c:pt>
                <c:pt idx="5">
                  <c:v>19</c:v>
                </c:pt>
                <c:pt idx="6">
                  <c:v>16.400000000000006</c:v>
                </c:pt>
                <c:pt idx="7">
                  <c:v>11.099999999999994</c:v>
                </c:pt>
                <c:pt idx="8">
                  <c:v>8.2999999999999972</c:v>
                </c:pt>
                <c:pt idx="9">
                  <c:v>4</c:v>
                </c:pt>
                <c:pt idx="10">
                  <c:v>6</c:v>
                </c:pt>
                <c:pt idx="11">
                  <c:v>8.7000000000000028</c:v>
                </c:pt>
                <c:pt idx="12">
                  <c:v>9.4000000000000057</c:v>
                </c:pt>
                <c:pt idx="13">
                  <c:v>8.7000000000000028</c:v>
                </c:pt>
                <c:pt idx="14">
                  <c:v>6.5</c:v>
                </c:pt>
                <c:pt idx="15">
                  <c:v>7.0999999999999943</c:v>
                </c:pt>
                <c:pt idx="16">
                  <c:v>6.2000000000000028</c:v>
                </c:pt>
                <c:pt idx="17">
                  <c:v>8</c:v>
                </c:pt>
                <c:pt idx="18">
                  <c:v>9.4000000000000057</c:v>
                </c:pt>
                <c:pt idx="19">
                  <c:v>10.599999999999994</c:v>
                </c:pt>
                <c:pt idx="20">
                  <c:v>14.299999999999997</c:v>
                </c:pt>
                <c:pt idx="21">
                  <c:v>15.799999999999997</c:v>
                </c:pt>
                <c:pt idx="22">
                  <c:v>16.599999999999994</c:v>
                </c:pt>
                <c:pt idx="2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06-4151-AF94-B51DEBC3A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1'!$E$22:$E$45</c:f>
              <c:numCache>
                <c:formatCode>0.0</c:formatCode>
                <c:ptCount val="24"/>
                <c:pt idx="0">
                  <c:v>10.204081632653043</c:v>
                </c:pt>
                <c:pt idx="1">
                  <c:v>10.321969696969703</c:v>
                </c:pt>
                <c:pt idx="2">
                  <c:v>9.8982423681776197</c:v>
                </c:pt>
                <c:pt idx="3">
                  <c:v>9.918845807033378</c:v>
                </c:pt>
                <c:pt idx="4">
                  <c:v>9.5238095238095184</c:v>
                </c:pt>
                <c:pt idx="5" formatCode="General">
                  <c:v>9.5278969957081472</c:v>
                </c:pt>
                <c:pt idx="6" formatCode="General">
                  <c:v>12.542087542087543</c:v>
                </c:pt>
                <c:pt idx="7" formatCode="General">
                  <c:v>12.469237079573418</c:v>
                </c:pt>
                <c:pt idx="8" formatCode="General">
                  <c:v>12.801932367149746</c:v>
                </c:pt>
                <c:pt idx="9" formatCode="General">
                  <c:v>12.225705329153584</c:v>
                </c:pt>
                <c:pt idx="10" formatCode="General">
                  <c:v>9.498878085265531</c:v>
                </c:pt>
                <c:pt idx="11" formatCode="General">
                  <c:v>8.4609773887673185</c:v>
                </c:pt>
                <c:pt idx="12" formatCode="General">
                  <c:v>7.4232690935046435</c:v>
                </c:pt>
                <c:pt idx="13" formatCode="General">
                  <c:v>5.7262569832402335</c:v>
                </c:pt>
                <c:pt idx="14" formatCode="General">
                  <c:v>5.1912568306010911</c:v>
                </c:pt>
                <c:pt idx="15" formatCode="General">
                  <c:v>5.5144586415601964</c:v>
                </c:pt>
                <c:pt idx="16" formatCode="General">
                  <c:v>6.0465116279069662</c:v>
                </c:pt>
                <c:pt idx="17" formatCode="General">
                  <c:v>7.1334214002641829</c:v>
                </c:pt>
                <c:pt idx="18" formatCode="General">
                  <c:v>7.9870129870129887</c:v>
                </c:pt>
                <c:pt idx="19" formatCode="General">
                  <c:v>7.6481835564053569</c:v>
                </c:pt>
                <c:pt idx="20" formatCode="General">
                  <c:v>7.6441102756892292</c:v>
                </c:pt>
                <c:pt idx="21" formatCode="General">
                  <c:v>7.9531442663378584</c:v>
                </c:pt>
                <c:pt idx="22" formatCode="General">
                  <c:v>9.3205051112447421</c:v>
                </c:pt>
                <c:pt idx="23" formatCode="General">
                  <c:v>12.433392539964473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D06-4151-AF94-B51DEBC3A96E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1'!$A$22:$B$45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1'!$F$22:$F$45</c:f>
              <c:numCache>
                <c:formatCode>0.0</c:formatCode>
                <c:ptCount val="24"/>
                <c:pt idx="0">
                  <c:v>10.196779964221832</c:v>
                </c:pt>
                <c:pt idx="1">
                  <c:v>10.549258936355699</c:v>
                </c:pt>
                <c:pt idx="2">
                  <c:v>9.7706032285471451</c:v>
                </c:pt>
                <c:pt idx="3">
                  <c:v>11.323896752706062</c:v>
                </c:pt>
                <c:pt idx="4">
                  <c:v>13.636363636363626</c:v>
                </c:pt>
                <c:pt idx="5" formatCode="General">
                  <c:v>14.589905362776051</c:v>
                </c:pt>
                <c:pt idx="6" formatCode="General">
                  <c:v>18.266253869969049</c:v>
                </c:pt>
                <c:pt idx="7" formatCode="General">
                  <c:v>18.773373223635019</c:v>
                </c:pt>
                <c:pt idx="8" formatCode="General">
                  <c:v>15.071428571428555</c:v>
                </c:pt>
                <c:pt idx="9" formatCode="General">
                  <c:v>14.24638678596007</c:v>
                </c:pt>
                <c:pt idx="10" formatCode="General">
                  <c:v>10.732984293193695</c:v>
                </c:pt>
                <c:pt idx="11" formatCode="General">
                  <c:v>8.7531486146095574</c:v>
                </c:pt>
                <c:pt idx="12" formatCode="General">
                  <c:v>8.3178150217256359</c:v>
                </c:pt>
                <c:pt idx="13" formatCode="General">
                  <c:v>4.9397590361445651</c:v>
                </c:pt>
                <c:pt idx="14" formatCode="General">
                  <c:v>3.3096926713947994</c:v>
                </c:pt>
                <c:pt idx="15" formatCode="General">
                  <c:v>2.9530978575564575</c:v>
                </c:pt>
                <c:pt idx="16" formatCode="General">
                  <c:v>3.5530085959885298</c:v>
                </c:pt>
                <c:pt idx="17" formatCode="General">
                  <c:v>5.2812858783008068</c:v>
                </c:pt>
                <c:pt idx="18" formatCode="General">
                  <c:v>6.2356979405034281</c:v>
                </c:pt>
                <c:pt idx="19" formatCode="General">
                  <c:v>5.1743532058492718</c:v>
                </c:pt>
                <c:pt idx="20" formatCode="General">
                  <c:v>4.759269507470961</c:v>
                </c:pt>
                <c:pt idx="21" formatCode="General">
                  <c:v>4.5256270447110012</c:v>
                </c:pt>
                <c:pt idx="22" formatCode="General">
                  <c:v>6.2466343564889826</c:v>
                </c:pt>
                <c:pt idx="23" formatCode="General">
                  <c:v>9.1443850267379503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D06-4151-AF94-B51DEBC3A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5291845221760153E-2"/>
          <c:y val="0.88817854328492629"/>
          <c:w val="0.90803571805535011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51E-2"/>
          <c:y val="2.181131592422042E-2"/>
          <c:w val="0.91678305292267426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4'!$C$42:$C$113</c:f>
              <c:numCache>
                <c:formatCode>0.0</c:formatCode>
                <c:ptCount val="72"/>
                <c:pt idx="0">
                  <c:v>-3.4000000000000057</c:v>
                </c:pt>
                <c:pt idx="1">
                  <c:v>-4</c:v>
                </c:pt>
                <c:pt idx="2">
                  <c:v>-4.5</c:v>
                </c:pt>
                <c:pt idx="3">
                  <c:v>-4.7000000000000028</c:v>
                </c:pt>
                <c:pt idx="4">
                  <c:v>-4.7999999999999972</c:v>
                </c:pt>
                <c:pt idx="5">
                  <c:v>-4.4000000000000057</c:v>
                </c:pt>
                <c:pt idx="6">
                  <c:v>-4</c:v>
                </c:pt>
                <c:pt idx="7">
                  <c:v>-3.4000000000000057</c:v>
                </c:pt>
                <c:pt idx="8">
                  <c:v>-2.4000000000000057</c:v>
                </c:pt>
                <c:pt idx="9">
                  <c:v>-1.7000000000000028</c:v>
                </c:pt>
                <c:pt idx="10">
                  <c:v>-1.2999999999999972</c:v>
                </c:pt>
                <c:pt idx="11">
                  <c:v>-0.40000000000000568</c:v>
                </c:pt>
                <c:pt idx="12" formatCode="General">
                  <c:v>2.0999999999999943</c:v>
                </c:pt>
                <c:pt idx="13" formatCode="General">
                  <c:v>3.0999999999999943</c:v>
                </c:pt>
                <c:pt idx="14">
                  <c:v>3</c:v>
                </c:pt>
                <c:pt idx="15">
                  <c:v>3.2000000000000028</c:v>
                </c:pt>
                <c:pt idx="16" formatCode="General">
                  <c:v>2.2999999999999972</c:v>
                </c:pt>
                <c:pt idx="17" formatCode="General">
                  <c:v>1.2999999999999972</c:v>
                </c:pt>
                <c:pt idx="18" formatCode="General">
                  <c:v>1.1000000000000001</c:v>
                </c:pt>
                <c:pt idx="19" formatCode="General">
                  <c:v>1.4</c:v>
                </c:pt>
                <c:pt idx="20" formatCode="General">
                  <c:v>1.7</c:v>
                </c:pt>
                <c:pt idx="21" formatCode="General">
                  <c:v>1.1000000000000001</c:v>
                </c:pt>
                <c:pt idx="22" formatCode="General">
                  <c:v>0.9</c:v>
                </c:pt>
                <c:pt idx="23" formatCode="General">
                  <c:v>0.7</c:v>
                </c:pt>
                <c:pt idx="24" formatCode="General">
                  <c:v>0.5</c:v>
                </c:pt>
                <c:pt idx="25" formatCode="General">
                  <c:v>-0.3</c:v>
                </c:pt>
                <c:pt idx="26" formatCode="General">
                  <c:v>0.1</c:v>
                </c:pt>
                <c:pt idx="27" formatCode="General">
                  <c:v>0</c:v>
                </c:pt>
                <c:pt idx="28" formatCode="General">
                  <c:v>1.5</c:v>
                </c:pt>
                <c:pt idx="29" formatCode="General">
                  <c:v>2.9</c:v>
                </c:pt>
                <c:pt idx="30" formatCode="General">
                  <c:v>3.4</c:v>
                </c:pt>
                <c:pt idx="31" formatCode="General">
                  <c:v>3.3</c:v>
                </c:pt>
                <c:pt idx="32" formatCode="General">
                  <c:v>3.2</c:v>
                </c:pt>
                <c:pt idx="33" formatCode="General">
                  <c:v>3.9</c:v>
                </c:pt>
                <c:pt idx="34" formatCode="General">
                  <c:v>3.9</c:v>
                </c:pt>
                <c:pt idx="35" formatCode="General">
                  <c:v>2.4</c:v>
                </c:pt>
                <c:pt idx="36" formatCode="General">
                  <c:v>2.9</c:v>
                </c:pt>
                <c:pt idx="37" formatCode="General">
                  <c:v>3.6</c:v>
                </c:pt>
                <c:pt idx="38" formatCode="General">
                  <c:v>3.8</c:v>
                </c:pt>
                <c:pt idx="39" formatCode="General">
                  <c:v>4.3</c:v>
                </c:pt>
                <c:pt idx="40" formatCode="General">
                  <c:v>3.8</c:v>
                </c:pt>
                <c:pt idx="41" formatCode="General">
                  <c:v>2.5</c:v>
                </c:pt>
                <c:pt idx="42" formatCode="General">
                  <c:v>2.1</c:v>
                </c:pt>
                <c:pt idx="43" formatCode="General">
                  <c:v>2.1</c:v>
                </c:pt>
                <c:pt idx="44" formatCode="General">
                  <c:v>1.9</c:v>
                </c:pt>
                <c:pt idx="45" formatCode="General">
                  <c:v>0.9</c:v>
                </c:pt>
                <c:pt idx="46" formatCode="General">
                  <c:v>0.9</c:v>
                </c:pt>
                <c:pt idx="47" formatCode="General">
                  <c:v>2.1</c:v>
                </c:pt>
                <c:pt idx="48" formatCode="General">
                  <c:v>2.4</c:v>
                </c:pt>
                <c:pt idx="49" formatCode="General">
                  <c:v>1.4</c:v>
                </c:pt>
                <c:pt idx="50" formatCode="General">
                  <c:v>0.4</c:v>
                </c:pt>
                <c:pt idx="51" formatCode="General">
                  <c:v>-0.8</c:v>
                </c:pt>
                <c:pt idx="52" formatCode="General">
                  <c:v>-0.9</c:v>
                </c:pt>
                <c:pt idx="53" formatCode="General">
                  <c:v>-0.3</c:v>
                </c:pt>
                <c:pt idx="54" formatCode="General">
                  <c:v>-0.1</c:v>
                </c:pt>
                <c:pt idx="55" formatCode="General">
                  <c:v>-0.5</c:v>
                </c:pt>
                <c:pt idx="56" formatCode="General">
                  <c:v>-0.4</c:v>
                </c:pt>
                <c:pt idx="57" formatCode="General">
                  <c:v>0.3</c:v>
                </c:pt>
                <c:pt idx="58" formatCode="General">
                  <c:v>-0.1</c:v>
                </c:pt>
                <c:pt idx="59" formatCode="General">
                  <c:v>0</c:v>
                </c:pt>
                <c:pt idx="60" formatCode="General">
                  <c:v>0</c:v>
                </c:pt>
                <c:pt idx="61" formatCode="General">
                  <c:v>1.4</c:v>
                </c:pt>
                <c:pt idx="62" formatCode="General">
                  <c:v>3.3</c:v>
                </c:pt>
                <c:pt idx="63" formatCode="General">
                  <c:v>4.5999999999999996</c:v>
                </c:pt>
                <c:pt idx="64" formatCode="General">
                  <c:v>5.0999999999999996</c:v>
                </c:pt>
                <c:pt idx="65" formatCode="General">
                  <c:v>6.1</c:v>
                </c:pt>
                <c:pt idx="66" formatCode="General">
                  <c:v>7.8</c:v>
                </c:pt>
                <c:pt idx="67" formatCode="General">
                  <c:v>9.3000000000000007</c:v>
                </c:pt>
                <c:pt idx="68" formatCode="General">
                  <c:v>9.9</c:v>
                </c:pt>
                <c:pt idx="69" formatCode="General">
                  <c:v>11.6</c:v>
                </c:pt>
                <c:pt idx="70" formatCode="General">
                  <c:v>13.5</c:v>
                </c:pt>
                <c:pt idx="71" formatCode="General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4-4E10-936F-99AD3AD0C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4'!$D$42:$D$113</c:f>
              <c:numCache>
                <c:formatCode>0.0</c:formatCode>
                <c:ptCount val="72"/>
                <c:pt idx="0">
                  <c:v>-6.5999999999999943</c:v>
                </c:pt>
                <c:pt idx="1">
                  <c:v>-6.0999999999999943</c:v>
                </c:pt>
                <c:pt idx="2">
                  <c:v>-6.5</c:v>
                </c:pt>
                <c:pt idx="3">
                  <c:v>-7</c:v>
                </c:pt>
                <c:pt idx="4">
                  <c:v>-7.0999999999999943</c:v>
                </c:pt>
                <c:pt idx="5">
                  <c:v>-7.2999999999999972</c:v>
                </c:pt>
                <c:pt idx="6">
                  <c:v>-6.5999999999999943</c:v>
                </c:pt>
                <c:pt idx="7">
                  <c:v>-6</c:v>
                </c:pt>
                <c:pt idx="8">
                  <c:v>-4.9000000000000057</c:v>
                </c:pt>
                <c:pt idx="9">
                  <c:v>-5.2000000000000028</c:v>
                </c:pt>
                <c:pt idx="10">
                  <c:v>-5.2999999999999972</c:v>
                </c:pt>
                <c:pt idx="11">
                  <c:v>-5.0999999999999943</c:v>
                </c:pt>
                <c:pt idx="12" formatCode="General">
                  <c:v>2.2999999999999972</c:v>
                </c:pt>
                <c:pt idx="13" formatCode="General">
                  <c:v>5.7999999999999972</c:v>
                </c:pt>
                <c:pt idx="14">
                  <c:v>6.2000000000000028</c:v>
                </c:pt>
                <c:pt idx="15">
                  <c:v>6.4000000000000057</c:v>
                </c:pt>
                <c:pt idx="16" formatCode="General">
                  <c:v>4.2999999999999972</c:v>
                </c:pt>
                <c:pt idx="17" formatCode="General">
                  <c:v>4.0999999999999943</c:v>
                </c:pt>
                <c:pt idx="18" formatCode="General">
                  <c:v>2.9</c:v>
                </c:pt>
                <c:pt idx="19" formatCode="General">
                  <c:v>1.7</c:v>
                </c:pt>
                <c:pt idx="20" formatCode="General">
                  <c:v>1.9</c:v>
                </c:pt>
                <c:pt idx="21" formatCode="General">
                  <c:v>3.4</c:v>
                </c:pt>
                <c:pt idx="22" formatCode="General">
                  <c:v>3.3</c:v>
                </c:pt>
                <c:pt idx="23" formatCode="General">
                  <c:v>3.6</c:v>
                </c:pt>
                <c:pt idx="24" formatCode="General">
                  <c:v>6.7</c:v>
                </c:pt>
                <c:pt idx="25" formatCode="General">
                  <c:v>5</c:v>
                </c:pt>
                <c:pt idx="26" formatCode="General">
                  <c:v>4.3</c:v>
                </c:pt>
                <c:pt idx="27" formatCode="General">
                  <c:v>4.5999999999999996</c:v>
                </c:pt>
                <c:pt idx="28" formatCode="General">
                  <c:v>7.4</c:v>
                </c:pt>
                <c:pt idx="29" formatCode="General">
                  <c:v>8</c:v>
                </c:pt>
                <c:pt idx="30" formatCode="General">
                  <c:v>8.4</c:v>
                </c:pt>
                <c:pt idx="31" formatCode="General">
                  <c:v>10.1</c:v>
                </c:pt>
                <c:pt idx="32" formatCode="General">
                  <c:v>9.9</c:v>
                </c:pt>
                <c:pt idx="33" formatCode="General">
                  <c:v>9</c:v>
                </c:pt>
                <c:pt idx="34" formatCode="General">
                  <c:v>9.1999999999999993</c:v>
                </c:pt>
                <c:pt idx="35" formatCode="General">
                  <c:v>8.3000000000000007</c:v>
                </c:pt>
                <c:pt idx="36" formatCode="General">
                  <c:v>7.9</c:v>
                </c:pt>
                <c:pt idx="37" formatCode="General">
                  <c:v>7.4</c:v>
                </c:pt>
                <c:pt idx="38" formatCode="General">
                  <c:v>8</c:v>
                </c:pt>
                <c:pt idx="39" formatCode="General">
                  <c:v>8.4</c:v>
                </c:pt>
                <c:pt idx="40" formatCode="General">
                  <c:v>7.5</c:v>
                </c:pt>
                <c:pt idx="41" formatCode="General">
                  <c:v>7.1</c:v>
                </c:pt>
                <c:pt idx="42" formatCode="General">
                  <c:v>6.9</c:v>
                </c:pt>
                <c:pt idx="43" formatCode="General">
                  <c:v>6.8</c:v>
                </c:pt>
                <c:pt idx="44" formatCode="General">
                  <c:v>6.6</c:v>
                </c:pt>
                <c:pt idx="45" formatCode="General">
                  <c:v>3.6</c:v>
                </c:pt>
                <c:pt idx="46" formatCode="General">
                  <c:v>3.2</c:v>
                </c:pt>
                <c:pt idx="47" formatCode="General">
                  <c:v>4.3</c:v>
                </c:pt>
                <c:pt idx="48" formatCode="General">
                  <c:v>-2.1</c:v>
                </c:pt>
                <c:pt idx="49" formatCode="General">
                  <c:v>-1.8</c:v>
                </c:pt>
                <c:pt idx="50" formatCode="General">
                  <c:v>-2.6</c:v>
                </c:pt>
                <c:pt idx="51" formatCode="General">
                  <c:v>-3.7</c:v>
                </c:pt>
                <c:pt idx="52" formatCode="General">
                  <c:v>-3.1</c:v>
                </c:pt>
                <c:pt idx="53" formatCode="General">
                  <c:v>-3.6</c:v>
                </c:pt>
                <c:pt idx="54" formatCode="General">
                  <c:v>-3.5</c:v>
                </c:pt>
                <c:pt idx="55" formatCode="General">
                  <c:v>-3.5</c:v>
                </c:pt>
                <c:pt idx="56" formatCode="General">
                  <c:v>-3.7</c:v>
                </c:pt>
                <c:pt idx="57" formatCode="General">
                  <c:v>-1.9</c:v>
                </c:pt>
                <c:pt idx="58" formatCode="General">
                  <c:v>-1.8</c:v>
                </c:pt>
                <c:pt idx="59" formatCode="General">
                  <c:v>-2.2000000000000002</c:v>
                </c:pt>
                <c:pt idx="60" formatCode="General">
                  <c:v>-0.3</c:v>
                </c:pt>
                <c:pt idx="61" formatCode="General">
                  <c:v>-0.8</c:v>
                </c:pt>
                <c:pt idx="62" formatCode="General">
                  <c:v>-0.3</c:v>
                </c:pt>
                <c:pt idx="63" formatCode="General">
                  <c:v>1</c:v>
                </c:pt>
                <c:pt idx="64" formatCode="General">
                  <c:v>0.3</c:v>
                </c:pt>
                <c:pt idx="65" formatCode="General">
                  <c:v>1.1000000000000001</c:v>
                </c:pt>
                <c:pt idx="66" formatCode="General">
                  <c:v>2</c:v>
                </c:pt>
                <c:pt idx="67" formatCode="General">
                  <c:v>3.6</c:v>
                </c:pt>
                <c:pt idx="68" formatCode="General">
                  <c:v>4.3</c:v>
                </c:pt>
                <c:pt idx="69" formatCode="General">
                  <c:v>12.7</c:v>
                </c:pt>
                <c:pt idx="70" formatCode="General">
                  <c:v>14</c:v>
                </c:pt>
                <c:pt idx="71" formatCode="General">
                  <c:v>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24-4E10-936F-99AD3AD0C866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4'!$E$42:$E$113</c:f>
              <c:numCache>
                <c:formatCode>0.0</c:formatCode>
                <c:ptCount val="72"/>
                <c:pt idx="0">
                  <c:v>-3.2999999999999972</c:v>
                </c:pt>
                <c:pt idx="1">
                  <c:v>-4.0999999999999943</c:v>
                </c:pt>
                <c:pt idx="2">
                  <c:v>-4.5999999999999943</c:v>
                </c:pt>
                <c:pt idx="3">
                  <c:v>-4.9000000000000057</c:v>
                </c:pt>
                <c:pt idx="4">
                  <c:v>-5</c:v>
                </c:pt>
                <c:pt idx="5">
                  <c:v>-4.5</c:v>
                </c:pt>
                <c:pt idx="6">
                  <c:v>-4</c:v>
                </c:pt>
                <c:pt idx="7">
                  <c:v>-3.2000000000000028</c:v>
                </c:pt>
                <c:pt idx="8">
                  <c:v>-2</c:v>
                </c:pt>
                <c:pt idx="9">
                  <c:v>-1.0999999999999943</c:v>
                </c:pt>
                <c:pt idx="10">
                  <c:v>-0.59999999999999432</c:v>
                </c:pt>
                <c:pt idx="11">
                  <c:v>0.59999999999999432</c:v>
                </c:pt>
                <c:pt idx="12" formatCode="General">
                  <c:v>2.5999999999999943</c:v>
                </c:pt>
                <c:pt idx="13" formatCode="General">
                  <c:v>4</c:v>
                </c:pt>
                <c:pt idx="14">
                  <c:v>3.7999999999999972</c:v>
                </c:pt>
                <c:pt idx="15">
                  <c:v>4</c:v>
                </c:pt>
                <c:pt idx="16" formatCode="General">
                  <c:v>2.7999999999999972</c:v>
                </c:pt>
                <c:pt idx="17" formatCode="General">
                  <c:v>1.5</c:v>
                </c:pt>
                <c:pt idx="18" formatCode="General">
                  <c:v>1.4</c:v>
                </c:pt>
                <c:pt idx="19" formatCode="General">
                  <c:v>2</c:v>
                </c:pt>
                <c:pt idx="20" formatCode="General">
                  <c:v>2.1</c:v>
                </c:pt>
                <c:pt idx="21" formatCode="General">
                  <c:v>1.4</c:v>
                </c:pt>
                <c:pt idx="22" formatCode="General">
                  <c:v>1.1000000000000001</c:v>
                </c:pt>
                <c:pt idx="23" formatCode="General">
                  <c:v>0.9</c:v>
                </c:pt>
                <c:pt idx="24" formatCode="General">
                  <c:v>0.2</c:v>
                </c:pt>
                <c:pt idx="25" formatCode="General">
                  <c:v>-0.9</c:v>
                </c:pt>
                <c:pt idx="26" formatCode="General">
                  <c:v>-0.5</c:v>
                </c:pt>
                <c:pt idx="27" formatCode="General">
                  <c:v>-0.5</c:v>
                </c:pt>
                <c:pt idx="28" formatCode="General">
                  <c:v>1.3</c:v>
                </c:pt>
                <c:pt idx="29" formatCode="General">
                  <c:v>2.8</c:v>
                </c:pt>
                <c:pt idx="30" formatCode="General">
                  <c:v>3.4</c:v>
                </c:pt>
                <c:pt idx="31" formatCode="General">
                  <c:v>3.2</c:v>
                </c:pt>
                <c:pt idx="32" formatCode="General">
                  <c:v>3</c:v>
                </c:pt>
                <c:pt idx="33" formatCode="General">
                  <c:v>3.8</c:v>
                </c:pt>
                <c:pt idx="34" formatCode="General">
                  <c:v>3.9</c:v>
                </c:pt>
                <c:pt idx="35" formatCode="General">
                  <c:v>2.2000000000000002</c:v>
                </c:pt>
                <c:pt idx="36" formatCode="General">
                  <c:v>1.9</c:v>
                </c:pt>
                <c:pt idx="37" formatCode="General">
                  <c:v>2.9</c:v>
                </c:pt>
                <c:pt idx="38" formatCode="General">
                  <c:v>3</c:v>
                </c:pt>
                <c:pt idx="39" formatCode="General">
                  <c:v>3.5</c:v>
                </c:pt>
                <c:pt idx="40" formatCode="General">
                  <c:v>2.9</c:v>
                </c:pt>
                <c:pt idx="41" formatCode="General">
                  <c:v>1.4</c:v>
                </c:pt>
                <c:pt idx="42" formatCode="General">
                  <c:v>0.9</c:v>
                </c:pt>
                <c:pt idx="43" formatCode="General">
                  <c:v>0.8</c:v>
                </c:pt>
                <c:pt idx="44" formatCode="General">
                  <c:v>0.7</c:v>
                </c:pt>
                <c:pt idx="45" formatCode="General">
                  <c:v>-0.4</c:v>
                </c:pt>
                <c:pt idx="46" formatCode="General">
                  <c:v>-0.7</c:v>
                </c:pt>
                <c:pt idx="47" formatCode="General">
                  <c:v>0.8</c:v>
                </c:pt>
                <c:pt idx="48" formatCode="General">
                  <c:v>1.2</c:v>
                </c:pt>
                <c:pt idx="49" formatCode="General">
                  <c:v>-0.1</c:v>
                </c:pt>
                <c:pt idx="50" formatCode="General">
                  <c:v>-1.2</c:v>
                </c:pt>
                <c:pt idx="51" formatCode="General">
                  <c:v>-2.5</c:v>
                </c:pt>
                <c:pt idx="52" formatCode="General">
                  <c:v>-2.6</c:v>
                </c:pt>
                <c:pt idx="53" formatCode="General">
                  <c:v>-1.9</c:v>
                </c:pt>
                <c:pt idx="54" formatCode="General">
                  <c:v>-1.6</c:v>
                </c:pt>
                <c:pt idx="55" formatCode="General">
                  <c:v>-2</c:v>
                </c:pt>
                <c:pt idx="56" formatCode="General">
                  <c:v>-1.9</c:v>
                </c:pt>
                <c:pt idx="57" formatCode="General">
                  <c:v>-1.1000000000000001</c:v>
                </c:pt>
                <c:pt idx="58" formatCode="General">
                  <c:v>-1.4</c:v>
                </c:pt>
                <c:pt idx="59" formatCode="General">
                  <c:v>-1.2</c:v>
                </c:pt>
                <c:pt idx="60" formatCode="General">
                  <c:v>-0.3</c:v>
                </c:pt>
                <c:pt idx="61" formatCode="General">
                  <c:v>1.6</c:v>
                </c:pt>
                <c:pt idx="62" formatCode="General">
                  <c:v>4.0999999999999996</c:v>
                </c:pt>
                <c:pt idx="63" formatCode="General">
                  <c:v>5.6</c:v>
                </c:pt>
                <c:pt idx="64" formatCode="General">
                  <c:v>6.3</c:v>
                </c:pt>
                <c:pt idx="65" formatCode="General">
                  <c:v>7.4</c:v>
                </c:pt>
                <c:pt idx="66" formatCode="General">
                  <c:v>9.5</c:v>
                </c:pt>
                <c:pt idx="67" formatCode="General">
                  <c:v>11.4</c:v>
                </c:pt>
                <c:pt idx="68" formatCode="General">
                  <c:v>12</c:v>
                </c:pt>
                <c:pt idx="69" formatCode="General">
                  <c:v>13.4</c:v>
                </c:pt>
                <c:pt idx="70" formatCode="General">
                  <c:v>15.4</c:v>
                </c:pt>
                <c:pt idx="71" formatCode="General">
                  <c:v>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24-4E10-936F-99AD3AD0C866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4'!$F$42:$F$113</c:f>
              <c:numCache>
                <c:formatCode>0.0</c:formatCode>
                <c:ptCount val="72"/>
                <c:pt idx="0">
                  <c:v>-4</c:v>
                </c:pt>
                <c:pt idx="1">
                  <c:v>-4.0999999999999943</c:v>
                </c:pt>
                <c:pt idx="2">
                  <c:v>-4.0999999999999943</c:v>
                </c:pt>
                <c:pt idx="3">
                  <c:v>-4</c:v>
                </c:pt>
                <c:pt idx="4">
                  <c:v>-4</c:v>
                </c:pt>
                <c:pt idx="5">
                  <c:v>-4.0999999999999943</c:v>
                </c:pt>
                <c:pt idx="6">
                  <c:v>-4</c:v>
                </c:pt>
                <c:pt idx="7">
                  <c:v>-4</c:v>
                </c:pt>
                <c:pt idx="8">
                  <c:v>-4.0999999999999943</c:v>
                </c:pt>
                <c:pt idx="9">
                  <c:v>-4.0999999999999943</c:v>
                </c:pt>
                <c:pt idx="10">
                  <c:v>-4.0999999999999943</c:v>
                </c:pt>
                <c:pt idx="11">
                  <c:v>-4.0999999999999943</c:v>
                </c:pt>
                <c:pt idx="12" formatCode="General">
                  <c:v>-1.0999999999999943</c:v>
                </c:pt>
                <c:pt idx="13" formatCode="General">
                  <c:v>-1.2000000000000028</c:v>
                </c:pt>
                <c:pt idx="14">
                  <c:v>-1.2000000000000028</c:v>
                </c:pt>
                <c:pt idx="15">
                  <c:v>-1.4000000000000057</c:v>
                </c:pt>
                <c:pt idx="16" formatCode="General">
                  <c:v>-1.2999999999999972</c:v>
                </c:pt>
                <c:pt idx="17" formatCode="General">
                  <c:v>-1.0999999999999943</c:v>
                </c:pt>
                <c:pt idx="18" formatCode="General">
                  <c:v>-1.1000000000000001</c:v>
                </c:pt>
                <c:pt idx="19" formatCode="General">
                  <c:v>-1.3</c:v>
                </c:pt>
                <c:pt idx="20" formatCode="General">
                  <c:v>-1.1000000000000001</c:v>
                </c:pt>
                <c:pt idx="21" formatCode="General">
                  <c:v>-1.1000000000000001</c:v>
                </c:pt>
                <c:pt idx="22" formatCode="General">
                  <c:v>-1.1000000000000001</c:v>
                </c:pt>
                <c:pt idx="23" formatCode="General">
                  <c:v>-1.1000000000000001</c:v>
                </c:pt>
                <c:pt idx="24" formatCode="General">
                  <c:v>1.5</c:v>
                </c:pt>
                <c:pt idx="25" formatCode="General">
                  <c:v>1.6</c:v>
                </c:pt>
                <c:pt idx="26" formatCode="General">
                  <c:v>1.6</c:v>
                </c:pt>
                <c:pt idx="27" formatCode="General">
                  <c:v>1.7</c:v>
                </c:pt>
                <c:pt idx="28" formatCode="General">
                  <c:v>1.7</c:v>
                </c:pt>
                <c:pt idx="29" formatCode="General">
                  <c:v>2.2999999999999998</c:v>
                </c:pt>
                <c:pt idx="30" formatCode="General">
                  <c:v>2.2999999999999998</c:v>
                </c:pt>
                <c:pt idx="31" formatCode="General">
                  <c:v>2.6</c:v>
                </c:pt>
                <c:pt idx="32" formatCode="General">
                  <c:v>2.7</c:v>
                </c:pt>
                <c:pt idx="33" formatCode="General">
                  <c:v>2.8</c:v>
                </c:pt>
                <c:pt idx="34" formatCode="General">
                  <c:v>2.8</c:v>
                </c:pt>
                <c:pt idx="35" formatCode="General">
                  <c:v>2.8</c:v>
                </c:pt>
                <c:pt idx="36" formatCode="General">
                  <c:v>7.2</c:v>
                </c:pt>
                <c:pt idx="37" formatCode="General">
                  <c:v>7.5</c:v>
                </c:pt>
                <c:pt idx="38" formatCode="General">
                  <c:v>8.4</c:v>
                </c:pt>
                <c:pt idx="39" formatCode="General">
                  <c:v>8.1999999999999993</c:v>
                </c:pt>
                <c:pt idx="40" formatCode="General">
                  <c:v>8.6</c:v>
                </c:pt>
                <c:pt idx="41" formatCode="General">
                  <c:v>7.9</c:v>
                </c:pt>
                <c:pt idx="42" formatCode="General">
                  <c:v>8</c:v>
                </c:pt>
                <c:pt idx="43" formatCode="General">
                  <c:v>7.7</c:v>
                </c:pt>
                <c:pt idx="44" formatCode="General">
                  <c:v>7.7</c:v>
                </c:pt>
                <c:pt idx="45" formatCode="General">
                  <c:v>7.5</c:v>
                </c:pt>
                <c:pt idx="46" formatCode="General">
                  <c:v>8.6999999999999993</c:v>
                </c:pt>
                <c:pt idx="47" formatCode="General">
                  <c:v>8.8000000000000007</c:v>
                </c:pt>
                <c:pt idx="48" formatCode="General">
                  <c:v>9.3000000000000007</c:v>
                </c:pt>
                <c:pt idx="49" formatCode="General">
                  <c:v>9</c:v>
                </c:pt>
                <c:pt idx="50" formatCode="General">
                  <c:v>8.3000000000000007</c:v>
                </c:pt>
                <c:pt idx="51" formatCode="General">
                  <c:v>8.6</c:v>
                </c:pt>
                <c:pt idx="52" formatCode="General">
                  <c:v>8</c:v>
                </c:pt>
                <c:pt idx="53" formatCode="General">
                  <c:v>8</c:v>
                </c:pt>
                <c:pt idx="54" formatCode="General">
                  <c:v>7.7</c:v>
                </c:pt>
                <c:pt idx="55" formatCode="General">
                  <c:v>7.9</c:v>
                </c:pt>
                <c:pt idx="56" formatCode="General">
                  <c:v>7.7</c:v>
                </c:pt>
                <c:pt idx="57" formatCode="General">
                  <c:v>7</c:v>
                </c:pt>
                <c:pt idx="58" formatCode="General">
                  <c:v>5.8</c:v>
                </c:pt>
                <c:pt idx="59" formatCode="General">
                  <c:v>5.6</c:v>
                </c:pt>
                <c:pt idx="60" formatCode="General">
                  <c:v>0.4</c:v>
                </c:pt>
                <c:pt idx="61" formatCode="General">
                  <c:v>0.4</c:v>
                </c:pt>
                <c:pt idx="62" formatCode="General">
                  <c:v>0.1</c:v>
                </c:pt>
                <c:pt idx="63" formatCode="General">
                  <c:v>-0.1</c:v>
                </c:pt>
                <c:pt idx="64" formatCode="General">
                  <c:v>0.2</c:v>
                </c:pt>
                <c:pt idx="65" formatCode="General">
                  <c:v>0.2</c:v>
                </c:pt>
                <c:pt idx="66" formatCode="General">
                  <c:v>0.5</c:v>
                </c:pt>
                <c:pt idx="67" formatCode="General">
                  <c:v>0.7</c:v>
                </c:pt>
                <c:pt idx="68" formatCode="General">
                  <c:v>1.2</c:v>
                </c:pt>
                <c:pt idx="69" formatCode="General">
                  <c:v>3.7</c:v>
                </c:pt>
                <c:pt idx="70" formatCode="General">
                  <c:v>5.6</c:v>
                </c:pt>
                <c:pt idx="71" formatCode="General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24-4E10-936F-99AD3AD0C866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4'!$A$42:$B$113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4'!$G$42:$G$113</c:f>
              <c:numCache>
                <c:formatCode>General</c:formatCode>
                <c:ptCount val="72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1.5999999999999943</c:v>
                </c:pt>
                <c:pt idx="4">
                  <c:v>1.5999999999999943</c:v>
                </c:pt>
                <c:pt idx="5">
                  <c:v>1.5999999999999943</c:v>
                </c:pt>
                <c:pt idx="6">
                  <c:v>1.5999999999999943</c:v>
                </c:pt>
                <c:pt idx="7">
                  <c:v>1.5999999999999943</c:v>
                </c:pt>
                <c:pt idx="8">
                  <c:v>1.5999999999999943</c:v>
                </c:pt>
                <c:pt idx="9">
                  <c:v>1.5999999999999943</c:v>
                </c:pt>
                <c:pt idx="10">
                  <c:v>1.5999999999999943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2.0999999999999943</c:v>
                </c:pt>
                <c:pt idx="14" formatCode="0.0">
                  <c:v>2.0999999999999943</c:v>
                </c:pt>
                <c:pt idx="15" formatCode="0.0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1.9</c:v>
                </c:pt>
                <c:pt idx="25">
                  <c:v>1.9</c:v>
                </c:pt>
                <c:pt idx="26">
                  <c:v>1.9</c:v>
                </c:pt>
                <c:pt idx="27">
                  <c:v>1.9</c:v>
                </c:pt>
                <c:pt idx="28">
                  <c:v>1.9</c:v>
                </c:pt>
                <c:pt idx="29">
                  <c:v>1.9</c:v>
                </c:pt>
                <c:pt idx="30">
                  <c:v>1.9</c:v>
                </c:pt>
                <c:pt idx="31">
                  <c:v>1.9</c:v>
                </c:pt>
                <c:pt idx="32">
                  <c:v>1.9</c:v>
                </c:pt>
                <c:pt idx="33">
                  <c:v>1.9</c:v>
                </c:pt>
                <c:pt idx="34">
                  <c:v>1.9</c:v>
                </c:pt>
                <c:pt idx="35">
                  <c:v>1.9</c:v>
                </c:pt>
                <c:pt idx="36">
                  <c:v>2.9</c:v>
                </c:pt>
                <c:pt idx="37">
                  <c:v>2.9</c:v>
                </c:pt>
                <c:pt idx="38">
                  <c:v>2.9</c:v>
                </c:pt>
                <c:pt idx="39">
                  <c:v>2.9</c:v>
                </c:pt>
                <c:pt idx="40">
                  <c:v>2.9</c:v>
                </c:pt>
                <c:pt idx="41">
                  <c:v>2.9</c:v>
                </c:pt>
                <c:pt idx="42">
                  <c:v>2.9</c:v>
                </c:pt>
                <c:pt idx="43">
                  <c:v>2.9</c:v>
                </c:pt>
                <c:pt idx="44">
                  <c:v>2.9</c:v>
                </c:pt>
                <c:pt idx="45">
                  <c:v>2.9</c:v>
                </c:pt>
                <c:pt idx="46">
                  <c:v>2.9</c:v>
                </c:pt>
                <c:pt idx="47">
                  <c:v>2.9</c:v>
                </c:pt>
                <c:pt idx="48">
                  <c:v>5.4</c:v>
                </c:pt>
                <c:pt idx="49">
                  <c:v>5.4</c:v>
                </c:pt>
                <c:pt idx="50">
                  <c:v>5.4</c:v>
                </c:pt>
                <c:pt idx="51">
                  <c:v>5.4</c:v>
                </c:pt>
                <c:pt idx="52">
                  <c:v>6.4</c:v>
                </c:pt>
                <c:pt idx="53">
                  <c:v>6.4</c:v>
                </c:pt>
                <c:pt idx="54">
                  <c:v>6.4</c:v>
                </c:pt>
                <c:pt idx="55">
                  <c:v>6.4</c:v>
                </c:pt>
                <c:pt idx="56">
                  <c:v>6.4</c:v>
                </c:pt>
                <c:pt idx="57">
                  <c:v>6.4</c:v>
                </c:pt>
                <c:pt idx="58">
                  <c:v>6.4</c:v>
                </c:pt>
                <c:pt idx="59">
                  <c:v>6.4</c:v>
                </c:pt>
                <c:pt idx="60">
                  <c:v>6.9</c:v>
                </c:pt>
                <c:pt idx="61">
                  <c:v>6.9</c:v>
                </c:pt>
                <c:pt idx="62">
                  <c:v>6.9</c:v>
                </c:pt>
                <c:pt idx="63">
                  <c:v>6.9</c:v>
                </c:pt>
                <c:pt idx="64">
                  <c:v>5.9</c:v>
                </c:pt>
                <c:pt idx="65">
                  <c:v>5.9</c:v>
                </c:pt>
                <c:pt idx="66">
                  <c:v>5.9</c:v>
                </c:pt>
                <c:pt idx="67">
                  <c:v>5.9</c:v>
                </c:pt>
                <c:pt idx="68">
                  <c:v>5.9</c:v>
                </c:pt>
                <c:pt idx="69">
                  <c:v>5.9</c:v>
                </c:pt>
                <c:pt idx="70">
                  <c:v>5.9</c:v>
                </c:pt>
                <c:pt idx="71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824-4E10-936F-99AD3AD0C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6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143722952861455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3B2A-C933-452F-8C25-3564FD304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8683A-C50C-4674-B730-FE20A061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</TotalTime>
  <Pages>6</Pages>
  <Words>2590</Words>
  <Characters>15284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17839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2022-03-21T10:52:00Z</dcterms:created>
  <dcterms:modified xsi:type="dcterms:W3CDTF">2022-03-21T11:01:00Z</dcterms:modified>
</cp:coreProperties>
</file>