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3830" w14:textId="77777777" w:rsidR="0073261D" w:rsidRDefault="0073261D" w:rsidP="0073261D">
      <w:pPr>
        <w:pStyle w:val="Nadpis11"/>
      </w:pPr>
      <w:bookmarkStart w:id="0" w:name="_Toc58605374"/>
      <w:bookmarkStart w:id="1" w:name="_Toc66719930"/>
      <w:bookmarkStart w:id="2" w:name="_Toc532558287"/>
      <w:bookmarkStart w:id="3" w:name="_Toc58605375"/>
      <w:bookmarkStart w:id="4" w:name="_Toc82508186"/>
      <w:bookmarkStart w:id="5" w:name="_Toc98245442"/>
      <w:r>
        <w:t>3</w:t>
      </w:r>
      <w:r w:rsidRPr="00B43216">
        <w:t>. </w:t>
      </w:r>
      <w:r>
        <w:t>Výkonnost odvětví</w:t>
      </w:r>
      <w:bookmarkEnd w:id="4"/>
      <w:bookmarkEnd w:id="5"/>
    </w:p>
    <w:tbl>
      <w:tblPr>
        <w:tblW w:w="9664" w:type="dxa"/>
        <w:tblInd w:w="-30" w:type="dxa"/>
        <w:tblCellMar>
          <w:left w:w="0" w:type="dxa"/>
          <w:right w:w="0" w:type="dxa"/>
        </w:tblCellMar>
        <w:tblLook w:val="00A0" w:firstRow="1" w:lastRow="0" w:firstColumn="1" w:lastColumn="0" w:noHBand="0" w:noVBand="0"/>
      </w:tblPr>
      <w:tblGrid>
        <w:gridCol w:w="1728"/>
        <w:gridCol w:w="206"/>
        <w:gridCol w:w="7730"/>
      </w:tblGrid>
      <w:tr w:rsidR="00F77A50" w:rsidRPr="006237E6" w14:paraId="58F15F29" w14:textId="77777777" w:rsidTr="00B66208">
        <w:trPr>
          <w:trHeight w:val="155"/>
        </w:trPr>
        <w:tc>
          <w:tcPr>
            <w:tcW w:w="1728" w:type="dxa"/>
            <w:shd w:val="clear" w:color="auto" w:fill="auto"/>
            <w:tcMar>
              <w:left w:w="0" w:type="dxa"/>
            </w:tcMar>
          </w:tcPr>
          <w:p w14:paraId="7C3DC5B1" w14:textId="77777777" w:rsidR="00F77A50" w:rsidRDefault="00F77A50" w:rsidP="00B66208">
            <w:pPr>
              <w:pStyle w:val="Marginlie"/>
            </w:pPr>
            <w:r>
              <w:t>Po většinu loňského roku pokračovalo pokrizové zotavování služeb. To nebylo významně narušeno při zhoršení epidemické situace ve 4. čtvrtletí.</w:t>
            </w:r>
          </w:p>
        </w:tc>
        <w:tc>
          <w:tcPr>
            <w:tcW w:w="206" w:type="dxa"/>
            <w:shd w:val="clear" w:color="auto" w:fill="auto"/>
            <w:tcMar>
              <w:left w:w="0" w:type="dxa"/>
            </w:tcMar>
          </w:tcPr>
          <w:p w14:paraId="68D621B1"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79D77005" w14:textId="77777777" w:rsidR="00F77A50" w:rsidRDefault="00F77A50" w:rsidP="00B66208">
            <w:pPr>
              <w:spacing w:after="200"/>
              <w:rPr>
                <w:spacing w:val="-4"/>
              </w:rPr>
            </w:pPr>
            <w:r>
              <w:rPr>
                <w:spacing w:val="-4"/>
              </w:rPr>
              <w:t>Tuzemská ekonomika ve druhé půli loňského roku pokračovala v zotavování, jež bylo nastartováno již během jarního období, kdy se podstatně zlepšila epidemická situace, a restriktivní opatření svírající část ekonomiky tak byla postupně zrušena. Mezikvartální růst hrubé přidané hodnoty</w:t>
            </w:r>
            <w:r w:rsidRPr="001F719B">
              <w:rPr>
                <w:spacing w:val="-4"/>
              </w:rPr>
              <w:t xml:space="preserve"> (HPH)</w:t>
            </w:r>
            <w:r w:rsidRPr="001F719B">
              <w:rPr>
                <w:rStyle w:val="Znakapoznpodarou"/>
                <w:spacing w:val="-4"/>
              </w:rPr>
              <w:footnoteReference w:id="1"/>
            </w:r>
            <w:r>
              <w:rPr>
                <w:spacing w:val="-4"/>
              </w:rPr>
              <w:t xml:space="preserve"> dosáhl ve 2. čtvrtletí 1,0 % a v následujícím období zrychlil na 1,5 %. Pomohly tomu zejména obchod, doprava a další aktivity s vazbou na cestovní ruch, stimulačně působily i veřejné služby</w:t>
            </w:r>
            <w:r>
              <w:rPr>
                <w:rStyle w:val="Znakapoznpodarou"/>
                <w:spacing w:val="-4"/>
              </w:rPr>
              <w:footnoteReference w:id="2"/>
            </w:r>
            <w:r>
              <w:rPr>
                <w:spacing w:val="-4"/>
              </w:rPr>
              <w:t>. Ve 4. čtvrtletí souhrnný růst výkonu všech odvětví zvolnil na 0,7 %. Prohlubující se dodavatelské problémy tlumily výkon zpracovatelského průmyslu (–1,6 %), zastavil se i růst ve stavebnictví. Nečekané citelné zhoršení epidemické situace již ale nevedlo k uzavírání provozoven a všechna klíčová odvětví služeb pokračovala v růstu – dařilo se zejména finančnímu sektoru a oblasti nemovitostí. HPH v celé ekonomice sice za svým předkrizovým maximem stále zaostávala (o</w:t>
            </w:r>
            <w:r w:rsidRPr="001F719B">
              <w:rPr>
                <w:spacing w:val="-4"/>
              </w:rPr>
              <w:t> </w:t>
            </w:r>
            <w:r>
              <w:rPr>
                <w:spacing w:val="-4"/>
              </w:rPr>
              <w:t>2,2 %)</w:t>
            </w:r>
            <w:r>
              <w:rPr>
                <w:rStyle w:val="Znakapoznpodarou"/>
                <w:spacing w:val="-4"/>
              </w:rPr>
              <w:footnoteReference w:id="3"/>
            </w:r>
            <w:r>
              <w:rPr>
                <w:spacing w:val="-4"/>
              </w:rPr>
              <w:t>, řada odvětví služeb ale svůj rekordní výkon z roku 2019 již překonala</w:t>
            </w:r>
            <w:r>
              <w:rPr>
                <w:rStyle w:val="Znakapoznpodarou"/>
                <w:spacing w:val="-4"/>
              </w:rPr>
              <w:footnoteReference w:id="4"/>
            </w:r>
            <w:r>
              <w:rPr>
                <w:spacing w:val="-4"/>
              </w:rPr>
              <w:t>.</w:t>
            </w:r>
          </w:p>
        </w:tc>
      </w:tr>
      <w:tr w:rsidR="00F77A50" w:rsidRPr="006237E6" w14:paraId="0FDE1C2A" w14:textId="77777777" w:rsidTr="00B66208">
        <w:trPr>
          <w:trHeight w:val="155"/>
        </w:trPr>
        <w:tc>
          <w:tcPr>
            <w:tcW w:w="1728" w:type="dxa"/>
            <w:shd w:val="clear" w:color="auto" w:fill="auto"/>
            <w:tcMar>
              <w:left w:w="0" w:type="dxa"/>
            </w:tcMar>
          </w:tcPr>
          <w:p w14:paraId="3EDC7EBD" w14:textId="77777777" w:rsidR="00F77A50" w:rsidRDefault="00F77A50" w:rsidP="00B66208">
            <w:pPr>
              <w:pStyle w:val="Marginlie"/>
            </w:pPr>
            <w:r>
              <w:t>V celoročním pohledu přispíval k růstu HPH stále nejvíce zpracovatelský průmysl. Dobrých výsledků nadále dosahovalo zemědělství, dařilo se i většině služeb, zejména těm veřejným.</w:t>
            </w:r>
          </w:p>
        </w:tc>
        <w:tc>
          <w:tcPr>
            <w:tcW w:w="206" w:type="dxa"/>
            <w:shd w:val="clear" w:color="auto" w:fill="auto"/>
            <w:tcMar>
              <w:left w:w="0" w:type="dxa"/>
            </w:tcMar>
          </w:tcPr>
          <w:p w14:paraId="2BF6E025"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3901A9DC" w14:textId="77777777" w:rsidR="00F77A50" w:rsidRPr="00236892" w:rsidRDefault="00F77A50" w:rsidP="00B66208">
            <w:pPr>
              <w:spacing w:after="200"/>
              <w:rPr>
                <w:spacing w:val="-5"/>
              </w:rPr>
            </w:pPr>
            <w:r w:rsidRPr="00236892">
              <w:rPr>
                <w:spacing w:val="-7"/>
              </w:rPr>
              <w:t>V roce 2021 se HPH v celé ekonomice zvýšila meziročně o 3,0 %. I přes narůstající logistické potíže přispěl k růstu nejvíce zpracovatelský průmysl (+1,1 p. b.). Dařilo se odvětví zemědělství,</w:t>
            </w:r>
            <w:r w:rsidRPr="00236892">
              <w:rPr>
                <w:spacing w:val="-5"/>
              </w:rPr>
              <w:t xml:space="preserve"> </w:t>
            </w:r>
            <w:r w:rsidRPr="00236892">
              <w:rPr>
                <w:spacing w:val="-6"/>
              </w:rPr>
              <w:t>lesnictví a rybářství, kde se zvyšovala produktivita práce a přidaná hodnota rostla čtvrtý rok v řadě. Loňská sklizeň zemědělských plodin byla ve srovnání s dobrou sklizní z roku 2020 srovnatelná</w:t>
            </w:r>
            <w:r w:rsidRPr="00236892">
              <w:rPr>
                <w:rStyle w:val="Znakapoznpodarou"/>
                <w:spacing w:val="-6"/>
              </w:rPr>
              <w:footnoteReference w:id="5"/>
            </w:r>
            <w:r w:rsidRPr="00236892">
              <w:rPr>
                <w:spacing w:val="-6"/>
              </w:rPr>
              <w:t>, v kontextu celé poslední dekády pak zřetelně nadprůměrná</w:t>
            </w:r>
            <w:r w:rsidRPr="00236892">
              <w:rPr>
                <w:rStyle w:val="Znakapoznpodarou"/>
                <w:spacing w:val="-6"/>
              </w:rPr>
              <w:footnoteReference w:id="6"/>
            </w:r>
            <w:r w:rsidRPr="00236892">
              <w:rPr>
                <w:spacing w:val="-6"/>
              </w:rPr>
              <w:t>. V živočišné výrobě pokračoval čtvrtým rokem v řadě mírný růst výroby masa (+2,6 %), přímý nákup mléka od tuzemských producentů se ale ve srovnání s rekordní výší z roku 2020 o 2,0 % snížil. Vedle toho měla na výkon celého primárního sektoru patrně vliv i oslabující kůrovcová kalamita (rekordní živelní těžba dřeva z roku 2020 se loni již neopakovala). Ze služeb rostla loni HPH nejvíce ve finančnictví a k růstu celé ekonomiky přispěla 0,4 p. b. Podobný vliv mělo i zotavující se odvětví obchod, doprava, ubytování a pohostinství a rovněž veřejné služby, u nichž k rekordnímu růstu HPH (o 2,9 %) významně přispěl vyšší počet odpracovaných hodin.</w:t>
            </w:r>
          </w:p>
        </w:tc>
      </w:tr>
      <w:tr w:rsidR="00F77A50" w:rsidRPr="006237E6" w14:paraId="4D9CD0E7" w14:textId="77777777" w:rsidTr="00B66208">
        <w:trPr>
          <w:trHeight w:val="155"/>
        </w:trPr>
        <w:tc>
          <w:tcPr>
            <w:tcW w:w="1728" w:type="dxa"/>
            <w:shd w:val="clear" w:color="auto" w:fill="auto"/>
            <w:tcMar>
              <w:left w:w="0" w:type="dxa"/>
            </w:tcMar>
          </w:tcPr>
          <w:p w14:paraId="56EB366C" w14:textId="77777777" w:rsidR="00F77A50" w:rsidRDefault="00F77A50" w:rsidP="00B66208">
            <w:pPr>
              <w:pStyle w:val="Marginlie"/>
              <w:rPr>
                <w:spacing w:val="-4"/>
              </w:rPr>
            </w:pPr>
            <w:r>
              <w:rPr>
                <w:spacing w:val="-4"/>
              </w:rPr>
              <w:t>Pokrizové zotavování průmyslu probíhalo loni značně nerovnoměrně.</w:t>
            </w:r>
          </w:p>
        </w:tc>
        <w:tc>
          <w:tcPr>
            <w:tcW w:w="206" w:type="dxa"/>
            <w:shd w:val="clear" w:color="auto" w:fill="auto"/>
            <w:tcMar>
              <w:left w:w="0" w:type="dxa"/>
            </w:tcMar>
          </w:tcPr>
          <w:p w14:paraId="1893ABCC"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74326D6C" w14:textId="77777777" w:rsidR="00F77A50" w:rsidRDefault="00F77A50" w:rsidP="00B66208">
            <w:pPr>
              <w:spacing w:after="200"/>
              <w:rPr>
                <w:color w:val="0D0D0D" w:themeColor="text1" w:themeTint="F2"/>
                <w:spacing w:val="-4"/>
              </w:rPr>
            </w:pPr>
            <w:r>
              <w:rPr>
                <w:color w:val="0D0D0D" w:themeColor="text1" w:themeTint="F2"/>
                <w:spacing w:val="-4"/>
              </w:rPr>
              <w:t xml:space="preserve">Pokračující zotavování průmyslu v roce 2021 </w:t>
            </w:r>
            <w:r w:rsidRPr="00BF07B5">
              <w:rPr>
                <w:color w:val="0D0D0D" w:themeColor="text1" w:themeTint="F2"/>
                <w:spacing w:val="-4"/>
              </w:rPr>
              <w:t>dokládají</w:t>
            </w:r>
            <w:r>
              <w:rPr>
                <w:color w:val="0D0D0D" w:themeColor="text1" w:themeTint="F2"/>
                <w:spacing w:val="-4"/>
              </w:rPr>
              <w:t xml:space="preserve"> vedle údajů o přidané hodnotě i podrobnější data</w:t>
            </w:r>
            <w:r w:rsidRPr="00BF07B5">
              <w:rPr>
                <w:color w:val="0D0D0D" w:themeColor="text1" w:themeTint="F2"/>
                <w:spacing w:val="-4"/>
              </w:rPr>
              <w:t xml:space="preserve"> z podnikových statistik.</w:t>
            </w:r>
            <w:r>
              <w:rPr>
                <w:color w:val="0D0D0D" w:themeColor="text1" w:themeTint="F2"/>
                <w:spacing w:val="-4"/>
              </w:rPr>
              <w:t xml:space="preserve"> Toto oživení probíhalo ovšem nerovnoměrně, a</w:t>
            </w:r>
            <w:r w:rsidRPr="00BF07B5">
              <w:rPr>
                <w:color w:val="0D0D0D" w:themeColor="text1" w:themeTint="F2"/>
                <w:spacing w:val="-4"/>
              </w:rPr>
              <w:t> </w:t>
            </w:r>
            <w:r>
              <w:rPr>
                <w:color w:val="0D0D0D" w:themeColor="text1" w:themeTint="F2"/>
                <w:spacing w:val="-4"/>
              </w:rPr>
              <w:t>to jak z pohledu jednotlivých částí roku, tak i z hlediska odvětví. Automobilový průmysl se po celý rok potýkal s dodavatelskými problémy, jež pramenily z rychlého oživení nejvyspělejších světových ekonomik doprovázeného výrobními i logistickými problémy v asijských regionech. Vedle toho se některé obory silně zasažené během pandemie (např. oděvnictví, výroba nápojů) stále potýkaly s nedostatečnou poptávkou.</w:t>
            </w:r>
          </w:p>
        </w:tc>
      </w:tr>
      <w:tr w:rsidR="00F77A50" w:rsidRPr="006237E6" w14:paraId="44F812E8" w14:textId="77777777" w:rsidTr="00B66208">
        <w:trPr>
          <w:trHeight w:val="155"/>
        </w:trPr>
        <w:tc>
          <w:tcPr>
            <w:tcW w:w="1728" w:type="dxa"/>
            <w:shd w:val="clear" w:color="auto" w:fill="auto"/>
            <w:tcMar>
              <w:left w:w="0" w:type="dxa"/>
            </w:tcMar>
          </w:tcPr>
          <w:p w14:paraId="140713C0" w14:textId="77777777" w:rsidR="00F77A50" w:rsidRDefault="00F77A50" w:rsidP="00B66208">
            <w:pPr>
              <w:pStyle w:val="Marginlie"/>
              <w:rPr>
                <w:spacing w:val="-4"/>
              </w:rPr>
            </w:pPr>
            <w:r>
              <w:rPr>
                <w:spacing w:val="-4"/>
              </w:rPr>
              <w:t>Ve 2. čtvrtletí byl výkon průmyslu na svém loňském vrcholu, když těžil z celkového oživení ekonomiky v eurozóně.</w:t>
            </w:r>
          </w:p>
        </w:tc>
        <w:tc>
          <w:tcPr>
            <w:tcW w:w="206" w:type="dxa"/>
            <w:shd w:val="clear" w:color="auto" w:fill="auto"/>
            <w:tcMar>
              <w:left w:w="0" w:type="dxa"/>
            </w:tcMar>
          </w:tcPr>
          <w:p w14:paraId="6E8D5A74"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3FD40CB3" w14:textId="77777777" w:rsidR="00F77A50" w:rsidRPr="00BF07B5" w:rsidRDefault="00F77A50" w:rsidP="00B66208">
            <w:pPr>
              <w:spacing w:after="200"/>
              <w:rPr>
                <w:color w:val="0D0D0D" w:themeColor="text1" w:themeTint="F2"/>
                <w:spacing w:val="-4"/>
              </w:rPr>
            </w:pPr>
            <w:r>
              <w:rPr>
                <w:color w:val="0D0D0D" w:themeColor="text1" w:themeTint="F2"/>
                <w:spacing w:val="-4"/>
              </w:rPr>
              <w:t>Po rychlém restartu</w:t>
            </w:r>
            <w:r w:rsidRPr="00BF07B5">
              <w:rPr>
                <w:color w:val="0D0D0D" w:themeColor="text1" w:themeTint="F2"/>
                <w:spacing w:val="-4"/>
              </w:rPr>
              <w:t xml:space="preserve"> průmyslu v druhé polovině roku</w:t>
            </w:r>
            <w:r>
              <w:rPr>
                <w:color w:val="0D0D0D" w:themeColor="text1" w:themeTint="F2"/>
                <w:spacing w:val="-4"/>
              </w:rPr>
              <w:t xml:space="preserve"> 2020, na kterém se kromě</w:t>
            </w:r>
            <w:r w:rsidRPr="00BF07B5">
              <w:rPr>
                <w:color w:val="0D0D0D" w:themeColor="text1" w:themeTint="F2"/>
                <w:spacing w:val="-4"/>
              </w:rPr>
              <w:t xml:space="preserve"> klíčových e</w:t>
            </w:r>
            <w:r>
              <w:rPr>
                <w:color w:val="0D0D0D" w:themeColor="text1" w:themeTint="F2"/>
                <w:spacing w:val="-4"/>
              </w:rPr>
              <w:t>xportních oborů podílelo široké</w:t>
            </w:r>
            <w:r w:rsidRPr="00BF07B5">
              <w:rPr>
                <w:color w:val="0D0D0D" w:themeColor="text1" w:themeTint="F2"/>
                <w:spacing w:val="-4"/>
              </w:rPr>
              <w:t xml:space="preserve"> spektrum dílčích odvětví, výkon celého průmyslu na počátku roku 2021 dočasně poklesl. V 1.</w:t>
            </w:r>
            <w:r>
              <w:rPr>
                <w:color w:val="0D0D0D" w:themeColor="text1" w:themeTint="F2"/>
                <w:spacing w:val="-4"/>
              </w:rPr>
              <w:t> čtvrtlet</w:t>
            </w:r>
            <w:r w:rsidRPr="00BF07B5">
              <w:rPr>
                <w:color w:val="0D0D0D" w:themeColor="text1" w:themeTint="F2"/>
                <w:spacing w:val="-4"/>
              </w:rPr>
              <w:t>í se průmyslová produkce</w:t>
            </w:r>
            <w:r w:rsidRPr="00BF07B5">
              <w:rPr>
                <w:color w:val="0D0D0D" w:themeColor="text1" w:themeTint="F2"/>
                <w:spacing w:val="-4"/>
                <w:vertAlign w:val="superscript"/>
              </w:rPr>
              <w:footnoteReference w:id="7"/>
            </w:r>
            <w:r>
              <w:rPr>
                <w:color w:val="0D0D0D" w:themeColor="text1" w:themeTint="F2"/>
                <w:spacing w:val="-4"/>
              </w:rPr>
              <w:t xml:space="preserve"> mezikvartálně snížila o 1,1 %</w:t>
            </w:r>
            <w:r w:rsidRPr="00BF07B5">
              <w:rPr>
                <w:color w:val="0D0D0D" w:themeColor="text1" w:themeTint="F2"/>
                <w:spacing w:val="-4"/>
              </w:rPr>
              <w:t xml:space="preserve">, neboť </w:t>
            </w:r>
            <w:r>
              <w:rPr>
                <w:color w:val="0D0D0D" w:themeColor="text1" w:themeTint="F2"/>
                <w:spacing w:val="-4"/>
              </w:rPr>
              <w:t xml:space="preserve">svižné </w:t>
            </w:r>
            <w:r w:rsidRPr="00BF07B5">
              <w:rPr>
                <w:color w:val="0D0D0D" w:themeColor="text1" w:themeTint="F2"/>
                <w:spacing w:val="-4"/>
              </w:rPr>
              <w:t>pokrizové zotavování u</w:t>
            </w:r>
            <w:r>
              <w:rPr>
                <w:color w:val="0D0D0D" w:themeColor="text1" w:themeTint="F2"/>
                <w:spacing w:val="-4"/>
              </w:rPr>
              <w:t> </w:t>
            </w:r>
            <w:r w:rsidRPr="00BF07B5">
              <w:rPr>
                <w:color w:val="0D0D0D" w:themeColor="text1" w:themeTint="F2"/>
                <w:spacing w:val="-4"/>
              </w:rPr>
              <w:t>výrobců automobilů (v</w:t>
            </w:r>
            <w:r>
              <w:rPr>
                <w:color w:val="0D0D0D" w:themeColor="text1" w:themeTint="F2"/>
                <w:spacing w:val="-4"/>
              </w:rPr>
              <w:t xml:space="preserve">četně </w:t>
            </w:r>
            <w:r w:rsidRPr="00BF07B5">
              <w:rPr>
                <w:color w:val="0D0D0D" w:themeColor="text1" w:themeTint="F2"/>
                <w:spacing w:val="-4"/>
              </w:rPr>
              <w:t xml:space="preserve">jejich </w:t>
            </w:r>
            <w:r w:rsidRPr="00BF07B5">
              <w:rPr>
                <w:color w:val="0D0D0D" w:themeColor="text1" w:themeTint="F2"/>
                <w:spacing w:val="-4"/>
              </w:rPr>
              <w:lastRenderedPageBreak/>
              <w:t>nejbližších tuzemských subdodavatelů)</w:t>
            </w:r>
            <w:r>
              <w:rPr>
                <w:color w:val="0D0D0D" w:themeColor="text1" w:themeTint="F2"/>
                <w:spacing w:val="-4"/>
              </w:rPr>
              <w:t xml:space="preserve"> a </w:t>
            </w:r>
            <w:r w:rsidRPr="00BF07B5">
              <w:rPr>
                <w:color w:val="0D0D0D" w:themeColor="text1" w:themeTint="F2"/>
                <w:spacing w:val="-4"/>
              </w:rPr>
              <w:t>v</w:t>
            </w:r>
            <w:r>
              <w:rPr>
                <w:color w:val="0D0D0D" w:themeColor="text1" w:themeTint="F2"/>
                <w:spacing w:val="-4"/>
              </w:rPr>
              <w:t> chemickém průmyslu se zastavilo</w:t>
            </w:r>
            <w:r w:rsidRPr="00BF07B5">
              <w:rPr>
                <w:color w:val="0D0D0D" w:themeColor="text1" w:themeTint="F2"/>
                <w:spacing w:val="-4"/>
              </w:rPr>
              <w:t xml:space="preserve">. V následujícím čtvrtletí se </w:t>
            </w:r>
            <w:r>
              <w:rPr>
                <w:color w:val="0D0D0D" w:themeColor="text1" w:themeTint="F2"/>
                <w:spacing w:val="-4"/>
              </w:rPr>
              <w:t xml:space="preserve">mírný </w:t>
            </w:r>
            <w:r w:rsidRPr="00BF07B5">
              <w:rPr>
                <w:color w:val="0D0D0D" w:themeColor="text1" w:themeTint="F2"/>
                <w:spacing w:val="-4"/>
              </w:rPr>
              <w:t xml:space="preserve">růst </w:t>
            </w:r>
            <w:r>
              <w:rPr>
                <w:color w:val="0D0D0D" w:themeColor="text1" w:themeTint="F2"/>
                <w:spacing w:val="-4"/>
              </w:rPr>
              <w:t>průmyslové produkce obnovil (0,9 %</w:t>
            </w:r>
            <w:r w:rsidRPr="00BF07B5">
              <w:rPr>
                <w:color w:val="0D0D0D" w:themeColor="text1" w:themeTint="F2"/>
                <w:spacing w:val="-4"/>
              </w:rPr>
              <w:t>). „Znovuotevření“ ekonomiky po ústupu pandemické vlny navrátilo v Česku i</w:t>
            </w:r>
            <w:r>
              <w:rPr>
                <w:color w:val="0D0D0D" w:themeColor="text1" w:themeTint="F2"/>
                <w:spacing w:val="-4"/>
              </w:rPr>
              <w:t> v </w:t>
            </w:r>
            <w:r w:rsidRPr="00BF07B5">
              <w:rPr>
                <w:color w:val="0D0D0D" w:themeColor="text1" w:themeTint="F2"/>
                <w:spacing w:val="-4"/>
              </w:rPr>
              <w:t xml:space="preserve">EU část ztracené důvěry spotřebitelů a podnikatelů, což </w:t>
            </w:r>
            <w:r>
              <w:rPr>
                <w:color w:val="0D0D0D" w:themeColor="text1" w:themeTint="F2"/>
                <w:spacing w:val="-4"/>
              </w:rPr>
              <w:t>vedlo k</w:t>
            </w:r>
            <w:r w:rsidRPr="00BF07B5">
              <w:rPr>
                <w:color w:val="0D0D0D" w:themeColor="text1" w:themeTint="F2"/>
                <w:spacing w:val="-4"/>
              </w:rPr>
              <w:t> oživení spotřeby a</w:t>
            </w:r>
            <w:r>
              <w:rPr>
                <w:color w:val="0D0D0D" w:themeColor="text1" w:themeTint="F2"/>
                <w:spacing w:val="-4"/>
              </w:rPr>
              <w:t> </w:t>
            </w:r>
            <w:r w:rsidRPr="00BF07B5">
              <w:rPr>
                <w:color w:val="0D0D0D" w:themeColor="text1" w:themeTint="F2"/>
                <w:spacing w:val="-4"/>
              </w:rPr>
              <w:t xml:space="preserve">investiční aktivity. </w:t>
            </w:r>
            <w:r>
              <w:rPr>
                <w:color w:val="0D0D0D" w:themeColor="text1" w:themeTint="F2"/>
                <w:spacing w:val="-4"/>
              </w:rPr>
              <w:t>Výrazně vývozně</w:t>
            </w:r>
            <w:r w:rsidRPr="00BF07B5">
              <w:rPr>
                <w:color w:val="0D0D0D" w:themeColor="text1" w:themeTint="F2"/>
                <w:spacing w:val="-4"/>
              </w:rPr>
              <w:t xml:space="preserve"> orientovaný tuzemský průmysl těžil na jaře zejména</w:t>
            </w:r>
            <w:r>
              <w:rPr>
                <w:color w:val="0D0D0D" w:themeColor="text1" w:themeTint="F2"/>
                <w:spacing w:val="-4"/>
              </w:rPr>
              <w:t xml:space="preserve"> </w:t>
            </w:r>
            <w:r w:rsidRPr="00BF07B5">
              <w:rPr>
                <w:color w:val="0D0D0D" w:themeColor="text1" w:themeTint="F2"/>
                <w:spacing w:val="-4"/>
              </w:rPr>
              <w:t>z</w:t>
            </w:r>
            <w:r>
              <w:rPr>
                <w:color w:val="0D0D0D" w:themeColor="text1" w:themeTint="F2"/>
                <w:spacing w:val="-4"/>
              </w:rPr>
              <w:t> </w:t>
            </w:r>
            <w:r w:rsidRPr="00BF07B5">
              <w:rPr>
                <w:color w:val="0D0D0D" w:themeColor="text1" w:themeTint="F2"/>
                <w:spacing w:val="-4"/>
              </w:rPr>
              <w:t>příznivého hospodářského vývoje klíčových exportních teritorií – Německa, resp. celé</w:t>
            </w:r>
            <w:r>
              <w:rPr>
                <w:color w:val="0D0D0D" w:themeColor="text1" w:themeTint="F2"/>
                <w:spacing w:val="-4"/>
              </w:rPr>
              <w:t> </w:t>
            </w:r>
            <w:r w:rsidRPr="00BF07B5">
              <w:rPr>
                <w:color w:val="0D0D0D" w:themeColor="text1" w:themeTint="F2"/>
                <w:spacing w:val="-4"/>
              </w:rPr>
              <w:t>EU</w:t>
            </w:r>
            <w:r w:rsidRPr="00BF07B5">
              <w:rPr>
                <w:rStyle w:val="Znakapoznpodarou"/>
                <w:color w:val="0D0D0D" w:themeColor="text1" w:themeTint="F2"/>
                <w:spacing w:val="-4"/>
              </w:rPr>
              <w:footnoteReference w:id="8"/>
            </w:r>
            <w:r w:rsidRPr="00BF07B5">
              <w:rPr>
                <w:color w:val="0D0D0D" w:themeColor="text1" w:themeTint="F2"/>
                <w:spacing w:val="-4"/>
              </w:rPr>
              <w:t>.</w:t>
            </w:r>
          </w:p>
        </w:tc>
      </w:tr>
      <w:tr w:rsidR="00F77A50" w:rsidRPr="006237E6" w14:paraId="0D587942" w14:textId="77777777" w:rsidTr="00B66208">
        <w:trPr>
          <w:trHeight w:val="155"/>
        </w:trPr>
        <w:tc>
          <w:tcPr>
            <w:tcW w:w="1728" w:type="dxa"/>
            <w:shd w:val="clear" w:color="auto" w:fill="auto"/>
            <w:tcMar>
              <w:left w:w="0" w:type="dxa"/>
            </w:tcMar>
          </w:tcPr>
          <w:p w14:paraId="7BFA2CFD" w14:textId="77777777" w:rsidR="00F77A50" w:rsidRDefault="00F77A50" w:rsidP="00B66208">
            <w:pPr>
              <w:pStyle w:val="Marginlie"/>
              <w:rPr>
                <w:spacing w:val="-4"/>
              </w:rPr>
            </w:pPr>
            <w:r>
              <w:rPr>
                <w:spacing w:val="-4"/>
              </w:rPr>
              <w:lastRenderedPageBreak/>
              <w:t>Ve 2. pololetí byl průmysl tlumen sílícími problémy s dostupností komponent pro výrobu automobilů a v samém konci roku i silným růstem cen energií a materiálových vstupů v celém průmyslu.</w:t>
            </w:r>
          </w:p>
        </w:tc>
        <w:tc>
          <w:tcPr>
            <w:tcW w:w="206" w:type="dxa"/>
            <w:shd w:val="clear" w:color="auto" w:fill="auto"/>
            <w:tcMar>
              <w:left w:w="0" w:type="dxa"/>
            </w:tcMar>
          </w:tcPr>
          <w:p w14:paraId="479CD687"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66DED32E" w14:textId="77777777" w:rsidR="00F77A50" w:rsidRDefault="00F77A50" w:rsidP="00B66208">
            <w:pPr>
              <w:spacing w:after="200"/>
              <w:rPr>
                <w:color w:val="0D0D0D" w:themeColor="text1" w:themeTint="F2"/>
                <w:spacing w:val="-4"/>
              </w:rPr>
            </w:pPr>
            <w:r>
              <w:rPr>
                <w:color w:val="0D0D0D" w:themeColor="text1" w:themeTint="F2"/>
                <w:spacing w:val="-4"/>
              </w:rPr>
              <w:t xml:space="preserve">Tento slibný vývoj byl ale ve druhé polovině roku zastíněn prohlubujícími se problémy v globálních dodavatelských řetězcích, které citelně narušily plynulost výroby především v dominantním odvětví automobilového průmyslu. </w:t>
            </w:r>
            <w:r w:rsidRPr="00BF07B5">
              <w:rPr>
                <w:color w:val="0D0D0D" w:themeColor="text1" w:themeTint="F2"/>
                <w:spacing w:val="-4"/>
              </w:rPr>
              <w:t>Produkce v</w:t>
            </w:r>
            <w:r>
              <w:rPr>
                <w:color w:val="0D0D0D" w:themeColor="text1" w:themeTint="F2"/>
                <w:spacing w:val="-4"/>
              </w:rPr>
              <w:t xml:space="preserve"> celém </w:t>
            </w:r>
            <w:r w:rsidRPr="00BF07B5">
              <w:rPr>
                <w:color w:val="0D0D0D" w:themeColor="text1" w:themeTint="F2"/>
                <w:spacing w:val="-4"/>
              </w:rPr>
              <w:t xml:space="preserve">průmyslu </w:t>
            </w:r>
            <w:r>
              <w:rPr>
                <w:color w:val="0D0D0D" w:themeColor="text1" w:themeTint="F2"/>
                <w:spacing w:val="-4"/>
              </w:rPr>
              <w:t>tak ve 3. </w:t>
            </w:r>
            <w:r w:rsidRPr="00BF07B5">
              <w:rPr>
                <w:color w:val="0D0D0D" w:themeColor="text1" w:themeTint="F2"/>
                <w:spacing w:val="-4"/>
              </w:rPr>
              <w:t>čtvrtle</w:t>
            </w:r>
            <w:r>
              <w:rPr>
                <w:color w:val="0D0D0D" w:themeColor="text1" w:themeTint="F2"/>
                <w:spacing w:val="-4"/>
              </w:rPr>
              <w:t>tí mezikvartálně klesla o 2,2 %. Problémy s nedostatkovými výrobními komponenty sice na konci loňského roku lehce polevily, většina průmyslových podniků ovšem musela čelit silnému cenovému růstu materiálových vstupů umocněnému neočekávanou eskalací cen energií. Oproti 3. čtvrtletí tak objem průmyslové výroby na sklonku roku stagnoval, a ve většině významných odvětví se dokonce mírně snížil (vyjma energetiky a chemického průmyslu). Ve srovnání s předpandemickým maximem z května 2019 průmyslová produkce v posledním loňském měsíci stále významně zaostávala (o 6,1 %).</w:t>
            </w:r>
          </w:p>
        </w:tc>
      </w:tr>
      <w:tr w:rsidR="00F77A50" w:rsidRPr="006237E6" w14:paraId="15B833DC" w14:textId="77777777" w:rsidTr="00B66208">
        <w:trPr>
          <w:trHeight w:val="155"/>
        </w:trPr>
        <w:tc>
          <w:tcPr>
            <w:tcW w:w="1728" w:type="dxa"/>
            <w:shd w:val="clear" w:color="auto" w:fill="auto"/>
            <w:tcMar>
              <w:left w:w="0" w:type="dxa"/>
            </w:tcMar>
          </w:tcPr>
          <w:p w14:paraId="1630A1E2" w14:textId="77777777" w:rsidR="00F77A50" w:rsidRPr="00DF54C0" w:rsidRDefault="00F77A50" w:rsidP="00B66208">
            <w:pPr>
              <w:pStyle w:val="Marginlie"/>
              <w:rPr>
                <w:spacing w:val="-4"/>
              </w:rPr>
            </w:pPr>
            <w:r>
              <w:rPr>
                <w:spacing w:val="-4"/>
              </w:rPr>
              <w:t xml:space="preserve">Bez zahrnutí výroby motorových vozidel </w:t>
            </w:r>
            <w:r>
              <w:rPr>
                <w:spacing w:val="-4"/>
              </w:rPr>
              <w:br/>
              <w:t xml:space="preserve">by meziroční růst průmyslové produkce pokračoval i ve </w:t>
            </w:r>
            <w:r>
              <w:rPr>
                <w:spacing w:val="-4"/>
              </w:rPr>
              <w:br/>
              <w:t>2. pololetí 2021.</w:t>
            </w:r>
          </w:p>
        </w:tc>
        <w:tc>
          <w:tcPr>
            <w:tcW w:w="206" w:type="dxa"/>
            <w:shd w:val="clear" w:color="auto" w:fill="auto"/>
            <w:tcMar>
              <w:left w:w="0" w:type="dxa"/>
            </w:tcMar>
          </w:tcPr>
          <w:p w14:paraId="62BF2AD3"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5ADAC4AE" w14:textId="77777777" w:rsidR="00F77A50" w:rsidRPr="00612727" w:rsidRDefault="00F77A50" w:rsidP="00B66208">
            <w:pPr>
              <w:spacing w:after="200"/>
              <w:rPr>
                <w:spacing w:val="-4"/>
              </w:rPr>
            </w:pPr>
            <w:r>
              <w:rPr>
                <w:color w:val="0D0D0D" w:themeColor="text1" w:themeTint="F2"/>
                <w:spacing w:val="-4"/>
              </w:rPr>
              <w:t xml:space="preserve">Za celý loňský rok </w:t>
            </w:r>
            <w:r>
              <w:rPr>
                <w:spacing w:val="-4"/>
              </w:rPr>
              <w:t>průmyslová produkce meziročně vzrostla o 6,6 % (za rok 2020 zejména vlivem jarních odstávek propadla o 7,2 %). Ve 3. i 4. čtvrtletí 2021 však výkon průmyslu mírně klesal (o 0,1 %, resp. 1,9 %). Stalo se tak z velké části vlivem automobilového průmyslu, jehož dynamika byla kromě výše uvedených faktorů ovlivněna i</w:t>
            </w:r>
            <w:r w:rsidRPr="00BF07B5">
              <w:rPr>
                <w:color w:val="0D0D0D" w:themeColor="text1" w:themeTint="F2"/>
                <w:spacing w:val="-4"/>
              </w:rPr>
              <w:t> </w:t>
            </w:r>
            <w:r>
              <w:rPr>
                <w:spacing w:val="-4"/>
              </w:rPr>
              <w:t>vysokou loňskou srovnávací základnou. Bez zahrnutí tohoto odvětví by tak ve druhé půli loňského roku růst průmyslu pokračoval (+4,1 %, resp. +1,8 %)</w:t>
            </w:r>
            <w:r>
              <w:rPr>
                <w:rStyle w:val="Znakapoznpodarou"/>
                <w:spacing w:val="-4"/>
              </w:rPr>
              <w:footnoteReference w:id="9"/>
            </w:r>
            <w:r>
              <w:rPr>
                <w:spacing w:val="-4"/>
              </w:rPr>
              <w:t>.</w:t>
            </w:r>
          </w:p>
        </w:tc>
      </w:tr>
      <w:tr w:rsidR="00F77A50" w:rsidRPr="006237E6" w14:paraId="5F76AB5A" w14:textId="77777777" w:rsidTr="00B66208">
        <w:trPr>
          <w:trHeight w:val="155"/>
        </w:trPr>
        <w:tc>
          <w:tcPr>
            <w:tcW w:w="1728" w:type="dxa"/>
            <w:shd w:val="clear" w:color="auto" w:fill="auto"/>
            <w:tcMar>
              <w:left w:w="0" w:type="dxa"/>
            </w:tcMar>
          </w:tcPr>
          <w:p w14:paraId="56AA40EF" w14:textId="77777777" w:rsidR="00F77A50" w:rsidRDefault="00F77A50" w:rsidP="00B66208">
            <w:pPr>
              <w:pStyle w:val="Marginlie"/>
              <w:rPr>
                <w:spacing w:val="-4"/>
              </w:rPr>
            </w:pPr>
            <w:r>
              <w:rPr>
                <w:spacing w:val="-4"/>
              </w:rPr>
              <w:t>K loňskému růstu průmyslové produkce přispěl nejvíce kovodělný průmysl. Dařilo se i hutnictví, chemickému průmyslu, strojírenství či elektrotechnice.</w:t>
            </w:r>
          </w:p>
          <w:p w14:paraId="5C89EBA3" w14:textId="77777777" w:rsidR="00F77A50" w:rsidRDefault="00F77A50" w:rsidP="00B66208">
            <w:pPr>
              <w:pStyle w:val="Marginlie"/>
              <w:rPr>
                <w:spacing w:val="-4"/>
              </w:rPr>
            </w:pPr>
          </w:p>
          <w:p w14:paraId="3221ABC0" w14:textId="77777777" w:rsidR="00F77A50" w:rsidRDefault="00F77A50" w:rsidP="00B66208">
            <w:pPr>
              <w:pStyle w:val="Marginlie"/>
              <w:rPr>
                <w:spacing w:val="-4"/>
              </w:rPr>
            </w:pPr>
          </w:p>
          <w:p w14:paraId="50C6AEEE" w14:textId="77777777" w:rsidR="00F77A50" w:rsidRDefault="00F77A50" w:rsidP="00B66208">
            <w:pPr>
              <w:pStyle w:val="Marginlie"/>
              <w:rPr>
                <w:spacing w:val="-4"/>
              </w:rPr>
            </w:pPr>
          </w:p>
          <w:p w14:paraId="7131B38E" w14:textId="77777777" w:rsidR="00F77A50" w:rsidRDefault="00F77A50" w:rsidP="00B66208">
            <w:pPr>
              <w:pStyle w:val="Marginlie"/>
              <w:rPr>
                <w:spacing w:val="-4"/>
              </w:rPr>
            </w:pPr>
          </w:p>
          <w:p w14:paraId="1AC23949" w14:textId="77777777" w:rsidR="00F77A50" w:rsidRDefault="00F77A50" w:rsidP="00B66208">
            <w:pPr>
              <w:pStyle w:val="Marginlie"/>
              <w:rPr>
                <w:spacing w:val="-4"/>
              </w:rPr>
            </w:pPr>
            <w:r>
              <w:rPr>
                <w:spacing w:val="-4"/>
              </w:rPr>
              <w:t>Zotavování automobilového průmyslu bylo po celý rok tlumeno problémy s dostupností výrobních komponent.</w:t>
            </w:r>
          </w:p>
        </w:tc>
        <w:tc>
          <w:tcPr>
            <w:tcW w:w="206" w:type="dxa"/>
            <w:shd w:val="clear" w:color="auto" w:fill="auto"/>
            <w:tcMar>
              <w:left w:w="0" w:type="dxa"/>
            </w:tcMar>
          </w:tcPr>
          <w:p w14:paraId="281C722C"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6654D4DA" w14:textId="77777777" w:rsidR="00F77A50" w:rsidRPr="00236892" w:rsidRDefault="00F77A50" w:rsidP="00B66208">
            <w:pPr>
              <w:spacing w:after="200"/>
              <w:rPr>
                <w:color w:val="0D0D0D" w:themeColor="text1" w:themeTint="F2"/>
                <w:spacing w:val="-5"/>
              </w:rPr>
            </w:pPr>
            <w:r>
              <w:rPr>
                <w:spacing w:val="-5"/>
              </w:rPr>
              <w:t>Za celý</w:t>
            </w:r>
            <w:r w:rsidRPr="00236892">
              <w:rPr>
                <w:spacing w:val="-5"/>
              </w:rPr>
              <w:t xml:space="preserve"> rok 2021 byl růst průmyslu tažen nejvíce výrobou kovových konstrukcí a</w:t>
            </w:r>
            <w:r w:rsidRPr="00236892">
              <w:rPr>
                <w:color w:val="0D0D0D" w:themeColor="text1" w:themeTint="F2"/>
                <w:spacing w:val="-5"/>
              </w:rPr>
              <w:t> </w:t>
            </w:r>
            <w:r w:rsidRPr="00236892">
              <w:rPr>
                <w:spacing w:val="-5"/>
              </w:rPr>
              <w:t>kovodělných výrobků (příspěvek +0,9 p. b., růst odvětví +9,1 %). Souviselo to i s oživením domácí i zahraniční poptávky v dlouhodobě útlumovém odvětví hutnictví, jehož výkon loni vzrostl nejvíce po roce 2010 (+11,4 %). Zhruba o desetinu loni posílilo také strojírenství, ale i obory částečně navázané na výrobu dopravních prostředků – gumárenství a plastikářství či elektrotechnický průmysl</w:t>
            </w:r>
            <w:r w:rsidRPr="00236892">
              <w:rPr>
                <w:rStyle w:val="Znakapoznpodarou"/>
                <w:spacing w:val="-5"/>
              </w:rPr>
              <w:footnoteReference w:id="10"/>
            </w:r>
            <w:r w:rsidRPr="00236892">
              <w:rPr>
                <w:spacing w:val="-5"/>
              </w:rPr>
              <w:t xml:space="preserve">. </w:t>
            </w:r>
            <w:r>
              <w:rPr>
                <w:spacing w:val="-5"/>
              </w:rPr>
              <w:t xml:space="preserve">Z ostatních </w:t>
            </w:r>
            <w:r w:rsidRPr="00236892">
              <w:rPr>
                <w:spacing w:val="-5"/>
              </w:rPr>
              <w:t>významnějších oborů se dařilo chemickému průmyslu (+8,3 %), jenž profitoval z rozšiřování výrobních kapacit. Více než 10% růst</w:t>
            </w:r>
            <w:r>
              <w:rPr>
                <w:spacing w:val="-5"/>
              </w:rPr>
              <w:t>u</w:t>
            </w:r>
            <w:r w:rsidRPr="00236892">
              <w:rPr>
                <w:spacing w:val="-5"/>
              </w:rPr>
              <w:t xml:space="preserve"> </w:t>
            </w:r>
            <w:r>
              <w:rPr>
                <w:spacing w:val="-5"/>
              </w:rPr>
              <w:t>docíli</w:t>
            </w:r>
            <w:r w:rsidRPr="00236892">
              <w:rPr>
                <w:spacing w:val="-5"/>
              </w:rPr>
              <w:t>la vý</w:t>
            </w:r>
            <w:r>
              <w:rPr>
                <w:spacing w:val="-5"/>
              </w:rPr>
              <w:t>roba stavebních materiálů, jež</w:t>
            </w:r>
            <w:r w:rsidRPr="00236892">
              <w:rPr>
                <w:spacing w:val="-5"/>
              </w:rPr>
              <w:t xml:space="preserve"> se snažila reagovat na vzedmutou poptávku zejména na domácím trhu. Mírněji rostl výkon potravinářství (+4,7 %) i </w:t>
            </w:r>
            <w:r>
              <w:rPr>
                <w:spacing w:val="-5"/>
              </w:rPr>
              <w:t>výroby</w:t>
            </w:r>
            <w:r w:rsidRPr="00236892">
              <w:rPr>
                <w:spacing w:val="-5"/>
              </w:rPr>
              <w:t xml:space="preserve"> počítačů, elektronických a optických přístrojů (+1,8 %). Zatímco potravinářství se mohlo opřít o relativně stabilní tuzemskou poptávku, jež nebyla výrazněji ovlivněna ani pandemií, druhé zmíněné odvětví se muselo vypořádat s dlouhodobějšími výkyvy zahraniční poptávky, jež výrazněji neožila ani ve druhém „pandemickém“ roce. Tradiční tahoun průmyslu – výroba motorových vozidel</w:t>
            </w:r>
            <w:r w:rsidRPr="00236892">
              <w:rPr>
                <w:rStyle w:val="Znakapoznpodarou"/>
                <w:spacing w:val="-5"/>
              </w:rPr>
              <w:footnoteReference w:id="11"/>
            </w:r>
            <w:r w:rsidRPr="00236892">
              <w:rPr>
                <w:spacing w:val="-5"/>
              </w:rPr>
              <w:t xml:space="preserve"> – vykázal loni vlivem rozkolísané výroby</w:t>
            </w:r>
            <w:r w:rsidRPr="00236892">
              <w:rPr>
                <w:rStyle w:val="Znakapoznpodarou"/>
                <w:spacing w:val="-5"/>
              </w:rPr>
              <w:footnoteReference w:id="12"/>
            </w:r>
            <w:r w:rsidRPr="00236892">
              <w:rPr>
                <w:spacing w:val="-5"/>
              </w:rPr>
              <w:t xml:space="preserve"> jen 3,9% růst produkce (po 12% propadu v roce 2020) a </w:t>
            </w:r>
            <w:r>
              <w:rPr>
                <w:spacing w:val="-5"/>
              </w:rPr>
              <w:t>za</w:t>
            </w:r>
            <w:r w:rsidRPr="00236892">
              <w:rPr>
                <w:spacing w:val="-5"/>
              </w:rPr>
              <w:t xml:space="preserve"> předpandemickým vrcholem z</w:t>
            </w:r>
            <w:r w:rsidRPr="00236892">
              <w:rPr>
                <w:color w:val="0D0D0D" w:themeColor="text1" w:themeTint="F2"/>
                <w:spacing w:val="-5"/>
              </w:rPr>
              <w:t> </w:t>
            </w:r>
            <w:r>
              <w:rPr>
                <w:spacing w:val="-5"/>
              </w:rPr>
              <w:t>května 2019 zaostával na</w:t>
            </w:r>
            <w:r w:rsidRPr="00236892">
              <w:rPr>
                <w:spacing w:val="-5"/>
              </w:rPr>
              <w:t xml:space="preserve"> konci loňského roku skoro o pětinu.</w:t>
            </w:r>
          </w:p>
        </w:tc>
      </w:tr>
      <w:tr w:rsidR="00F77A50" w:rsidRPr="006237E6" w14:paraId="1A9E1D0D" w14:textId="77777777" w:rsidTr="00B66208">
        <w:trPr>
          <w:trHeight w:val="155"/>
        </w:trPr>
        <w:tc>
          <w:tcPr>
            <w:tcW w:w="1728" w:type="dxa"/>
            <w:shd w:val="clear" w:color="auto" w:fill="auto"/>
            <w:tcMar>
              <w:left w:w="0" w:type="dxa"/>
            </w:tcMar>
          </w:tcPr>
          <w:p w14:paraId="669874B5" w14:textId="77777777" w:rsidR="00F77A50" w:rsidRDefault="00F77A50" w:rsidP="00B66208">
            <w:pPr>
              <w:pStyle w:val="Marginlie"/>
              <w:rPr>
                <w:spacing w:val="-4"/>
              </w:rPr>
            </w:pPr>
            <w:r>
              <w:rPr>
                <w:spacing w:val="-4"/>
              </w:rPr>
              <w:t>Papírenství, farmacii, nábytkářství či výrobě kolejových vozidel se nadále dařilo a jejich produkce převýšila úroveň z roku 2019.</w:t>
            </w:r>
          </w:p>
        </w:tc>
        <w:tc>
          <w:tcPr>
            <w:tcW w:w="206" w:type="dxa"/>
            <w:shd w:val="clear" w:color="auto" w:fill="auto"/>
            <w:tcMar>
              <w:left w:w="0" w:type="dxa"/>
            </w:tcMar>
          </w:tcPr>
          <w:p w14:paraId="01C23BDE"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137F6DA5" w14:textId="77777777" w:rsidR="00F77A50" w:rsidRPr="00BF07B5" w:rsidRDefault="00F77A50" w:rsidP="00B66208">
            <w:pPr>
              <w:spacing w:after="200"/>
              <w:rPr>
                <w:color w:val="0D0D0D" w:themeColor="text1" w:themeTint="F2"/>
                <w:spacing w:val="-4"/>
              </w:rPr>
            </w:pPr>
            <w:r>
              <w:rPr>
                <w:color w:val="0D0D0D" w:themeColor="text1" w:themeTint="F2"/>
                <w:spacing w:val="-4"/>
              </w:rPr>
              <w:t>Některým menším zpracovatelským oborům se loni dařilo a svou produkcí již překročily úroveň z roku 2019. Příkladem je výroba ostatních (zejména kolejových) dopravních prostředků (+21,4 % meziročně, nejvíce po roce 2011), v níž se projevil vysoký objem tuzemských zakázek nasmlouvaných v roce 2020. Domácí i zahraniční poptávka pomohla výrobcům nábytku, jejichž produkce se loni navýšila o více než desetinu a navázala tak na svižný růst v období předpandemické konjunktury. K dlouhodobě růstovým oborům, v</w:t>
            </w:r>
            <w:r>
              <w:rPr>
                <w:color w:val="000000" w:themeColor="text1"/>
                <w:spacing w:val="-4"/>
              </w:rPr>
              <w:t> </w:t>
            </w:r>
            <w:r>
              <w:rPr>
                <w:color w:val="0D0D0D" w:themeColor="text1" w:themeTint="F2"/>
                <w:spacing w:val="-4"/>
              </w:rPr>
              <w:t xml:space="preserve">nichž </w:t>
            </w:r>
            <w:r>
              <w:rPr>
                <w:color w:val="0D0D0D" w:themeColor="text1" w:themeTint="F2"/>
                <w:spacing w:val="-4"/>
              </w:rPr>
              <w:lastRenderedPageBreak/>
              <w:t>se poptávka zvyšovala i za pandemie, patří farmacie, papírenství i </w:t>
            </w:r>
            <w:r>
              <w:rPr>
                <w:spacing w:val="-4"/>
              </w:rPr>
              <w:t xml:space="preserve">ostatní zpracovatelský průmysl (zahrnující </w:t>
            </w:r>
            <w:r>
              <w:rPr>
                <w:color w:val="000000" w:themeColor="text1"/>
                <w:spacing w:val="-4"/>
              </w:rPr>
              <w:t xml:space="preserve">například </w:t>
            </w:r>
            <w:r w:rsidRPr="004173F3">
              <w:rPr>
                <w:color w:val="000000" w:themeColor="text1"/>
                <w:spacing w:val="-4"/>
              </w:rPr>
              <w:t>výrobu lékařsk</w:t>
            </w:r>
            <w:r>
              <w:rPr>
                <w:color w:val="000000" w:themeColor="text1"/>
                <w:spacing w:val="-4"/>
              </w:rPr>
              <w:t>ých nástrojů, sportovních potřeb, her a</w:t>
            </w:r>
            <w:r>
              <w:rPr>
                <w:spacing w:val="-4"/>
              </w:rPr>
              <w:t> </w:t>
            </w:r>
            <w:r w:rsidRPr="004173F3">
              <w:rPr>
                <w:color w:val="000000" w:themeColor="text1"/>
                <w:spacing w:val="-4"/>
              </w:rPr>
              <w:t>hraček</w:t>
            </w:r>
            <w:r>
              <w:rPr>
                <w:color w:val="000000" w:themeColor="text1"/>
                <w:spacing w:val="-4"/>
              </w:rPr>
              <w:t>). S problémy se naopak stále potýkalo oděvnictví, které bylo limitováno přetrvávající slabší zahraniční poptávkou. Produkce se loni snížila také v dřevozpracujícím průmyslu (o 5,5 %), což souviselo s ústupem kůrovcové kalamity.</w:t>
            </w:r>
          </w:p>
        </w:tc>
      </w:tr>
      <w:tr w:rsidR="00F77A50" w:rsidRPr="006237E6" w14:paraId="410ED8BD" w14:textId="77777777" w:rsidTr="00B66208">
        <w:trPr>
          <w:trHeight w:val="155"/>
        </w:trPr>
        <w:tc>
          <w:tcPr>
            <w:tcW w:w="1728" w:type="dxa"/>
            <w:shd w:val="clear" w:color="auto" w:fill="auto"/>
            <w:tcMar>
              <w:left w:w="0" w:type="dxa"/>
            </w:tcMar>
          </w:tcPr>
          <w:p w14:paraId="3ECD387D" w14:textId="77777777" w:rsidR="00F77A50" w:rsidRPr="00DF11EC" w:rsidRDefault="00F77A50" w:rsidP="00B66208">
            <w:pPr>
              <w:pStyle w:val="Marginlie"/>
              <w:rPr>
                <w:spacing w:val="-4"/>
              </w:rPr>
            </w:pPr>
            <w:r>
              <w:rPr>
                <w:spacing w:val="-4"/>
              </w:rPr>
              <w:lastRenderedPageBreak/>
              <w:t>V těžebním průmyslu i energetice produkce loni mírně vzrostla, propad z roku 2020 však dosud zdaleka nekompenzovala.</w:t>
            </w:r>
          </w:p>
        </w:tc>
        <w:tc>
          <w:tcPr>
            <w:tcW w:w="206" w:type="dxa"/>
            <w:shd w:val="clear" w:color="auto" w:fill="auto"/>
            <w:tcMar>
              <w:left w:w="0" w:type="dxa"/>
            </w:tcMar>
          </w:tcPr>
          <w:p w14:paraId="61FCF929"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40EF8D5C" w14:textId="77777777" w:rsidR="00F77A50" w:rsidRPr="006E759E" w:rsidRDefault="00F77A50" w:rsidP="00B66208">
            <w:pPr>
              <w:spacing w:after="200"/>
              <w:rPr>
                <w:spacing w:val="-5"/>
              </w:rPr>
            </w:pPr>
            <w:r w:rsidRPr="006E759E">
              <w:rPr>
                <w:spacing w:val="-5"/>
              </w:rPr>
              <w:t>V těžbě a dobývání se po předloňském rekordním propadu</w:t>
            </w:r>
            <w:r w:rsidRPr="006E759E">
              <w:rPr>
                <w:rStyle w:val="Znakapoznpodarou"/>
                <w:spacing w:val="-5"/>
                <w:szCs w:val="20"/>
              </w:rPr>
              <w:footnoteReference w:id="13"/>
            </w:r>
            <w:r w:rsidRPr="006E759E">
              <w:rPr>
                <w:spacing w:val="-5"/>
              </w:rPr>
              <w:t xml:space="preserve"> v roce 2021 produkce meziročně zvýšila o rovná 4 %. Zatímco stále dominantní obor těžby uhlí pokračoval v útlumu desátým rokem v řadě (v úhrnu za toto období se produkce snížila o 53 %), výkon v těžbě stavebních materiálů loni vzrostl o 11,1 % a mírně překonal propad z roku 2020. To se naopak nepovedlo energetice, přestože se její produkce za loňský rok o rovná 4 % navýšila</w:t>
            </w:r>
            <w:r w:rsidRPr="006E759E">
              <w:rPr>
                <w:rStyle w:val="Znakapoznpodarou"/>
                <w:spacing w:val="-5"/>
              </w:rPr>
              <w:footnoteReference w:id="14"/>
            </w:r>
            <w:r w:rsidRPr="006E759E">
              <w:rPr>
                <w:spacing w:val="-5"/>
              </w:rPr>
              <w:t>. Návratu na předpandemickou úroveň bránilo i omezení provozoven v obchodu a službách na počátku roku 2021 i kolísavý celoroční vývoj výroby v automobilovém průmyslu.</w:t>
            </w:r>
          </w:p>
        </w:tc>
      </w:tr>
      <w:tr w:rsidR="00F77A50" w:rsidRPr="006237E6" w14:paraId="72734BCB" w14:textId="77777777" w:rsidTr="00B66208">
        <w:trPr>
          <w:trHeight w:val="155"/>
        </w:trPr>
        <w:tc>
          <w:tcPr>
            <w:tcW w:w="1728" w:type="dxa"/>
            <w:shd w:val="clear" w:color="auto" w:fill="auto"/>
            <w:tcMar>
              <w:left w:w="0" w:type="dxa"/>
            </w:tcMar>
          </w:tcPr>
          <w:p w14:paraId="719DAE16" w14:textId="77777777" w:rsidR="00F77A50" w:rsidRPr="00BE54BF" w:rsidRDefault="00F77A50" w:rsidP="00B66208">
            <w:pPr>
              <w:pStyle w:val="Marginlie"/>
            </w:pPr>
          </w:p>
        </w:tc>
        <w:tc>
          <w:tcPr>
            <w:tcW w:w="206" w:type="dxa"/>
            <w:shd w:val="clear" w:color="auto" w:fill="auto"/>
            <w:tcMar>
              <w:left w:w="0" w:type="dxa"/>
            </w:tcMar>
          </w:tcPr>
          <w:p w14:paraId="492C839E" w14:textId="77777777" w:rsidR="00F77A50" w:rsidRPr="003B1401" w:rsidRDefault="00F77A50" w:rsidP="00B66208">
            <w:pPr>
              <w:pStyle w:val="Textpoznpodarou"/>
              <w:jc w:val="both"/>
              <w:rPr>
                <w:spacing w:val="-4"/>
              </w:rPr>
            </w:pPr>
          </w:p>
        </w:tc>
        <w:tc>
          <w:tcPr>
            <w:tcW w:w="7730" w:type="dxa"/>
            <w:shd w:val="clear" w:color="auto" w:fill="auto"/>
            <w:tcMar>
              <w:left w:w="0" w:type="dxa"/>
            </w:tcMar>
          </w:tcPr>
          <w:p w14:paraId="4BC22787" w14:textId="77777777" w:rsidR="00F77A50" w:rsidRPr="00965AD0" w:rsidRDefault="00F77A50" w:rsidP="00B66208">
            <w:pPr>
              <w:spacing w:after="0"/>
              <w:rPr>
                <w:spacing w:val="-4"/>
              </w:rPr>
            </w:pPr>
            <w:r w:rsidRPr="00883202">
              <w:rPr>
                <w:rFonts w:cs="Arial"/>
                <w:b/>
                <w:bCs/>
                <w:color w:val="000000"/>
                <w:szCs w:val="20"/>
              </w:rPr>
              <w:t>Graf č. 4</w:t>
            </w:r>
            <w:r>
              <w:rPr>
                <w:rFonts w:cs="Arial"/>
                <w:b/>
                <w:bCs/>
                <w:color w:val="000000"/>
                <w:szCs w:val="20"/>
              </w:rPr>
              <w:t xml:space="preserve"> </w:t>
            </w:r>
            <w:r w:rsidRPr="00883202">
              <w:rPr>
                <w:rFonts w:cs="Arial"/>
                <w:b/>
                <w:bCs/>
                <w:color w:val="000000"/>
                <w:szCs w:val="20"/>
              </w:rPr>
              <w:t xml:space="preserve"> </w:t>
            </w:r>
            <w:r w:rsidRPr="00883202">
              <w:rPr>
                <w:b/>
              </w:rPr>
              <w:t>Příspěvky dílčích odvětví k meziroční změně průmyslové produkce</w:t>
            </w:r>
            <w:r w:rsidRPr="00883202">
              <w:rPr>
                <w:b/>
              </w:rPr>
              <w:br/>
            </w:r>
            <w:r>
              <w:t>(reálně, v p. b.</w:t>
            </w:r>
            <w:r w:rsidRPr="00883202">
              <w:t>)</w:t>
            </w:r>
            <w:r>
              <w:t xml:space="preserve"> </w:t>
            </w:r>
            <w:r w:rsidRPr="004D5DA1">
              <w:rPr>
                <w:b/>
              </w:rPr>
              <w:t>a</w:t>
            </w:r>
            <w:r>
              <w:rPr>
                <w:b/>
              </w:rPr>
              <w:t> </w:t>
            </w:r>
            <w:r w:rsidRPr="004D5DA1">
              <w:rPr>
                <w:b/>
              </w:rPr>
              <w:t>tržby v</w:t>
            </w:r>
            <w:r>
              <w:rPr>
                <w:b/>
              </w:rPr>
              <w:t xml:space="preserve"> celém </w:t>
            </w:r>
            <w:r w:rsidRPr="004D5DA1">
              <w:rPr>
                <w:b/>
              </w:rPr>
              <w:t xml:space="preserve">průmyslu </w:t>
            </w:r>
            <w:r>
              <w:t>(nominálně, meziročně, v %)</w:t>
            </w:r>
          </w:p>
        </w:tc>
      </w:tr>
      <w:tr w:rsidR="00F77A50" w:rsidRPr="00B43216" w14:paraId="188B91C5" w14:textId="77777777" w:rsidTr="00B66208">
        <w:tblPrEx>
          <w:tblCellMar>
            <w:left w:w="70" w:type="dxa"/>
            <w:right w:w="70" w:type="dxa"/>
          </w:tblCellMar>
        </w:tblPrEx>
        <w:trPr>
          <w:trHeight w:val="145"/>
        </w:trPr>
        <w:tc>
          <w:tcPr>
            <w:tcW w:w="1728" w:type="dxa"/>
            <w:shd w:val="clear" w:color="auto" w:fill="auto"/>
          </w:tcPr>
          <w:p w14:paraId="4C2F9E36" w14:textId="77777777" w:rsidR="00F77A50" w:rsidRDefault="00F77A50" w:rsidP="00B66208">
            <w:pPr>
              <w:pStyle w:val="Marginlie"/>
              <w:rPr>
                <w:spacing w:val="-4"/>
              </w:rPr>
            </w:pPr>
          </w:p>
        </w:tc>
        <w:tc>
          <w:tcPr>
            <w:tcW w:w="206" w:type="dxa"/>
            <w:shd w:val="clear" w:color="auto" w:fill="auto"/>
          </w:tcPr>
          <w:p w14:paraId="59D55402" w14:textId="77777777" w:rsidR="00F77A50" w:rsidRPr="00B43216" w:rsidRDefault="00F77A50" w:rsidP="00B66208">
            <w:pPr>
              <w:pStyle w:val="Textpoznpodarou"/>
              <w:jc w:val="both"/>
              <w:rPr>
                <w:spacing w:val="-4"/>
              </w:rPr>
            </w:pPr>
          </w:p>
        </w:tc>
        <w:tc>
          <w:tcPr>
            <w:tcW w:w="7730" w:type="dxa"/>
            <w:shd w:val="clear" w:color="auto" w:fill="auto"/>
          </w:tcPr>
          <w:p w14:paraId="6804BB1F" w14:textId="77777777" w:rsidR="00F77A50" w:rsidRPr="00241E62" w:rsidRDefault="00F77A50" w:rsidP="00B66208">
            <w:pPr>
              <w:spacing w:after="0"/>
              <w:rPr>
                <w:rFonts w:cs="Arial"/>
                <w:bCs/>
                <w:color w:val="000000"/>
                <w:szCs w:val="20"/>
              </w:rPr>
            </w:pPr>
            <w:r>
              <w:rPr>
                <w:noProof/>
              </w:rPr>
              <w:drawing>
                <wp:inline distT="0" distB="0" distL="0" distR="0" wp14:anchorId="334C211D" wp14:editId="0A9F3346">
                  <wp:extent cx="4817994" cy="3626054"/>
                  <wp:effectExtent l="0" t="0" r="1905"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77A50" w:rsidRPr="00B43216" w14:paraId="56C61B91" w14:textId="77777777" w:rsidTr="00B66208">
        <w:trPr>
          <w:trHeight w:val="145"/>
        </w:trPr>
        <w:tc>
          <w:tcPr>
            <w:tcW w:w="1728" w:type="dxa"/>
            <w:shd w:val="clear" w:color="auto" w:fill="auto"/>
            <w:tcMar>
              <w:left w:w="0" w:type="dxa"/>
            </w:tcMar>
          </w:tcPr>
          <w:p w14:paraId="3D63EF8F" w14:textId="77777777" w:rsidR="00F77A50" w:rsidRDefault="00F77A50" w:rsidP="00B66208">
            <w:pPr>
              <w:pStyle w:val="Marginlie"/>
              <w:rPr>
                <w:spacing w:val="-4"/>
              </w:rPr>
            </w:pPr>
          </w:p>
        </w:tc>
        <w:tc>
          <w:tcPr>
            <w:tcW w:w="206" w:type="dxa"/>
            <w:shd w:val="clear" w:color="auto" w:fill="auto"/>
            <w:tcMar>
              <w:left w:w="0" w:type="dxa"/>
            </w:tcMar>
          </w:tcPr>
          <w:p w14:paraId="3DEA153E"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583DD2A0" w14:textId="77777777" w:rsidR="00F77A50" w:rsidRPr="007A0D91" w:rsidRDefault="00F77A50" w:rsidP="00B66208">
            <w:pPr>
              <w:tabs>
                <w:tab w:val="right" w:pos="7711"/>
              </w:tabs>
              <w:spacing w:after="160"/>
              <w:jc w:val="left"/>
              <w:rPr>
                <w:rFonts w:cs="Arial"/>
                <w:sz w:val="14"/>
                <w:szCs w:val="14"/>
              </w:rPr>
            </w:pPr>
            <w:r>
              <w:rPr>
                <w:rFonts w:cs="Arial"/>
                <w:sz w:val="14"/>
                <w:szCs w:val="14"/>
              </w:rPr>
              <w:t>Poznámka: Průmyslová produkce i tržby jsou očištěny o kalendářní vlivy.</w:t>
            </w:r>
            <w:r>
              <w:rPr>
                <w:rFonts w:cs="Arial"/>
                <w:sz w:val="14"/>
                <w:szCs w:val="14"/>
              </w:rPr>
              <w:tab/>
            </w:r>
            <w:r w:rsidRPr="00883202">
              <w:rPr>
                <w:rFonts w:cs="Arial"/>
                <w:sz w:val="14"/>
                <w:szCs w:val="14"/>
              </w:rPr>
              <w:t>Zdroj: ČSÚ</w:t>
            </w:r>
          </w:p>
        </w:tc>
      </w:tr>
      <w:tr w:rsidR="00F77A50" w:rsidRPr="00B43216" w14:paraId="3C663A8B" w14:textId="77777777" w:rsidTr="00B66208">
        <w:trPr>
          <w:trHeight w:val="145"/>
        </w:trPr>
        <w:tc>
          <w:tcPr>
            <w:tcW w:w="1728" w:type="dxa"/>
            <w:shd w:val="clear" w:color="auto" w:fill="auto"/>
            <w:tcMar>
              <w:left w:w="0" w:type="dxa"/>
            </w:tcMar>
          </w:tcPr>
          <w:p w14:paraId="091C628B" w14:textId="77777777" w:rsidR="00F77A50" w:rsidRDefault="00F77A50" w:rsidP="00B66208">
            <w:pPr>
              <w:pStyle w:val="Marginlie"/>
              <w:rPr>
                <w:spacing w:val="0"/>
              </w:rPr>
            </w:pPr>
            <w:r>
              <w:t>Silný růst tržeb v těžbě uhlí, hutnictví, dřevozpracujícím či kovodělném průmyslu byl ve 4. čtvrtletí výhradně výsledkem cenového růstu.</w:t>
            </w:r>
          </w:p>
        </w:tc>
        <w:tc>
          <w:tcPr>
            <w:tcW w:w="206" w:type="dxa"/>
            <w:shd w:val="clear" w:color="auto" w:fill="auto"/>
            <w:tcMar>
              <w:left w:w="0" w:type="dxa"/>
            </w:tcMar>
          </w:tcPr>
          <w:p w14:paraId="20FD324F"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2C7FC2F0" w14:textId="77777777" w:rsidR="00F77A50" w:rsidRDefault="00F77A50" w:rsidP="00B66208">
            <w:pPr>
              <w:spacing w:after="200"/>
              <w:rPr>
                <w:color w:val="0D0D0D" w:themeColor="text1" w:themeTint="F2"/>
                <w:spacing w:val="-4"/>
              </w:rPr>
            </w:pPr>
            <w:r w:rsidRPr="006A57DC">
              <w:rPr>
                <w:rFonts w:cs="Arial"/>
                <w:bCs/>
                <w:color w:val="0D0D0D" w:themeColor="text1" w:themeTint="F2"/>
                <w:spacing w:val="-4"/>
                <w:szCs w:val="20"/>
              </w:rPr>
              <w:t>Nominální tržby průmyslových podniků</w:t>
            </w:r>
            <w:r w:rsidRPr="003B6DBE">
              <w:rPr>
                <w:rStyle w:val="Znakapoznpodarou"/>
                <w:bCs/>
                <w:color w:val="0D0D0D" w:themeColor="text1" w:themeTint="F2"/>
                <w:spacing w:val="-4"/>
                <w:szCs w:val="20"/>
              </w:rPr>
              <w:footnoteReference w:id="15"/>
            </w:r>
            <w:r>
              <w:rPr>
                <w:rFonts w:cs="Arial"/>
                <w:bCs/>
                <w:color w:val="0D0D0D" w:themeColor="text1" w:themeTint="F2"/>
                <w:spacing w:val="-4"/>
                <w:szCs w:val="20"/>
              </w:rPr>
              <w:t xml:space="preserve"> se v roce 2021 meziročně zvýšily o 10,8 %. V samotném 4. čtvrtletí již však rostly pouze o 3,1 %, tedy podstatně méně než výrobní náklady vyjádřené prostřednictvím cen průmyslových výrobců. Tržby z přímého vývozu se dokonce nacházely mírně pod úrovní z konce roku 2020, zčásti i proto, že se v nich více projevovalo oslabení výrobců automobilů. Souhrnné tržby vzrostly ve 4. čtvrtletí nejvíce v hutnictví (o 41,0 %), ale obdobně jako v těžbě uhlí (+26,3 %), dřevozpracujícím (+21,8 %) i kovodělném průmyslu (+13,1 %) se tak stalo výhradně vlivem prudkého cenového růstu. Ten významně promlouval také do vysokých temp tržeb v chemickém a papírenském </w:t>
            </w:r>
            <w:r>
              <w:rPr>
                <w:rFonts w:cs="Arial"/>
                <w:bCs/>
                <w:color w:val="0D0D0D" w:themeColor="text1" w:themeTint="F2"/>
                <w:spacing w:val="-4"/>
                <w:szCs w:val="20"/>
              </w:rPr>
              <w:lastRenderedPageBreak/>
              <w:t>průmyslu. Naproti tomu u kolejových dopravních prostředků i v nápojovém průmyslu bezmála 20% růst tržeb věrně odrážel růst objemu výroby na konci loňského roku. To platilo rovněž v případě propadu tržeb výrobců automobilů, jenž dosáhl bezmála pětiny.</w:t>
            </w:r>
          </w:p>
        </w:tc>
      </w:tr>
      <w:tr w:rsidR="00F77A50" w:rsidRPr="00B43216" w14:paraId="722E4B3B" w14:textId="77777777" w:rsidTr="00B66208">
        <w:trPr>
          <w:trHeight w:val="145"/>
        </w:trPr>
        <w:tc>
          <w:tcPr>
            <w:tcW w:w="1728" w:type="dxa"/>
            <w:shd w:val="clear" w:color="auto" w:fill="auto"/>
            <w:tcMar>
              <w:left w:w="0" w:type="dxa"/>
            </w:tcMar>
          </w:tcPr>
          <w:p w14:paraId="38E0B9AB" w14:textId="77777777" w:rsidR="00F77A50" w:rsidRDefault="00F77A50" w:rsidP="00B66208">
            <w:pPr>
              <w:pStyle w:val="Marginlie"/>
              <w:rPr>
                <w:spacing w:val="0"/>
              </w:rPr>
            </w:pPr>
            <w:r>
              <w:rPr>
                <w:spacing w:val="0"/>
              </w:rPr>
              <w:lastRenderedPageBreak/>
              <w:t>Pozitivním signálem indikujícím možný růst objemu výroby byl ve 4. čtvrtletí růst nových zakázek ve strojírenství.</w:t>
            </w:r>
          </w:p>
        </w:tc>
        <w:tc>
          <w:tcPr>
            <w:tcW w:w="206" w:type="dxa"/>
            <w:shd w:val="clear" w:color="auto" w:fill="auto"/>
            <w:tcMar>
              <w:left w:w="0" w:type="dxa"/>
            </w:tcMar>
          </w:tcPr>
          <w:p w14:paraId="203FA06D"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43FA3E21" w14:textId="77777777" w:rsidR="00F77A50" w:rsidRDefault="00F77A50" w:rsidP="00B66208">
            <w:pPr>
              <w:spacing w:after="200"/>
              <w:rPr>
                <w:color w:val="0D0D0D" w:themeColor="text1" w:themeTint="F2"/>
                <w:spacing w:val="-4"/>
              </w:rPr>
            </w:pPr>
            <w:r>
              <w:rPr>
                <w:color w:val="0D0D0D" w:themeColor="text1" w:themeTint="F2"/>
                <w:spacing w:val="-4"/>
              </w:rPr>
              <w:t>H</w:t>
            </w:r>
            <w:r w:rsidRPr="00C8413E">
              <w:rPr>
                <w:color w:val="0D0D0D" w:themeColor="text1" w:themeTint="F2"/>
                <w:spacing w:val="-4"/>
              </w:rPr>
              <w:t xml:space="preserve">odnota </w:t>
            </w:r>
            <w:r>
              <w:rPr>
                <w:color w:val="0D0D0D" w:themeColor="text1" w:themeTint="F2"/>
                <w:spacing w:val="-4"/>
              </w:rPr>
              <w:t xml:space="preserve">nových </w:t>
            </w:r>
            <w:r w:rsidRPr="00C8413E">
              <w:rPr>
                <w:color w:val="0D0D0D" w:themeColor="text1" w:themeTint="F2"/>
                <w:spacing w:val="-4"/>
              </w:rPr>
              <w:t>průmyslových zakázek</w:t>
            </w:r>
            <w:r w:rsidRPr="00C8413E">
              <w:rPr>
                <w:rStyle w:val="Znakapoznpodarou"/>
                <w:spacing w:val="-4"/>
              </w:rPr>
              <w:footnoteReference w:id="16"/>
            </w:r>
            <w:r>
              <w:rPr>
                <w:color w:val="0D0D0D" w:themeColor="text1" w:themeTint="F2"/>
                <w:spacing w:val="-4"/>
              </w:rPr>
              <w:t xml:space="preserve"> ve 4. čtvrtletí 2021 meziročně vzrostla o 3,6 %, domácí poptávka se zvyšovala mírně vyšším tempem než zahraniční. Svižný růst zakázek v hutnictví (36,5 %), chemickém (46,0 %) i papírenském průmyslu (18,0 %) jde ovšem z velké části na vrub rostoucích výrobních nákladů podniků. Větším příslibem s ohledem na budoucí růst objemu výroby je proto skromnější 13,2% růst zakázek ve strojírenství, na kterém se navíc významně podílejí i podniky z tuzemska. Horší krátkodobé výhledy jsou naopak spojeny s výrobou motorových vozidel, ve které nižší objem nasmlouvaných objednávek (o 9,8 %, resp. o 2,1 % oproti 4. čtvrtletí 2019) odráží přetrvávající nejistoty ohledně navýšení výrobních kapacit na běžnou úroveň. </w:t>
            </w:r>
            <w:r w:rsidRPr="00C8413E">
              <w:rPr>
                <w:color w:val="0D0D0D" w:themeColor="text1" w:themeTint="F2"/>
                <w:spacing w:val="-4"/>
              </w:rPr>
              <w:t>Využití výrobních kapacit</w:t>
            </w:r>
            <w:r>
              <w:rPr>
                <w:color w:val="0D0D0D" w:themeColor="text1" w:themeTint="F2"/>
                <w:spacing w:val="-4"/>
              </w:rPr>
              <w:t xml:space="preserve"> tak zůstalo v tomto odvětví i v lednu 2022 pod 80 % (za celý rok 2019 přitom dosahovalo 93 %)</w:t>
            </w:r>
            <w:r>
              <w:rPr>
                <w:rStyle w:val="Znakapoznpodarou"/>
                <w:color w:val="0D0D0D" w:themeColor="text1" w:themeTint="F2"/>
                <w:spacing w:val="-4"/>
              </w:rPr>
              <w:footnoteReference w:id="17"/>
            </w:r>
            <w:r>
              <w:rPr>
                <w:color w:val="0D0D0D" w:themeColor="text1" w:themeTint="F2"/>
                <w:spacing w:val="-4"/>
              </w:rPr>
              <w:t>.</w:t>
            </w:r>
          </w:p>
        </w:tc>
      </w:tr>
      <w:tr w:rsidR="00F77A50" w:rsidRPr="00B43216" w14:paraId="14D71409" w14:textId="77777777" w:rsidTr="00B66208">
        <w:trPr>
          <w:trHeight w:val="155"/>
        </w:trPr>
        <w:tc>
          <w:tcPr>
            <w:tcW w:w="1728" w:type="dxa"/>
            <w:vMerge w:val="restart"/>
            <w:shd w:val="clear" w:color="auto" w:fill="auto"/>
            <w:tcMar>
              <w:left w:w="0" w:type="dxa"/>
            </w:tcMar>
          </w:tcPr>
          <w:p w14:paraId="75090F11" w14:textId="77777777" w:rsidR="00F77A50" w:rsidRPr="00B43216" w:rsidRDefault="00F77A50" w:rsidP="00B66208">
            <w:pPr>
              <w:pStyle w:val="Marginlie"/>
              <w:rPr>
                <w:spacing w:val="-4"/>
              </w:rPr>
            </w:pPr>
          </w:p>
        </w:tc>
        <w:tc>
          <w:tcPr>
            <w:tcW w:w="206" w:type="dxa"/>
            <w:vMerge w:val="restart"/>
            <w:shd w:val="clear" w:color="auto" w:fill="auto"/>
            <w:tcMar>
              <w:left w:w="0" w:type="dxa"/>
            </w:tcMar>
          </w:tcPr>
          <w:p w14:paraId="7793EA18"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0088A2B8" w14:textId="77777777" w:rsidR="00F77A50" w:rsidRPr="00760356" w:rsidRDefault="00F77A50" w:rsidP="00B66208">
            <w:pPr>
              <w:pStyle w:val="Textpoznpodarou"/>
              <w:spacing w:line="276" w:lineRule="auto"/>
              <w:jc w:val="both"/>
              <w:rPr>
                <w:b/>
                <w:spacing w:val="-2"/>
              </w:rPr>
            </w:pPr>
            <w:r w:rsidRPr="00760356">
              <w:rPr>
                <w:b/>
                <w:spacing w:val="-2"/>
              </w:rPr>
              <w:t>Graf č. 5</w:t>
            </w:r>
            <w:r>
              <w:rPr>
                <w:b/>
                <w:spacing w:val="-2"/>
              </w:rPr>
              <w:t xml:space="preserve">  Nové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F77A50" w:rsidRPr="00B43216" w14:paraId="75653557" w14:textId="77777777" w:rsidTr="00B66208">
        <w:tblPrEx>
          <w:tblCellMar>
            <w:left w:w="70" w:type="dxa"/>
            <w:right w:w="70" w:type="dxa"/>
          </w:tblCellMar>
        </w:tblPrEx>
        <w:trPr>
          <w:trHeight w:val="155"/>
        </w:trPr>
        <w:tc>
          <w:tcPr>
            <w:tcW w:w="1728" w:type="dxa"/>
            <w:vMerge/>
            <w:shd w:val="clear" w:color="auto" w:fill="auto"/>
          </w:tcPr>
          <w:p w14:paraId="1A2850AD" w14:textId="77777777" w:rsidR="00F77A50" w:rsidRPr="00B43216" w:rsidRDefault="00F77A50" w:rsidP="00B66208">
            <w:pPr>
              <w:pStyle w:val="Marginlie"/>
              <w:rPr>
                <w:spacing w:val="-4"/>
              </w:rPr>
            </w:pPr>
          </w:p>
        </w:tc>
        <w:tc>
          <w:tcPr>
            <w:tcW w:w="206" w:type="dxa"/>
            <w:vMerge/>
            <w:shd w:val="clear" w:color="auto" w:fill="auto"/>
          </w:tcPr>
          <w:p w14:paraId="17ABACB1" w14:textId="77777777" w:rsidR="00F77A50" w:rsidRPr="00B43216" w:rsidRDefault="00F77A50" w:rsidP="00B66208">
            <w:pPr>
              <w:pStyle w:val="Textpoznpodarou"/>
              <w:jc w:val="both"/>
              <w:rPr>
                <w:spacing w:val="-4"/>
              </w:rPr>
            </w:pPr>
          </w:p>
        </w:tc>
        <w:tc>
          <w:tcPr>
            <w:tcW w:w="7730" w:type="dxa"/>
            <w:shd w:val="clear" w:color="auto" w:fill="auto"/>
          </w:tcPr>
          <w:p w14:paraId="300CC819" w14:textId="77777777" w:rsidR="00F77A50" w:rsidRPr="00B43216" w:rsidRDefault="00F77A50" w:rsidP="00B66208">
            <w:pPr>
              <w:spacing w:after="0"/>
              <w:rPr>
                <w:spacing w:val="-4"/>
              </w:rPr>
            </w:pPr>
            <w:r>
              <w:rPr>
                <w:noProof/>
              </w:rPr>
              <w:drawing>
                <wp:inline distT="0" distB="0" distL="0" distR="0" wp14:anchorId="187EC0D3" wp14:editId="51B82190">
                  <wp:extent cx="4817745" cy="3562350"/>
                  <wp:effectExtent l="0" t="0" r="190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77A50" w:rsidRPr="00B43216" w14:paraId="041D268D" w14:textId="77777777" w:rsidTr="00B66208">
        <w:trPr>
          <w:trHeight w:val="152"/>
        </w:trPr>
        <w:tc>
          <w:tcPr>
            <w:tcW w:w="1728" w:type="dxa"/>
            <w:vMerge/>
            <w:shd w:val="clear" w:color="auto" w:fill="auto"/>
            <w:tcMar>
              <w:left w:w="0" w:type="dxa"/>
            </w:tcMar>
          </w:tcPr>
          <w:p w14:paraId="46BC5363" w14:textId="77777777" w:rsidR="00F77A50" w:rsidRPr="00B43216" w:rsidRDefault="00F77A50" w:rsidP="00B66208">
            <w:pPr>
              <w:pStyle w:val="Marginlie"/>
              <w:rPr>
                <w:spacing w:val="-4"/>
              </w:rPr>
            </w:pPr>
          </w:p>
        </w:tc>
        <w:tc>
          <w:tcPr>
            <w:tcW w:w="206" w:type="dxa"/>
            <w:vMerge/>
            <w:shd w:val="clear" w:color="auto" w:fill="auto"/>
            <w:tcMar>
              <w:left w:w="0" w:type="dxa"/>
            </w:tcMar>
          </w:tcPr>
          <w:p w14:paraId="41D7DA1A"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10D6E8D2" w14:textId="77777777" w:rsidR="00F77A50" w:rsidRDefault="00F77A50" w:rsidP="00B66208">
            <w:pPr>
              <w:tabs>
                <w:tab w:val="right" w:pos="7711"/>
              </w:tabs>
              <w:spacing w:after="0"/>
              <w:rPr>
                <w:rFonts w:cs="Arial"/>
                <w:sz w:val="14"/>
                <w:szCs w:val="14"/>
              </w:rPr>
            </w:pP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Podniky mohly uvést více hlavních růstových bariér současně.</w:t>
            </w:r>
            <w:r>
              <w:rPr>
                <w:rFonts w:cs="Arial"/>
                <w:sz w:val="14"/>
                <w:szCs w:val="14"/>
              </w:rPr>
              <w:tab/>
            </w:r>
            <w:r w:rsidRPr="00883202">
              <w:rPr>
                <w:rFonts w:cs="Arial"/>
                <w:sz w:val="14"/>
                <w:szCs w:val="14"/>
              </w:rPr>
              <w:t>Zdroj: ČSÚ</w:t>
            </w:r>
            <w:r>
              <w:rPr>
                <w:rFonts w:cs="Arial"/>
                <w:sz w:val="14"/>
                <w:szCs w:val="14"/>
              </w:rPr>
              <w:t>, Eurostat</w:t>
            </w:r>
          </w:p>
          <w:p w14:paraId="1FAE7DCF" w14:textId="77777777" w:rsidR="00F77A50" w:rsidRPr="008C5037" w:rsidRDefault="00F77A50" w:rsidP="00B66208">
            <w:pPr>
              <w:spacing w:after="0"/>
              <w:rPr>
                <w:rFonts w:cs="Arial"/>
                <w:sz w:val="14"/>
                <w:szCs w:val="14"/>
              </w:rPr>
            </w:pPr>
          </w:p>
        </w:tc>
      </w:tr>
      <w:tr w:rsidR="00F77A50" w:rsidRPr="00191C35" w14:paraId="5574EA56" w14:textId="77777777" w:rsidTr="00B66208">
        <w:trPr>
          <w:trHeight w:val="145"/>
        </w:trPr>
        <w:tc>
          <w:tcPr>
            <w:tcW w:w="1728" w:type="dxa"/>
            <w:shd w:val="clear" w:color="auto" w:fill="auto"/>
            <w:tcMar>
              <w:left w:w="0" w:type="dxa"/>
            </w:tcMar>
          </w:tcPr>
          <w:p w14:paraId="6D5C931C" w14:textId="77777777" w:rsidR="00F77A50" w:rsidRDefault="00F77A50" w:rsidP="00B66208">
            <w:pPr>
              <w:pStyle w:val="Marginlie"/>
              <w:rPr>
                <w:spacing w:val="0"/>
              </w:rPr>
            </w:pPr>
            <w:r>
              <w:rPr>
                <w:spacing w:val="0"/>
              </w:rPr>
              <w:t>Důvěra podnikatelů v průmyslu během 2. a 3. čtvrtletí oslabovala, na konci roku ale došlo k pozitivnímu obratu.</w:t>
            </w:r>
          </w:p>
          <w:p w14:paraId="1384999A" w14:textId="77777777" w:rsidR="00F77A50" w:rsidRDefault="00F77A50" w:rsidP="00B66208">
            <w:pPr>
              <w:pStyle w:val="Marginlie"/>
              <w:rPr>
                <w:spacing w:val="0"/>
              </w:rPr>
            </w:pPr>
          </w:p>
          <w:p w14:paraId="6105694F" w14:textId="77777777" w:rsidR="00F77A50" w:rsidRDefault="00F77A50" w:rsidP="00B66208">
            <w:pPr>
              <w:pStyle w:val="Marginlie"/>
              <w:rPr>
                <w:spacing w:val="0"/>
              </w:rPr>
            </w:pPr>
          </w:p>
          <w:p w14:paraId="27A5D6AA" w14:textId="77777777" w:rsidR="00F77A50" w:rsidRDefault="00F77A50" w:rsidP="00B66208">
            <w:pPr>
              <w:pStyle w:val="Marginlie"/>
            </w:pPr>
            <w:r>
              <w:rPr>
                <w:spacing w:val="0"/>
              </w:rPr>
              <w:lastRenderedPageBreak/>
              <w:t>Nedostatek materiálu a zařízení sužoval v lednu 2022 již 40 % podniků.</w:t>
            </w:r>
          </w:p>
        </w:tc>
        <w:tc>
          <w:tcPr>
            <w:tcW w:w="206" w:type="dxa"/>
            <w:shd w:val="clear" w:color="auto" w:fill="auto"/>
            <w:tcMar>
              <w:left w:w="0" w:type="dxa"/>
            </w:tcMar>
          </w:tcPr>
          <w:p w14:paraId="2028FEDE"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5FC64C95" w14:textId="77777777" w:rsidR="00F77A50" w:rsidRDefault="00F77A50" w:rsidP="00B66208">
            <w:pPr>
              <w:spacing w:after="160"/>
              <w:rPr>
                <w:spacing w:val="-4"/>
              </w:rPr>
            </w:pPr>
            <w:r w:rsidRPr="004D3151">
              <w:rPr>
                <w:color w:val="0D0D0D" w:themeColor="text1" w:themeTint="F2"/>
                <w:spacing w:val="-4"/>
              </w:rPr>
              <w:t>Důvěra podnikatelů v</w:t>
            </w:r>
            <w:r>
              <w:rPr>
                <w:color w:val="0D0D0D" w:themeColor="text1" w:themeTint="F2"/>
                <w:spacing w:val="-4"/>
              </w:rPr>
              <w:t> </w:t>
            </w:r>
            <w:r w:rsidRPr="004D3151">
              <w:rPr>
                <w:color w:val="0D0D0D" w:themeColor="text1" w:themeTint="F2"/>
                <w:spacing w:val="-4"/>
              </w:rPr>
              <w:t>průmyslu</w:t>
            </w:r>
            <w:r>
              <w:rPr>
                <w:color w:val="0D0D0D" w:themeColor="text1" w:themeTint="F2"/>
                <w:spacing w:val="-4"/>
              </w:rPr>
              <w:t xml:space="preserve"> se během roku 2021 výrazně proměňovala. Po červnovém maximu (s nejvyšší hodnotou za posledních deset let) plynule oslabovala až do října, kdy byl pesimismus nejhlubší od loňského jara. Následně došlo vlivem částečného obnovení výroby v automobilovém průmyslu k oživení a celková důvěra v průmyslu se vrátila na průměrnou úroveň za rok 2021 (a nepatrně vyšší než před propuknutím pandemie).</w:t>
            </w:r>
            <w:r w:rsidRPr="00134635">
              <w:rPr>
                <w:spacing w:val="-5"/>
              </w:rPr>
              <w:t xml:space="preserve"> Očekávání výrobní činnosti v příštích měsících se zlepšilo.</w:t>
            </w:r>
            <w:r>
              <w:rPr>
                <w:spacing w:val="-5"/>
              </w:rPr>
              <w:t xml:space="preserve"> V lednu její růst předpokládalo</w:t>
            </w:r>
            <w:r w:rsidRPr="00864981">
              <w:rPr>
                <w:spacing w:val="-5"/>
              </w:rPr>
              <w:t xml:space="preserve"> </w:t>
            </w:r>
            <w:r>
              <w:rPr>
                <w:spacing w:val="-5"/>
              </w:rPr>
              <w:t>27 %</w:t>
            </w:r>
            <w:r w:rsidRPr="00864981">
              <w:rPr>
                <w:spacing w:val="-5"/>
              </w:rPr>
              <w:t xml:space="preserve"> podniků v</w:t>
            </w:r>
            <w:r>
              <w:rPr>
                <w:spacing w:val="-5"/>
              </w:rPr>
              <w:t xml:space="preserve"> celém průmyslu, pokles pak 15 %. Výhled celkové ekonomické situace podniků v průmyslu na </w:t>
            </w:r>
            <w:r>
              <w:rPr>
                <w:spacing w:val="-5"/>
              </w:rPr>
              <w:lastRenderedPageBreak/>
              <w:t xml:space="preserve">příštích šest měsíců zůstal podobně jako očekávání v oblasti zaměstnanosti mírně pozitivní. Evidenční počet zaměstnanců v průmyslu se sice za celý loňský rok o 1,2 % snížil, v samotném 4. čtvrtletí se ale jeho meziroční pokles zastavil. </w:t>
            </w:r>
            <w:r w:rsidRPr="00B12B9E">
              <w:rPr>
                <w:color w:val="0D0D0D" w:themeColor="text1" w:themeTint="F2"/>
                <w:spacing w:val="-4"/>
              </w:rPr>
              <w:t>Hlavní růstovou bariérou</w:t>
            </w:r>
            <w:r w:rsidRPr="00B12B9E">
              <w:rPr>
                <w:rStyle w:val="Znakapoznpodarou"/>
                <w:color w:val="0D0D0D" w:themeColor="text1" w:themeTint="F2"/>
                <w:spacing w:val="-4"/>
              </w:rPr>
              <w:footnoteReference w:id="18"/>
            </w:r>
            <w:r>
              <w:rPr>
                <w:color w:val="0D0D0D" w:themeColor="text1" w:themeTint="F2"/>
                <w:spacing w:val="-4"/>
              </w:rPr>
              <w:t xml:space="preserve"> zůstává od půle loňského roku nedostatek materiálu a zařízení, který v lednu 2022 limitoval 40 % průmyslových podniků v tuzemsku (v EU 51 %). Nedostatečná poptávka, podobně jako nedostatek pracovníků sužovaly zhruba čtvrtinu podniků</w:t>
            </w:r>
            <w:r>
              <w:t>.</w:t>
            </w:r>
          </w:p>
        </w:tc>
      </w:tr>
      <w:tr w:rsidR="00F77A50" w:rsidRPr="00191C35" w14:paraId="0C5B750A" w14:textId="77777777" w:rsidTr="00B66208">
        <w:trPr>
          <w:trHeight w:val="145"/>
        </w:trPr>
        <w:tc>
          <w:tcPr>
            <w:tcW w:w="1728" w:type="dxa"/>
            <w:shd w:val="clear" w:color="auto" w:fill="auto"/>
            <w:tcMar>
              <w:left w:w="0" w:type="dxa"/>
            </w:tcMar>
          </w:tcPr>
          <w:p w14:paraId="014EC8E7" w14:textId="77777777" w:rsidR="00F77A50" w:rsidRDefault="00F77A50" w:rsidP="00B66208">
            <w:pPr>
              <w:pStyle w:val="Marginlie"/>
            </w:pPr>
            <w:r>
              <w:lastRenderedPageBreak/>
              <w:t xml:space="preserve">Mezikvartální růst stavební produkce se </w:t>
            </w:r>
            <w:r>
              <w:br/>
              <w:t xml:space="preserve">ve 3. čtvrtletí zastavil, </w:t>
            </w:r>
            <w:r>
              <w:br/>
              <w:t>ke konci roku ale došlo i díky pozemnímu stavitelství k obratu.</w:t>
            </w:r>
          </w:p>
        </w:tc>
        <w:tc>
          <w:tcPr>
            <w:tcW w:w="206" w:type="dxa"/>
            <w:shd w:val="clear" w:color="auto" w:fill="auto"/>
            <w:tcMar>
              <w:left w:w="0" w:type="dxa"/>
            </w:tcMar>
          </w:tcPr>
          <w:p w14:paraId="467DE95C"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676E450A" w14:textId="77777777" w:rsidR="00F77A50" w:rsidRPr="00DB2141" w:rsidRDefault="00F77A50" w:rsidP="00B66208">
            <w:pPr>
              <w:spacing w:after="160"/>
              <w:rPr>
                <w:rFonts w:cs="Arial"/>
                <w:color w:val="0D0D0D" w:themeColor="text1" w:themeTint="F2"/>
                <w:spacing w:val="-4"/>
              </w:rPr>
            </w:pPr>
            <w:r>
              <w:rPr>
                <w:spacing w:val="-4"/>
              </w:rPr>
              <w:t>Stavebnictví se loni navzdory některým růstovým předpokladům (např. plánované veřejné investice do dopravní infrastruktury</w:t>
            </w:r>
            <w:r>
              <w:rPr>
                <w:rStyle w:val="Znakapoznpodarou"/>
                <w:spacing w:val="-4"/>
              </w:rPr>
              <w:footnoteReference w:id="19"/>
            </w:r>
            <w:r>
              <w:rPr>
                <w:spacing w:val="-4"/>
              </w:rPr>
              <w:t xml:space="preserve">) zotavovalo </w:t>
            </w:r>
            <w:r w:rsidRPr="005232F9">
              <w:rPr>
                <w:color w:val="0D0D0D" w:themeColor="text1" w:themeTint="F2"/>
                <w:spacing w:val="-4"/>
              </w:rPr>
              <w:t xml:space="preserve">pomalu. </w:t>
            </w:r>
            <w:r>
              <w:rPr>
                <w:color w:val="0D0D0D" w:themeColor="text1" w:themeTint="F2"/>
                <w:spacing w:val="-4"/>
              </w:rPr>
              <w:t xml:space="preserve">Mezikvartální tempo </w:t>
            </w:r>
            <w:r>
              <w:rPr>
                <w:rFonts w:cs="Arial"/>
                <w:color w:val="0D0D0D" w:themeColor="text1" w:themeTint="F2"/>
                <w:spacing w:val="-4"/>
              </w:rPr>
              <w:t>s</w:t>
            </w:r>
            <w:r w:rsidRPr="005232F9">
              <w:rPr>
                <w:rFonts w:cs="Arial"/>
                <w:color w:val="0D0D0D" w:themeColor="text1" w:themeTint="F2"/>
                <w:spacing w:val="-4"/>
              </w:rPr>
              <w:t>tavební produkce</w:t>
            </w:r>
            <w:r w:rsidRPr="005232F9">
              <w:rPr>
                <w:rStyle w:val="Znakapoznpodarou"/>
                <w:color w:val="0D0D0D" w:themeColor="text1" w:themeTint="F2"/>
                <w:spacing w:val="-2"/>
              </w:rPr>
              <w:footnoteReference w:id="20"/>
            </w:r>
            <w:r>
              <w:rPr>
                <w:rFonts w:cs="Arial"/>
                <w:color w:val="0D0D0D" w:themeColor="text1" w:themeTint="F2"/>
                <w:spacing w:val="-4"/>
              </w:rPr>
              <w:t xml:space="preserve"> sice v 1. i 2. čtvrtletí 2021 přesáhlo 2 %, ve 3. čtvrtletí ale výkon celého odvětví o 1,0 % poklesl. Stálo za tím primárně inženýrské stavitelství, na něž dolehlo pomalejší čerpání veřejných investic v prvních dvou třetinách roku. Ve 4. čtvrtletí došlo ve stavebnictví k pozitivnímu obratu (+2,2 %), na kterém se podílelo zejména pozemní stavitelství těžící z příznivého vývoje bytové výstavby.</w:t>
            </w:r>
          </w:p>
        </w:tc>
      </w:tr>
      <w:tr w:rsidR="00F77A50" w:rsidRPr="00191C35" w14:paraId="09038984" w14:textId="77777777" w:rsidTr="00B66208">
        <w:trPr>
          <w:trHeight w:val="145"/>
        </w:trPr>
        <w:tc>
          <w:tcPr>
            <w:tcW w:w="1728" w:type="dxa"/>
            <w:shd w:val="clear" w:color="auto" w:fill="auto"/>
            <w:tcMar>
              <w:left w:w="0" w:type="dxa"/>
            </w:tcMar>
          </w:tcPr>
          <w:p w14:paraId="2BA5C365" w14:textId="77777777" w:rsidR="00F77A50" w:rsidRDefault="00F77A50" w:rsidP="00B66208">
            <w:pPr>
              <w:pStyle w:val="Marginlie"/>
            </w:pPr>
            <w:r>
              <w:t>Tři roky trvající růst inženýrského stavitelství již loni nepokračoval. Pozemní stavitelství se postupně zotavovalo.</w:t>
            </w:r>
          </w:p>
        </w:tc>
        <w:tc>
          <w:tcPr>
            <w:tcW w:w="206" w:type="dxa"/>
            <w:shd w:val="clear" w:color="auto" w:fill="auto"/>
            <w:tcMar>
              <w:left w:w="0" w:type="dxa"/>
            </w:tcMar>
          </w:tcPr>
          <w:p w14:paraId="1145CD77"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3DE8048E" w14:textId="77777777" w:rsidR="00F77A50" w:rsidRPr="00076B73" w:rsidRDefault="00F77A50" w:rsidP="00B66208">
            <w:pPr>
              <w:spacing w:after="160"/>
              <w:rPr>
                <w:rFonts w:cs="Arial"/>
                <w:color w:val="0D0D0D" w:themeColor="text1" w:themeTint="F2"/>
                <w:spacing w:val="-2"/>
              </w:rPr>
            </w:pPr>
            <w:r w:rsidRPr="00076B73">
              <w:rPr>
                <w:rFonts w:cs="Arial"/>
                <w:color w:val="0D0D0D" w:themeColor="text1" w:themeTint="F2"/>
                <w:spacing w:val="-2"/>
              </w:rPr>
              <w:t>I</w:t>
            </w:r>
            <w:r>
              <w:rPr>
                <w:rFonts w:cs="Arial"/>
                <w:color w:val="0D0D0D" w:themeColor="text1" w:themeTint="F2"/>
                <w:spacing w:val="-2"/>
              </w:rPr>
              <w:t> </w:t>
            </w:r>
            <w:r w:rsidRPr="00076B73">
              <w:rPr>
                <w:rFonts w:cs="Arial"/>
                <w:color w:val="0D0D0D" w:themeColor="text1" w:themeTint="F2"/>
                <w:spacing w:val="-2"/>
              </w:rPr>
              <w:t>díky vývoji v posledních měsících tak za celý loňský rok stavební produkce mírně vzrostla, výhradně ale vlivem pozemního stavitelství, které posílilo o</w:t>
            </w:r>
            <w:r>
              <w:rPr>
                <w:rFonts w:cs="Arial"/>
                <w:color w:val="0D0D0D" w:themeColor="text1" w:themeTint="F2"/>
                <w:spacing w:val="-2"/>
              </w:rPr>
              <w:t> </w:t>
            </w:r>
            <w:r w:rsidRPr="00076B73">
              <w:rPr>
                <w:rFonts w:cs="Arial"/>
                <w:color w:val="0D0D0D" w:themeColor="text1" w:themeTint="F2"/>
                <w:spacing w:val="-2"/>
              </w:rPr>
              <w:t>3,5</w:t>
            </w:r>
            <w:r>
              <w:rPr>
                <w:rFonts w:cs="Arial"/>
                <w:color w:val="0D0D0D" w:themeColor="text1" w:themeTint="F2"/>
                <w:spacing w:val="-2"/>
              </w:rPr>
              <w:t> %.</w:t>
            </w:r>
            <w:r w:rsidRPr="00076B73">
              <w:rPr>
                <w:rFonts w:cs="Arial"/>
                <w:color w:val="0D0D0D" w:themeColor="text1" w:themeTint="F2"/>
                <w:spacing w:val="-2"/>
              </w:rPr>
              <w:t xml:space="preserve"> Naopak tři roky trvající růst inženýrského stavitelství, podpořený sílícím čerpáním prostředků z evropských fondů, se loni zastavil (–0,2</w:t>
            </w:r>
            <w:r>
              <w:rPr>
                <w:rFonts w:cs="Arial"/>
                <w:color w:val="0D0D0D" w:themeColor="text1" w:themeTint="F2"/>
                <w:spacing w:val="-2"/>
              </w:rPr>
              <w:t> %</w:t>
            </w:r>
            <w:r w:rsidRPr="00076B73">
              <w:rPr>
                <w:rFonts w:cs="Arial"/>
                <w:color w:val="0D0D0D" w:themeColor="text1" w:themeTint="F2"/>
                <w:spacing w:val="-2"/>
              </w:rPr>
              <w:t>). To pozemní stavitelství navazovalo na útlum z roku 2020 (</w:t>
            </w:r>
            <w:r w:rsidRPr="00076B73">
              <w:rPr>
                <w:color w:val="0D0D0D" w:themeColor="text1" w:themeTint="F2"/>
                <w:spacing w:val="-2"/>
              </w:rPr>
              <w:t>–</w:t>
            </w:r>
            <w:r w:rsidRPr="00076B73">
              <w:rPr>
                <w:rFonts w:cs="Arial"/>
                <w:color w:val="0D0D0D" w:themeColor="text1" w:themeTint="F2"/>
                <w:spacing w:val="-2"/>
              </w:rPr>
              <w:t>9,0</w:t>
            </w:r>
            <w:r>
              <w:rPr>
                <w:rFonts w:cs="Arial"/>
                <w:color w:val="0D0D0D" w:themeColor="text1" w:themeTint="F2"/>
                <w:spacing w:val="-2"/>
              </w:rPr>
              <w:t> %</w:t>
            </w:r>
            <w:r w:rsidRPr="00076B73">
              <w:rPr>
                <w:rFonts w:cs="Arial"/>
                <w:color w:val="0D0D0D" w:themeColor="text1" w:themeTint="F2"/>
                <w:spacing w:val="-2"/>
              </w:rPr>
              <w:t>), jenž byl nejhlubší ve srovnatelné 20leté řadě.</w:t>
            </w:r>
          </w:p>
        </w:tc>
      </w:tr>
      <w:tr w:rsidR="00F77A50" w:rsidRPr="00191C35" w14:paraId="6B9A6403" w14:textId="77777777" w:rsidTr="00B66208">
        <w:trPr>
          <w:trHeight w:val="145"/>
        </w:trPr>
        <w:tc>
          <w:tcPr>
            <w:tcW w:w="1728" w:type="dxa"/>
            <w:shd w:val="clear" w:color="auto" w:fill="auto"/>
            <w:tcMar>
              <w:left w:w="0" w:type="dxa"/>
            </w:tcMar>
          </w:tcPr>
          <w:p w14:paraId="67BF3CD5" w14:textId="77777777" w:rsidR="00F77A50" w:rsidRDefault="00F77A50" w:rsidP="00B66208">
            <w:pPr>
              <w:pStyle w:val="Marginlie"/>
            </w:pPr>
          </w:p>
        </w:tc>
        <w:tc>
          <w:tcPr>
            <w:tcW w:w="206" w:type="dxa"/>
            <w:shd w:val="clear" w:color="auto" w:fill="auto"/>
            <w:tcMar>
              <w:left w:w="0" w:type="dxa"/>
            </w:tcMar>
          </w:tcPr>
          <w:p w14:paraId="2E8D93D8"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086D7E7E" w14:textId="77777777" w:rsidR="00F77A50" w:rsidRPr="006E759E" w:rsidRDefault="00F77A50" w:rsidP="00B66208">
            <w:pPr>
              <w:spacing w:after="0"/>
              <w:rPr>
                <w:spacing w:val="-5"/>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spacing w:val="-5"/>
              </w:rPr>
              <w:t>, pravá osa</w:t>
            </w:r>
            <w:r w:rsidRPr="006E759E">
              <w:rPr>
                <w:bCs/>
                <w:spacing w:val="-5"/>
              </w:rPr>
              <w:t>)</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F77A50" w:rsidRPr="00191C35" w14:paraId="11D86604" w14:textId="77777777" w:rsidTr="00B66208">
        <w:tblPrEx>
          <w:tblCellMar>
            <w:left w:w="70" w:type="dxa"/>
            <w:right w:w="70" w:type="dxa"/>
          </w:tblCellMar>
        </w:tblPrEx>
        <w:trPr>
          <w:trHeight w:val="145"/>
        </w:trPr>
        <w:tc>
          <w:tcPr>
            <w:tcW w:w="1728" w:type="dxa"/>
            <w:shd w:val="clear" w:color="auto" w:fill="auto"/>
          </w:tcPr>
          <w:p w14:paraId="1CFBC8CB" w14:textId="77777777" w:rsidR="00F77A50" w:rsidRDefault="00F77A50" w:rsidP="00B66208">
            <w:pPr>
              <w:pStyle w:val="Marginlie"/>
            </w:pPr>
          </w:p>
        </w:tc>
        <w:tc>
          <w:tcPr>
            <w:tcW w:w="206" w:type="dxa"/>
            <w:shd w:val="clear" w:color="auto" w:fill="auto"/>
          </w:tcPr>
          <w:p w14:paraId="0252D769" w14:textId="77777777" w:rsidR="00F77A50" w:rsidRPr="00B43216" w:rsidRDefault="00F77A50" w:rsidP="00B66208">
            <w:pPr>
              <w:pStyle w:val="Textpoznpodarou"/>
              <w:jc w:val="both"/>
              <w:rPr>
                <w:spacing w:val="-4"/>
              </w:rPr>
            </w:pPr>
          </w:p>
        </w:tc>
        <w:tc>
          <w:tcPr>
            <w:tcW w:w="7730" w:type="dxa"/>
            <w:shd w:val="clear" w:color="auto" w:fill="auto"/>
          </w:tcPr>
          <w:p w14:paraId="3F1E8B72" w14:textId="77777777" w:rsidR="00F77A50" w:rsidRPr="003E01D3" w:rsidRDefault="00F77A50" w:rsidP="00B66208">
            <w:pPr>
              <w:spacing w:after="0"/>
              <w:rPr>
                <w:b/>
                <w:spacing w:val="-4"/>
              </w:rPr>
            </w:pPr>
            <w:r>
              <w:rPr>
                <w:noProof/>
              </w:rPr>
              <w:drawing>
                <wp:inline distT="0" distB="0" distL="0" distR="0" wp14:anchorId="1FEC7305" wp14:editId="4D055B43">
                  <wp:extent cx="4817745" cy="3581400"/>
                  <wp:effectExtent l="0" t="0" r="1905"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77A50" w:rsidRPr="00191C35" w14:paraId="470747E1" w14:textId="77777777" w:rsidTr="00B66208">
        <w:trPr>
          <w:trHeight w:val="145"/>
        </w:trPr>
        <w:tc>
          <w:tcPr>
            <w:tcW w:w="1728" w:type="dxa"/>
            <w:shd w:val="clear" w:color="auto" w:fill="auto"/>
            <w:tcMar>
              <w:left w:w="0" w:type="dxa"/>
            </w:tcMar>
          </w:tcPr>
          <w:p w14:paraId="35CE6A84" w14:textId="77777777" w:rsidR="00F77A50" w:rsidRDefault="00F77A50" w:rsidP="00B66208">
            <w:pPr>
              <w:pStyle w:val="Marginlie"/>
            </w:pPr>
          </w:p>
        </w:tc>
        <w:tc>
          <w:tcPr>
            <w:tcW w:w="206" w:type="dxa"/>
            <w:shd w:val="clear" w:color="auto" w:fill="auto"/>
            <w:tcMar>
              <w:left w:w="0" w:type="dxa"/>
            </w:tcMar>
          </w:tcPr>
          <w:p w14:paraId="4AD9133C"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04C3B101" w14:textId="77777777" w:rsidR="00F77A50" w:rsidRPr="00883202" w:rsidRDefault="00F77A50" w:rsidP="00B66208">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626A1C6C" w14:textId="77777777" w:rsidR="00F77A50" w:rsidRDefault="00F77A50" w:rsidP="00B66208">
            <w:pPr>
              <w:tabs>
                <w:tab w:val="right" w:pos="7711"/>
              </w:tabs>
              <w:spacing w:after="0"/>
              <w:rPr>
                <w:rFonts w:cs="Arial"/>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w:t>
            </w:r>
            <w:r>
              <w:rPr>
                <w:rFonts w:cs="Arial"/>
                <w:sz w:val="14"/>
                <w:szCs w:val="14"/>
              </w:rPr>
              <w:tab/>
            </w:r>
            <w:r w:rsidRPr="00883202">
              <w:rPr>
                <w:rFonts w:cs="Arial"/>
                <w:sz w:val="14"/>
                <w:szCs w:val="14"/>
              </w:rPr>
              <w:t>Zdroj: ČSÚ</w:t>
            </w:r>
            <w:r>
              <w:rPr>
                <w:rFonts w:cs="Arial"/>
                <w:sz w:val="14"/>
                <w:szCs w:val="14"/>
              </w:rPr>
              <w:t>, Eurostat</w:t>
            </w:r>
          </w:p>
          <w:p w14:paraId="1BD149C2" w14:textId="77777777" w:rsidR="00F77A50" w:rsidRPr="00FC6785" w:rsidRDefault="00F77A50" w:rsidP="00B66208">
            <w:pPr>
              <w:tabs>
                <w:tab w:val="right" w:pos="7711"/>
              </w:tabs>
              <w:spacing w:after="0"/>
              <w:rPr>
                <w:rFonts w:cs="Arial"/>
                <w:sz w:val="14"/>
                <w:szCs w:val="14"/>
              </w:rPr>
            </w:pPr>
          </w:p>
        </w:tc>
      </w:tr>
      <w:tr w:rsidR="00F77A50" w:rsidRPr="00191C35" w14:paraId="7627ED92" w14:textId="77777777" w:rsidTr="00B66208">
        <w:trPr>
          <w:trHeight w:val="145"/>
        </w:trPr>
        <w:tc>
          <w:tcPr>
            <w:tcW w:w="1728" w:type="dxa"/>
            <w:shd w:val="clear" w:color="auto" w:fill="auto"/>
            <w:tcMar>
              <w:left w:w="0" w:type="dxa"/>
            </w:tcMar>
          </w:tcPr>
          <w:p w14:paraId="7D5D699D" w14:textId="77777777" w:rsidR="00F77A50" w:rsidRDefault="00F77A50" w:rsidP="00B66208">
            <w:pPr>
              <w:pStyle w:val="Marginlie"/>
            </w:pPr>
            <w:r>
              <w:t xml:space="preserve">Počet zahájených bytů mírně přesáhl dosud rekordní výstavbu z roku </w:t>
            </w:r>
            <w:r>
              <w:lastRenderedPageBreak/>
              <w:t>2007. Svižně rostla hlavně výstavba bytů v bytových domech v Praze a středních Čechách.</w:t>
            </w:r>
          </w:p>
          <w:p w14:paraId="03A994F0" w14:textId="77777777" w:rsidR="00F77A50" w:rsidRDefault="00F77A50" w:rsidP="00B66208">
            <w:pPr>
              <w:pStyle w:val="Marginlie"/>
            </w:pPr>
          </w:p>
          <w:p w14:paraId="1BC37A0E" w14:textId="77777777" w:rsidR="00F77A50" w:rsidRDefault="00F77A50" w:rsidP="00B66208">
            <w:pPr>
              <w:pStyle w:val="Marginlie"/>
            </w:pPr>
          </w:p>
          <w:p w14:paraId="352E2DC6" w14:textId="77777777" w:rsidR="00F77A50" w:rsidRDefault="00F77A50" w:rsidP="00B66208">
            <w:pPr>
              <w:pStyle w:val="Marginlie"/>
            </w:pPr>
            <w:r w:rsidRPr="00CF1D8C">
              <w:t>Počet dokončených</w:t>
            </w:r>
            <w:r>
              <w:t xml:space="preserve"> bytů meziročně stagnoval.</w:t>
            </w:r>
          </w:p>
        </w:tc>
        <w:tc>
          <w:tcPr>
            <w:tcW w:w="206" w:type="dxa"/>
            <w:shd w:val="clear" w:color="auto" w:fill="auto"/>
            <w:tcMar>
              <w:left w:w="0" w:type="dxa"/>
            </w:tcMar>
          </w:tcPr>
          <w:p w14:paraId="479ED1BB" w14:textId="77777777" w:rsidR="00F77A50" w:rsidRPr="00B34A3C"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32E0D3BE" w14:textId="77777777" w:rsidR="00F77A50" w:rsidRDefault="00F77A50" w:rsidP="00B66208">
            <w:pPr>
              <w:spacing w:after="160"/>
              <w:rPr>
                <w:rFonts w:cs="Arial"/>
                <w:bCs/>
                <w:color w:val="0D0D0D" w:themeColor="text1" w:themeTint="F2"/>
                <w:spacing w:val="-2"/>
                <w:szCs w:val="20"/>
              </w:rPr>
            </w:pPr>
            <w:r>
              <w:rPr>
                <w:rFonts w:cs="Arial"/>
                <w:color w:val="0D0D0D" w:themeColor="text1" w:themeTint="F2"/>
                <w:spacing w:val="-4"/>
              </w:rPr>
              <w:t>Byť celé stavebnictví nebylo v roce 2021 protipandemickými restrikcemi bezprostředně zasaženo, dopady předloňských opatření ho stále ovlivňovaly (v administrativní náročnosti přípravy staveb či mobilitě zahraničních pracovníků).</w:t>
            </w:r>
            <w:r>
              <w:rPr>
                <w:spacing w:val="-4"/>
              </w:rPr>
              <w:t xml:space="preserve"> Po ústupu jarní pandemické vlny se </w:t>
            </w:r>
            <w:r>
              <w:rPr>
                <w:spacing w:val="-4"/>
              </w:rPr>
              <w:lastRenderedPageBreak/>
              <w:t>nicméně podmínky pro stavebnictví zlepšily, což se projevilo například v zahajované bytové výstavbě. Především díky nebývale silnému 2. pololetí tak dosáhl za celý loňský rok počet zahájených bytů v novodobé historii ČR rekordních 45,0 tis. Nevídané bylo i</w:t>
            </w:r>
            <w:r>
              <w:rPr>
                <w:rFonts w:cs="Arial"/>
                <w:color w:val="0D0D0D" w:themeColor="text1" w:themeTint="F2"/>
                <w:spacing w:val="-4"/>
              </w:rPr>
              <w:t> </w:t>
            </w:r>
            <w:r>
              <w:rPr>
                <w:spacing w:val="-4"/>
              </w:rPr>
              <w:t xml:space="preserve">meziroční posílení výstavby (o 28 %), hlavně díky bytům v bytových domech. Byť se celková výstavba navyšovala ve 12 ze 14 krajů, k růstu loni z drtivé většiny přispěly Praha a střední Čechy. Počet </w:t>
            </w:r>
            <w:r w:rsidRPr="00CF1D8C">
              <w:rPr>
                <w:spacing w:val="-4"/>
              </w:rPr>
              <w:t>dokončených bytů</w:t>
            </w:r>
            <w:r>
              <w:rPr>
                <w:spacing w:val="-4"/>
              </w:rPr>
              <w:t xml:space="preserve"> v Česku loni pouze stagnoval (na 34,6 tis.) a za rokem 2007 o</w:t>
            </w:r>
            <w:r>
              <w:rPr>
                <w:rFonts w:cs="Arial"/>
                <w:color w:val="0D0D0D" w:themeColor="text1" w:themeTint="F2"/>
                <w:spacing w:val="-4"/>
              </w:rPr>
              <w:t> </w:t>
            </w:r>
            <w:r>
              <w:rPr>
                <w:spacing w:val="-4"/>
              </w:rPr>
              <w:t>šestinu zaostal. Bytů v rodinných domech vzniklo dokonce nejméně za poslední čtyři roky. Prudký růst cen stavebních materiálů i prací mohl přispět k větší rozestavěnosti a tím i</w:t>
            </w:r>
            <w:r>
              <w:rPr>
                <w:rFonts w:cs="Arial"/>
                <w:color w:val="0D0D0D" w:themeColor="text1" w:themeTint="F2"/>
                <w:spacing w:val="-4"/>
              </w:rPr>
              <w:t> </w:t>
            </w:r>
            <w:r>
              <w:rPr>
                <w:spacing w:val="-4"/>
              </w:rPr>
              <w:t>k</w:t>
            </w:r>
            <w:r>
              <w:rPr>
                <w:rFonts w:cs="Arial"/>
                <w:color w:val="0D0D0D" w:themeColor="text1" w:themeTint="F2"/>
                <w:spacing w:val="-4"/>
              </w:rPr>
              <w:t> </w:t>
            </w:r>
            <w:r>
              <w:rPr>
                <w:spacing w:val="-4"/>
              </w:rPr>
              <w:t>prodloužení průměrné doby výstavby.</w:t>
            </w:r>
          </w:p>
        </w:tc>
      </w:tr>
      <w:tr w:rsidR="00F77A50" w:rsidRPr="00191C35" w14:paraId="7A5200FD" w14:textId="77777777" w:rsidTr="00B66208">
        <w:trPr>
          <w:trHeight w:val="145"/>
        </w:trPr>
        <w:tc>
          <w:tcPr>
            <w:tcW w:w="1728" w:type="dxa"/>
            <w:shd w:val="clear" w:color="auto" w:fill="auto"/>
            <w:tcMar>
              <w:left w:w="0" w:type="dxa"/>
            </w:tcMar>
          </w:tcPr>
          <w:p w14:paraId="74D1FA2A" w14:textId="77777777" w:rsidR="00F77A50" w:rsidRDefault="00F77A50" w:rsidP="00B66208">
            <w:pPr>
              <w:pStyle w:val="Marginlie"/>
            </w:pPr>
            <w:r>
              <w:lastRenderedPageBreak/>
              <w:t>Růst hodnoty nových stavebních zakázek ve 4. čtvrtletí zvolnil.</w:t>
            </w:r>
          </w:p>
          <w:p w14:paraId="36770E7A" w14:textId="77777777" w:rsidR="00F77A50" w:rsidRDefault="00F77A50" w:rsidP="00B66208">
            <w:pPr>
              <w:pStyle w:val="Marginlie"/>
            </w:pPr>
          </w:p>
          <w:p w14:paraId="1073237B" w14:textId="77777777" w:rsidR="00F77A50" w:rsidRDefault="00F77A50" w:rsidP="00B66208">
            <w:pPr>
              <w:pStyle w:val="Marginlie"/>
            </w:pPr>
          </w:p>
          <w:p w14:paraId="2C24F243" w14:textId="77777777" w:rsidR="00F77A50" w:rsidRDefault="00F77A50" w:rsidP="00B66208">
            <w:pPr>
              <w:pStyle w:val="Marginlie"/>
            </w:pPr>
          </w:p>
          <w:p w14:paraId="206EC03F" w14:textId="77777777" w:rsidR="00F77A50" w:rsidRDefault="00F77A50" w:rsidP="00B66208">
            <w:pPr>
              <w:pStyle w:val="Marginlie"/>
            </w:pPr>
          </w:p>
          <w:p w14:paraId="53D1E470" w14:textId="77777777" w:rsidR="00F77A50" w:rsidRDefault="00F77A50" w:rsidP="00B66208">
            <w:pPr>
              <w:pStyle w:val="Marginlie"/>
            </w:pPr>
          </w:p>
          <w:p w14:paraId="36357554" w14:textId="77777777" w:rsidR="00F77A50" w:rsidRDefault="00F77A50" w:rsidP="00B66208">
            <w:pPr>
              <w:pStyle w:val="Marginlie"/>
            </w:pPr>
            <w:r>
              <w:t>Důvěra podnikatelů ve stavebnictví se loni příliš neměnila, leden a únor 2022 přinesly pozitivní posun. Klíčovou růstovou bariérou zůstává nedostatek pracovníků.</w:t>
            </w:r>
          </w:p>
        </w:tc>
        <w:tc>
          <w:tcPr>
            <w:tcW w:w="206" w:type="dxa"/>
            <w:shd w:val="clear" w:color="auto" w:fill="auto"/>
            <w:tcMar>
              <w:left w:w="0" w:type="dxa"/>
            </w:tcMar>
          </w:tcPr>
          <w:p w14:paraId="3BE2ECC9" w14:textId="77777777" w:rsidR="00F77A50" w:rsidRPr="00B34A3C"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0BA2A99F" w14:textId="77777777" w:rsidR="00F77A50" w:rsidRPr="00A42A66" w:rsidRDefault="00F77A50" w:rsidP="00B66208">
            <w:pPr>
              <w:spacing w:after="160"/>
              <w:rPr>
                <w:rFonts w:cs="Arial"/>
                <w:bCs/>
                <w:color w:val="0D0D0D" w:themeColor="text1" w:themeTint="F2"/>
                <w:spacing w:val="-5"/>
                <w:szCs w:val="20"/>
              </w:rPr>
            </w:pPr>
            <w:r w:rsidRPr="00A42A66">
              <w:rPr>
                <w:spacing w:val="-5"/>
              </w:rPr>
              <w:t>Růst nominální hodnoty nově uzavřených tuzemských stavebních zakázek (v podnicích s více než 50 zaměstnanci) po svižném meziročním tempu v prvních třech čtvrtletích (v úhrnu o pětinu) ve zbylé části loňského roku zvolnil (na 1,0 %) a zůstal tak ve stínu růstu stavebních prací (7,9 %) i cen materiálů (17,0 %)</w:t>
            </w:r>
            <w:r w:rsidRPr="00A42A66">
              <w:rPr>
                <w:rStyle w:val="Znakapoznpodarou"/>
                <w:spacing w:val="-5"/>
              </w:rPr>
              <w:footnoteReference w:id="21"/>
            </w:r>
            <w:r w:rsidRPr="00A42A66">
              <w:rPr>
                <w:spacing w:val="-5"/>
              </w:rPr>
              <w:t>. Celková zásoba práce zahrnující všechny dosud nerealizované zakázky byla v prosinci 2021 meziročně vyšší o 13,1 % (podobně rostla u tuzemských veřejných i soukromých zakázek). Orientační hodnota vydaných stavebních povolení převýšila ve 4. čtvrtletí obdobnou úroveň roku 2020 o 30 %, ve dvouletém srovnání byla ale vyšší „jen“ o 16 %. K růstu přispěla nejvíce nová výstavba bytových budov.</w:t>
            </w:r>
            <w:r w:rsidRPr="00A42A66">
              <w:rPr>
                <w:color w:val="0D0D0D" w:themeColor="text1" w:themeTint="F2"/>
                <w:spacing w:val="-5"/>
                <w:szCs w:val="20"/>
              </w:rPr>
              <w:t xml:space="preserve"> Důvěra podnikatelů ve stavebnictví po celý loňský rok mírně </w:t>
            </w:r>
            <w:r w:rsidRPr="00A42A66">
              <w:rPr>
                <w:spacing w:val="-5"/>
                <w:szCs w:val="20"/>
              </w:rPr>
              <w:t xml:space="preserve">kolísala a setrvávala lehce pod úrovní z období těsně před počátkem pandemie. Na počátku roku 2022 došlo ke zlepšení vlivem příznivějšího hodnocení současné poptávky i očekávání u zaměstnanosti. Nedostatečnou poptávku označilo za růstovou bariéru již jen 19 % podniků, </w:t>
            </w:r>
            <w:r w:rsidRPr="00A42A66">
              <w:rPr>
                <w:spacing w:val="-5"/>
              </w:rPr>
              <w:t>nedostatek materiálu a zařízení sužoval naopak rekordních 26 % firem. Fakticky více než tři roky zůstává klíčovou bariérou ve stavebnictví nedostatek pracovníků – ten letos v únoru limitoval již 52 % podniků.</w:t>
            </w:r>
          </w:p>
        </w:tc>
      </w:tr>
      <w:tr w:rsidR="00F77A50" w:rsidRPr="00191C35" w14:paraId="6BB22A99" w14:textId="77777777" w:rsidTr="00B66208">
        <w:trPr>
          <w:trHeight w:val="145"/>
        </w:trPr>
        <w:tc>
          <w:tcPr>
            <w:tcW w:w="1728" w:type="dxa"/>
            <w:shd w:val="clear" w:color="auto" w:fill="auto"/>
            <w:tcMar>
              <w:left w:w="0" w:type="dxa"/>
            </w:tcMar>
          </w:tcPr>
          <w:p w14:paraId="36FCEE02" w14:textId="77777777" w:rsidR="00F77A50" w:rsidRDefault="00F77A50" w:rsidP="00B66208">
            <w:pPr>
              <w:pStyle w:val="Marginlie"/>
            </w:pPr>
            <w:r>
              <w:t>K mezičtvrtletnímu růstu tržeb ve službách přispěly loni ve 2. i 3. čtvrtletí zejména aktivity vázané na cestovní ruch, na konci roku pak doprava a skladování.</w:t>
            </w:r>
          </w:p>
        </w:tc>
        <w:tc>
          <w:tcPr>
            <w:tcW w:w="206" w:type="dxa"/>
            <w:shd w:val="clear" w:color="auto" w:fill="auto"/>
            <w:tcMar>
              <w:left w:w="0" w:type="dxa"/>
            </w:tcMar>
          </w:tcPr>
          <w:p w14:paraId="2043A58F" w14:textId="77777777" w:rsidR="00F77A50" w:rsidRPr="00B34A3C"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5E3328D4" w14:textId="77777777" w:rsidR="00F77A50" w:rsidRPr="00236892" w:rsidRDefault="00F77A50" w:rsidP="00B66208">
            <w:pPr>
              <w:spacing w:after="160"/>
              <w:rPr>
                <w:color w:val="0D0D0D" w:themeColor="text1" w:themeTint="F2"/>
                <w:spacing w:val="-5"/>
              </w:rPr>
            </w:pPr>
            <w:r w:rsidRPr="00236892">
              <w:rPr>
                <w:rFonts w:cs="Arial"/>
                <w:bCs/>
                <w:color w:val="0D0D0D" w:themeColor="text1" w:themeTint="F2"/>
                <w:spacing w:val="-5"/>
                <w:szCs w:val="20"/>
              </w:rPr>
              <w:t xml:space="preserve">Podstatné zlepšení epidemické situace během loňského jara spolu s postupující vakcinací populace umožnily prakticky úplné uvolnění restrikcí. Na rozdíl od letních měsíců roku 2020 došlo i ke zjednodušení procedur v přeshraničním pohybu osob. To vyústilo ve svižný mezikvartální růst </w:t>
            </w:r>
            <w:r w:rsidRPr="00236892">
              <w:rPr>
                <w:color w:val="0D0D0D" w:themeColor="text1" w:themeTint="F2"/>
                <w:spacing w:val="-5"/>
              </w:rPr>
              <w:t>tržeb ve vybraných službách</w:t>
            </w:r>
            <w:r w:rsidRPr="00236892">
              <w:rPr>
                <w:color w:val="0D0D0D" w:themeColor="text1" w:themeTint="F2"/>
                <w:spacing w:val="-5"/>
                <w:vertAlign w:val="superscript"/>
              </w:rPr>
              <w:footnoteReference w:id="22"/>
            </w:r>
            <w:r w:rsidRPr="00236892">
              <w:rPr>
                <w:color w:val="0D0D0D" w:themeColor="text1" w:themeTint="F2"/>
                <w:spacing w:val="-5"/>
              </w:rPr>
              <w:t>, jenž ve 2. čtvrtletí 2021 činil 5,3 % a v následujícím období 3,0 %. Toto oživení bylo přirozeně taženo aktivitami navázanými na cestovní ruch, v menší míře se na něm ale podílela všechna hlavní odvětví služeb. Ve 4. čtvrtletí zotavování služeb pokračovalo (+2,2 %), hlavně díky odvětví dopravy a skladování, jehož tržby poprvé překonaly vrchol z předpandemického období. To dosud neplatí pro služby jako celek, neboť jejich souhrnný výkon za úrovní ze 2. čtvrtletí 2019 stále o 2,5 % zaostával.</w:t>
            </w:r>
          </w:p>
        </w:tc>
      </w:tr>
      <w:tr w:rsidR="00F77A50" w:rsidRPr="00191C35" w14:paraId="6AA67DF7" w14:textId="77777777" w:rsidTr="00B66208">
        <w:trPr>
          <w:trHeight w:val="145"/>
        </w:trPr>
        <w:tc>
          <w:tcPr>
            <w:tcW w:w="1728" w:type="dxa"/>
            <w:shd w:val="clear" w:color="auto" w:fill="auto"/>
            <w:tcMar>
              <w:left w:w="0" w:type="dxa"/>
            </w:tcMar>
          </w:tcPr>
          <w:p w14:paraId="2D192AC4" w14:textId="77777777" w:rsidR="00F77A50" w:rsidRDefault="00F77A50" w:rsidP="00B66208">
            <w:pPr>
              <w:pStyle w:val="Marginlie"/>
            </w:pPr>
            <w:r>
              <w:t>Doprava a skladování zajistily loni více než polovinu meziročního růstu tržeb ve službách.</w:t>
            </w:r>
          </w:p>
          <w:p w14:paraId="398A6C5B" w14:textId="77777777" w:rsidR="00F77A50" w:rsidRDefault="00F77A50" w:rsidP="00B66208">
            <w:pPr>
              <w:pStyle w:val="Marginlie"/>
            </w:pPr>
          </w:p>
          <w:p w14:paraId="0E6BC005" w14:textId="77777777" w:rsidR="00F77A50" w:rsidRDefault="00F77A50" w:rsidP="00B66208">
            <w:pPr>
              <w:pStyle w:val="Marginlie"/>
            </w:pPr>
          </w:p>
          <w:p w14:paraId="56B234F1" w14:textId="77777777" w:rsidR="00F77A50" w:rsidRDefault="00F77A50" w:rsidP="00B66208">
            <w:pPr>
              <w:pStyle w:val="Marginlie"/>
            </w:pPr>
          </w:p>
          <w:p w14:paraId="0DA5D313" w14:textId="77777777" w:rsidR="00F77A50" w:rsidRDefault="00F77A50" w:rsidP="00B66208">
            <w:pPr>
              <w:pStyle w:val="Marginlie"/>
            </w:pPr>
          </w:p>
          <w:p w14:paraId="2D9F4B5B" w14:textId="77777777" w:rsidR="00F77A50" w:rsidRDefault="00F77A50" w:rsidP="00B66208">
            <w:pPr>
              <w:pStyle w:val="Marginlie"/>
            </w:pPr>
          </w:p>
          <w:p w14:paraId="531AB886" w14:textId="77777777" w:rsidR="00F77A50" w:rsidRDefault="00F77A50" w:rsidP="00B66208">
            <w:pPr>
              <w:pStyle w:val="Marginlie"/>
            </w:pPr>
            <w:r>
              <w:t>Tržby v ubytování, stravování a pohostinství za rokem 2019 stále hluboce zaostávaly.</w:t>
            </w:r>
          </w:p>
        </w:tc>
        <w:tc>
          <w:tcPr>
            <w:tcW w:w="206" w:type="dxa"/>
            <w:shd w:val="clear" w:color="auto" w:fill="auto"/>
            <w:tcMar>
              <w:left w:w="0" w:type="dxa"/>
            </w:tcMar>
          </w:tcPr>
          <w:p w14:paraId="4325DE0C" w14:textId="77777777" w:rsidR="00F77A50" w:rsidRPr="00B34A3C"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1EC44562" w14:textId="77777777" w:rsidR="00F77A50" w:rsidRPr="00514960" w:rsidRDefault="00F77A50" w:rsidP="00B66208">
            <w:pPr>
              <w:spacing w:after="0"/>
              <w:rPr>
                <w:spacing w:val="-2"/>
              </w:rPr>
            </w:pPr>
            <w:r>
              <w:rPr>
                <w:spacing w:val="-2"/>
              </w:rPr>
              <w:t>Za celý loňský rok se tržby v odvětví dopravy a skladování meziročně zvýšily o plných 12,8</w:t>
            </w:r>
            <w:r>
              <w:rPr>
                <w:color w:val="0D0D0D" w:themeColor="text1" w:themeTint="F2"/>
                <w:spacing w:val="-4"/>
              </w:rPr>
              <w:t> </w:t>
            </w:r>
            <w:r>
              <w:rPr>
                <w:spacing w:val="-2"/>
              </w:rPr>
              <w:t>% a k růstu výkonu všech služeb (+7,5 %) přispěly více než polovinou. Určujícím faktorem byla silná poptávka ve skladování, kde tržby převýšily úroveň z roku 2019 již téměř o desetinu. Pokračoval rychlý rozvoj poštovních a kurýrních činností, které profitovaly z růstu internetového prodeje, během pandemie dále zesíleného. Tržby v pozemní a potrubní dopravě sice loni vzrostly meziročně o 5,7 %, reálně se však nacházely pouze blízko hodnoty z let 2015 a 2016. Návratu na běžnou úroveň mobility bránily snížené přepravní nároky lidí plynoucí z častějšího využívání práce z domova i distančního vzdělávání a také z pomalejšího oživování příjezdového cestovního ruchu</w:t>
            </w:r>
            <w:r>
              <w:rPr>
                <w:rStyle w:val="Znakapoznpodarou"/>
                <w:spacing w:val="-5"/>
              </w:rPr>
              <w:footnoteReference w:id="23"/>
            </w:r>
            <w:r>
              <w:rPr>
                <w:spacing w:val="-2"/>
              </w:rPr>
              <w:t>. To se plně promítlo do tržeb v ubytování, které sice meziročně mírně vzrostly (o 2,3 %), oproti roku 2019 byly ale slabší o 55 %. Ve stravování a pohostinství činil díky rychlejšímu oživení spotřeby tuzemských domácností dvouletý propad tržeb „jen“ 30 %.</w:t>
            </w:r>
          </w:p>
        </w:tc>
      </w:tr>
      <w:tr w:rsidR="00F77A50" w:rsidRPr="00191C35" w14:paraId="025C2BBD" w14:textId="77777777" w:rsidTr="00B66208">
        <w:trPr>
          <w:trHeight w:val="145"/>
        </w:trPr>
        <w:tc>
          <w:tcPr>
            <w:tcW w:w="1728" w:type="dxa"/>
            <w:shd w:val="clear" w:color="auto" w:fill="auto"/>
            <w:tcMar>
              <w:left w:w="0" w:type="dxa"/>
            </w:tcMar>
          </w:tcPr>
          <w:p w14:paraId="103B63DF" w14:textId="77777777" w:rsidR="00F77A50" w:rsidRDefault="00F77A50" w:rsidP="00B66208">
            <w:pPr>
              <w:pStyle w:val="Marginlie"/>
            </w:pPr>
          </w:p>
        </w:tc>
        <w:tc>
          <w:tcPr>
            <w:tcW w:w="206" w:type="dxa"/>
            <w:shd w:val="clear" w:color="auto" w:fill="auto"/>
            <w:tcMar>
              <w:left w:w="0" w:type="dxa"/>
            </w:tcMar>
          </w:tcPr>
          <w:p w14:paraId="51730E25"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45F27AC2" w14:textId="77777777" w:rsidR="00F77A50" w:rsidRPr="00491A43" w:rsidRDefault="00F77A50" w:rsidP="00B66208">
            <w:pPr>
              <w:spacing w:after="0"/>
              <w:rPr>
                <w:szCs w:val="20"/>
              </w:rPr>
            </w:pPr>
            <w:r w:rsidRPr="00491A43">
              <w:rPr>
                <w:b/>
              </w:rPr>
              <w:t>Graf č. 7</w:t>
            </w:r>
            <w:r>
              <w:rPr>
                <w:b/>
              </w:rPr>
              <w:t xml:space="preserve"> </w:t>
            </w:r>
            <w:r w:rsidRPr="00491A43">
              <w:rPr>
                <w:b/>
              </w:rPr>
              <w:t xml:space="preserve"> Příspěvky dílčích odvětví k meziroční změně tržeb ve službách*</w:t>
            </w:r>
            <w:r w:rsidRPr="00491A43">
              <w:rPr>
                <w:b/>
              </w:rPr>
              <w:br/>
            </w:r>
            <w:r w:rsidRPr="00491A43">
              <w:t>(</w:t>
            </w:r>
            <w:r w:rsidRPr="00491A43">
              <w:rPr>
                <w:bCs/>
              </w:rPr>
              <w:t xml:space="preserve">reálně, </w:t>
            </w:r>
            <w:r w:rsidRPr="00491A43">
              <w:t>v p. b)</w:t>
            </w:r>
            <w:r w:rsidRPr="00491A43">
              <w:rPr>
                <w:b/>
                <w:bCs/>
              </w:rPr>
              <w:t xml:space="preserve">, </w:t>
            </w:r>
            <w:r>
              <w:rPr>
                <w:b/>
              </w:rPr>
              <w:t xml:space="preserve">saldo </w:t>
            </w:r>
            <w:r w:rsidRPr="00491A43">
              <w:rPr>
                <w:b/>
              </w:rPr>
              <w:t xml:space="preserve">důvěry </w:t>
            </w:r>
            <w:r>
              <w:rPr>
                <w:b/>
              </w:rPr>
              <w:t xml:space="preserve">podnikatelů </w:t>
            </w:r>
            <w:r w:rsidRPr="00491A43">
              <w:rPr>
                <w:b/>
              </w:rPr>
              <w:t xml:space="preserve">ve službách** </w:t>
            </w:r>
            <w:r w:rsidRPr="00491A43">
              <w:t>(v p. b., pravá osa)</w:t>
            </w:r>
            <w:r w:rsidRPr="00491A43">
              <w:rPr>
                <w:b/>
              </w:rPr>
              <w:t xml:space="preserve"> a vybrané bariéry růstu*</w:t>
            </w:r>
            <w:r w:rsidRPr="00491A43">
              <w:t>* (v %, pravá osa)</w:t>
            </w:r>
          </w:p>
        </w:tc>
      </w:tr>
      <w:tr w:rsidR="00F77A50" w:rsidRPr="00191C35" w14:paraId="4CF79A9D" w14:textId="77777777" w:rsidTr="00B66208">
        <w:tblPrEx>
          <w:tblCellMar>
            <w:left w:w="70" w:type="dxa"/>
            <w:right w:w="70" w:type="dxa"/>
          </w:tblCellMar>
        </w:tblPrEx>
        <w:trPr>
          <w:trHeight w:val="145"/>
        </w:trPr>
        <w:tc>
          <w:tcPr>
            <w:tcW w:w="1728" w:type="dxa"/>
            <w:shd w:val="clear" w:color="auto" w:fill="auto"/>
          </w:tcPr>
          <w:p w14:paraId="25069B2C" w14:textId="77777777" w:rsidR="00F77A50" w:rsidRDefault="00F77A50" w:rsidP="00B66208">
            <w:pPr>
              <w:pStyle w:val="Marginlie"/>
            </w:pPr>
          </w:p>
        </w:tc>
        <w:tc>
          <w:tcPr>
            <w:tcW w:w="206" w:type="dxa"/>
            <w:shd w:val="clear" w:color="auto" w:fill="auto"/>
          </w:tcPr>
          <w:p w14:paraId="097BB298" w14:textId="77777777" w:rsidR="00F77A50" w:rsidRPr="00B43216" w:rsidRDefault="00F77A50" w:rsidP="00B66208">
            <w:pPr>
              <w:pStyle w:val="Textpoznpodarou"/>
              <w:jc w:val="both"/>
              <w:rPr>
                <w:spacing w:val="-4"/>
              </w:rPr>
            </w:pPr>
          </w:p>
        </w:tc>
        <w:tc>
          <w:tcPr>
            <w:tcW w:w="7730" w:type="dxa"/>
            <w:shd w:val="clear" w:color="auto" w:fill="auto"/>
          </w:tcPr>
          <w:p w14:paraId="697F1FE6" w14:textId="77777777" w:rsidR="00F77A50" w:rsidRPr="004D53D9" w:rsidRDefault="00F77A50" w:rsidP="00B66208">
            <w:pPr>
              <w:spacing w:after="0"/>
              <w:rPr>
                <w:spacing w:val="-4"/>
                <w:szCs w:val="20"/>
              </w:rPr>
            </w:pPr>
            <w:r>
              <w:rPr>
                <w:noProof/>
              </w:rPr>
              <w:drawing>
                <wp:inline distT="0" distB="0" distL="0" distR="0" wp14:anchorId="618AE803" wp14:editId="28F3B0A7">
                  <wp:extent cx="4773930" cy="3549650"/>
                  <wp:effectExtent l="0" t="0" r="762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77A50" w:rsidRPr="00191C35" w14:paraId="430C4CF8" w14:textId="77777777" w:rsidTr="00B66208">
        <w:trPr>
          <w:trHeight w:val="145"/>
        </w:trPr>
        <w:tc>
          <w:tcPr>
            <w:tcW w:w="1728" w:type="dxa"/>
            <w:shd w:val="clear" w:color="auto" w:fill="auto"/>
            <w:tcMar>
              <w:left w:w="0" w:type="dxa"/>
            </w:tcMar>
          </w:tcPr>
          <w:p w14:paraId="51F34DA1" w14:textId="77777777" w:rsidR="00F77A50" w:rsidRDefault="00F77A50" w:rsidP="00B66208">
            <w:pPr>
              <w:pStyle w:val="Marginlie"/>
            </w:pPr>
          </w:p>
        </w:tc>
        <w:tc>
          <w:tcPr>
            <w:tcW w:w="206" w:type="dxa"/>
            <w:shd w:val="clear" w:color="auto" w:fill="auto"/>
            <w:tcMar>
              <w:left w:w="0" w:type="dxa"/>
            </w:tcMar>
          </w:tcPr>
          <w:p w14:paraId="7DF5F619" w14:textId="77777777" w:rsidR="00F77A50" w:rsidRPr="00B43216" w:rsidRDefault="00F77A50" w:rsidP="00B66208">
            <w:pPr>
              <w:pStyle w:val="Textpoznpodarou"/>
              <w:jc w:val="both"/>
              <w:rPr>
                <w:spacing w:val="-4"/>
              </w:rPr>
            </w:pPr>
          </w:p>
        </w:tc>
        <w:tc>
          <w:tcPr>
            <w:tcW w:w="7730" w:type="dxa"/>
            <w:shd w:val="clear" w:color="auto" w:fill="auto"/>
            <w:tcMar>
              <w:left w:w="0" w:type="dxa"/>
            </w:tcMar>
          </w:tcPr>
          <w:p w14:paraId="5FEF0A67" w14:textId="77777777" w:rsidR="00F77A50" w:rsidRPr="00883202" w:rsidRDefault="00F77A50" w:rsidP="00B66208">
            <w:pPr>
              <w:spacing w:after="0"/>
              <w:rPr>
                <w:rFonts w:cs="Arial"/>
                <w:sz w:val="14"/>
                <w:szCs w:val="14"/>
              </w:rPr>
            </w:pPr>
            <w:r w:rsidRPr="00883202">
              <w:rPr>
                <w:rFonts w:cs="Arial"/>
                <w:sz w:val="14"/>
                <w:szCs w:val="14"/>
              </w:rPr>
              <w:t>*</w:t>
            </w:r>
            <w:r w:rsidRPr="00883202">
              <w:rPr>
                <w:color w:val="0D0D0D" w:themeColor="text1" w:themeTint="F2"/>
                <w:sz w:val="14"/>
                <w:szCs w:val="14"/>
              </w:rPr>
              <w:t>Bez odvětví obchodu, peněžnictví, pojišťovnictví, vědy, výzkumu a veřejných služeb.</w:t>
            </w:r>
            <w:r>
              <w:rPr>
                <w:color w:val="0D0D0D" w:themeColor="text1" w:themeTint="F2"/>
                <w:sz w:val="14"/>
                <w:szCs w:val="14"/>
              </w:rPr>
              <w:t xml:space="preserve"> </w:t>
            </w:r>
            <w:r>
              <w:rPr>
                <w:rFonts w:cs="Arial"/>
                <w:sz w:val="14"/>
                <w:szCs w:val="14"/>
              </w:rPr>
              <w:t xml:space="preserve">Tržby </w:t>
            </w:r>
            <w:r w:rsidRPr="00883202">
              <w:rPr>
                <w:rFonts w:cs="Arial"/>
                <w:sz w:val="14"/>
                <w:szCs w:val="14"/>
              </w:rPr>
              <w:t>jsou očištěny o kalendářní vlivy.</w:t>
            </w:r>
          </w:p>
          <w:p w14:paraId="706EEBDB" w14:textId="77777777" w:rsidR="00F77A50" w:rsidRDefault="00F77A50" w:rsidP="00B66208">
            <w:pPr>
              <w:tabs>
                <w:tab w:val="right" w:pos="7711"/>
              </w:tabs>
              <w:spacing w:after="0"/>
              <w:rPr>
                <w:rFonts w:cs="Arial"/>
                <w:sz w:val="14"/>
                <w:szCs w:val="14"/>
              </w:rPr>
            </w:pPr>
            <w:r w:rsidRPr="00883202">
              <w:rPr>
                <w:rFonts w:cs="Arial"/>
                <w:sz w:val="14"/>
                <w:szCs w:val="14"/>
              </w:rPr>
              <w:t>**</w:t>
            </w:r>
            <w:r w:rsidRPr="00883202">
              <w:rPr>
                <w:rFonts w:cs="Arial"/>
                <w:spacing w:val="-2"/>
                <w:sz w:val="14"/>
                <w:szCs w:val="14"/>
              </w:rPr>
              <w:t xml:space="preserve">Zahrnuje i finanční sektor. </w:t>
            </w:r>
            <w:r w:rsidRPr="00CF1D8C">
              <w:rPr>
                <w:rFonts w:cs="Arial"/>
                <w:spacing w:val="-2"/>
                <w:sz w:val="14"/>
                <w:szCs w:val="14"/>
              </w:rPr>
              <w:t>Saldo důvěry podnikatelů i bariéry růstu jsou sezónně očištěny a vyjadřují stav v prvním (bariéry růstu), resp. ve druhém měsíci daného čtvrtletí (saldo důvěry</w:t>
            </w:r>
            <w:r>
              <w:rPr>
                <w:rFonts w:cs="Arial"/>
                <w:spacing w:val="-2"/>
                <w:sz w:val="14"/>
                <w:szCs w:val="14"/>
              </w:rPr>
              <w:t>)</w:t>
            </w:r>
            <w:r w:rsidRPr="00883202">
              <w:rPr>
                <w:rFonts w:cs="Arial"/>
                <w:spacing w:val="-2"/>
                <w:sz w:val="14"/>
                <w:szCs w:val="14"/>
              </w:rPr>
              <w:t>.</w:t>
            </w:r>
            <w:r>
              <w:rPr>
                <w:rFonts w:cs="Arial"/>
                <w:spacing w:val="-2"/>
                <w:sz w:val="14"/>
                <w:szCs w:val="14"/>
              </w:rPr>
              <w:t xml:space="preserve"> </w:t>
            </w:r>
            <w:r>
              <w:rPr>
                <w:rFonts w:cs="Arial"/>
                <w:sz w:val="14"/>
                <w:szCs w:val="14"/>
              </w:rPr>
              <w:t>Podniky mohly uvést více hlavních bariér současně.</w:t>
            </w:r>
          </w:p>
          <w:p w14:paraId="6A5B139D" w14:textId="77777777" w:rsidR="00F77A50" w:rsidRPr="00417064" w:rsidRDefault="00F77A50" w:rsidP="00B66208">
            <w:pPr>
              <w:tabs>
                <w:tab w:val="right" w:pos="7711"/>
              </w:tabs>
              <w:spacing w:after="200"/>
              <w:jc w:val="right"/>
              <w:rPr>
                <w:rFonts w:cs="Arial"/>
                <w:sz w:val="14"/>
                <w:szCs w:val="14"/>
              </w:rPr>
            </w:pPr>
            <w:r>
              <w:rPr>
                <w:rFonts w:cs="Arial"/>
                <w:sz w:val="14"/>
                <w:szCs w:val="14"/>
              </w:rPr>
              <w:t xml:space="preserve">Zdroj: </w:t>
            </w:r>
            <w:r w:rsidRPr="00883202">
              <w:rPr>
                <w:rFonts w:cs="Arial"/>
                <w:sz w:val="14"/>
                <w:szCs w:val="14"/>
              </w:rPr>
              <w:t>ČSÚ</w:t>
            </w:r>
            <w:r>
              <w:rPr>
                <w:rFonts w:cs="Arial"/>
                <w:sz w:val="14"/>
                <w:szCs w:val="14"/>
              </w:rPr>
              <w:t>, Eurostat</w:t>
            </w:r>
          </w:p>
        </w:tc>
      </w:tr>
      <w:tr w:rsidR="00F77A50" w:rsidRPr="007B59C1" w14:paraId="48CBB8DE" w14:textId="77777777" w:rsidTr="00B66208">
        <w:trPr>
          <w:trHeight w:val="145"/>
        </w:trPr>
        <w:tc>
          <w:tcPr>
            <w:tcW w:w="1728" w:type="dxa"/>
            <w:shd w:val="clear" w:color="auto" w:fill="auto"/>
            <w:tcMar>
              <w:left w:w="0" w:type="dxa"/>
            </w:tcMar>
          </w:tcPr>
          <w:p w14:paraId="49F1A541" w14:textId="77777777" w:rsidR="00F77A50" w:rsidRDefault="00F77A50" w:rsidP="00B66208">
            <w:pPr>
              <w:pStyle w:val="Marginlie"/>
            </w:pPr>
            <w:r>
              <w:t>Růst tržeb v informačních a komunikačních činnostech pokračoval osmý rok v řadě.</w:t>
            </w:r>
          </w:p>
          <w:p w14:paraId="565D7C50" w14:textId="77777777" w:rsidR="00F77A50" w:rsidRDefault="00F77A50" w:rsidP="00B66208">
            <w:pPr>
              <w:pStyle w:val="Marginlie"/>
            </w:pPr>
          </w:p>
          <w:p w14:paraId="5B76F0C3" w14:textId="77777777" w:rsidR="00F77A50" w:rsidRDefault="00F77A50" w:rsidP="00B66208">
            <w:pPr>
              <w:pStyle w:val="Marginlie"/>
            </w:pPr>
          </w:p>
          <w:p w14:paraId="7CFF51A9" w14:textId="77777777" w:rsidR="00F77A50" w:rsidRDefault="00F77A50" w:rsidP="00B66208">
            <w:pPr>
              <w:pStyle w:val="Marginlie"/>
            </w:pPr>
          </w:p>
          <w:p w14:paraId="69ECC504" w14:textId="77777777" w:rsidR="00F77A50" w:rsidRDefault="00F77A50" w:rsidP="00B66208">
            <w:pPr>
              <w:pStyle w:val="Marginlie"/>
            </w:pPr>
          </w:p>
          <w:p w14:paraId="3B4F17C6" w14:textId="77777777" w:rsidR="00F77A50" w:rsidRDefault="00F77A50" w:rsidP="00B66208">
            <w:pPr>
              <w:pStyle w:val="Marginlie"/>
            </w:pPr>
          </w:p>
          <w:p w14:paraId="644FE14B" w14:textId="77777777" w:rsidR="00F77A50" w:rsidRDefault="00F77A50" w:rsidP="00B66208">
            <w:pPr>
              <w:pStyle w:val="Marginlie"/>
              <w:rPr>
                <w:color w:val="0D0D0D" w:themeColor="text1" w:themeTint="F2"/>
              </w:rPr>
            </w:pPr>
            <w:r>
              <w:t>Některé specializované služby pro podniky čelily poklesu poptávky v letech 2020 i 2021.</w:t>
            </w:r>
          </w:p>
        </w:tc>
        <w:tc>
          <w:tcPr>
            <w:tcW w:w="206" w:type="dxa"/>
            <w:shd w:val="clear" w:color="auto" w:fill="auto"/>
            <w:tcMar>
              <w:left w:w="0" w:type="dxa"/>
            </w:tcMar>
          </w:tcPr>
          <w:p w14:paraId="6782D655" w14:textId="77777777" w:rsidR="00F77A50" w:rsidRPr="007B59C1"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21655DC9" w14:textId="77777777" w:rsidR="00F77A50" w:rsidRPr="002617EE" w:rsidRDefault="00F77A50" w:rsidP="00B66208">
            <w:pPr>
              <w:spacing w:after="160"/>
              <w:rPr>
                <w:rFonts w:cs="Arial"/>
                <w:color w:val="0D0D0D" w:themeColor="text1" w:themeTint="F2"/>
                <w:spacing w:val="-4"/>
                <w:szCs w:val="20"/>
              </w:rPr>
            </w:pPr>
            <w:r w:rsidRPr="00E74E91">
              <w:rPr>
                <w:color w:val="0D0D0D" w:themeColor="text1" w:themeTint="F2"/>
                <w:spacing w:val="-4"/>
              </w:rPr>
              <w:t>Meziroční růst tržeb v</w:t>
            </w:r>
            <w:r>
              <w:rPr>
                <w:color w:val="0D0D0D" w:themeColor="text1" w:themeTint="F2"/>
                <w:spacing w:val="-4"/>
              </w:rPr>
              <w:t> </w:t>
            </w:r>
            <w:r w:rsidRPr="00E74E91">
              <w:rPr>
                <w:color w:val="0D0D0D" w:themeColor="text1" w:themeTint="F2"/>
                <w:spacing w:val="-4"/>
              </w:rPr>
              <w:t>odvětví informačních a</w:t>
            </w:r>
            <w:r>
              <w:rPr>
                <w:color w:val="0D0D0D" w:themeColor="text1" w:themeTint="F2"/>
                <w:spacing w:val="-4"/>
              </w:rPr>
              <w:t> </w:t>
            </w:r>
            <w:r w:rsidRPr="00E74E91">
              <w:rPr>
                <w:color w:val="0D0D0D" w:themeColor="text1" w:themeTint="F2"/>
                <w:spacing w:val="-4"/>
              </w:rPr>
              <w:t>komunikačních činností (ICT) loni výrazně</w:t>
            </w:r>
            <w:r>
              <w:rPr>
                <w:color w:val="0D0D0D" w:themeColor="text1" w:themeTint="F2"/>
                <w:spacing w:val="-4"/>
              </w:rPr>
              <w:t xml:space="preserve"> zrychlil (na 5,8 %). Tržby se zde zvyšovaly</w:t>
            </w:r>
            <w:r w:rsidRPr="00E74E91">
              <w:rPr>
                <w:color w:val="0D0D0D" w:themeColor="text1" w:themeTint="F2"/>
                <w:spacing w:val="-4"/>
              </w:rPr>
              <w:t xml:space="preserve"> osmý rok v řadě. K loňskému růstu přispěla všechna dílčí odvětví, nejvíce činnosti v oblasti informačních technologií (např</w:t>
            </w:r>
            <w:r>
              <w:rPr>
                <w:color w:val="0D0D0D" w:themeColor="text1" w:themeTint="F2"/>
                <w:spacing w:val="-4"/>
              </w:rPr>
              <w:t>íklad</w:t>
            </w:r>
            <w:r w:rsidRPr="00E74E91">
              <w:rPr>
                <w:color w:val="0D0D0D" w:themeColor="text1" w:themeTint="F2"/>
                <w:spacing w:val="-4"/>
              </w:rPr>
              <w:t xml:space="preserve"> programování). Rychle se zotavoval hudební a</w:t>
            </w:r>
            <w:r>
              <w:rPr>
                <w:color w:val="0D0D0D" w:themeColor="text1" w:themeTint="F2"/>
                <w:spacing w:val="-4"/>
              </w:rPr>
              <w:t> </w:t>
            </w:r>
            <w:r w:rsidRPr="00E74E91">
              <w:rPr>
                <w:color w:val="0D0D0D" w:themeColor="text1" w:themeTint="F2"/>
                <w:spacing w:val="-4"/>
              </w:rPr>
              <w:t>filmový průmysl</w:t>
            </w:r>
            <w:r w:rsidRPr="00E74E91">
              <w:rPr>
                <w:rStyle w:val="Znakapoznpodarou"/>
                <w:color w:val="0D0D0D" w:themeColor="text1" w:themeTint="F2"/>
                <w:spacing w:val="-4"/>
              </w:rPr>
              <w:footnoteReference w:id="24"/>
            </w:r>
            <w:r w:rsidRPr="00E74E91">
              <w:rPr>
                <w:color w:val="0D0D0D" w:themeColor="text1" w:themeTint="F2"/>
                <w:spacing w:val="-4"/>
              </w:rPr>
              <w:t>, propad tržeb z roku 2020 (o</w:t>
            </w:r>
            <w:r>
              <w:rPr>
                <w:color w:val="0D0D0D" w:themeColor="text1" w:themeTint="F2"/>
                <w:spacing w:val="-4"/>
              </w:rPr>
              <w:t> </w:t>
            </w:r>
            <w:r w:rsidRPr="00E74E91">
              <w:rPr>
                <w:color w:val="0D0D0D" w:themeColor="text1" w:themeTint="F2"/>
                <w:spacing w:val="-4"/>
              </w:rPr>
              <w:t>39</w:t>
            </w:r>
            <w:r>
              <w:rPr>
                <w:color w:val="0D0D0D" w:themeColor="text1" w:themeTint="F2"/>
                <w:spacing w:val="-4"/>
              </w:rPr>
              <w:t> %</w:t>
            </w:r>
            <w:r w:rsidRPr="00E74E91">
              <w:rPr>
                <w:color w:val="0D0D0D" w:themeColor="text1" w:themeTint="F2"/>
                <w:spacing w:val="-4"/>
              </w:rPr>
              <w:t>) však zatím plně nekompenzoval. V odvětví profesní, vědecké a</w:t>
            </w:r>
            <w:r>
              <w:rPr>
                <w:color w:val="0D0D0D" w:themeColor="text1" w:themeTint="F2"/>
                <w:spacing w:val="-4"/>
              </w:rPr>
              <w:t> </w:t>
            </w:r>
            <w:r w:rsidRPr="00E74E91">
              <w:rPr>
                <w:color w:val="0D0D0D" w:themeColor="text1" w:themeTint="F2"/>
                <w:spacing w:val="-4"/>
              </w:rPr>
              <w:t>technické činnosti, z velké části závislém na firemní poptávce, v</w:t>
            </w:r>
            <w:r>
              <w:rPr>
                <w:color w:val="0D0D0D" w:themeColor="text1" w:themeTint="F2"/>
                <w:spacing w:val="-4"/>
              </w:rPr>
              <w:t>zrostly loni tržby meziročně o 5,4 %</w:t>
            </w:r>
            <w:r w:rsidRPr="00E74E91">
              <w:rPr>
                <w:color w:val="0D0D0D" w:themeColor="text1" w:themeTint="F2"/>
                <w:spacing w:val="-4"/>
              </w:rPr>
              <w:t>. Přispěly k tomu nejvíce architektonické a inženýrské činnosti. Sílila poptávka také po činnostech vedení podniků (v</w:t>
            </w:r>
            <w:r>
              <w:rPr>
                <w:color w:val="0D0D0D" w:themeColor="text1" w:themeTint="F2"/>
                <w:spacing w:val="-4"/>
              </w:rPr>
              <w:t xml:space="preserve">četně </w:t>
            </w:r>
            <w:r w:rsidRPr="00E74E91">
              <w:rPr>
                <w:color w:val="0D0D0D" w:themeColor="text1" w:themeTint="F2"/>
                <w:spacing w:val="-4"/>
              </w:rPr>
              <w:t>poradenství v oblasti řízení), u</w:t>
            </w:r>
            <w:r>
              <w:rPr>
                <w:color w:val="0D0D0D" w:themeColor="text1" w:themeTint="F2"/>
                <w:spacing w:val="-4"/>
              </w:rPr>
              <w:t> </w:t>
            </w:r>
            <w:r w:rsidRPr="00E74E91">
              <w:rPr>
                <w:color w:val="0D0D0D" w:themeColor="text1" w:themeTint="F2"/>
                <w:spacing w:val="-4"/>
              </w:rPr>
              <w:t>nichž stejně jako v případě právních a</w:t>
            </w:r>
            <w:r>
              <w:rPr>
                <w:color w:val="0D0D0D" w:themeColor="text1" w:themeTint="F2"/>
                <w:spacing w:val="-4"/>
              </w:rPr>
              <w:t> </w:t>
            </w:r>
            <w:r w:rsidRPr="00E74E91">
              <w:rPr>
                <w:color w:val="0D0D0D" w:themeColor="text1" w:themeTint="F2"/>
                <w:spacing w:val="-4"/>
              </w:rPr>
              <w:t>účetnických činností již tržby úroveň</w:t>
            </w:r>
            <w:r>
              <w:rPr>
                <w:color w:val="0D0D0D" w:themeColor="text1" w:themeTint="F2"/>
                <w:spacing w:val="-4"/>
              </w:rPr>
              <w:t xml:space="preserve"> z období těsně před pandemií </w:t>
            </w:r>
            <w:r w:rsidRPr="00E74E91">
              <w:rPr>
                <w:color w:val="0D0D0D" w:themeColor="text1" w:themeTint="F2"/>
                <w:spacing w:val="-4"/>
              </w:rPr>
              <w:t>překonaly. Naopak některé specializované služby (</w:t>
            </w:r>
            <w:r>
              <w:rPr>
                <w:color w:val="0D0D0D" w:themeColor="text1" w:themeTint="F2"/>
                <w:spacing w:val="-4"/>
              </w:rPr>
              <w:t xml:space="preserve">například </w:t>
            </w:r>
            <w:r w:rsidRPr="00E74E91">
              <w:rPr>
                <w:color w:val="0D0D0D" w:themeColor="text1" w:themeTint="F2"/>
                <w:spacing w:val="-4"/>
              </w:rPr>
              <w:t>překladatelské, fotografické</w:t>
            </w:r>
            <w:r>
              <w:rPr>
                <w:color w:val="0D0D0D" w:themeColor="text1" w:themeTint="F2"/>
                <w:spacing w:val="-4"/>
              </w:rPr>
              <w:t>, návrhářské</w:t>
            </w:r>
            <w:r w:rsidRPr="00E74E91">
              <w:rPr>
                <w:color w:val="0D0D0D" w:themeColor="text1" w:themeTint="F2"/>
                <w:spacing w:val="-4"/>
              </w:rPr>
              <w:t>) čelily poklesu poptávky v obou pandemických letech.</w:t>
            </w:r>
            <w:r>
              <w:rPr>
                <w:color w:val="0D0D0D" w:themeColor="text1" w:themeTint="F2"/>
                <w:spacing w:val="-4"/>
              </w:rPr>
              <w:t xml:space="preserve"> V</w:t>
            </w:r>
            <w:r w:rsidRPr="00E74E91">
              <w:rPr>
                <w:color w:val="0D0D0D" w:themeColor="text1" w:themeTint="F2"/>
                <w:spacing w:val="-4"/>
              </w:rPr>
              <w:t> odvětví administrativní a podpůrné činno</w:t>
            </w:r>
            <w:r>
              <w:rPr>
                <w:color w:val="0D0D0D" w:themeColor="text1" w:themeTint="F2"/>
                <w:spacing w:val="-4"/>
              </w:rPr>
              <w:t>sti byl loňský růst tržeb (o 7,5</w:t>
            </w:r>
            <w:r w:rsidRPr="00E74E91">
              <w:rPr>
                <w:color w:val="0D0D0D" w:themeColor="text1" w:themeTint="F2"/>
                <w:spacing w:val="-4"/>
              </w:rPr>
              <w:t> %) z drtivé části ovlivněn oživením poptávky v oblasti cestovních agentur, ve kterých přesto tržby nedosahovaly ani 40</w:t>
            </w:r>
            <w:r>
              <w:rPr>
                <w:color w:val="0D0D0D" w:themeColor="text1" w:themeTint="F2"/>
                <w:spacing w:val="-4"/>
              </w:rPr>
              <w:t> </w:t>
            </w:r>
            <w:r w:rsidRPr="00E74E91">
              <w:rPr>
                <w:color w:val="0D0D0D" w:themeColor="text1" w:themeTint="F2"/>
                <w:spacing w:val="-4"/>
              </w:rPr>
              <w:t>% úrovně roku 2019. Propad z roku 2020 ovšem dosud nepřekonal</w:t>
            </w:r>
            <w:r>
              <w:rPr>
                <w:color w:val="0D0D0D" w:themeColor="text1" w:themeTint="F2"/>
                <w:spacing w:val="-4"/>
              </w:rPr>
              <w:t>a</w:t>
            </w:r>
            <w:r w:rsidRPr="00E74E91">
              <w:rPr>
                <w:color w:val="0D0D0D" w:themeColor="text1" w:themeTint="F2"/>
                <w:spacing w:val="-4"/>
              </w:rPr>
              <w:t xml:space="preserve"> ani ostatní dílčí odvětví – zejména pak pracovní agentury, u</w:t>
            </w:r>
            <w:r>
              <w:rPr>
                <w:color w:val="0D0D0D" w:themeColor="text1" w:themeTint="F2"/>
                <w:spacing w:val="-4"/>
              </w:rPr>
              <w:t> </w:t>
            </w:r>
            <w:r w:rsidRPr="00E74E91">
              <w:rPr>
                <w:color w:val="0D0D0D" w:themeColor="text1" w:themeTint="F2"/>
                <w:spacing w:val="-4"/>
              </w:rPr>
              <w:t>nichž byla v průběhu loňského roku patrná slábnoucí poptávka.</w:t>
            </w:r>
          </w:p>
        </w:tc>
      </w:tr>
      <w:tr w:rsidR="00F77A50" w:rsidRPr="007B59C1" w14:paraId="37C82307" w14:textId="77777777" w:rsidTr="00B66208">
        <w:trPr>
          <w:trHeight w:val="145"/>
        </w:trPr>
        <w:tc>
          <w:tcPr>
            <w:tcW w:w="1728" w:type="dxa"/>
            <w:shd w:val="clear" w:color="auto" w:fill="auto"/>
            <w:tcMar>
              <w:left w:w="0" w:type="dxa"/>
            </w:tcMar>
          </w:tcPr>
          <w:p w14:paraId="4A7FF61D" w14:textId="77777777" w:rsidR="00F77A50" w:rsidRDefault="00F77A50" w:rsidP="00B66208">
            <w:pPr>
              <w:pStyle w:val="Marginlie"/>
              <w:rPr>
                <w:color w:val="0D0D0D" w:themeColor="text1" w:themeTint="F2"/>
              </w:rPr>
            </w:pPr>
            <w:r>
              <w:rPr>
                <w:color w:val="0D0D0D" w:themeColor="text1" w:themeTint="F2"/>
              </w:rPr>
              <w:t xml:space="preserve">Výkon maloobchodu byl loni poznamenán restrikcemi v 1. čtvrtletí. K meziměsíčnímu </w:t>
            </w:r>
            <w:r>
              <w:rPr>
                <w:color w:val="0D0D0D" w:themeColor="text1" w:themeTint="F2"/>
              </w:rPr>
              <w:lastRenderedPageBreak/>
              <w:t>poklesu tržeb došlo i na konci roku.</w:t>
            </w:r>
          </w:p>
        </w:tc>
        <w:tc>
          <w:tcPr>
            <w:tcW w:w="206" w:type="dxa"/>
            <w:shd w:val="clear" w:color="auto" w:fill="auto"/>
            <w:tcMar>
              <w:left w:w="0" w:type="dxa"/>
            </w:tcMar>
          </w:tcPr>
          <w:p w14:paraId="2A118BBB" w14:textId="77777777" w:rsidR="00F77A50" w:rsidRPr="007B59C1"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7E2A4C90" w14:textId="77777777" w:rsidR="00F77A50" w:rsidRPr="00022F9D" w:rsidRDefault="00F77A50" w:rsidP="00B66208">
            <w:pPr>
              <w:spacing w:after="200"/>
              <w:rPr>
                <w:rFonts w:cs="Arial"/>
                <w:color w:val="0D0D0D" w:themeColor="text1" w:themeTint="F2"/>
                <w:spacing w:val="-3"/>
                <w:szCs w:val="20"/>
              </w:rPr>
            </w:pPr>
            <w:r w:rsidRPr="00022F9D">
              <w:rPr>
                <w:rFonts w:cs="Arial"/>
                <w:color w:val="0D0D0D" w:themeColor="text1" w:themeTint="F2"/>
                <w:spacing w:val="-3"/>
                <w:szCs w:val="20"/>
              </w:rPr>
              <w:t>Loňské tržby v</w:t>
            </w:r>
            <w:r>
              <w:rPr>
                <w:rFonts w:cs="Arial"/>
                <w:color w:val="0D0D0D" w:themeColor="text1" w:themeTint="F2"/>
                <w:spacing w:val="-3"/>
                <w:szCs w:val="20"/>
              </w:rPr>
              <w:t> </w:t>
            </w:r>
            <w:r w:rsidRPr="00022F9D">
              <w:rPr>
                <w:rFonts w:cs="Arial"/>
                <w:color w:val="0D0D0D" w:themeColor="text1" w:themeTint="F2"/>
                <w:spacing w:val="-3"/>
                <w:szCs w:val="20"/>
              </w:rPr>
              <w:t>maloobchodu</w:t>
            </w:r>
            <w:r w:rsidRPr="00022F9D">
              <w:rPr>
                <w:rStyle w:val="Znakapoznpodarou"/>
                <w:color w:val="0D0D0D" w:themeColor="text1" w:themeTint="F2"/>
                <w:spacing w:val="-3"/>
              </w:rPr>
              <w:footnoteReference w:id="25"/>
            </w:r>
            <w:r w:rsidRPr="00022F9D">
              <w:rPr>
                <w:rFonts w:cs="Arial"/>
                <w:color w:val="0D0D0D" w:themeColor="text1" w:themeTint="F2"/>
                <w:spacing w:val="-3"/>
                <w:szCs w:val="20"/>
              </w:rPr>
              <w:t xml:space="preserve"> byly podstatně ovlivněny restrikcemi v 1.</w:t>
            </w:r>
            <w:r>
              <w:rPr>
                <w:rFonts w:cs="Arial"/>
                <w:color w:val="0D0D0D" w:themeColor="text1" w:themeTint="F2"/>
                <w:spacing w:val="-3"/>
                <w:szCs w:val="20"/>
              </w:rPr>
              <w:t> čtvrtlet</w:t>
            </w:r>
            <w:r w:rsidRPr="00022F9D">
              <w:rPr>
                <w:rFonts w:cs="Arial"/>
                <w:color w:val="0D0D0D" w:themeColor="text1" w:themeTint="F2"/>
                <w:spacing w:val="-3"/>
                <w:szCs w:val="20"/>
              </w:rPr>
              <w:t>í, které vrcholily citelným omezením mobility obyvatel v březnu. Na jarní uvolnění restrikcí reagovaly tržby silným květnovým růstem (</w:t>
            </w:r>
            <w:r>
              <w:rPr>
                <w:rFonts w:cs="Arial"/>
                <w:color w:val="0D0D0D" w:themeColor="text1" w:themeTint="F2"/>
                <w:spacing w:val="-3"/>
                <w:szCs w:val="20"/>
              </w:rPr>
              <w:t>o </w:t>
            </w:r>
            <w:r w:rsidRPr="00022F9D">
              <w:rPr>
                <w:rFonts w:cs="Arial"/>
                <w:color w:val="0D0D0D" w:themeColor="text1" w:themeTint="F2"/>
                <w:spacing w:val="-3"/>
                <w:szCs w:val="20"/>
              </w:rPr>
              <w:t>9,0</w:t>
            </w:r>
            <w:r>
              <w:rPr>
                <w:rFonts w:cs="Arial"/>
                <w:color w:val="0D0D0D" w:themeColor="text1" w:themeTint="F2"/>
                <w:spacing w:val="-3"/>
                <w:szCs w:val="20"/>
              </w:rPr>
              <w:t> %</w:t>
            </w:r>
            <w:r w:rsidRPr="00022F9D">
              <w:rPr>
                <w:rFonts w:cs="Arial"/>
                <w:color w:val="0D0D0D" w:themeColor="text1" w:themeTint="F2"/>
                <w:spacing w:val="-3"/>
                <w:szCs w:val="20"/>
              </w:rPr>
              <w:t xml:space="preserve"> meziměsíčně, z toho v segmentu nepotravinářského zboží o</w:t>
            </w:r>
            <w:r>
              <w:rPr>
                <w:rFonts w:cs="Arial"/>
                <w:color w:val="0D0D0D" w:themeColor="text1" w:themeTint="F2"/>
                <w:spacing w:val="-3"/>
                <w:szCs w:val="20"/>
              </w:rPr>
              <w:t> </w:t>
            </w:r>
            <w:r w:rsidRPr="00022F9D">
              <w:rPr>
                <w:rFonts w:cs="Arial"/>
                <w:color w:val="0D0D0D" w:themeColor="text1" w:themeTint="F2"/>
                <w:spacing w:val="-3"/>
                <w:szCs w:val="20"/>
              </w:rPr>
              <w:t>13,9</w:t>
            </w:r>
            <w:r>
              <w:rPr>
                <w:rFonts w:cs="Arial"/>
                <w:color w:val="0D0D0D" w:themeColor="text1" w:themeTint="F2"/>
                <w:spacing w:val="-3"/>
                <w:szCs w:val="20"/>
              </w:rPr>
              <w:t> %</w:t>
            </w:r>
            <w:r w:rsidRPr="00022F9D">
              <w:rPr>
                <w:rFonts w:cs="Arial"/>
                <w:color w:val="0D0D0D" w:themeColor="text1" w:themeTint="F2"/>
                <w:spacing w:val="-3"/>
                <w:szCs w:val="20"/>
              </w:rPr>
              <w:t xml:space="preserve">). Souběžně s tím citelně posílila hodnota indikátoru </w:t>
            </w:r>
            <w:r w:rsidRPr="00022F9D">
              <w:rPr>
                <w:rFonts w:cs="Arial"/>
                <w:color w:val="0D0D0D" w:themeColor="text1" w:themeTint="F2"/>
                <w:spacing w:val="-3"/>
                <w:szCs w:val="20"/>
              </w:rPr>
              <w:lastRenderedPageBreak/>
              <w:t xml:space="preserve">spotřebitelské důvěry, která však ani během léta nedosáhla výše z období těsně </w:t>
            </w:r>
            <w:r>
              <w:rPr>
                <w:rFonts w:cs="Arial"/>
                <w:color w:val="0D0D0D" w:themeColor="text1" w:themeTint="F2"/>
                <w:spacing w:val="-3"/>
                <w:szCs w:val="20"/>
              </w:rPr>
              <w:t xml:space="preserve">před </w:t>
            </w:r>
            <w:r w:rsidRPr="00022F9D">
              <w:rPr>
                <w:rFonts w:cs="Arial"/>
                <w:color w:val="0D0D0D" w:themeColor="text1" w:themeTint="F2"/>
                <w:spacing w:val="-3"/>
                <w:szCs w:val="20"/>
              </w:rPr>
              <w:t>počátkem pandemie</w:t>
            </w:r>
            <w:r w:rsidRPr="00022F9D">
              <w:rPr>
                <w:rStyle w:val="Znakapoznpodarou"/>
                <w:color w:val="0D0D0D" w:themeColor="text1" w:themeTint="F2"/>
                <w:spacing w:val="-3"/>
                <w:szCs w:val="20"/>
              </w:rPr>
              <w:footnoteReference w:id="26"/>
            </w:r>
            <w:r w:rsidRPr="00022F9D">
              <w:rPr>
                <w:rFonts w:cs="Arial"/>
                <w:color w:val="0D0D0D" w:themeColor="text1" w:themeTint="F2"/>
                <w:spacing w:val="-3"/>
                <w:szCs w:val="20"/>
              </w:rPr>
              <w:t>. Přestože zhoršování epidemické situace v poslední třetině roku již nebylo spojeno s omezením možností nákupů, maloobchodní tržby v listopadu i</w:t>
            </w:r>
            <w:r>
              <w:rPr>
                <w:rFonts w:cs="Arial"/>
                <w:color w:val="0D0D0D" w:themeColor="text1" w:themeTint="F2"/>
                <w:spacing w:val="-3"/>
                <w:szCs w:val="20"/>
              </w:rPr>
              <w:t> </w:t>
            </w:r>
            <w:r w:rsidRPr="00022F9D">
              <w:rPr>
                <w:rFonts w:cs="Arial"/>
                <w:color w:val="0D0D0D" w:themeColor="text1" w:themeTint="F2"/>
                <w:spacing w:val="-3"/>
                <w:szCs w:val="20"/>
              </w:rPr>
              <w:t>prosinci meziměsíčně poklesly (v</w:t>
            </w:r>
            <w:r>
              <w:rPr>
                <w:rFonts w:cs="Arial"/>
                <w:color w:val="0D0D0D" w:themeColor="text1" w:themeTint="F2"/>
                <w:spacing w:val="-3"/>
                <w:szCs w:val="20"/>
              </w:rPr>
              <w:t xml:space="preserve"> úhrnu za oba měsíce o 3,4 %). Za celý loňský rok </w:t>
            </w:r>
            <w:r w:rsidRPr="00022F9D">
              <w:rPr>
                <w:rFonts w:cs="Arial"/>
                <w:color w:val="0D0D0D" w:themeColor="text1" w:themeTint="F2"/>
                <w:spacing w:val="-3"/>
                <w:szCs w:val="20"/>
              </w:rPr>
              <w:t>vzrostly o 4,4 %</w:t>
            </w:r>
            <w:r w:rsidRPr="00022F9D">
              <w:rPr>
                <w:rStyle w:val="Znakapoznpodarou"/>
                <w:color w:val="0D0D0D" w:themeColor="text1" w:themeTint="F2"/>
                <w:spacing w:val="-3"/>
                <w:szCs w:val="20"/>
              </w:rPr>
              <w:footnoteReference w:id="27"/>
            </w:r>
            <w:r w:rsidRPr="00022F9D">
              <w:rPr>
                <w:rFonts w:cs="Arial"/>
                <w:color w:val="0D0D0D" w:themeColor="text1" w:themeTint="F2"/>
                <w:spacing w:val="-3"/>
                <w:szCs w:val="20"/>
              </w:rPr>
              <w:t xml:space="preserve"> a</w:t>
            </w:r>
            <w:r>
              <w:rPr>
                <w:rFonts w:cs="Arial"/>
                <w:color w:val="0D0D0D" w:themeColor="text1" w:themeTint="F2"/>
                <w:spacing w:val="-3"/>
                <w:szCs w:val="20"/>
              </w:rPr>
              <w:t> </w:t>
            </w:r>
            <w:r w:rsidRPr="00022F9D">
              <w:rPr>
                <w:rFonts w:cs="Arial"/>
                <w:color w:val="0D0D0D" w:themeColor="text1" w:themeTint="F2"/>
                <w:spacing w:val="-3"/>
                <w:szCs w:val="20"/>
              </w:rPr>
              <w:t>po mírném poklesu v roce 2020 (o</w:t>
            </w:r>
            <w:r>
              <w:rPr>
                <w:rFonts w:cs="Arial"/>
                <w:color w:val="0D0D0D" w:themeColor="text1" w:themeTint="F2"/>
                <w:spacing w:val="-3"/>
                <w:szCs w:val="20"/>
              </w:rPr>
              <w:t> </w:t>
            </w:r>
            <w:r w:rsidRPr="00022F9D">
              <w:rPr>
                <w:rFonts w:cs="Arial"/>
                <w:color w:val="0D0D0D" w:themeColor="text1" w:themeTint="F2"/>
                <w:spacing w:val="-3"/>
                <w:szCs w:val="20"/>
              </w:rPr>
              <w:t>0,9</w:t>
            </w:r>
            <w:r>
              <w:rPr>
                <w:rFonts w:cs="Arial"/>
                <w:color w:val="0D0D0D" w:themeColor="text1" w:themeTint="F2"/>
                <w:spacing w:val="-3"/>
                <w:szCs w:val="20"/>
              </w:rPr>
              <w:t> %</w:t>
            </w:r>
            <w:r w:rsidRPr="00022F9D">
              <w:rPr>
                <w:rFonts w:cs="Arial"/>
                <w:color w:val="0D0D0D" w:themeColor="text1" w:themeTint="F2"/>
                <w:spacing w:val="-3"/>
                <w:szCs w:val="20"/>
              </w:rPr>
              <w:t>) se přiblížily tempům z období těsně před propuknutím pandemie.</w:t>
            </w:r>
          </w:p>
        </w:tc>
      </w:tr>
      <w:tr w:rsidR="00F77A50" w:rsidRPr="007B59C1" w14:paraId="0629855B" w14:textId="77777777" w:rsidTr="00B66208">
        <w:trPr>
          <w:trHeight w:val="145"/>
        </w:trPr>
        <w:tc>
          <w:tcPr>
            <w:tcW w:w="1728" w:type="dxa"/>
            <w:shd w:val="clear" w:color="auto" w:fill="auto"/>
            <w:tcMar>
              <w:left w:w="0" w:type="dxa"/>
            </w:tcMar>
          </w:tcPr>
          <w:p w14:paraId="13F4A0FB" w14:textId="77777777" w:rsidR="00F77A50" w:rsidRDefault="00F77A50" w:rsidP="00B66208">
            <w:pPr>
              <w:pStyle w:val="Marginlie"/>
              <w:rPr>
                <w:color w:val="0D0D0D" w:themeColor="text1" w:themeTint="F2"/>
              </w:rPr>
            </w:pPr>
            <w:r>
              <w:rPr>
                <w:color w:val="0D0D0D" w:themeColor="text1" w:themeTint="F2"/>
              </w:rPr>
              <w:lastRenderedPageBreak/>
              <w:t>Tržby za prodej nepotravinářského zboží byly výrazně taženy internetovým obchodem.</w:t>
            </w:r>
          </w:p>
          <w:p w14:paraId="2AD08411" w14:textId="77777777" w:rsidR="00F77A50" w:rsidRDefault="00F77A50" w:rsidP="00B66208">
            <w:pPr>
              <w:pStyle w:val="Marginlie"/>
              <w:rPr>
                <w:color w:val="0D0D0D" w:themeColor="text1" w:themeTint="F2"/>
              </w:rPr>
            </w:pPr>
          </w:p>
          <w:p w14:paraId="1C675393" w14:textId="77777777" w:rsidR="00F77A50" w:rsidRDefault="00F77A50" w:rsidP="00B66208">
            <w:pPr>
              <w:pStyle w:val="Marginlie"/>
              <w:rPr>
                <w:color w:val="0D0D0D" w:themeColor="text1" w:themeTint="F2"/>
              </w:rPr>
            </w:pPr>
          </w:p>
          <w:p w14:paraId="42FDE83F" w14:textId="77777777" w:rsidR="00F77A50" w:rsidRDefault="00F77A50" w:rsidP="00B66208">
            <w:pPr>
              <w:pStyle w:val="Marginlie"/>
              <w:rPr>
                <w:color w:val="0D0D0D" w:themeColor="text1" w:themeTint="F2"/>
              </w:rPr>
            </w:pPr>
          </w:p>
          <w:p w14:paraId="21C39B6B" w14:textId="77777777" w:rsidR="00F77A50" w:rsidRDefault="00F77A50" w:rsidP="00B66208">
            <w:pPr>
              <w:pStyle w:val="Marginlie"/>
              <w:rPr>
                <w:color w:val="0D0D0D" w:themeColor="text1" w:themeTint="F2"/>
              </w:rPr>
            </w:pPr>
          </w:p>
          <w:p w14:paraId="682E2C3D" w14:textId="77777777" w:rsidR="00F77A50" w:rsidRPr="007B59C1" w:rsidRDefault="00F77A50" w:rsidP="00B66208">
            <w:pPr>
              <w:pStyle w:val="Marginlie"/>
              <w:rPr>
                <w:color w:val="0D0D0D" w:themeColor="text1" w:themeTint="F2"/>
              </w:rPr>
            </w:pPr>
            <w:r>
              <w:rPr>
                <w:color w:val="0D0D0D" w:themeColor="text1" w:themeTint="F2"/>
              </w:rPr>
              <w:t>Tržby za prodej potravin klesly druhým rokem v řadě. V roce 2021 se na tom patrně podílely i velké řetězce.</w:t>
            </w:r>
          </w:p>
        </w:tc>
        <w:tc>
          <w:tcPr>
            <w:tcW w:w="206" w:type="dxa"/>
            <w:shd w:val="clear" w:color="auto" w:fill="auto"/>
            <w:tcMar>
              <w:left w:w="0" w:type="dxa"/>
            </w:tcMar>
          </w:tcPr>
          <w:p w14:paraId="4E640E3B" w14:textId="77777777" w:rsidR="00F77A50" w:rsidRPr="007B59C1"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6F82C0C0" w14:textId="77777777" w:rsidR="00F77A50" w:rsidRPr="000537C8" w:rsidRDefault="00F77A50" w:rsidP="00B66208">
            <w:pPr>
              <w:spacing w:after="200"/>
              <w:rPr>
                <w:rFonts w:cs="Arial"/>
                <w:color w:val="0D0D0D" w:themeColor="text1" w:themeTint="F2"/>
                <w:spacing w:val="-5"/>
                <w:szCs w:val="20"/>
              </w:rPr>
            </w:pPr>
            <w:r w:rsidRPr="000537C8">
              <w:rPr>
                <w:rFonts w:cs="Arial"/>
                <w:color w:val="0D0D0D" w:themeColor="text1" w:themeTint="F2"/>
                <w:spacing w:val="-5"/>
                <w:szCs w:val="20"/>
              </w:rPr>
              <w:t xml:space="preserve">Loňský růst celého maloobchodu byl nejvíce tažen vyššími tržbami za </w:t>
            </w:r>
            <w:r>
              <w:rPr>
                <w:rFonts w:cs="Arial"/>
                <w:color w:val="0D0D0D" w:themeColor="text1" w:themeTint="F2"/>
                <w:spacing w:val="-5"/>
                <w:szCs w:val="20"/>
              </w:rPr>
              <w:t>nepotravinářské zboží (8,0 %</w:t>
            </w:r>
            <w:r w:rsidRPr="000537C8">
              <w:rPr>
                <w:rFonts w:cs="Arial"/>
                <w:color w:val="0D0D0D" w:themeColor="text1" w:themeTint="F2"/>
                <w:spacing w:val="-5"/>
                <w:szCs w:val="20"/>
              </w:rPr>
              <w:t xml:space="preserve"> meziročně), </w:t>
            </w:r>
            <w:r>
              <w:rPr>
                <w:rFonts w:cs="Arial"/>
                <w:color w:val="0D0D0D" w:themeColor="text1" w:themeTint="F2"/>
                <w:spacing w:val="-5"/>
                <w:szCs w:val="20"/>
              </w:rPr>
              <w:t>v nichž</w:t>
            </w:r>
            <w:r w:rsidRPr="000537C8">
              <w:rPr>
                <w:rFonts w:cs="Arial"/>
                <w:color w:val="0D0D0D" w:themeColor="text1" w:themeTint="F2"/>
                <w:spacing w:val="-5"/>
                <w:szCs w:val="20"/>
              </w:rPr>
              <w:t xml:space="preserve"> se mohl projevovat vliv odložené spotřeby</w:t>
            </w:r>
            <w:r w:rsidRPr="000537C8">
              <w:rPr>
                <w:color w:val="0D0D0D" w:themeColor="text1" w:themeTint="F2"/>
                <w:spacing w:val="-5"/>
              </w:rPr>
              <w:t xml:space="preserve"> i </w:t>
            </w:r>
            <w:r w:rsidRPr="000537C8">
              <w:rPr>
                <w:rFonts w:cs="Arial"/>
                <w:color w:val="0D0D0D" w:themeColor="text1" w:themeTint="F2"/>
                <w:spacing w:val="-5"/>
                <w:szCs w:val="20"/>
              </w:rPr>
              <w:t>rostoucí obliba nákupů přes internet, kter</w:t>
            </w:r>
            <w:r>
              <w:rPr>
                <w:rFonts w:cs="Arial"/>
                <w:color w:val="0D0D0D" w:themeColor="text1" w:themeTint="F2"/>
                <w:spacing w:val="-5"/>
                <w:szCs w:val="20"/>
              </w:rPr>
              <w:t>é</w:t>
            </w:r>
            <w:r w:rsidRPr="000537C8">
              <w:rPr>
                <w:rFonts w:cs="Arial"/>
                <w:color w:val="0D0D0D" w:themeColor="text1" w:themeTint="F2"/>
                <w:spacing w:val="-5"/>
                <w:szCs w:val="20"/>
              </w:rPr>
              <w:t xml:space="preserve"> se během pandemie pro část spotřebitelů patrně stal</w:t>
            </w:r>
            <w:r>
              <w:rPr>
                <w:rFonts w:cs="Arial"/>
                <w:color w:val="0D0D0D" w:themeColor="text1" w:themeTint="F2"/>
                <w:spacing w:val="-5"/>
                <w:szCs w:val="20"/>
              </w:rPr>
              <w:t>y</w:t>
            </w:r>
            <w:r w:rsidRPr="000537C8">
              <w:rPr>
                <w:rFonts w:cs="Arial"/>
                <w:color w:val="0D0D0D" w:themeColor="text1" w:themeTint="F2"/>
                <w:spacing w:val="-5"/>
                <w:szCs w:val="20"/>
              </w:rPr>
              <w:t xml:space="preserve"> dominantním nákupním kanálem. V rámci specializovaných prodejen rostly vedle internetových prodejů nejvíce tržby v obchodech s počítačovým a</w:t>
            </w:r>
            <w:r>
              <w:rPr>
                <w:rFonts w:cs="Arial"/>
                <w:color w:val="0D0D0D" w:themeColor="text1" w:themeTint="F2"/>
                <w:spacing w:val="-5"/>
                <w:szCs w:val="20"/>
              </w:rPr>
              <w:t> </w:t>
            </w:r>
            <w:r w:rsidRPr="000537C8">
              <w:rPr>
                <w:rFonts w:cs="Arial"/>
                <w:color w:val="0D0D0D" w:themeColor="text1" w:themeTint="F2"/>
                <w:spacing w:val="-5"/>
                <w:szCs w:val="20"/>
              </w:rPr>
              <w:t>komunikačním zařízením (6,8</w:t>
            </w:r>
            <w:r>
              <w:rPr>
                <w:rFonts w:cs="Arial"/>
                <w:color w:val="0D0D0D" w:themeColor="text1" w:themeTint="F2"/>
                <w:spacing w:val="-5"/>
                <w:szCs w:val="20"/>
              </w:rPr>
              <w:t> %</w:t>
            </w:r>
            <w:r w:rsidRPr="000537C8">
              <w:rPr>
                <w:rFonts w:cs="Arial"/>
                <w:color w:val="0D0D0D" w:themeColor="text1" w:themeTint="F2"/>
                <w:spacing w:val="-5"/>
                <w:szCs w:val="20"/>
              </w:rPr>
              <w:t>) a</w:t>
            </w:r>
            <w:r>
              <w:rPr>
                <w:rFonts w:cs="Arial"/>
                <w:color w:val="0D0D0D" w:themeColor="text1" w:themeTint="F2"/>
                <w:spacing w:val="-5"/>
                <w:szCs w:val="20"/>
              </w:rPr>
              <w:t> </w:t>
            </w:r>
            <w:r w:rsidRPr="000537C8">
              <w:rPr>
                <w:rFonts w:cs="Arial"/>
                <w:color w:val="0D0D0D" w:themeColor="text1" w:themeTint="F2"/>
                <w:spacing w:val="-5"/>
                <w:szCs w:val="20"/>
              </w:rPr>
              <w:t>v obchodech s kosm</w:t>
            </w:r>
            <w:r>
              <w:rPr>
                <w:rFonts w:cs="Arial"/>
                <w:color w:val="0D0D0D" w:themeColor="text1" w:themeTint="F2"/>
                <w:spacing w:val="-5"/>
                <w:szCs w:val="20"/>
              </w:rPr>
              <w:t>etickými a toaletními výrobky (5,8 %</w:t>
            </w:r>
            <w:r w:rsidRPr="000537C8">
              <w:rPr>
                <w:rFonts w:cs="Arial"/>
                <w:color w:val="0D0D0D" w:themeColor="text1" w:themeTint="F2"/>
                <w:spacing w:val="-5"/>
                <w:szCs w:val="20"/>
              </w:rPr>
              <w:t>). Mírněji rostla poptávka u</w:t>
            </w:r>
            <w:r>
              <w:rPr>
                <w:rFonts w:cs="Arial"/>
                <w:color w:val="0D0D0D" w:themeColor="text1" w:themeTint="F2"/>
                <w:spacing w:val="-5"/>
                <w:szCs w:val="20"/>
              </w:rPr>
              <w:t> </w:t>
            </w:r>
            <w:r w:rsidRPr="000537C8">
              <w:rPr>
                <w:rFonts w:cs="Arial"/>
                <w:color w:val="0D0D0D" w:themeColor="text1" w:themeTint="F2"/>
                <w:spacing w:val="-5"/>
                <w:szCs w:val="20"/>
              </w:rPr>
              <w:t>prodejen s</w:t>
            </w:r>
            <w:r>
              <w:rPr>
                <w:rFonts w:cs="Arial"/>
                <w:color w:val="0D0D0D" w:themeColor="text1" w:themeTint="F2"/>
                <w:spacing w:val="-5"/>
                <w:szCs w:val="20"/>
              </w:rPr>
              <w:t> </w:t>
            </w:r>
            <w:r w:rsidRPr="000537C8">
              <w:rPr>
                <w:rFonts w:cs="Arial"/>
                <w:color w:val="0D0D0D" w:themeColor="text1" w:themeTint="F2"/>
                <w:spacing w:val="-5"/>
                <w:szCs w:val="20"/>
              </w:rPr>
              <w:t>oděvy, obuví a</w:t>
            </w:r>
            <w:r>
              <w:rPr>
                <w:rFonts w:cs="Arial"/>
                <w:color w:val="0D0D0D" w:themeColor="text1" w:themeTint="F2"/>
                <w:spacing w:val="-5"/>
                <w:szCs w:val="20"/>
              </w:rPr>
              <w:t> </w:t>
            </w:r>
            <w:r w:rsidRPr="000537C8">
              <w:rPr>
                <w:rFonts w:cs="Arial"/>
                <w:color w:val="0D0D0D" w:themeColor="text1" w:themeTint="F2"/>
                <w:spacing w:val="-5"/>
                <w:szCs w:val="20"/>
              </w:rPr>
              <w:t>koženým zbožím a</w:t>
            </w:r>
            <w:r>
              <w:rPr>
                <w:rFonts w:cs="Arial"/>
                <w:color w:val="0D0D0D" w:themeColor="text1" w:themeTint="F2"/>
                <w:spacing w:val="-5"/>
                <w:szCs w:val="20"/>
              </w:rPr>
              <w:t> </w:t>
            </w:r>
            <w:r w:rsidRPr="000537C8">
              <w:rPr>
                <w:rFonts w:cs="Arial"/>
                <w:color w:val="0D0D0D" w:themeColor="text1" w:themeTint="F2"/>
                <w:spacing w:val="-5"/>
                <w:szCs w:val="20"/>
              </w:rPr>
              <w:t>také u</w:t>
            </w:r>
            <w:r>
              <w:rPr>
                <w:rFonts w:cs="Arial"/>
                <w:color w:val="0D0D0D" w:themeColor="text1" w:themeTint="F2"/>
                <w:spacing w:val="-5"/>
                <w:szCs w:val="20"/>
              </w:rPr>
              <w:t> </w:t>
            </w:r>
            <w:r w:rsidRPr="000537C8">
              <w:rPr>
                <w:rFonts w:cs="Arial"/>
                <w:color w:val="0D0D0D" w:themeColor="text1" w:themeTint="F2"/>
                <w:spacing w:val="-5"/>
                <w:szCs w:val="20"/>
              </w:rPr>
              <w:t>výrobků pro kulturu a</w:t>
            </w:r>
            <w:r>
              <w:rPr>
                <w:rFonts w:cs="Arial"/>
                <w:color w:val="0D0D0D" w:themeColor="text1" w:themeTint="F2"/>
                <w:spacing w:val="-5"/>
                <w:szCs w:val="20"/>
              </w:rPr>
              <w:t> </w:t>
            </w:r>
            <w:r w:rsidRPr="000537C8">
              <w:rPr>
                <w:rFonts w:cs="Arial"/>
                <w:color w:val="0D0D0D" w:themeColor="text1" w:themeTint="F2"/>
                <w:spacing w:val="-5"/>
                <w:szCs w:val="20"/>
              </w:rPr>
              <w:t>rekreaci – v obou případech ovšem tržby stále výrazně zaostaly za rokem 2019. Tržby za prodej potravin se loni snížily druhým rokem v</w:t>
            </w:r>
            <w:r>
              <w:rPr>
                <w:rFonts w:cs="Arial"/>
                <w:color w:val="0D0D0D" w:themeColor="text1" w:themeTint="F2"/>
                <w:spacing w:val="-5"/>
                <w:szCs w:val="20"/>
              </w:rPr>
              <w:t> </w:t>
            </w:r>
            <w:r w:rsidRPr="000537C8">
              <w:rPr>
                <w:rFonts w:cs="Arial"/>
                <w:color w:val="0D0D0D" w:themeColor="text1" w:themeTint="F2"/>
                <w:spacing w:val="-5"/>
                <w:szCs w:val="20"/>
              </w:rPr>
              <w:t>řadě (shodně o</w:t>
            </w:r>
            <w:r>
              <w:rPr>
                <w:rFonts w:cs="Arial"/>
                <w:color w:val="0D0D0D" w:themeColor="text1" w:themeTint="F2"/>
                <w:spacing w:val="-5"/>
                <w:szCs w:val="20"/>
              </w:rPr>
              <w:t> </w:t>
            </w:r>
            <w:r w:rsidRPr="000537C8">
              <w:rPr>
                <w:rFonts w:cs="Arial"/>
                <w:color w:val="0D0D0D" w:themeColor="text1" w:themeTint="F2"/>
                <w:spacing w:val="-5"/>
                <w:szCs w:val="20"/>
              </w:rPr>
              <w:t>0,3</w:t>
            </w:r>
            <w:r>
              <w:rPr>
                <w:rFonts w:cs="Arial"/>
                <w:color w:val="0D0D0D" w:themeColor="text1" w:themeTint="F2"/>
                <w:spacing w:val="-5"/>
                <w:szCs w:val="20"/>
              </w:rPr>
              <w:t> %), poprvé po sedmi</w:t>
            </w:r>
            <w:r w:rsidRPr="000537C8">
              <w:rPr>
                <w:rFonts w:cs="Arial"/>
                <w:color w:val="0D0D0D" w:themeColor="text1" w:themeTint="F2"/>
                <w:spacing w:val="-5"/>
                <w:szCs w:val="20"/>
              </w:rPr>
              <w:t xml:space="preserve"> letech </w:t>
            </w:r>
            <w:r>
              <w:rPr>
                <w:rFonts w:cs="Arial"/>
                <w:color w:val="0D0D0D" w:themeColor="text1" w:themeTint="F2"/>
                <w:spacing w:val="-5"/>
                <w:szCs w:val="20"/>
              </w:rPr>
              <w:t>růstu</w:t>
            </w:r>
            <w:r w:rsidRPr="000537C8">
              <w:rPr>
                <w:rFonts w:cs="Arial"/>
                <w:color w:val="0D0D0D" w:themeColor="text1" w:themeTint="F2"/>
                <w:spacing w:val="-5"/>
                <w:szCs w:val="20"/>
              </w:rPr>
              <w:t xml:space="preserve"> poklesly</w:t>
            </w:r>
            <w:r>
              <w:rPr>
                <w:rFonts w:cs="Arial"/>
                <w:color w:val="0D0D0D" w:themeColor="text1" w:themeTint="F2"/>
                <w:spacing w:val="-5"/>
                <w:szCs w:val="20"/>
              </w:rPr>
              <w:t xml:space="preserve"> </w:t>
            </w:r>
            <w:r w:rsidRPr="000537C8">
              <w:rPr>
                <w:rFonts w:cs="Arial"/>
                <w:color w:val="0D0D0D" w:themeColor="text1" w:themeTint="F2"/>
                <w:spacing w:val="-5"/>
                <w:szCs w:val="20"/>
              </w:rPr>
              <w:t>v nespecializovaných prodejnách, v nichž dominují velké</w:t>
            </w:r>
            <w:r>
              <w:rPr>
                <w:rFonts w:cs="Arial"/>
                <w:color w:val="0D0D0D" w:themeColor="text1" w:themeTint="F2"/>
                <w:spacing w:val="-5"/>
                <w:szCs w:val="20"/>
              </w:rPr>
              <w:t xml:space="preserve"> obchodní</w:t>
            </w:r>
            <w:r w:rsidRPr="000537C8">
              <w:rPr>
                <w:rFonts w:cs="Arial"/>
                <w:color w:val="0D0D0D" w:themeColor="text1" w:themeTint="F2"/>
                <w:spacing w:val="-5"/>
                <w:szCs w:val="20"/>
              </w:rPr>
              <w:t xml:space="preserve"> řetězce. Prodejci poho</w:t>
            </w:r>
            <w:r>
              <w:rPr>
                <w:rFonts w:cs="Arial"/>
                <w:color w:val="0D0D0D" w:themeColor="text1" w:themeTint="F2"/>
                <w:spacing w:val="-5"/>
                <w:szCs w:val="20"/>
              </w:rPr>
              <w:t xml:space="preserve">nných hmot stržili meziročně o 4,0 % více, </w:t>
            </w:r>
            <w:r w:rsidRPr="000537C8">
              <w:rPr>
                <w:rFonts w:cs="Arial"/>
                <w:color w:val="0D0D0D" w:themeColor="text1" w:themeTint="F2"/>
                <w:spacing w:val="-5"/>
                <w:szCs w:val="20"/>
              </w:rPr>
              <w:t xml:space="preserve">propad z roku 2020 </w:t>
            </w:r>
            <w:r>
              <w:rPr>
                <w:rFonts w:cs="Arial"/>
                <w:color w:val="0D0D0D" w:themeColor="text1" w:themeTint="F2"/>
                <w:spacing w:val="-5"/>
                <w:szCs w:val="20"/>
              </w:rPr>
              <w:t xml:space="preserve">ale </w:t>
            </w:r>
            <w:r w:rsidRPr="000537C8">
              <w:rPr>
                <w:rFonts w:cs="Arial"/>
                <w:color w:val="0D0D0D" w:themeColor="text1" w:themeTint="F2"/>
                <w:spacing w:val="-5"/>
                <w:szCs w:val="20"/>
              </w:rPr>
              <w:t>zdaleka nevyrovnali</w:t>
            </w:r>
            <w:r w:rsidRPr="000537C8">
              <w:rPr>
                <w:rStyle w:val="Znakapoznpodarou"/>
                <w:color w:val="0D0D0D" w:themeColor="text1" w:themeTint="F2"/>
                <w:spacing w:val="-5"/>
                <w:szCs w:val="20"/>
              </w:rPr>
              <w:footnoteReference w:id="28"/>
            </w:r>
            <w:r w:rsidRPr="000537C8">
              <w:rPr>
                <w:rFonts w:cs="Arial"/>
                <w:color w:val="0D0D0D" w:themeColor="text1" w:themeTint="F2"/>
                <w:spacing w:val="-5"/>
                <w:szCs w:val="20"/>
              </w:rPr>
              <w:t>. Podobně na tom byl i</w:t>
            </w:r>
            <w:r>
              <w:rPr>
                <w:rFonts w:cs="Arial"/>
                <w:color w:val="0D0D0D" w:themeColor="text1" w:themeTint="F2"/>
                <w:spacing w:val="-5"/>
                <w:szCs w:val="20"/>
              </w:rPr>
              <w:t> </w:t>
            </w:r>
            <w:r w:rsidRPr="000537C8">
              <w:rPr>
                <w:rFonts w:cs="Arial"/>
                <w:color w:val="0D0D0D" w:themeColor="text1" w:themeTint="F2"/>
                <w:spacing w:val="-5"/>
                <w:szCs w:val="20"/>
              </w:rPr>
              <w:t>motoristický segment obchodu, jehož tržby navzdory loňskému oži</w:t>
            </w:r>
            <w:r>
              <w:rPr>
                <w:rFonts w:cs="Arial"/>
                <w:color w:val="0D0D0D" w:themeColor="text1" w:themeTint="F2"/>
                <w:spacing w:val="-5"/>
                <w:szCs w:val="20"/>
              </w:rPr>
              <w:t>vení za úrovní z roku 2019 o 8 %</w:t>
            </w:r>
            <w:r w:rsidRPr="000537C8">
              <w:rPr>
                <w:rFonts w:cs="Arial"/>
                <w:color w:val="0D0D0D" w:themeColor="text1" w:themeTint="F2"/>
                <w:spacing w:val="-5"/>
                <w:szCs w:val="20"/>
              </w:rPr>
              <w:t xml:space="preserve"> zaostávaly. To platilo pro celý tento segment vyjma obchodu, oprav i</w:t>
            </w:r>
            <w:r>
              <w:rPr>
                <w:rFonts w:cs="Arial"/>
                <w:color w:val="0D0D0D" w:themeColor="text1" w:themeTint="F2"/>
                <w:spacing w:val="-5"/>
                <w:szCs w:val="20"/>
              </w:rPr>
              <w:t> </w:t>
            </w:r>
            <w:r w:rsidRPr="000537C8">
              <w:rPr>
                <w:rFonts w:cs="Arial"/>
                <w:color w:val="0D0D0D" w:themeColor="text1" w:themeTint="F2"/>
                <w:spacing w:val="-5"/>
                <w:szCs w:val="20"/>
              </w:rPr>
              <w:t>údržby motocyklů (s</w:t>
            </w:r>
            <w:r>
              <w:rPr>
                <w:rFonts w:cs="Arial"/>
                <w:color w:val="0D0D0D" w:themeColor="text1" w:themeTint="F2"/>
                <w:spacing w:val="-5"/>
                <w:szCs w:val="20"/>
              </w:rPr>
              <w:t> </w:t>
            </w:r>
            <w:r w:rsidRPr="000537C8">
              <w:rPr>
                <w:rFonts w:cs="Arial"/>
                <w:color w:val="0D0D0D" w:themeColor="text1" w:themeTint="F2"/>
                <w:spacing w:val="-5"/>
                <w:szCs w:val="20"/>
              </w:rPr>
              <w:t>dlouhodobě rostoucí poptávkou, za pandemie významně nenarušenou).</w:t>
            </w:r>
          </w:p>
        </w:tc>
      </w:tr>
      <w:tr w:rsidR="00F77A50" w:rsidRPr="00BA07CB" w14:paraId="43E58328" w14:textId="77777777" w:rsidTr="00B66208">
        <w:trPr>
          <w:trHeight w:val="145"/>
        </w:trPr>
        <w:tc>
          <w:tcPr>
            <w:tcW w:w="1728" w:type="dxa"/>
            <w:shd w:val="clear" w:color="auto" w:fill="auto"/>
            <w:tcMar>
              <w:left w:w="0" w:type="dxa"/>
            </w:tcMar>
          </w:tcPr>
          <w:p w14:paraId="01EDB46D" w14:textId="77777777" w:rsidR="00F77A50" w:rsidRPr="0006697D" w:rsidRDefault="00F77A50" w:rsidP="00B66208">
            <w:pPr>
              <w:pStyle w:val="Marginlie"/>
              <w:rPr>
                <w:color w:val="0D0D0D" w:themeColor="text1" w:themeTint="F2"/>
              </w:rPr>
            </w:pPr>
          </w:p>
        </w:tc>
        <w:tc>
          <w:tcPr>
            <w:tcW w:w="206" w:type="dxa"/>
            <w:shd w:val="clear" w:color="auto" w:fill="auto"/>
            <w:tcMar>
              <w:left w:w="0" w:type="dxa"/>
            </w:tcMar>
          </w:tcPr>
          <w:p w14:paraId="172F6E33" w14:textId="77777777" w:rsidR="00F77A50" w:rsidRPr="0006697D"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11A361A4" w14:textId="77777777" w:rsidR="00F77A50" w:rsidRPr="0006697D" w:rsidRDefault="00F77A50" w:rsidP="00B66208">
            <w:pPr>
              <w:spacing w:after="0"/>
              <w:rPr>
                <w:rFonts w:cs="Arial"/>
                <w:color w:val="0D0D0D" w:themeColor="text1" w:themeTint="F2"/>
                <w:spacing w:val="-4"/>
                <w:szCs w:val="20"/>
              </w:rPr>
            </w:pPr>
            <w:r w:rsidRPr="00360244">
              <w:rPr>
                <w:rFonts w:cs="Arial"/>
                <w:b/>
                <w:color w:val="0D0D0D" w:themeColor="text1" w:themeTint="F2"/>
                <w:spacing w:val="-4"/>
                <w:szCs w:val="20"/>
              </w:rPr>
              <w:t>Graf č. 8</w:t>
            </w:r>
            <w:r>
              <w:rPr>
                <w:rFonts w:cs="Arial"/>
                <w:b/>
                <w:color w:val="0D0D0D" w:themeColor="text1" w:themeTint="F2"/>
                <w:spacing w:val="-4"/>
                <w:szCs w:val="20"/>
              </w:rPr>
              <w:t xml:space="preserve"> </w:t>
            </w:r>
            <w:r w:rsidRPr="00CC1D7E">
              <w:rPr>
                <w:rFonts w:cs="Arial"/>
                <w:b/>
                <w:bCs/>
                <w:color w:val="0D0D0D" w:themeColor="text1" w:themeTint="F2"/>
                <w:spacing w:val="-4"/>
                <w:szCs w:val="20"/>
              </w:rPr>
              <w:t xml:space="preserve"> </w:t>
            </w:r>
            <w:r>
              <w:rPr>
                <w:rFonts w:cs="Arial"/>
                <w:b/>
                <w:bCs/>
                <w:color w:val="0D0D0D" w:themeColor="text1" w:themeTint="F2"/>
                <w:spacing w:val="-4"/>
                <w:szCs w:val="20"/>
              </w:rPr>
              <w:t xml:space="preserve">Tržby v maloobchodu* </w:t>
            </w:r>
            <w:r>
              <w:rPr>
                <w:rFonts w:cs="Arial"/>
                <w:color w:val="0D0D0D" w:themeColor="text1" w:themeTint="F2"/>
                <w:spacing w:val="-4"/>
                <w:szCs w:val="20"/>
              </w:rPr>
              <w:t>(reálně, meziročně,</w:t>
            </w:r>
            <w:r w:rsidRPr="00491A43">
              <w:rPr>
                <w:rFonts w:cs="Arial"/>
                <w:color w:val="0D0D0D" w:themeColor="text1" w:themeTint="F2"/>
                <w:spacing w:val="-4"/>
                <w:szCs w:val="20"/>
              </w:rPr>
              <w:t xml:space="preserve"> v</w:t>
            </w:r>
            <w:r>
              <w:rPr>
                <w:rFonts w:cs="Arial"/>
                <w:color w:val="0D0D0D" w:themeColor="text1" w:themeTint="F2"/>
                <w:spacing w:val="-4"/>
                <w:szCs w:val="20"/>
              </w:rPr>
              <w:t> </w:t>
            </w:r>
            <w:r w:rsidRPr="00491A43">
              <w:rPr>
                <w:rFonts w:cs="Arial"/>
                <w:color w:val="0D0D0D" w:themeColor="text1" w:themeTint="F2"/>
                <w:spacing w:val="-4"/>
                <w:szCs w:val="20"/>
              </w:rPr>
              <w:t xml:space="preserve">%) </w:t>
            </w:r>
            <w:r w:rsidRPr="00491A43">
              <w:rPr>
                <w:rFonts w:cs="Arial"/>
                <w:b/>
                <w:color w:val="0D0D0D" w:themeColor="text1" w:themeTint="F2"/>
                <w:spacing w:val="-4"/>
                <w:szCs w:val="20"/>
              </w:rPr>
              <w:t>a</w:t>
            </w:r>
            <w:r>
              <w:rPr>
                <w:rFonts w:cs="Arial"/>
                <w:b/>
                <w:color w:val="0D0D0D" w:themeColor="text1" w:themeTint="F2"/>
                <w:spacing w:val="-4"/>
                <w:szCs w:val="20"/>
              </w:rPr>
              <w:t> </w:t>
            </w:r>
            <w:r w:rsidRPr="00491A43">
              <w:rPr>
                <w:rFonts w:cs="Arial"/>
                <w:b/>
                <w:bCs/>
                <w:color w:val="0D0D0D" w:themeColor="text1" w:themeTint="F2"/>
                <w:spacing w:val="-4"/>
                <w:szCs w:val="20"/>
              </w:rPr>
              <w:t>saldo indikátoru důvěry spotřebitelů</w:t>
            </w:r>
            <w:r>
              <w:rPr>
                <w:rFonts w:cs="Arial"/>
                <w:b/>
                <w:bCs/>
                <w:color w:val="0D0D0D" w:themeColor="text1" w:themeTint="F2"/>
                <w:spacing w:val="-4"/>
                <w:szCs w:val="20"/>
              </w:rPr>
              <w:t>**</w:t>
            </w:r>
            <w:r w:rsidRPr="00491A43">
              <w:rPr>
                <w:rFonts w:cs="Arial"/>
                <w:b/>
                <w:bCs/>
                <w:color w:val="0D0D0D" w:themeColor="text1" w:themeTint="F2"/>
                <w:spacing w:val="-4"/>
                <w:szCs w:val="20"/>
              </w:rPr>
              <w:t xml:space="preserve"> </w:t>
            </w:r>
            <w:r w:rsidRPr="00491A43">
              <w:rPr>
                <w:rFonts w:cs="Arial"/>
                <w:color w:val="0D0D0D" w:themeColor="text1" w:themeTint="F2"/>
                <w:spacing w:val="-4"/>
                <w:szCs w:val="20"/>
              </w:rPr>
              <w:t>(</w:t>
            </w:r>
            <w:r>
              <w:rPr>
                <w:rFonts w:cs="Arial"/>
                <w:color w:val="0D0D0D" w:themeColor="text1" w:themeTint="F2"/>
                <w:spacing w:val="-4"/>
                <w:szCs w:val="20"/>
              </w:rPr>
              <w:t xml:space="preserve">v p. b., </w:t>
            </w:r>
            <w:r w:rsidRPr="00491A43">
              <w:rPr>
                <w:rFonts w:cs="Arial"/>
                <w:color w:val="0D0D0D" w:themeColor="text1" w:themeTint="F2"/>
                <w:spacing w:val="-4"/>
                <w:szCs w:val="20"/>
              </w:rPr>
              <w:t>pravá osa)</w:t>
            </w:r>
          </w:p>
        </w:tc>
      </w:tr>
      <w:tr w:rsidR="00F77A50" w:rsidRPr="004D53D9" w14:paraId="700CA7B2" w14:textId="77777777" w:rsidTr="00B66208">
        <w:tblPrEx>
          <w:tblCellMar>
            <w:left w:w="70" w:type="dxa"/>
            <w:right w:w="70" w:type="dxa"/>
          </w:tblCellMar>
        </w:tblPrEx>
        <w:trPr>
          <w:trHeight w:val="145"/>
        </w:trPr>
        <w:tc>
          <w:tcPr>
            <w:tcW w:w="1728" w:type="dxa"/>
            <w:shd w:val="clear" w:color="auto" w:fill="auto"/>
          </w:tcPr>
          <w:p w14:paraId="56E5604F" w14:textId="77777777" w:rsidR="00F77A50" w:rsidRPr="0006697D" w:rsidRDefault="00F77A50" w:rsidP="00B66208">
            <w:pPr>
              <w:pStyle w:val="Marginlie"/>
              <w:rPr>
                <w:color w:val="0D0D0D" w:themeColor="text1" w:themeTint="F2"/>
              </w:rPr>
            </w:pPr>
          </w:p>
        </w:tc>
        <w:tc>
          <w:tcPr>
            <w:tcW w:w="206" w:type="dxa"/>
            <w:shd w:val="clear" w:color="auto" w:fill="auto"/>
          </w:tcPr>
          <w:p w14:paraId="38AC9B2E" w14:textId="77777777" w:rsidR="00F77A50" w:rsidRPr="0006697D" w:rsidRDefault="00F77A50" w:rsidP="00B66208">
            <w:pPr>
              <w:pStyle w:val="Textpoznpodarou"/>
              <w:jc w:val="both"/>
              <w:rPr>
                <w:color w:val="0D0D0D" w:themeColor="text1" w:themeTint="F2"/>
                <w:spacing w:val="-4"/>
              </w:rPr>
            </w:pPr>
          </w:p>
        </w:tc>
        <w:tc>
          <w:tcPr>
            <w:tcW w:w="7730" w:type="dxa"/>
            <w:shd w:val="clear" w:color="auto" w:fill="auto"/>
          </w:tcPr>
          <w:p w14:paraId="50C9FD71" w14:textId="77777777" w:rsidR="00F77A50" w:rsidRPr="0006697D" w:rsidRDefault="00F77A50" w:rsidP="00B66208">
            <w:pPr>
              <w:spacing w:after="0"/>
              <w:rPr>
                <w:rFonts w:cs="Arial"/>
                <w:color w:val="0D0D0D" w:themeColor="text1" w:themeTint="F2"/>
                <w:spacing w:val="-4"/>
                <w:szCs w:val="20"/>
              </w:rPr>
            </w:pPr>
            <w:r>
              <w:rPr>
                <w:noProof/>
              </w:rPr>
              <w:drawing>
                <wp:inline distT="0" distB="0" distL="0" distR="0" wp14:anchorId="27CCD049" wp14:editId="775F3D49">
                  <wp:extent cx="4773930" cy="3448050"/>
                  <wp:effectExtent l="0" t="0" r="762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77A50" w:rsidRPr="00417064" w14:paraId="48FD2A49" w14:textId="77777777" w:rsidTr="00B66208">
        <w:trPr>
          <w:trHeight w:val="145"/>
        </w:trPr>
        <w:tc>
          <w:tcPr>
            <w:tcW w:w="1728" w:type="dxa"/>
            <w:shd w:val="clear" w:color="auto" w:fill="auto"/>
            <w:tcMar>
              <w:left w:w="0" w:type="dxa"/>
            </w:tcMar>
          </w:tcPr>
          <w:p w14:paraId="308A5B17" w14:textId="77777777" w:rsidR="00F77A50" w:rsidRPr="0006697D" w:rsidRDefault="00F77A50" w:rsidP="00B66208">
            <w:pPr>
              <w:pStyle w:val="Marginlie"/>
              <w:rPr>
                <w:color w:val="0D0D0D" w:themeColor="text1" w:themeTint="F2"/>
              </w:rPr>
            </w:pPr>
          </w:p>
        </w:tc>
        <w:tc>
          <w:tcPr>
            <w:tcW w:w="206" w:type="dxa"/>
            <w:shd w:val="clear" w:color="auto" w:fill="auto"/>
            <w:tcMar>
              <w:left w:w="0" w:type="dxa"/>
            </w:tcMar>
          </w:tcPr>
          <w:p w14:paraId="46D54BE9" w14:textId="77777777" w:rsidR="00F77A50" w:rsidRPr="0006697D" w:rsidRDefault="00F77A50" w:rsidP="00B66208">
            <w:pPr>
              <w:pStyle w:val="Textpoznpodarou"/>
              <w:jc w:val="both"/>
              <w:rPr>
                <w:color w:val="0D0D0D" w:themeColor="text1" w:themeTint="F2"/>
                <w:spacing w:val="-4"/>
              </w:rPr>
            </w:pPr>
          </w:p>
        </w:tc>
        <w:tc>
          <w:tcPr>
            <w:tcW w:w="7730" w:type="dxa"/>
            <w:shd w:val="clear" w:color="auto" w:fill="auto"/>
            <w:tcMar>
              <w:left w:w="0" w:type="dxa"/>
            </w:tcMar>
          </w:tcPr>
          <w:p w14:paraId="7FCDF937" w14:textId="77777777" w:rsidR="00F77A50" w:rsidRPr="0006697D" w:rsidRDefault="00F77A50" w:rsidP="00B66208">
            <w:pPr>
              <w:spacing w:after="0"/>
              <w:rPr>
                <w:rFonts w:cs="Arial"/>
                <w:color w:val="0D0D0D" w:themeColor="text1" w:themeTint="F2"/>
                <w:spacing w:val="-4"/>
                <w:sz w:val="14"/>
                <w:szCs w:val="14"/>
              </w:rPr>
            </w:pPr>
            <w:r w:rsidRPr="0006697D">
              <w:rPr>
                <w:rFonts w:cs="Arial"/>
                <w:color w:val="0D0D0D" w:themeColor="text1" w:themeTint="F2"/>
                <w:spacing w:val="-4"/>
                <w:sz w:val="14"/>
                <w:szCs w:val="14"/>
              </w:rPr>
              <w:t>*</w:t>
            </w:r>
            <w:r>
              <w:rPr>
                <w:rFonts w:cs="Arial"/>
                <w:sz w:val="14"/>
                <w:szCs w:val="14"/>
              </w:rPr>
              <w:t xml:space="preserve"> Tržby </w:t>
            </w:r>
            <w:r w:rsidRPr="00883202">
              <w:rPr>
                <w:rFonts w:cs="Arial"/>
                <w:sz w:val="14"/>
                <w:szCs w:val="14"/>
              </w:rPr>
              <w:t>jsou očištěny o kalendářní vlivy</w:t>
            </w:r>
            <w:r>
              <w:rPr>
                <w:rFonts w:cs="Arial"/>
                <w:sz w:val="14"/>
                <w:szCs w:val="14"/>
              </w:rPr>
              <w:t>.</w:t>
            </w:r>
          </w:p>
          <w:p w14:paraId="1BDEAF70" w14:textId="77777777" w:rsidR="00F77A50" w:rsidRPr="009C3949" w:rsidRDefault="00F77A50" w:rsidP="00B66208">
            <w:pPr>
              <w:tabs>
                <w:tab w:val="right" w:pos="7711"/>
              </w:tabs>
              <w:spacing w:after="0"/>
              <w:rPr>
                <w:rFonts w:cs="Arial"/>
                <w:color w:val="0D0D0D" w:themeColor="text1" w:themeTint="F2"/>
                <w:spacing w:val="-4"/>
                <w:sz w:val="14"/>
                <w:szCs w:val="14"/>
              </w:rPr>
            </w:pPr>
            <w:r w:rsidRPr="0006697D">
              <w:rPr>
                <w:rFonts w:cs="Arial"/>
                <w:color w:val="0D0D0D" w:themeColor="text1" w:themeTint="F2"/>
                <w:spacing w:val="-4"/>
                <w:sz w:val="14"/>
                <w:szCs w:val="14"/>
              </w:rPr>
              <w:t xml:space="preserve">** </w:t>
            </w:r>
            <w:r w:rsidRPr="00836C0A">
              <w:rPr>
                <w:rFonts w:cs="Arial"/>
                <w:color w:val="0D0D0D" w:themeColor="text1" w:themeTint="F2"/>
                <w:spacing w:val="-4"/>
                <w:sz w:val="14"/>
                <w:szCs w:val="14"/>
              </w:rPr>
              <w:t>Saldo důvěry spotřebitelů</w:t>
            </w:r>
            <w:r>
              <w:rPr>
                <w:rFonts w:cs="Arial"/>
                <w:color w:val="0D0D0D" w:themeColor="text1" w:themeTint="F2"/>
                <w:spacing w:val="-4"/>
                <w:sz w:val="14"/>
                <w:szCs w:val="14"/>
              </w:rPr>
              <w:t xml:space="preserve"> je sezónně očištěno a vyjadřuje</w:t>
            </w:r>
            <w:r w:rsidRPr="0006697D">
              <w:rPr>
                <w:rFonts w:cs="Arial"/>
                <w:color w:val="0D0D0D" w:themeColor="text1" w:themeTint="F2"/>
                <w:spacing w:val="-4"/>
                <w:sz w:val="14"/>
                <w:szCs w:val="14"/>
              </w:rPr>
              <w:t xml:space="preserve"> stav ve druhém měsíci daného čtvrtletí</w:t>
            </w:r>
            <w:r>
              <w:rPr>
                <w:rFonts w:cs="Arial"/>
                <w:color w:val="0D0D0D" w:themeColor="text1" w:themeTint="F2"/>
                <w:spacing w:val="-4"/>
                <w:sz w:val="14"/>
                <w:szCs w:val="14"/>
              </w:rPr>
              <w:t>.</w:t>
            </w:r>
            <w:r>
              <w:rPr>
                <w:rFonts w:cs="Arial"/>
                <w:color w:val="0D0D0D" w:themeColor="text1" w:themeTint="F2"/>
                <w:spacing w:val="-4"/>
                <w:sz w:val="14"/>
                <w:szCs w:val="14"/>
              </w:rPr>
              <w:tab/>
            </w:r>
            <w:r w:rsidRPr="0006697D">
              <w:rPr>
                <w:rFonts w:cs="Arial"/>
                <w:color w:val="0D0D0D" w:themeColor="text1" w:themeTint="F2"/>
                <w:spacing w:val="-4"/>
                <w:sz w:val="14"/>
                <w:szCs w:val="14"/>
              </w:rPr>
              <w:t>Zdroj: ČSÚ</w:t>
            </w:r>
          </w:p>
        </w:tc>
      </w:tr>
    </w:tbl>
    <w:p w14:paraId="5BAB8EA3" w14:textId="4C5E8EEE" w:rsidR="000663F0" w:rsidRPr="00E42054" w:rsidRDefault="000663F0" w:rsidP="00361759">
      <w:pPr>
        <w:spacing w:after="0" w:line="240" w:lineRule="auto"/>
        <w:jc w:val="left"/>
        <w:rPr>
          <w:b/>
          <w:sz w:val="2"/>
          <w:szCs w:val="2"/>
        </w:rPr>
      </w:pPr>
      <w:bookmarkStart w:id="6" w:name="_GoBack"/>
      <w:bookmarkEnd w:id="0"/>
      <w:bookmarkEnd w:id="1"/>
      <w:bookmarkEnd w:id="2"/>
      <w:bookmarkEnd w:id="3"/>
      <w:bookmarkEnd w:id="6"/>
    </w:p>
    <w:sectPr w:rsidR="000663F0" w:rsidRPr="00E42054" w:rsidSect="00361759">
      <w:headerReference w:type="even" r:id="rId14"/>
      <w:headerReference w:type="default" r:id="rId15"/>
      <w:footerReference w:type="even" r:id="rId16"/>
      <w:footerReference w:type="default" r:id="rId17"/>
      <w:pgSz w:w="11906" w:h="16838" w:code="9"/>
      <w:pgMar w:top="1134" w:right="1134" w:bottom="1418" w:left="1134" w:header="680" w:footer="737" w:gutter="0"/>
      <w:pgNumType w:start="1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05233" w16cex:dateUtc="2021-12-12T09:49:00Z"/>
  <w16cex:commentExtensible w16cex:durableId="25605965" w16cex:dateUtc="2021-12-12T10:20:00Z"/>
  <w16cex:commentExtensible w16cex:durableId="256059E5" w16cex:dateUtc="2021-12-12T10:22:00Z"/>
  <w16cex:commentExtensible w16cex:durableId="255E05D5" w16cex:dateUtc="2021-12-10T15:59:00Z"/>
  <w16cex:commentExtensible w16cex:durableId="2560964B" w16cex:dateUtc="2021-12-12T14:39:00Z"/>
  <w16cex:commentExtensible w16cex:durableId="255E068F" w16cex:dateUtc="2021-12-10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02D9A" w16cid:durableId="25605233"/>
  <w16cid:commentId w16cid:paraId="47A2534C" w16cid:durableId="25605965"/>
  <w16cid:commentId w16cid:paraId="39626918" w16cid:durableId="256059E5"/>
  <w16cid:commentId w16cid:paraId="0F66996F" w16cid:durableId="255E05D5"/>
  <w16cid:commentId w16cid:paraId="6E18F763" w16cid:durableId="2560964B"/>
  <w16cid:commentId w16cid:paraId="3AE6BE9D" w16cid:durableId="255E06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8A8D" w14:textId="77777777" w:rsidR="0060523C" w:rsidRDefault="0060523C" w:rsidP="00E71A58">
      <w:r>
        <w:separator/>
      </w:r>
    </w:p>
  </w:endnote>
  <w:endnote w:type="continuationSeparator" w:id="0">
    <w:p w14:paraId="5C19A25E" w14:textId="77777777" w:rsidR="0060523C" w:rsidRDefault="0060523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5BC8570C" w:rsidR="00CD7E9E" w:rsidRPr="00932443" w:rsidRDefault="00CD7E9E"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61759">
      <w:rPr>
        <w:szCs w:val="16"/>
      </w:rPr>
      <w:t>16</w:t>
    </w:r>
    <w:r w:rsidRPr="00932443">
      <w:rPr>
        <w:szCs w:val="16"/>
      </w:rPr>
      <w:fldChar w:fldCharType="end"/>
    </w:r>
    <w:r w:rsidRPr="00932443">
      <w:rPr>
        <w:szCs w:val="16"/>
      </w:rPr>
      <w:tab/>
    </w:r>
    <w:r>
      <w:rPr>
        <w:szCs w:val="16"/>
      </w:rPr>
      <w:t>rok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E66C9A0" w:rsidR="00CD7E9E" w:rsidRPr="00932443" w:rsidRDefault="00CD7E9E" w:rsidP="00FA6CB6">
    <w:pPr>
      <w:pStyle w:val="Zpat"/>
      <w:rPr>
        <w:szCs w:val="16"/>
      </w:rPr>
    </w:pPr>
    <w:r w:rsidRPr="00FA6CB6">
      <w:rPr>
        <w:szCs w:val="16"/>
      </w:rPr>
      <w:tab/>
    </w:r>
    <w:r>
      <w:rPr>
        <w:szCs w:val="16"/>
      </w:rPr>
      <w:t>rok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61759">
      <w:rPr>
        <w:rStyle w:val="ZpatChar"/>
        <w:szCs w:val="16"/>
      </w:rPr>
      <w:t>17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25418" w14:textId="77777777" w:rsidR="0060523C" w:rsidRDefault="0060523C" w:rsidP="00A21B4D">
      <w:pPr>
        <w:spacing w:after="0"/>
      </w:pPr>
      <w:r>
        <w:separator/>
      </w:r>
    </w:p>
  </w:footnote>
  <w:footnote w:type="continuationSeparator" w:id="0">
    <w:p w14:paraId="413F425A" w14:textId="77777777" w:rsidR="0060523C" w:rsidRDefault="0060523C" w:rsidP="00E71A58">
      <w:r>
        <w:continuationSeparator/>
      </w:r>
    </w:p>
  </w:footnote>
  <w:footnote w:id="1">
    <w:p w14:paraId="1BBEFF46" w14:textId="77777777" w:rsidR="00F77A50" w:rsidRPr="00FB58F4" w:rsidRDefault="00F77A50" w:rsidP="00F77A50">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2">
    <w:p w14:paraId="0953EDAF" w14:textId="77777777" w:rsidR="00F77A50" w:rsidRPr="00123966" w:rsidRDefault="00F77A50" w:rsidP="00F77A50">
      <w:pPr>
        <w:pStyle w:val="Textpoznpodarou"/>
        <w:jc w:val="both"/>
        <w:rPr>
          <w:sz w:val="16"/>
          <w:szCs w:val="16"/>
        </w:rPr>
      </w:pPr>
      <w:r w:rsidRPr="00123966">
        <w:rPr>
          <w:rStyle w:val="Znakapoznpodarou"/>
          <w:sz w:val="16"/>
          <w:szCs w:val="16"/>
        </w:rPr>
        <w:footnoteRef/>
      </w:r>
      <w:r>
        <w:rPr>
          <w:sz w:val="16"/>
          <w:szCs w:val="16"/>
        </w:rPr>
        <w:t xml:space="preserve"> Zahrnují</w:t>
      </w:r>
      <w:r w:rsidRPr="00123966">
        <w:rPr>
          <w:sz w:val="16"/>
          <w:szCs w:val="16"/>
        </w:rPr>
        <w:t xml:space="preserve"> </w:t>
      </w:r>
      <w:r w:rsidRPr="00123966">
        <w:rPr>
          <w:spacing w:val="-2"/>
          <w:sz w:val="16"/>
          <w:szCs w:val="16"/>
        </w:rPr>
        <w:t>veřejnou správu a obranu, vzdělávání, zdravotní a</w:t>
      </w:r>
      <w:r>
        <w:rPr>
          <w:spacing w:val="-2"/>
          <w:sz w:val="16"/>
          <w:szCs w:val="16"/>
        </w:rPr>
        <w:t> </w:t>
      </w:r>
      <w:r w:rsidRPr="00123966">
        <w:rPr>
          <w:spacing w:val="-2"/>
          <w:sz w:val="16"/>
          <w:szCs w:val="16"/>
        </w:rPr>
        <w:t>sociální péči.</w:t>
      </w:r>
    </w:p>
  </w:footnote>
  <w:footnote w:id="3">
    <w:p w14:paraId="73D21076" w14:textId="77777777" w:rsidR="00F77A50" w:rsidRPr="00C70024" w:rsidRDefault="00F77A50" w:rsidP="00F77A50">
      <w:pPr>
        <w:pStyle w:val="Textpoznpodarou"/>
        <w:jc w:val="both"/>
        <w:rPr>
          <w:sz w:val="16"/>
          <w:szCs w:val="16"/>
        </w:rPr>
      </w:pPr>
      <w:r w:rsidRPr="001101B4">
        <w:rPr>
          <w:rStyle w:val="Znakapoznpodarou"/>
          <w:sz w:val="16"/>
          <w:szCs w:val="16"/>
        </w:rPr>
        <w:footnoteRef/>
      </w:r>
      <w:r w:rsidRPr="001101B4">
        <w:rPr>
          <w:sz w:val="16"/>
          <w:szCs w:val="16"/>
        </w:rPr>
        <w:t xml:space="preserve"> Naopak v</w:t>
      </w:r>
      <w:r>
        <w:rPr>
          <w:sz w:val="16"/>
          <w:szCs w:val="16"/>
        </w:rPr>
        <w:t> </w:t>
      </w:r>
      <w:r w:rsidRPr="001101B4">
        <w:rPr>
          <w:sz w:val="16"/>
          <w:szCs w:val="16"/>
        </w:rPr>
        <w:t>EU se HPH na úroveň z vrcholu předkrizové konjunktury již vrátila, a</w:t>
      </w:r>
      <w:r>
        <w:rPr>
          <w:sz w:val="16"/>
          <w:szCs w:val="16"/>
        </w:rPr>
        <w:t> </w:t>
      </w:r>
      <w:r w:rsidRPr="001101B4">
        <w:rPr>
          <w:sz w:val="16"/>
          <w:szCs w:val="16"/>
        </w:rPr>
        <w:t>to ve 3.</w:t>
      </w:r>
      <w:r>
        <w:rPr>
          <w:sz w:val="16"/>
          <w:szCs w:val="16"/>
        </w:rPr>
        <w:t> čtvrtlet</w:t>
      </w:r>
      <w:r w:rsidRPr="001101B4">
        <w:rPr>
          <w:sz w:val="16"/>
          <w:szCs w:val="16"/>
        </w:rPr>
        <w:t>í 2021. Ve 4.</w:t>
      </w:r>
      <w:r>
        <w:rPr>
          <w:sz w:val="16"/>
          <w:szCs w:val="16"/>
        </w:rPr>
        <w:t> čtvrtlet</w:t>
      </w:r>
      <w:r w:rsidRPr="001101B4">
        <w:rPr>
          <w:sz w:val="16"/>
          <w:szCs w:val="16"/>
        </w:rPr>
        <w:t>í pak</w:t>
      </w:r>
      <w:r>
        <w:rPr>
          <w:sz w:val="16"/>
          <w:szCs w:val="16"/>
        </w:rPr>
        <w:t xml:space="preserve"> tuto hladinu</w:t>
      </w:r>
      <w:r w:rsidRPr="001101B4">
        <w:rPr>
          <w:sz w:val="16"/>
          <w:szCs w:val="16"/>
        </w:rPr>
        <w:t xml:space="preserve"> překonala (o</w:t>
      </w:r>
      <w:r>
        <w:rPr>
          <w:sz w:val="16"/>
          <w:szCs w:val="16"/>
        </w:rPr>
        <w:t> </w:t>
      </w:r>
      <w:r w:rsidRPr="001101B4">
        <w:rPr>
          <w:sz w:val="16"/>
          <w:szCs w:val="16"/>
        </w:rPr>
        <w:t>mírných 0,4 %), což platilo i</w:t>
      </w:r>
      <w:r>
        <w:rPr>
          <w:sz w:val="16"/>
          <w:szCs w:val="16"/>
        </w:rPr>
        <w:t> </w:t>
      </w:r>
      <w:r w:rsidRPr="001101B4">
        <w:rPr>
          <w:sz w:val="16"/>
          <w:szCs w:val="16"/>
        </w:rPr>
        <w:t xml:space="preserve">ve dvou třetinách unijních členů (např. </w:t>
      </w:r>
      <w:r>
        <w:rPr>
          <w:sz w:val="16"/>
          <w:szCs w:val="16"/>
        </w:rPr>
        <w:t>v </w:t>
      </w:r>
      <w:r w:rsidRPr="001101B4">
        <w:rPr>
          <w:sz w:val="16"/>
          <w:szCs w:val="16"/>
        </w:rPr>
        <w:t>Polsku o</w:t>
      </w:r>
      <w:r>
        <w:rPr>
          <w:sz w:val="16"/>
          <w:szCs w:val="16"/>
        </w:rPr>
        <w:t> </w:t>
      </w:r>
      <w:r w:rsidRPr="001101B4">
        <w:rPr>
          <w:sz w:val="16"/>
          <w:szCs w:val="16"/>
        </w:rPr>
        <w:t>4,1</w:t>
      </w:r>
      <w:r>
        <w:rPr>
          <w:sz w:val="16"/>
          <w:szCs w:val="16"/>
        </w:rPr>
        <w:t> %</w:t>
      </w:r>
      <w:r w:rsidRPr="001101B4">
        <w:rPr>
          <w:sz w:val="16"/>
          <w:szCs w:val="16"/>
        </w:rPr>
        <w:t>, v Maďarsku o</w:t>
      </w:r>
      <w:r>
        <w:rPr>
          <w:sz w:val="16"/>
          <w:szCs w:val="16"/>
        </w:rPr>
        <w:t> </w:t>
      </w:r>
      <w:r w:rsidRPr="001101B4">
        <w:rPr>
          <w:sz w:val="16"/>
          <w:szCs w:val="16"/>
        </w:rPr>
        <w:t>3,0</w:t>
      </w:r>
      <w:r>
        <w:rPr>
          <w:sz w:val="16"/>
          <w:szCs w:val="16"/>
        </w:rPr>
        <w:t> %</w:t>
      </w:r>
      <w:r w:rsidRPr="001101B4">
        <w:rPr>
          <w:sz w:val="16"/>
          <w:szCs w:val="16"/>
        </w:rPr>
        <w:t xml:space="preserve">). V zemích eurozóny však </w:t>
      </w:r>
      <w:r>
        <w:rPr>
          <w:sz w:val="16"/>
          <w:szCs w:val="16"/>
        </w:rPr>
        <w:t xml:space="preserve">v úhrnu </w:t>
      </w:r>
      <w:r w:rsidRPr="001101B4">
        <w:rPr>
          <w:sz w:val="16"/>
          <w:szCs w:val="16"/>
        </w:rPr>
        <w:t>za t</w:t>
      </w:r>
      <w:r>
        <w:rPr>
          <w:sz w:val="16"/>
          <w:szCs w:val="16"/>
        </w:rPr>
        <w:t>o</w:t>
      </w:r>
      <w:r w:rsidRPr="001101B4">
        <w:rPr>
          <w:sz w:val="16"/>
          <w:szCs w:val="16"/>
        </w:rPr>
        <w:t>uto</w:t>
      </w:r>
      <w:r>
        <w:rPr>
          <w:sz w:val="16"/>
          <w:szCs w:val="16"/>
        </w:rPr>
        <w:t xml:space="preserve"> výší stále nepatrně zaostávala, neboť se projevilo pomalejší zotavování některých velkých ekonomik – Francie (+0,1</w:t>
      </w:r>
      <w:r>
        <w:rPr>
          <w:rFonts w:cs="Arial"/>
          <w:color w:val="0D0D0D" w:themeColor="text1" w:themeTint="F2"/>
          <w:spacing w:val="-2"/>
          <w:sz w:val="16"/>
          <w:szCs w:val="16"/>
        </w:rPr>
        <w:t> </w:t>
      </w:r>
      <w:r>
        <w:rPr>
          <w:sz w:val="16"/>
          <w:szCs w:val="16"/>
        </w:rPr>
        <w:t>%),</w:t>
      </w:r>
      <w:r w:rsidRPr="001101B4">
        <w:rPr>
          <w:sz w:val="16"/>
          <w:szCs w:val="16"/>
        </w:rPr>
        <w:t xml:space="preserve"> </w:t>
      </w:r>
      <w:r>
        <w:rPr>
          <w:sz w:val="16"/>
          <w:szCs w:val="16"/>
        </w:rPr>
        <w:t>Itálie (–1,0 %), Německa (–2,1 %) či Španělska (–4,0 %).</w:t>
      </w:r>
    </w:p>
  </w:footnote>
  <w:footnote w:id="4">
    <w:p w14:paraId="5CCE806B" w14:textId="77777777" w:rsidR="00F77A50" w:rsidRPr="006D556F" w:rsidRDefault="00F77A50" w:rsidP="00F77A50">
      <w:pPr>
        <w:pStyle w:val="Textpoznpodarou"/>
        <w:jc w:val="both"/>
        <w:rPr>
          <w:spacing w:val="-2"/>
          <w:sz w:val="16"/>
          <w:szCs w:val="16"/>
        </w:rPr>
      </w:pPr>
      <w:r w:rsidRPr="006D556F">
        <w:rPr>
          <w:rStyle w:val="Znakapoznpodarou"/>
          <w:spacing w:val="-2"/>
          <w:sz w:val="16"/>
          <w:szCs w:val="16"/>
        </w:rPr>
        <w:footnoteRef/>
      </w:r>
      <w:r w:rsidRPr="006D556F">
        <w:rPr>
          <w:spacing w:val="-2"/>
          <w:sz w:val="16"/>
          <w:szCs w:val="16"/>
        </w:rPr>
        <w:t xml:space="preserve"> V peněžnictví a</w:t>
      </w:r>
      <w:r>
        <w:rPr>
          <w:spacing w:val="-2"/>
          <w:sz w:val="16"/>
          <w:szCs w:val="16"/>
        </w:rPr>
        <w:t> </w:t>
      </w:r>
      <w:r w:rsidRPr="006D556F">
        <w:rPr>
          <w:spacing w:val="-2"/>
          <w:sz w:val="16"/>
          <w:szCs w:val="16"/>
        </w:rPr>
        <w:t>pojišťovnictví byla loni ve 4.</w:t>
      </w:r>
      <w:r>
        <w:rPr>
          <w:spacing w:val="-2"/>
          <w:sz w:val="16"/>
          <w:szCs w:val="16"/>
        </w:rPr>
        <w:t> čtvrtlet</w:t>
      </w:r>
      <w:r w:rsidRPr="006D556F">
        <w:rPr>
          <w:spacing w:val="-2"/>
          <w:sz w:val="16"/>
          <w:szCs w:val="16"/>
        </w:rPr>
        <w:t>í HPH ve srovnání s konce</w:t>
      </w:r>
      <w:r>
        <w:rPr>
          <w:spacing w:val="-2"/>
          <w:sz w:val="16"/>
          <w:szCs w:val="16"/>
        </w:rPr>
        <w:t>m roku 2019 již o 10 % vyšší, ve veřejných službách</w:t>
      </w:r>
      <w:r w:rsidRPr="006D556F">
        <w:rPr>
          <w:spacing w:val="-2"/>
          <w:sz w:val="16"/>
          <w:szCs w:val="16"/>
        </w:rPr>
        <w:t xml:space="preserve"> analogicky o</w:t>
      </w:r>
      <w:r>
        <w:rPr>
          <w:spacing w:val="-2"/>
          <w:sz w:val="16"/>
          <w:szCs w:val="16"/>
        </w:rPr>
        <w:t> </w:t>
      </w:r>
      <w:r w:rsidRPr="006D556F">
        <w:rPr>
          <w:spacing w:val="-2"/>
          <w:sz w:val="16"/>
          <w:szCs w:val="16"/>
        </w:rPr>
        <w:t>6</w:t>
      </w:r>
      <w:r>
        <w:rPr>
          <w:spacing w:val="-2"/>
          <w:sz w:val="16"/>
          <w:szCs w:val="16"/>
        </w:rPr>
        <w:t> %</w:t>
      </w:r>
      <w:r w:rsidRPr="006D556F">
        <w:rPr>
          <w:spacing w:val="-2"/>
          <w:sz w:val="16"/>
          <w:szCs w:val="16"/>
        </w:rPr>
        <w:t>, v informačních a</w:t>
      </w:r>
      <w:r>
        <w:rPr>
          <w:spacing w:val="-2"/>
          <w:sz w:val="16"/>
          <w:szCs w:val="16"/>
        </w:rPr>
        <w:t> </w:t>
      </w:r>
      <w:r w:rsidRPr="006D556F">
        <w:rPr>
          <w:spacing w:val="-2"/>
          <w:sz w:val="16"/>
          <w:szCs w:val="16"/>
        </w:rPr>
        <w:t>komunikačních činnostech o</w:t>
      </w:r>
      <w:r>
        <w:rPr>
          <w:spacing w:val="-2"/>
          <w:sz w:val="16"/>
          <w:szCs w:val="16"/>
        </w:rPr>
        <w:t> </w:t>
      </w:r>
      <w:r w:rsidRPr="006D556F">
        <w:rPr>
          <w:spacing w:val="-2"/>
          <w:sz w:val="16"/>
          <w:szCs w:val="16"/>
        </w:rPr>
        <w:t>5</w:t>
      </w:r>
      <w:r>
        <w:rPr>
          <w:spacing w:val="-2"/>
          <w:sz w:val="16"/>
          <w:szCs w:val="16"/>
        </w:rPr>
        <w:t> %</w:t>
      </w:r>
      <w:r w:rsidRPr="006D556F">
        <w:rPr>
          <w:spacing w:val="-2"/>
          <w:sz w:val="16"/>
          <w:szCs w:val="16"/>
        </w:rPr>
        <w:t xml:space="preserve"> a</w:t>
      </w:r>
      <w:r>
        <w:rPr>
          <w:spacing w:val="-2"/>
          <w:sz w:val="16"/>
          <w:szCs w:val="16"/>
        </w:rPr>
        <w:t> </w:t>
      </w:r>
      <w:r w:rsidRPr="006D556F">
        <w:rPr>
          <w:spacing w:val="-2"/>
          <w:sz w:val="16"/>
          <w:szCs w:val="16"/>
        </w:rPr>
        <w:t>v oblasti nemovitostí o</w:t>
      </w:r>
      <w:r>
        <w:rPr>
          <w:spacing w:val="-2"/>
          <w:sz w:val="16"/>
          <w:szCs w:val="16"/>
        </w:rPr>
        <w:t> </w:t>
      </w:r>
      <w:r w:rsidRPr="006D556F">
        <w:rPr>
          <w:spacing w:val="-2"/>
          <w:sz w:val="16"/>
          <w:szCs w:val="16"/>
        </w:rPr>
        <w:t>1</w:t>
      </w:r>
      <w:r>
        <w:rPr>
          <w:spacing w:val="-2"/>
          <w:sz w:val="16"/>
          <w:szCs w:val="16"/>
        </w:rPr>
        <w:t> %</w:t>
      </w:r>
      <w:r w:rsidRPr="006D556F">
        <w:rPr>
          <w:spacing w:val="-2"/>
          <w:sz w:val="16"/>
          <w:szCs w:val="16"/>
        </w:rPr>
        <w:t>. Výkon všech odvětví služeb byl s předpandemickým maximem srovnatelný (+0,1</w:t>
      </w:r>
      <w:r>
        <w:rPr>
          <w:spacing w:val="-2"/>
          <w:sz w:val="16"/>
          <w:szCs w:val="16"/>
        </w:rPr>
        <w:t> %</w:t>
      </w:r>
      <w:r w:rsidRPr="006D556F">
        <w:rPr>
          <w:spacing w:val="-2"/>
          <w:sz w:val="16"/>
          <w:szCs w:val="16"/>
        </w:rPr>
        <w:t>), naopak průmysl zaostával o</w:t>
      </w:r>
      <w:r>
        <w:rPr>
          <w:spacing w:val="-2"/>
          <w:sz w:val="16"/>
          <w:szCs w:val="16"/>
        </w:rPr>
        <w:t xml:space="preserve"> citelných </w:t>
      </w:r>
      <w:r w:rsidRPr="006D556F">
        <w:rPr>
          <w:spacing w:val="-2"/>
          <w:sz w:val="16"/>
          <w:szCs w:val="16"/>
        </w:rPr>
        <w:t>7,5</w:t>
      </w:r>
      <w:r>
        <w:rPr>
          <w:spacing w:val="-2"/>
          <w:sz w:val="16"/>
          <w:szCs w:val="16"/>
        </w:rPr>
        <w:t> %</w:t>
      </w:r>
      <w:r w:rsidRPr="006D556F">
        <w:rPr>
          <w:spacing w:val="-2"/>
          <w:sz w:val="16"/>
          <w:szCs w:val="16"/>
        </w:rPr>
        <w:t>.</w:t>
      </w:r>
    </w:p>
  </w:footnote>
  <w:footnote w:id="5">
    <w:p w14:paraId="792164F4" w14:textId="77777777" w:rsidR="00F77A50" w:rsidRPr="00263B79" w:rsidRDefault="00F77A50" w:rsidP="00F77A50">
      <w:pPr>
        <w:pStyle w:val="Textpoznpodarou"/>
        <w:jc w:val="both"/>
        <w:rPr>
          <w:sz w:val="16"/>
          <w:szCs w:val="16"/>
        </w:rPr>
      </w:pPr>
      <w:r w:rsidRPr="00263B79">
        <w:rPr>
          <w:rStyle w:val="Znakapoznpodarou"/>
          <w:sz w:val="16"/>
          <w:szCs w:val="16"/>
        </w:rPr>
        <w:footnoteRef/>
      </w:r>
      <w:r>
        <w:rPr>
          <w:sz w:val="16"/>
          <w:szCs w:val="16"/>
        </w:rPr>
        <w:t xml:space="preserve"> Sklizeň obilovin byla loni meziročně vyšší o 1,2 %, klesla naopak u brambor o 3,5 % a řepky o 17,7 % (v absolutní výši se jednalo o</w:t>
      </w:r>
      <w:r w:rsidRPr="007E3B83">
        <w:rPr>
          <w:sz w:val="16"/>
          <w:szCs w:val="16"/>
        </w:rPr>
        <w:t> </w:t>
      </w:r>
      <w:r>
        <w:rPr>
          <w:sz w:val="16"/>
          <w:szCs w:val="16"/>
        </w:rPr>
        <w:t>nejslabší sklizeň od roku 2006). Dařilo se ale ostatním olejninám (hlavně díky rozšíření osevní plochy), luskovinám, cukrovce, chmelu, většině pícnin a více se sklidilo i většiny druhů zeleniny. Mírný pokles zaznamenalo ovocnářství, hlavně vinou nižší úrody švestek.</w:t>
      </w:r>
    </w:p>
  </w:footnote>
  <w:footnote w:id="6">
    <w:p w14:paraId="112AEDEA" w14:textId="77777777" w:rsidR="00F77A50" w:rsidRPr="006B7E1E" w:rsidRDefault="00F77A50" w:rsidP="00F77A50">
      <w:pPr>
        <w:pStyle w:val="Textpoznpodarou"/>
        <w:jc w:val="both"/>
        <w:rPr>
          <w:spacing w:val="-2"/>
          <w:sz w:val="16"/>
          <w:szCs w:val="16"/>
        </w:rPr>
      </w:pPr>
      <w:r w:rsidRPr="006B7E1E">
        <w:rPr>
          <w:rStyle w:val="Znakapoznpodarou"/>
          <w:spacing w:val="-2"/>
          <w:sz w:val="16"/>
          <w:szCs w:val="16"/>
        </w:rPr>
        <w:footnoteRef/>
      </w:r>
      <w:r w:rsidRPr="006B7E1E">
        <w:rPr>
          <w:spacing w:val="-2"/>
          <w:sz w:val="16"/>
          <w:szCs w:val="16"/>
        </w:rPr>
        <w:t xml:space="preserve"> Loňská sklizeň obilovin (v</w:t>
      </w:r>
      <w:r>
        <w:rPr>
          <w:spacing w:val="-2"/>
          <w:sz w:val="16"/>
          <w:szCs w:val="16"/>
        </w:rPr>
        <w:t xml:space="preserve">četně </w:t>
      </w:r>
      <w:r w:rsidRPr="006B7E1E">
        <w:rPr>
          <w:spacing w:val="-2"/>
          <w:sz w:val="16"/>
          <w:szCs w:val="16"/>
        </w:rPr>
        <w:t>kukuřice) činila 8,23</w:t>
      </w:r>
      <w:r>
        <w:rPr>
          <w:spacing w:val="-2"/>
          <w:sz w:val="16"/>
          <w:szCs w:val="16"/>
        </w:rPr>
        <w:t> mil.</w:t>
      </w:r>
      <w:r w:rsidRPr="006B7E1E">
        <w:rPr>
          <w:spacing w:val="-2"/>
          <w:sz w:val="16"/>
          <w:szCs w:val="16"/>
        </w:rPr>
        <w:t xml:space="preserve"> tun (šestá nejvyšší úroda v</w:t>
      </w:r>
      <w:r>
        <w:rPr>
          <w:spacing w:val="-2"/>
          <w:sz w:val="16"/>
          <w:szCs w:val="16"/>
        </w:rPr>
        <w:t> </w:t>
      </w:r>
      <w:r w:rsidRPr="006B7E1E">
        <w:rPr>
          <w:spacing w:val="-2"/>
          <w:sz w:val="16"/>
          <w:szCs w:val="16"/>
        </w:rPr>
        <w:t>éře samostatné</w:t>
      </w:r>
      <w:r>
        <w:rPr>
          <w:spacing w:val="-2"/>
          <w:sz w:val="16"/>
          <w:szCs w:val="16"/>
        </w:rPr>
        <w:t> </w:t>
      </w:r>
      <w:r w:rsidRPr="006B7E1E">
        <w:rPr>
          <w:spacing w:val="-2"/>
          <w:sz w:val="16"/>
          <w:szCs w:val="16"/>
        </w:rPr>
        <w:t>ČR). Oproti průměru z let 2011 až 2020 byla vyšší o</w:t>
      </w:r>
      <w:r>
        <w:rPr>
          <w:spacing w:val="-2"/>
          <w:sz w:val="16"/>
          <w:szCs w:val="16"/>
        </w:rPr>
        <w:t> </w:t>
      </w:r>
      <w:r w:rsidRPr="006B7E1E">
        <w:rPr>
          <w:spacing w:val="-2"/>
          <w:sz w:val="16"/>
          <w:szCs w:val="16"/>
        </w:rPr>
        <w:t>5,3</w:t>
      </w:r>
      <w:r>
        <w:rPr>
          <w:spacing w:val="-2"/>
          <w:sz w:val="16"/>
          <w:szCs w:val="16"/>
        </w:rPr>
        <w:t> %</w:t>
      </w:r>
      <w:r w:rsidRPr="006B7E1E">
        <w:rPr>
          <w:spacing w:val="-2"/>
          <w:sz w:val="16"/>
          <w:szCs w:val="16"/>
        </w:rPr>
        <w:t>, výhradně díky nárůstu hektarové</w:t>
      </w:r>
      <w:r>
        <w:rPr>
          <w:spacing w:val="-2"/>
          <w:sz w:val="16"/>
          <w:szCs w:val="16"/>
        </w:rPr>
        <w:t>ho</w:t>
      </w:r>
      <w:r w:rsidRPr="006B7E1E">
        <w:rPr>
          <w:spacing w:val="-2"/>
          <w:sz w:val="16"/>
          <w:szCs w:val="16"/>
        </w:rPr>
        <w:t xml:space="preserve"> výnosu. Dlouhodobý průměr překročila sklizeň mírně i</w:t>
      </w:r>
      <w:r>
        <w:rPr>
          <w:spacing w:val="-2"/>
          <w:sz w:val="16"/>
          <w:szCs w:val="16"/>
        </w:rPr>
        <w:t> </w:t>
      </w:r>
      <w:r w:rsidRPr="006B7E1E">
        <w:rPr>
          <w:spacing w:val="-2"/>
          <w:sz w:val="16"/>
          <w:szCs w:val="16"/>
        </w:rPr>
        <w:t>u</w:t>
      </w:r>
      <w:r>
        <w:rPr>
          <w:spacing w:val="-2"/>
          <w:sz w:val="16"/>
          <w:szCs w:val="16"/>
        </w:rPr>
        <w:t> </w:t>
      </w:r>
      <w:r w:rsidRPr="006B7E1E">
        <w:rPr>
          <w:spacing w:val="-2"/>
          <w:sz w:val="16"/>
          <w:szCs w:val="16"/>
        </w:rPr>
        <w:t>brambor (+3,4</w:t>
      </w:r>
      <w:r>
        <w:rPr>
          <w:spacing w:val="-2"/>
          <w:sz w:val="16"/>
          <w:szCs w:val="16"/>
        </w:rPr>
        <w:t> %</w:t>
      </w:r>
      <w:r w:rsidRPr="006B7E1E">
        <w:rPr>
          <w:spacing w:val="-2"/>
          <w:sz w:val="16"/>
          <w:szCs w:val="16"/>
        </w:rPr>
        <w:t>), technické cukrovky (+6,5</w:t>
      </w:r>
      <w:r>
        <w:rPr>
          <w:spacing w:val="-2"/>
          <w:sz w:val="16"/>
          <w:szCs w:val="16"/>
        </w:rPr>
        <w:t> %</w:t>
      </w:r>
      <w:r w:rsidRPr="006B7E1E">
        <w:rPr>
          <w:spacing w:val="-2"/>
          <w:sz w:val="16"/>
          <w:szCs w:val="16"/>
        </w:rPr>
        <w:t>), kukuřice na zeleno a</w:t>
      </w:r>
      <w:r>
        <w:rPr>
          <w:spacing w:val="-2"/>
          <w:sz w:val="16"/>
          <w:szCs w:val="16"/>
        </w:rPr>
        <w:t> </w:t>
      </w:r>
      <w:r w:rsidRPr="006B7E1E">
        <w:rPr>
          <w:spacing w:val="-2"/>
          <w:sz w:val="16"/>
          <w:szCs w:val="16"/>
        </w:rPr>
        <w:t>siláž (+3,4 %), znatelněji pak u</w:t>
      </w:r>
      <w:r>
        <w:rPr>
          <w:spacing w:val="-2"/>
          <w:sz w:val="16"/>
          <w:szCs w:val="16"/>
        </w:rPr>
        <w:t> </w:t>
      </w:r>
      <w:r w:rsidRPr="006B7E1E">
        <w:rPr>
          <w:spacing w:val="-2"/>
          <w:sz w:val="16"/>
          <w:szCs w:val="16"/>
        </w:rPr>
        <w:t>víceletých pícnin (+21,4</w:t>
      </w:r>
      <w:r>
        <w:rPr>
          <w:spacing w:val="-2"/>
          <w:sz w:val="16"/>
          <w:szCs w:val="16"/>
        </w:rPr>
        <w:t> %</w:t>
      </w:r>
      <w:r w:rsidRPr="006B7E1E">
        <w:rPr>
          <w:spacing w:val="-2"/>
          <w:sz w:val="16"/>
          <w:szCs w:val="16"/>
        </w:rPr>
        <w:t>) či chmele (+39,6</w:t>
      </w:r>
      <w:r>
        <w:rPr>
          <w:spacing w:val="-2"/>
          <w:sz w:val="16"/>
          <w:szCs w:val="16"/>
        </w:rPr>
        <w:t> %</w:t>
      </w:r>
      <w:r w:rsidRPr="006B7E1E">
        <w:rPr>
          <w:spacing w:val="-2"/>
          <w:sz w:val="16"/>
          <w:szCs w:val="16"/>
        </w:rPr>
        <w:t>). Z významnějších plodin se loni nedařilo jen řepce (</w:t>
      </w:r>
      <w:r>
        <w:rPr>
          <w:spacing w:val="-2"/>
          <w:sz w:val="16"/>
          <w:szCs w:val="16"/>
        </w:rPr>
        <w:t>–</w:t>
      </w:r>
      <w:r w:rsidRPr="006B7E1E">
        <w:rPr>
          <w:spacing w:val="-2"/>
          <w:sz w:val="16"/>
          <w:szCs w:val="16"/>
        </w:rPr>
        <w:t>19,4</w:t>
      </w:r>
      <w:r>
        <w:rPr>
          <w:spacing w:val="-2"/>
          <w:sz w:val="16"/>
          <w:szCs w:val="16"/>
        </w:rPr>
        <w:t> %</w:t>
      </w:r>
      <w:r w:rsidRPr="006B7E1E">
        <w:rPr>
          <w:spacing w:val="-2"/>
          <w:sz w:val="16"/>
          <w:szCs w:val="16"/>
        </w:rPr>
        <w:t>), na čemž se podepsal významný pokles osevní plochy, zčásti ale i</w:t>
      </w:r>
      <w:r>
        <w:rPr>
          <w:spacing w:val="-2"/>
          <w:sz w:val="16"/>
          <w:szCs w:val="16"/>
        </w:rPr>
        <w:t xml:space="preserve"> snížení </w:t>
      </w:r>
      <w:r w:rsidRPr="006B7E1E">
        <w:rPr>
          <w:spacing w:val="-2"/>
          <w:sz w:val="16"/>
          <w:szCs w:val="16"/>
        </w:rPr>
        <w:t>hektarového výnosu.</w:t>
      </w:r>
    </w:p>
  </w:footnote>
  <w:footnote w:id="7">
    <w:p w14:paraId="36F5D47E" w14:textId="77777777" w:rsidR="00F77A50" w:rsidRPr="00CE71E4" w:rsidRDefault="00F77A50" w:rsidP="00F77A50">
      <w:pPr>
        <w:pStyle w:val="Textpoznpodarou"/>
        <w:jc w:val="both"/>
        <w:rPr>
          <w:rFonts w:cs="Arial"/>
          <w:color w:val="0D0D0D" w:themeColor="text1" w:themeTint="F2"/>
          <w:spacing w:val="-2"/>
          <w:sz w:val="16"/>
          <w:szCs w:val="16"/>
        </w:rPr>
      </w:pPr>
      <w:r w:rsidRPr="00CE71E4">
        <w:rPr>
          <w:rStyle w:val="Znakapoznpodarou"/>
          <w:rFonts w:cs="Arial"/>
          <w:color w:val="0D0D0D" w:themeColor="text1" w:themeTint="F2"/>
          <w:spacing w:val="-2"/>
          <w:sz w:val="16"/>
          <w:szCs w:val="16"/>
        </w:rPr>
        <w:footnoteRef/>
      </w:r>
      <w:r w:rsidRPr="00CE71E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8">
    <w:p w14:paraId="0FE5BF3E" w14:textId="77777777" w:rsidR="00F77A50" w:rsidRPr="00EB7CEF" w:rsidRDefault="00F77A50" w:rsidP="00F77A50">
      <w:pPr>
        <w:pStyle w:val="Textpoznpodarou"/>
        <w:jc w:val="both"/>
        <w:rPr>
          <w:sz w:val="16"/>
          <w:szCs w:val="16"/>
        </w:rPr>
      </w:pPr>
      <w:r w:rsidRPr="00EB7CEF">
        <w:rPr>
          <w:rStyle w:val="Znakapoznpodarou"/>
          <w:sz w:val="16"/>
          <w:szCs w:val="16"/>
        </w:rPr>
        <w:footnoteRef/>
      </w:r>
      <w:r w:rsidRPr="00EB7CEF">
        <w:rPr>
          <w:sz w:val="16"/>
          <w:szCs w:val="16"/>
        </w:rPr>
        <w:t xml:space="preserve"> Do Německa směřovalo </w:t>
      </w:r>
      <w:r>
        <w:rPr>
          <w:sz w:val="16"/>
          <w:szCs w:val="16"/>
        </w:rPr>
        <w:t xml:space="preserve">loni </w:t>
      </w:r>
      <w:r w:rsidRPr="00EB7CEF">
        <w:rPr>
          <w:sz w:val="16"/>
          <w:szCs w:val="16"/>
        </w:rPr>
        <w:t>ve 2.</w:t>
      </w:r>
      <w:r>
        <w:rPr>
          <w:sz w:val="16"/>
          <w:szCs w:val="16"/>
        </w:rPr>
        <w:t> čtvrtlet</w:t>
      </w:r>
      <w:r w:rsidRPr="00EB7CEF">
        <w:rPr>
          <w:sz w:val="16"/>
          <w:szCs w:val="16"/>
        </w:rPr>
        <w:t>í 30,8</w:t>
      </w:r>
      <w:r>
        <w:rPr>
          <w:sz w:val="16"/>
          <w:szCs w:val="16"/>
        </w:rPr>
        <w:t> %</w:t>
      </w:r>
      <w:r w:rsidRPr="00EB7CEF">
        <w:rPr>
          <w:sz w:val="16"/>
          <w:szCs w:val="16"/>
        </w:rPr>
        <w:t xml:space="preserve"> hodnoty celkového tuzemského exportu průmys</w:t>
      </w:r>
      <w:r>
        <w:rPr>
          <w:sz w:val="16"/>
          <w:szCs w:val="16"/>
        </w:rPr>
        <w:t xml:space="preserve">lového zboží, do EU pak </w:t>
      </w:r>
      <w:r w:rsidRPr="00EB7CEF">
        <w:rPr>
          <w:sz w:val="16"/>
          <w:szCs w:val="16"/>
        </w:rPr>
        <w:t>80</w:t>
      </w:r>
      <w:r>
        <w:rPr>
          <w:sz w:val="16"/>
          <w:szCs w:val="16"/>
        </w:rPr>
        <w:t> %</w:t>
      </w:r>
      <w:r w:rsidRPr="00EB7CEF">
        <w:rPr>
          <w:sz w:val="16"/>
          <w:szCs w:val="16"/>
        </w:rPr>
        <w:t>.</w:t>
      </w:r>
    </w:p>
  </w:footnote>
  <w:footnote w:id="9">
    <w:p w14:paraId="7BE65C5A" w14:textId="77777777" w:rsidR="00F77A50" w:rsidRPr="000345CC" w:rsidRDefault="00F77A50" w:rsidP="00F77A50">
      <w:pPr>
        <w:pStyle w:val="Textpoznpodarou"/>
        <w:rPr>
          <w:sz w:val="16"/>
          <w:szCs w:val="16"/>
        </w:rPr>
      </w:pPr>
      <w:r w:rsidRPr="000345CC">
        <w:rPr>
          <w:rStyle w:val="Znakapoznpodarou"/>
          <w:sz w:val="16"/>
          <w:szCs w:val="16"/>
        </w:rPr>
        <w:footnoteRef/>
      </w:r>
      <w:r w:rsidRPr="000345CC">
        <w:rPr>
          <w:sz w:val="16"/>
          <w:szCs w:val="16"/>
        </w:rPr>
        <w:t xml:space="preserve"> Ve 4.</w:t>
      </w:r>
      <w:r>
        <w:rPr>
          <w:sz w:val="16"/>
          <w:szCs w:val="16"/>
        </w:rPr>
        <w:t> čtvrtlet</w:t>
      </w:r>
      <w:r w:rsidRPr="000345CC">
        <w:rPr>
          <w:sz w:val="16"/>
          <w:szCs w:val="16"/>
        </w:rPr>
        <w:t xml:space="preserve">í </w:t>
      </w:r>
      <w:r>
        <w:rPr>
          <w:sz w:val="16"/>
          <w:szCs w:val="16"/>
        </w:rPr>
        <w:t xml:space="preserve">2021 </w:t>
      </w:r>
      <w:r w:rsidRPr="000345CC">
        <w:rPr>
          <w:sz w:val="16"/>
          <w:szCs w:val="16"/>
        </w:rPr>
        <w:t>vzrostla meziročně p</w:t>
      </w:r>
      <w:r>
        <w:rPr>
          <w:sz w:val="16"/>
          <w:szCs w:val="16"/>
        </w:rPr>
        <w:t>rodukce zhruba ve dvou třetinách</w:t>
      </w:r>
      <w:r w:rsidRPr="000345CC">
        <w:rPr>
          <w:sz w:val="16"/>
          <w:szCs w:val="16"/>
        </w:rPr>
        <w:t xml:space="preserve"> hlavních průmyslových oborů.</w:t>
      </w:r>
    </w:p>
  </w:footnote>
  <w:footnote w:id="10">
    <w:p w14:paraId="4F71D6B0" w14:textId="77777777" w:rsidR="00F77A50" w:rsidRPr="0007041E" w:rsidRDefault="00F77A50" w:rsidP="00F77A50">
      <w:pPr>
        <w:pStyle w:val="Textpoznpodarou"/>
        <w:jc w:val="both"/>
        <w:rPr>
          <w:sz w:val="16"/>
          <w:szCs w:val="16"/>
        </w:rPr>
      </w:pPr>
      <w:r w:rsidRPr="0007041E">
        <w:rPr>
          <w:rStyle w:val="Znakapoznpodarou"/>
          <w:sz w:val="16"/>
          <w:szCs w:val="16"/>
        </w:rPr>
        <w:footnoteRef/>
      </w:r>
      <w:r w:rsidRPr="0007041E">
        <w:rPr>
          <w:sz w:val="16"/>
          <w:szCs w:val="16"/>
        </w:rPr>
        <w:t xml:space="preserve"> Problémy s nucenými odstávkami výroby v automobilovém průmyslu, ke kterým </w:t>
      </w:r>
      <w:r w:rsidRPr="00E36D4D">
        <w:rPr>
          <w:sz w:val="16"/>
          <w:szCs w:val="16"/>
        </w:rPr>
        <w:t>došlo loni v létě i na podzim, se</w:t>
      </w:r>
      <w:r w:rsidRPr="0007041E">
        <w:rPr>
          <w:sz w:val="16"/>
          <w:szCs w:val="16"/>
        </w:rPr>
        <w:t xml:space="preserve"> však </w:t>
      </w:r>
      <w:r>
        <w:rPr>
          <w:sz w:val="16"/>
          <w:szCs w:val="16"/>
        </w:rPr>
        <w:t>v těchto návazných oborech začaly projevovat ve 4. čtvrtletí 2021. V</w:t>
      </w:r>
      <w:r w:rsidRPr="0007041E">
        <w:rPr>
          <w:sz w:val="16"/>
          <w:szCs w:val="16"/>
        </w:rPr>
        <w:t xml:space="preserve"> gumárenství </w:t>
      </w:r>
      <w:r>
        <w:rPr>
          <w:sz w:val="16"/>
          <w:szCs w:val="16"/>
        </w:rPr>
        <w:t>a</w:t>
      </w:r>
      <w:r w:rsidRPr="0007041E">
        <w:rPr>
          <w:sz w:val="16"/>
          <w:szCs w:val="16"/>
        </w:rPr>
        <w:t> plastikářst</w:t>
      </w:r>
      <w:r>
        <w:rPr>
          <w:sz w:val="16"/>
          <w:szCs w:val="16"/>
        </w:rPr>
        <w:t>ví ve</w:t>
      </w:r>
      <w:r w:rsidRPr="0007041E">
        <w:rPr>
          <w:sz w:val="16"/>
          <w:szCs w:val="16"/>
        </w:rPr>
        <w:t xml:space="preserve"> 4.</w:t>
      </w:r>
      <w:r>
        <w:rPr>
          <w:sz w:val="16"/>
          <w:szCs w:val="16"/>
        </w:rPr>
        <w:t> čtvrtlet</w:t>
      </w:r>
      <w:r w:rsidRPr="0007041E">
        <w:rPr>
          <w:sz w:val="16"/>
          <w:szCs w:val="16"/>
        </w:rPr>
        <w:t>í</w:t>
      </w:r>
      <w:r>
        <w:rPr>
          <w:sz w:val="16"/>
          <w:szCs w:val="16"/>
        </w:rPr>
        <w:t xml:space="preserve"> produkce mezi</w:t>
      </w:r>
      <w:r w:rsidRPr="0007041E">
        <w:rPr>
          <w:sz w:val="16"/>
          <w:szCs w:val="16"/>
        </w:rPr>
        <w:t>r</w:t>
      </w:r>
      <w:r>
        <w:rPr>
          <w:sz w:val="16"/>
          <w:szCs w:val="16"/>
        </w:rPr>
        <w:t>očně klesla o 4,4 %, ve více diverzifikovaném odvětví výroby elektrických zařízení byl pokles mírnější (1,3 %).</w:t>
      </w:r>
    </w:p>
  </w:footnote>
  <w:footnote w:id="11">
    <w:p w14:paraId="5D4610A7" w14:textId="77777777" w:rsidR="00F77A50" w:rsidRPr="000345CC" w:rsidRDefault="00F77A50" w:rsidP="00F77A50">
      <w:pPr>
        <w:pStyle w:val="Textpoznpodarou"/>
        <w:jc w:val="both"/>
        <w:rPr>
          <w:sz w:val="16"/>
          <w:szCs w:val="16"/>
        </w:rPr>
      </w:pPr>
      <w:r w:rsidRPr="000345CC">
        <w:rPr>
          <w:rStyle w:val="Znakapoznpodarou"/>
          <w:sz w:val="16"/>
          <w:szCs w:val="16"/>
        </w:rPr>
        <w:footnoteRef/>
      </w:r>
      <w:r w:rsidRPr="000345CC">
        <w:rPr>
          <w:sz w:val="16"/>
          <w:szCs w:val="16"/>
        </w:rPr>
        <w:t xml:space="preserve"> V posledních le</w:t>
      </w:r>
      <w:r>
        <w:rPr>
          <w:sz w:val="16"/>
          <w:szCs w:val="16"/>
        </w:rPr>
        <w:t>tech tento obor soustřeďoval zhruba šestinu</w:t>
      </w:r>
      <w:r w:rsidRPr="000345CC">
        <w:rPr>
          <w:sz w:val="16"/>
          <w:szCs w:val="16"/>
        </w:rPr>
        <w:t xml:space="preserve"> celkové průmyslové produkce v</w:t>
      </w:r>
      <w:r>
        <w:rPr>
          <w:sz w:val="16"/>
          <w:szCs w:val="16"/>
        </w:rPr>
        <w:t> </w:t>
      </w:r>
      <w:r w:rsidRPr="000345CC">
        <w:rPr>
          <w:sz w:val="16"/>
          <w:szCs w:val="16"/>
        </w:rPr>
        <w:t>ČR</w:t>
      </w:r>
      <w:r>
        <w:rPr>
          <w:sz w:val="16"/>
          <w:szCs w:val="16"/>
        </w:rPr>
        <w:t>.</w:t>
      </w:r>
    </w:p>
  </w:footnote>
  <w:footnote w:id="12">
    <w:p w14:paraId="63F9B407" w14:textId="77777777" w:rsidR="00F77A50" w:rsidRPr="000345CC" w:rsidRDefault="00F77A50" w:rsidP="00F77A50">
      <w:pPr>
        <w:pStyle w:val="Textpoznpodarou"/>
        <w:jc w:val="both"/>
        <w:rPr>
          <w:sz w:val="16"/>
          <w:szCs w:val="16"/>
        </w:rPr>
      </w:pPr>
      <w:r w:rsidRPr="000345CC">
        <w:rPr>
          <w:rStyle w:val="Znakapoznpodarou"/>
          <w:sz w:val="16"/>
          <w:szCs w:val="16"/>
        </w:rPr>
        <w:footnoteRef/>
      </w:r>
      <w:r w:rsidRPr="000345CC">
        <w:rPr>
          <w:sz w:val="16"/>
          <w:szCs w:val="16"/>
        </w:rPr>
        <w:t xml:space="preserve"> To stvrzují i</w:t>
      </w:r>
      <w:r>
        <w:rPr>
          <w:sz w:val="16"/>
          <w:szCs w:val="16"/>
        </w:rPr>
        <w:t> data</w:t>
      </w:r>
      <w:r w:rsidRPr="000345CC">
        <w:rPr>
          <w:sz w:val="16"/>
          <w:szCs w:val="16"/>
        </w:rPr>
        <w:t xml:space="preserve"> o</w:t>
      </w:r>
      <w:r>
        <w:rPr>
          <w:sz w:val="16"/>
          <w:szCs w:val="16"/>
        </w:rPr>
        <w:t> </w:t>
      </w:r>
      <w:r w:rsidRPr="000345CC">
        <w:rPr>
          <w:sz w:val="16"/>
          <w:szCs w:val="16"/>
        </w:rPr>
        <w:t xml:space="preserve">fyzické produkci. Dle údajů Sdružení automobilového průmyslu v ČR </w:t>
      </w:r>
      <w:r>
        <w:rPr>
          <w:sz w:val="16"/>
          <w:szCs w:val="16"/>
        </w:rPr>
        <w:t>bylo v tuzemsku loni vyrobeno 1,105 mil. osobních automobilů, což bylo meziročně o 4 % méně a oproti rekordnímu roku 2018 šlo o počet nižší dokonce o 23 %. Na pět měsíců roku 2021, ovlivněných nucenými odstávkami výroby či prodlouženými dovolenými (prosinec a období od července do října), připadalo jen 318 tis. vyrobených automobilů – tedy pouze 29 % loňské celoroční produkce.</w:t>
      </w:r>
    </w:p>
  </w:footnote>
  <w:footnote w:id="13">
    <w:p w14:paraId="7D7C56D1" w14:textId="77777777" w:rsidR="00F77A50" w:rsidRPr="000345CC" w:rsidRDefault="00F77A50" w:rsidP="00F77A50">
      <w:pPr>
        <w:pStyle w:val="Textpoznpodarou"/>
        <w:jc w:val="both"/>
        <w:rPr>
          <w:sz w:val="16"/>
          <w:szCs w:val="16"/>
        </w:rPr>
      </w:pPr>
      <w:r w:rsidRPr="000345CC">
        <w:rPr>
          <w:rStyle w:val="Znakapoznpodarou"/>
          <w:sz w:val="16"/>
          <w:szCs w:val="16"/>
        </w:rPr>
        <w:footnoteRef/>
      </w:r>
      <w:r w:rsidRPr="000345CC">
        <w:rPr>
          <w:sz w:val="16"/>
          <w:szCs w:val="16"/>
        </w:rPr>
        <w:t xml:space="preserve"> Za celý rok 2020 se produkce propadla o šestinu, tedy nejvíce ve srovnatelné řadě od roku 2000. Souviselo to s dlouhodobou proměnou energetického mixu ekonomiky</w:t>
      </w:r>
      <w:r>
        <w:rPr>
          <w:sz w:val="16"/>
          <w:szCs w:val="16"/>
        </w:rPr>
        <w:t>,</w:t>
      </w:r>
      <w:r w:rsidRPr="000345CC">
        <w:rPr>
          <w:sz w:val="16"/>
          <w:szCs w:val="16"/>
        </w:rPr>
        <w:t xml:space="preserve"> urychlenou i svižným růstem cen emisních povolenek.</w:t>
      </w:r>
    </w:p>
  </w:footnote>
  <w:footnote w:id="14">
    <w:p w14:paraId="261B8DCF" w14:textId="77777777" w:rsidR="00F77A50" w:rsidRPr="002F6A73" w:rsidRDefault="00F77A50" w:rsidP="00F77A50">
      <w:pPr>
        <w:pStyle w:val="Textpoznpodarou"/>
        <w:jc w:val="both"/>
        <w:rPr>
          <w:spacing w:val="-2"/>
          <w:sz w:val="16"/>
          <w:szCs w:val="16"/>
        </w:rPr>
      </w:pPr>
      <w:r w:rsidRPr="002F6A73">
        <w:rPr>
          <w:rStyle w:val="Znakapoznpodarou"/>
          <w:spacing w:val="-2"/>
          <w:sz w:val="16"/>
          <w:szCs w:val="16"/>
        </w:rPr>
        <w:footnoteRef/>
      </w:r>
      <w:r w:rsidRPr="002F6A73">
        <w:rPr>
          <w:spacing w:val="-2"/>
          <w:sz w:val="16"/>
          <w:szCs w:val="16"/>
        </w:rPr>
        <w:t xml:space="preserve"> Dle </w:t>
      </w:r>
      <w:r>
        <w:rPr>
          <w:spacing w:val="-2"/>
          <w:sz w:val="16"/>
          <w:szCs w:val="16"/>
        </w:rPr>
        <w:t xml:space="preserve">předběžných </w:t>
      </w:r>
      <w:r w:rsidRPr="002F6A73">
        <w:rPr>
          <w:spacing w:val="-2"/>
          <w:sz w:val="16"/>
          <w:szCs w:val="16"/>
        </w:rPr>
        <w:t xml:space="preserve">údajů Energetického regulačního úřadu dosáhla loni hrubá tuzemská výroba elektřiny </w:t>
      </w:r>
      <w:r>
        <w:rPr>
          <w:spacing w:val="-2"/>
          <w:sz w:val="16"/>
          <w:szCs w:val="16"/>
        </w:rPr>
        <w:t>84,9 TWh a meziročně vzrostla o</w:t>
      </w:r>
      <w:r w:rsidRPr="002F6A73">
        <w:rPr>
          <w:spacing w:val="-2"/>
          <w:sz w:val="16"/>
          <w:szCs w:val="16"/>
        </w:rPr>
        <w:t> 4,2</w:t>
      </w:r>
      <w:r>
        <w:rPr>
          <w:spacing w:val="-2"/>
          <w:sz w:val="16"/>
          <w:szCs w:val="16"/>
        </w:rPr>
        <w:t> %</w:t>
      </w:r>
      <w:r w:rsidRPr="002F6A73">
        <w:rPr>
          <w:spacing w:val="-2"/>
          <w:sz w:val="16"/>
          <w:szCs w:val="16"/>
        </w:rPr>
        <w:t xml:space="preserve"> (v</w:t>
      </w:r>
      <w:r>
        <w:rPr>
          <w:spacing w:val="-2"/>
          <w:sz w:val="16"/>
          <w:szCs w:val="16"/>
        </w:rPr>
        <w:t> </w:t>
      </w:r>
      <w:r w:rsidRPr="002F6A73">
        <w:rPr>
          <w:spacing w:val="-2"/>
          <w:sz w:val="16"/>
          <w:szCs w:val="16"/>
        </w:rPr>
        <w:t>roce 2020 ale propadla o</w:t>
      </w:r>
      <w:r>
        <w:rPr>
          <w:spacing w:val="-2"/>
          <w:sz w:val="16"/>
          <w:szCs w:val="16"/>
        </w:rPr>
        <w:t> </w:t>
      </w:r>
      <w:r w:rsidRPr="002F6A73">
        <w:rPr>
          <w:spacing w:val="-2"/>
          <w:sz w:val="16"/>
          <w:szCs w:val="16"/>
        </w:rPr>
        <w:t>6,4</w:t>
      </w:r>
      <w:r>
        <w:rPr>
          <w:spacing w:val="-2"/>
          <w:sz w:val="16"/>
          <w:szCs w:val="16"/>
        </w:rPr>
        <w:t> %</w:t>
      </w:r>
      <w:r w:rsidRPr="002F6A73">
        <w:rPr>
          <w:spacing w:val="-2"/>
          <w:sz w:val="16"/>
          <w:szCs w:val="16"/>
        </w:rPr>
        <w:t>). Na růstu se podílely zejména parní, z menší části i</w:t>
      </w:r>
      <w:r>
        <w:rPr>
          <w:spacing w:val="-2"/>
          <w:sz w:val="16"/>
          <w:szCs w:val="16"/>
        </w:rPr>
        <w:t> </w:t>
      </w:r>
      <w:r w:rsidRPr="002F6A73">
        <w:rPr>
          <w:spacing w:val="-2"/>
          <w:sz w:val="16"/>
          <w:szCs w:val="16"/>
        </w:rPr>
        <w:t>jaderné a</w:t>
      </w:r>
      <w:r>
        <w:rPr>
          <w:spacing w:val="-2"/>
          <w:sz w:val="16"/>
          <w:szCs w:val="16"/>
        </w:rPr>
        <w:t> </w:t>
      </w:r>
      <w:r w:rsidRPr="002F6A73">
        <w:rPr>
          <w:spacing w:val="-2"/>
          <w:sz w:val="16"/>
          <w:szCs w:val="16"/>
        </w:rPr>
        <w:t>vodní elektrárny. I</w:t>
      </w:r>
      <w:r>
        <w:rPr>
          <w:spacing w:val="-2"/>
          <w:sz w:val="16"/>
          <w:szCs w:val="16"/>
        </w:rPr>
        <w:t> </w:t>
      </w:r>
      <w:r w:rsidRPr="002F6A73">
        <w:rPr>
          <w:spacing w:val="-2"/>
          <w:sz w:val="16"/>
          <w:szCs w:val="16"/>
        </w:rPr>
        <w:t>hrubá tuzemská spotřeba elektřiny loni za úrovní z roku 2019 mírně zaostala, když činila 73,7</w:t>
      </w:r>
      <w:r>
        <w:rPr>
          <w:spacing w:val="-2"/>
          <w:sz w:val="16"/>
          <w:szCs w:val="16"/>
        </w:rPr>
        <w:t> T</w:t>
      </w:r>
      <w:r w:rsidRPr="002F6A73">
        <w:rPr>
          <w:spacing w:val="-2"/>
          <w:sz w:val="16"/>
          <w:szCs w:val="16"/>
        </w:rPr>
        <w:t>Wh a</w:t>
      </w:r>
      <w:r>
        <w:rPr>
          <w:spacing w:val="-2"/>
          <w:sz w:val="16"/>
          <w:szCs w:val="16"/>
        </w:rPr>
        <w:t> </w:t>
      </w:r>
      <w:r w:rsidRPr="002F6A73">
        <w:rPr>
          <w:spacing w:val="-2"/>
          <w:sz w:val="16"/>
          <w:szCs w:val="16"/>
        </w:rPr>
        <w:t>meziročně vzrostla o</w:t>
      </w:r>
      <w:r>
        <w:rPr>
          <w:spacing w:val="-2"/>
          <w:sz w:val="16"/>
          <w:szCs w:val="16"/>
        </w:rPr>
        <w:t> </w:t>
      </w:r>
      <w:r w:rsidRPr="002F6A73">
        <w:rPr>
          <w:spacing w:val="-2"/>
          <w:sz w:val="16"/>
          <w:szCs w:val="16"/>
        </w:rPr>
        <w:t>3,2</w:t>
      </w:r>
      <w:r>
        <w:rPr>
          <w:spacing w:val="-2"/>
          <w:sz w:val="16"/>
          <w:szCs w:val="16"/>
        </w:rPr>
        <w:t> %</w:t>
      </w:r>
      <w:r w:rsidRPr="002F6A73">
        <w:rPr>
          <w:spacing w:val="-2"/>
          <w:sz w:val="16"/>
          <w:szCs w:val="16"/>
        </w:rPr>
        <w:t>. Klíčovou roli v tom sehrály domácnosti (+8,1 %) a</w:t>
      </w:r>
      <w:r>
        <w:rPr>
          <w:spacing w:val="-2"/>
          <w:sz w:val="16"/>
          <w:szCs w:val="16"/>
        </w:rPr>
        <w:t> </w:t>
      </w:r>
      <w:r w:rsidRPr="002F6A73">
        <w:rPr>
          <w:spacing w:val="-2"/>
          <w:sz w:val="16"/>
          <w:szCs w:val="16"/>
        </w:rPr>
        <w:t>velko</w:t>
      </w:r>
      <w:r>
        <w:rPr>
          <w:spacing w:val="-2"/>
          <w:sz w:val="16"/>
          <w:szCs w:val="16"/>
        </w:rPr>
        <w:t>od</w:t>
      </w:r>
      <w:r w:rsidRPr="002F6A73">
        <w:rPr>
          <w:spacing w:val="-2"/>
          <w:sz w:val="16"/>
          <w:szCs w:val="16"/>
        </w:rPr>
        <w:t>běratelé z</w:t>
      </w:r>
      <w:r>
        <w:rPr>
          <w:spacing w:val="-2"/>
          <w:sz w:val="16"/>
          <w:szCs w:val="16"/>
        </w:rPr>
        <w:t> </w:t>
      </w:r>
      <w:r w:rsidRPr="002F6A73">
        <w:rPr>
          <w:spacing w:val="-2"/>
          <w:sz w:val="16"/>
          <w:szCs w:val="16"/>
        </w:rPr>
        <w:t>podniků (+4,4</w:t>
      </w:r>
      <w:r>
        <w:rPr>
          <w:spacing w:val="-2"/>
          <w:sz w:val="16"/>
          <w:szCs w:val="16"/>
        </w:rPr>
        <w:t> %</w:t>
      </w:r>
      <w:r w:rsidRPr="002F6A73">
        <w:rPr>
          <w:spacing w:val="-2"/>
          <w:sz w:val="16"/>
          <w:szCs w:val="16"/>
        </w:rPr>
        <w:t>). To maloodběratelé z řad podnikatelů spotřebovali meziročně o</w:t>
      </w:r>
      <w:r w:rsidRPr="002F6A73">
        <w:rPr>
          <w:rFonts w:cs="Arial"/>
          <w:color w:val="0D0D0D" w:themeColor="text1" w:themeTint="F2"/>
          <w:spacing w:val="-2"/>
          <w:sz w:val="16"/>
          <w:szCs w:val="16"/>
        </w:rPr>
        <w:t> </w:t>
      </w:r>
      <w:r w:rsidRPr="002F6A73">
        <w:rPr>
          <w:spacing w:val="-2"/>
          <w:sz w:val="16"/>
          <w:szCs w:val="16"/>
        </w:rPr>
        <w:t>0,9</w:t>
      </w:r>
      <w:r>
        <w:rPr>
          <w:spacing w:val="-2"/>
          <w:sz w:val="16"/>
          <w:szCs w:val="16"/>
        </w:rPr>
        <w:t> %</w:t>
      </w:r>
      <w:r w:rsidRPr="002F6A73">
        <w:rPr>
          <w:spacing w:val="-2"/>
          <w:sz w:val="16"/>
          <w:szCs w:val="16"/>
        </w:rPr>
        <w:t xml:space="preserve"> méně, za dva roky o</w:t>
      </w:r>
      <w:r>
        <w:rPr>
          <w:spacing w:val="-2"/>
          <w:sz w:val="16"/>
          <w:szCs w:val="16"/>
        </w:rPr>
        <w:t> </w:t>
      </w:r>
      <w:r w:rsidRPr="002F6A73">
        <w:rPr>
          <w:spacing w:val="-2"/>
          <w:sz w:val="16"/>
          <w:szCs w:val="16"/>
        </w:rPr>
        <w:t>3,4 %. Celková spotřeba plynu v</w:t>
      </w:r>
      <w:r>
        <w:rPr>
          <w:spacing w:val="-2"/>
          <w:sz w:val="16"/>
          <w:szCs w:val="16"/>
        </w:rPr>
        <w:t> </w:t>
      </w:r>
      <w:r w:rsidRPr="002F6A73">
        <w:rPr>
          <w:spacing w:val="-2"/>
          <w:sz w:val="16"/>
          <w:szCs w:val="16"/>
        </w:rPr>
        <w:t>ČR</w:t>
      </w:r>
      <w:r>
        <w:rPr>
          <w:spacing w:val="-2"/>
          <w:sz w:val="16"/>
          <w:szCs w:val="16"/>
        </w:rPr>
        <w:t xml:space="preserve"> se</w:t>
      </w:r>
      <w:r w:rsidRPr="002F6A73">
        <w:rPr>
          <w:spacing w:val="-2"/>
          <w:sz w:val="16"/>
          <w:szCs w:val="16"/>
        </w:rPr>
        <w:t xml:space="preserve"> loni meziročně zvýšila o</w:t>
      </w:r>
      <w:r>
        <w:rPr>
          <w:spacing w:val="-2"/>
          <w:sz w:val="16"/>
          <w:szCs w:val="16"/>
        </w:rPr>
        <w:t> </w:t>
      </w:r>
      <w:r w:rsidRPr="002F6A73">
        <w:rPr>
          <w:spacing w:val="-2"/>
          <w:sz w:val="16"/>
          <w:szCs w:val="16"/>
        </w:rPr>
        <w:t>8,5</w:t>
      </w:r>
      <w:r>
        <w:rPr>
          <w:spacing w:val="-2"/>
          <w:sz w:val="16"/>
          <w:szCs w:val="16"/>
        </w:rPr>
        <w:t> %</w:t>
      </w:r>
      <w:r w:rsidRPr="002F6A73">
        <w:rPr>
          <w:spacing w:val="-2"/>
          <w:sz w:val="16"/>
          <w:szCs w:val="16"/>
        </w:rPr>
        <w:t xml:space="preserve">, po zohlednění vlivu chladnějšího počasí činil růst spotřeby (po přepočtu na teplotní normál) </w:t>
      </w:r>
      <w:r>
        <w:rPr>
          <w:spacing w:val="-2"/>
          <w:sz w:val="16"/>
          <w:szCs w:val="16"/>
        </w:rPr>
        <w:t xml:space="preserve">pouze </w:t>
      </w:r>
      <w:r w:rsidRPr="002F6A73">
        <w:rPr>
          <w:spacing w:val="-2"/>
          <w:sz w:val="16"/>
          <w:szCs w:val="16"/>
        </w:rPr>
        <w:t>3,5</w:t>
      </w:r>
      <w:r>
        <w:rPr>
          <w:spacing w:val="-2"/>
          <w:sz w:val="16"/>
          <w:szCs w:val="16"/>
        </w:rPr>
        <w:t> %</w:t>
      </w:r>
      <w:r w:rsidRPr="002F6A73">
        <w:rPr>
          <w:spacing w:val="-2"/>
          <w:sz w:val="16"/>
          <w:szCs w:val="16"/>
        </w:rPr>
        <w:t xml:space="preserve">. V roce </w:t>
      </w:r>
      <w:r>
        <w:rPr>
          <w:spacing w:val="-2"/>
          <w:sz w:val="16"/>
          <w:szCs w:val="16"/>
        </w:rPr>
        <w:t>2020</w:t>
      </w:r>
      <w:r w:rsidRPr="002F6A73">
        <w:rPr>
          <w:spacing w:val="-2"/>
          <w:sz w:val="16"/>
          <w:szCs w:val="16"/>
        </w:rPr>
        <w:t xml:space="preserve"> i</w:t>
      </w:r>
      <w:r>
        <w:rPr>
          <w:spacing w:val="-2"/>
          <w:sz w:val="16"/>
          <w:szCs w:val="16"/>
        </w:rPr>
        <w:t> </w:t>
      </w:r>
      <w:r w:rsidRPr="002F6A73">
        <w:rPr>
          <w:spacing w:val="-2"/>
          <w:sz w:val="16"/>
          <w:szCs w:val="16"/>
        </w:rPr>
        <w:t>vlivem poklesu ekonomické aktivity přepočtená spotřeba klesla o</w:t>
      </w:r>
      <w:r>
        <w:rPr>
          <w:spacing w:val="-2"/>
          <w:sz w:val="16"/>
          <w:szCs w:val="16"/>
        </w:rPr>
        <w:t> </w:t>
      </w:r>
      <w:r w:rsidRPr="002F6A73">
        <w:rPr>
          <w:spacing w:val="-2"/>
          <w:sz w:val="16"/>
          <w:szCs w:val="16"/>
        </w:rPr>
        <w:t>0,5</w:t>
      </w:r>
      <w:r>
        <w:rPr>
          <w:spacing w:val="-2"/>
          <w:sz w:val="16"/>
          <w:szCs w:val="16"/>
        </w:rPr>
        <w:t> %</w:t>
      </w:r>
      <w:r w:rsidRPr="002F6A73">
        <w:rPr>
          <w:spacing w:val="-2"/>
          <w:sz w:val="16"/>
          <w:szCs w:val="16"/>
        </w:rPr>
        <w:t>.</w:t>
      </w:r>
    </w:p>
  </w:footnote>
  <w:footnote w:id="15">
    <w:p w14:paraId="0A1BF7AC" w14:textId="77777777" w:rsidR="00F77A50" w:rsidRPr="004670E0" w:rsidRDefault="00F77A50" w:rsidP="00F77A50">
      <w:pPr>
        <w:pStyle w:val="Textpoznpodarou"/>
        <w:jc w:val="both"/>
        <w:rPr>
          <w:sz w:val="16"/>
          <w:szCs w:val="16"/>
        </w:rPr>
      </w:pPr>
      <w:r w:rsidRPr="000345CC">
        <w:rPr>
          <w:rStyle w:val="Znakapoznpodarou"/>
          <w:sz w:val="16"/>
          <w:szCs w:val="16"/>
        </w:rPr>
        <w:footnoteRef/>
      </w:r>
      <w:r w:rsidRPr="000345CC">
        <w:rPr>
          <w:sz w:val="16"/>
          <w:szCs w:val="16"/>
        </w:rPr>
        <w:t xml:space="preserve"> </w:t>
      </w:r>
      <w:r w:rsidRPr="000345CC">
        <w:rPr>
          <w:rFonts w:cs="Arial"/>
          <w:color w:val="0D0D0D" w:themeColor="text1" w:themeTint="F2"/>
          <w:spacing w:val="-2"/>
          <w:sz w:val="16"/>
          <w:szCs w:val="16"/>
        </w:rPr>
        <w:t>Meziroční tempa tržeb js</w:t>
      </w:r>
      <w:r>
        <w:rPr>
          <w:rFonts w:cs="Arial"/>
          <w:color w:val="0D0D0D" w:themeColor="text1" w:themeTint="F2"/>
          <w:spacing w:val="-2"/>
          <w:sz w:val="16"/>
          <w:szCs w:val="16"/>
        </w:rPr>
        <w:t>ou očištěna o kalendářní vlivy.</w:t>
      </w:r>
    </w:p>
  </w:footnote>
  <w:footnote w:id="16">
    <w:p w14:paraId="6DF9412C" w14:textId="77777777" w:rsidR="00F77A50" w:rsidRPr="00FB58F4" w:rsidRDefault="00F77A50" w:rsidP="00F77A50">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 xml:space="preserve">zek probíhá jen ve 12 zpracovatelských odvětvích </w:t>
      </w:r>
      <w:r w:rsidRPr="007A20EB">
        <w:rPr>
          <w:rFonts w:cs="Arial"/>
          <w:color w:val="0D0D0D" w:themeColor="text1" w:themeTint="F2"/>
          <w:sz w:val="16"/>
          <w:szCs w:val="16"/>
        </w:rPr>
        <w:t>vyrábějí</w:t>
      </w:r>
      <w:r>
        <w:rPr>
          <w:rFonts w:cs="Arial"/>
          <w:color w:val="0D0D0D" w:themeColor="text1" w:themeTint="F2"/>
          <w:sz w:val="16"/>
          <w:szCs w:val="16"/>
        </w:rPr>
        <w:t>cích</w:t>
      </w:r>
      <w:r w:rsidRPr="007A20EB">
        <w:rPr>
          <w:rFonts w:cs="Arial"/>
          <w:color w:val="0D0D0D" w:themeColor="text1" w:themeTint="F2"/>
          <w:sz w:val="16"/>
          <w:szCs w:val="16"/>
        </w:rPr>
        <w:t xml:space="preserve"> převážně na zakázku, s dlouhodobějším výrobním cyklem a s většími zásobami zakázek.</w:t>
      </w:r>
      <w:r>
        <w:rPr>
          <w:rFonts w:cs="Arial"/>
          <w:color w:val="0D0D0D" w:themeColor="text1" w:themeTint="F2"/>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zakázek</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w:t>
      </w:r>
    </w:p>
  </w:footnote>
  <w:footnote w:id="17">
    <w:p w14:paraId="0E461DF6" w14:textId="77777777" w:rsidR="00F77A50" w:rsidRPr="004955AC" w:rsidRDefault="00F77A50" w:rsidP="00F77A50">
      <w:pPr>
        <w:pStyle w:val="Textpoznpodarou"/>
        <w:jc w:val="both"/>
        <w:rPr>
          <w:sz w:val="16"/>
          <w:szCs w:val="16"/>
        </w:rPr>
      </w:pPr>
      <w:r w:rsidRPr="004955AC">
        <w:rPr>
          <w:rStyle w:val="Znakapoznpodarou"/>
          <w:sz w:val="16"/>
          <w:szCs w:val="16"/>
        </w:rPr>
        <w:footnoteRef/>
      </w:r>
      <w:r w:rsidRPr="004955AC">
        <w:rPr>
          <w:sz w:val="16"/>
          <w:szCs w:val="16"/>
        </w:rPr>
        <w:t xml:space="preserve"> Největší vytíženost kapacit na počátku roku 2022 měly z větších průmyslových odvětví výroba staveb</w:t>
      </w:r>
      <w:r>
        <w:rPr>
          <w:sz w:val="16"/>
          <w:szCs w:val="16"/>
        </w:rPr>
        <w:t>ních materiálů či gumárenství a</w:t>
      </w:r>
      <w:r w:rsidRPr="007A20EB">
        <w:rPr>
          <w:rFonts w:cs="Arial"/>
          <w:color w:val="0D0D0D" w:themeColor="text1" w:themeTint="F2"/>
          <w:sz w:val="16"/>
          <w:szCs w:val="16"/>
        </w:rPr>
        <w:t> </w:t>
      </w:r>
      <w:r w:rsidRPr="004955AC">
        <w:rPr>
          <w:sz w:val="16"/>
          <w:szCs w:val="16"/>
        </w:rPr>
        <w:t>plastikářství (shodně 90</w:t>
      </w:r>
      <w:r>
        <w:rPr>
          <w:sz w:val="16"/>
          <w:szCs w:val="16"/>
        </w:rPr>
        <w:t> %</w:t>
      </w:r>
      <w:r w:rsidRPr="004955AC">
        <w:rPr>
          <w:sz w:val="16"/>
          <w:szCs w:val="16"/>
        </w:rPr>
        <w:t>) a</w:t>
      </w:r>
      <w:r>
        <w:rPr>
          <w:sz w:val="16"/>
          <w:szCs w:val="16"/>
        </w:rPr>
        <w:t> </w:t>
      </w:r>
      <w:r w:rsidRPr="004955AC">
        <w:rPr>
          <w:sz w:val="16"/>
          <w:szCs w:val="16"/>
        </w:rPr>
        <w:t>také chemický průmysl (84</w:t>
      </w:r>
      <w:r>
        <w:rPr>
          <w:sz w:val="16"/>
          <w:szCs w:val="16"/>
        </w:rPr>
        <w:t> %</w:t>
      </w:r>
      <w:r w:rsidRPr="004955AC">
        <w:rPr>
          <w:sz w:val="16"/>
          <w:szCs w:val="16"/>
        </w:rPr>
        <w:t xml:space="preserve">). </w:t>
      </w:r>
      <w:r>
        <w:rPr>
          <w:sz w:val="16"/>
          <w:szCs w:val="16"/>
        </w:rPr>
        <w:t>Z menších oborů</w:t>
      </w:r>
      <w:r w:rsidRPr="004955AC">
        <w:rPr>
          <w:sz w:val="16"/>
          <w:szCs w:val="16"/>
        </w:rPr>
        <w:t xml:space="preserve"> pak analogicky např. nábytkářství (92</w:t>
      </w:r>
      <w:r>
        <w:rPr>
          <w:sz w:val="16"/>
          <w:szCs w:val="16"/>
        </w:rPr>
        <w:t> %</w:t>
      </w:r>
      <w:r w:rsidRPr="004955AC">
        <w:rPr>
          <w:sz w:val="16"/>
          <w:szCs w:val="16"/>
        </w:rPr>
        <w:t>), dřevozpracující (93</w:t>
      </w:r>
      <w:r>
        <w:rPr>
          <w:sz w:val="16"/>
          <w:szCs w:val="16"/>
        </w:rPr>
        <w:t> %</w:t>
      </w:r>
      <w:r w:rsidRPr="004955AC">
        <w:rPr>
          <w:sz w:val="16"/>
          <w:szCs w:val="16"/>
        </w:rPr>
        <w:t>) a</w:t>
      </w:r>
      <w:r>
        <w:rPr>
          <w:sz w:val="16"/>
          <w:szCs w:val="16"/>
        </w:rPr>
        <w:t> </w:t>
      </w:r>
      <w:r w:rsidRPr="004955AC">
        <w:rPr>
          <w:sz w:val="16"/>
          <w:szCs w:val="16"/>
        </w:rPr>
        <w:t>papírenský průmysl (89</w:t>
      </w:r>
      <w:r>
        <w:rPr>
          <w:sz w:val="16"/>
          <w:szCs w:val="16"/>
        </w:rPr>
        <w:t> %</w:t>
      </w:r>
      <w:r w:rsidRPr="004955AC">
        <w:rPr>
          <w:sz w:val="16"/>
          <w:szCs w:val="16"/>
        </w:rPr>
        <w:t>) či farmacie (87</w:t>
      </w:r>
      <w:r>
        <w:rPr>
          <w:sz w:val="16"/>
          <w:szCs w:val="16"/>
        </w:rPr>
        <w:t> %</w:t>
      </w:r>
      <w:r w:rsidRPr="004955AC">
        <w:rPr>
          <w:sz w:val="16"/>
          <w:szCs w:val="16"/>
        </w:rPr>
        <w:t>). Naopak nejméně využitými kapacitami disponovali výrobci nápojů (67</w:t>
      </w:r>
      <w:r>
        <w:rPr>
          <w:sz w:val="16"/>
          <w:szCs w:val="16"/>
        </w:rPr>
        <w:t> %</w:t>
      </w:r>
      <w:r w:rsidRPr="004955AC">
        <w:rPr>
          <w:sz w:val="16"/>
          <w:szCs w:val="16"/>
        </w:rPr>
        <w:t>), kde tato hodnota citelně zaostávala i</w:t>
      </w:r>
      <w:r>
        <w:rPr>
          <w:sz w:val="16"/>
          <w:szCs w:val="16"/>
        </w:rPr>
        <w:t> </w:t>
      </w:r>
      <w:r w:rsidRPr="004955AC">
        <w:rPr>
          <w:sz w:val="16"/>
          <w:szCs w:val="16"/>
        </w:rPr>
        <w:t>za dlouhodobým průměrem.</w:t>
      </w:r>
    </w:p>
  </w:footnote>
  <w:footnote w:id="18">
    <w:p w14:paraId="32F82C47" w14:textId="77777777" w:rsidR="00F77A50" w:rsidRPr="000A1518" w:rsidRDefault="00F77A50" w:rsidP="00F77A50">
      <w:pPr>
        <w:pStyle w:val="Textpoznpodarou"/>
        <w:rPr>
          <w:sz w:val="16"/>
          <w:szCs w:val="16"/>
        </w:rPr>
      </w:pPr>
      <w:r w:rsidRPr="000A1518">
        <w:rPr>
          <w:rStyle w:val="Znakapoznpodarou"/>
          <w:sz w:val="16"/>
          <w:szCs w:val="16"/>
        </w:rPr>
        <w:footnoteRef/>
      </w:r>
      <w:r w:rsidRPr="000A1518">
        <w:rPr>
          <w:sz w:val="16"/>
          <w:szCs w:val="16"/>
        </w:rPr>
        <w:t xml:space="preserve"> P</w:t>
      </w:r>
      <w:r>
        <w:rPr>
          <w:sz w:val="16"/>
          <w:szCs w:val="16"/>
        </w:rPr>
        <w:t>odniky mohly uv</w:t>
      </w:r>
      <w:r w:rsidRPr="000A1518">
        <w:rPr>
          <w:sz w:val="16"/>
          <w:szCs w:val="16"/>
        </w:rPr>
        <w:t>ést více bariér současně.</w:t>
      </w:r>
    </w:p>
  </w:footnote>
  <w:footnote w:id="19">
    <w:p w14:paraId="75C76553" w14:textId="77777777" w:rsidR="00F77A50" w:rsidRPr="00331A9D" w:rsidRDefault="00F77A50" w:rsidP="00F77A50">
      <w:pPr>
        <w:pStyle w:val="Textpoznpodarou"/>
        <w:rPr>
          <w:sz w:val="16"/>
          <w:szCs w:val="16"/>
        </w:rPr>
      </w:pPr>
      <w:r w:rsidRPr="00331A9D">
        <w:rPr>
          <w:rStyle w:val="Znakapoznpodarou"/>
          <w:sz w:val="16"/>
          <w:szCs w:val="16"/>
        </w:rPr>
        <w:footnoteRef/>
      </w:r>
      <w:r w:rsidRPr="00331A9D">
        <w:rPr>
          <w:sz w:val="16"/>
          <w:szCs w:val="16"/>
        </w:rPr>
        <w:t xml:space="preserve"> Např</w:t>
      </w:r>
      <w:r>
        <w:rPr>
          <w:sz w:val="16"/>
          <w:szCs w:val="16"/>
        </w:rPr>
        <w:t>íklad</w:t>
      </w:r>
      <w:r w:rsidRPr="00331A9D">
        <w:rPr>
          <w:sz w:val="16"/>
          <w:szCs w:val="16"/>
        </w:rPr>
        <w:t xml:space="preserve"> rozpočet Státního fondu dopravní infrastruktury počítal (</w:t>
      </w:r>
      <w:r>
        <w:rPr>
          <w:sz w:val="16"/>
          <w:szCs w:val="16"/>
        </w:rPr>
        <w:t>dle první schválené verze</w:t>
      </w:r>
      <w:r w:rsidRPr="00331A9D">
        <w:rPr>
          <w:sz w:val="16"/>
          <w:szCs w:val="16"/>
        </w:rPr>
        <w:t xml:space="preserve"> státního rozpočtu) v roce 2021 s investičními transfery z</w:t>
      </w:r>
      <w:r>
        <w:rPr>
          <w:sz w:val="16"/>
          <w:szCs w:val="16"/>
        </w:rPr>
        <w:t>e státního</w:t>
      </w:r>
      <w:r w:rsidRPr="00331A9D">
        <w:rPr>
          <w:sz w:val="16"/>
          <w:szCs w:val="16"/>
        </w:rPr>
        <w:t xml:space="preserve"> rozpočtu v rekordní výši </w:t>
      </w:r>
      <w:r>
        <w:rPr>
          <w:sz w:val="16"/>
          <w:szCs w:val="16"/>
        </w:rPr>
        <w:t>80,4 mld. korun.</w:t>
      </w:r>
    </w:p>
  </w:footnote>
  <w:footnote w:id="20">
    <w:p w14:paraId="7D871091" w14:textId="77777777" w:rsidR="00F77A50" w:rsidRPr="00C94BE8" w:rsidRDefault="00F77A50" w:rsidP="00F77A50">
      <w:pPr>
        <w:pStyle w:val="Textpoznpodarou"/>
        <w:jc w:val="both"/>
        <w:rPr>
          <w:spacing w:val="-2"/>
          <w:sz w:val="16"/>
          <w:szCs w:val="16"/>
        </w:rPr>
      </w:pPr>
      <w:r w:rsidRPr="00C94BE8">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Ú</w:t>
      </w:r>
      <w:r w:rsidRPr="00C94BE8">
        <w:rPr>
          <w:rFonts w:cs="Arial"/>
          <w:color w:val="0D0D0D" w:themeColor="text1" w:themeTint="F2"/>
          <w:spacing w:val="-2"/>
          <w:sz w:val="16"/>
          <w:szCs w:val="16"/>
        </w:rPr>
        <w:t xml:space="preserve">daje o stavební produkci </w:t>
      </w:r>
      <w:r>
        <w:rPr>
          <w:rFonts w:cs="Arial"/>
          <w:color w:val="0D0D0D" w:themeColor="text1" w:themeTint="F2"/>
          <w:spacing w:val="-2"/>
          <w:sz w:val="16"/>
          <w:szCs w:val="16"/>
        </w:rPr>
        <w:t xml:space="preserve">jsou ve stálých cenách, meziroční tempa </w:t>
      </w:r>
      <w:r w:rsidRPr="00C94BE8">
        <w:rPr>
          <w:rFonts w:cs="Arial"/>
          <w:color w:val="0D0D0D" w:themeColor="text1" w:themeTint="F2"/>
          <w:spacing w:val="-2"/>
          <w:sz w:val="16"/>
          <w:szCs w:val="16"/>
        </w:rPr>
        <w:t>jsou očištěn</w:t>
      </w:r>
      <w:r>
        <w:rPr>
          <w:rFonts w:cs="Arial"/>
          <w:color w:val="0D0D0D" w:themeColor="text1" w:themeTint="F2"/>
          <w:spacing w:val="-2"/>
          <w:sz w:val="16"/>
          <w:szCs w:val="16"/>
        </w:rPr>
        <w:t>a</w:t>
      </w:r>
      <w:r w:rsidRPr="00C94BE8">
        <w:rPr>
          <w:rFonts w:cs="Arial"/>
          <w:color w:val="0D0D0D" w:themeColor="text1" w:themeTint="F2"/>
          <w:spacing w:val="-2"/>
          <w:sz w:val="16"/>
          <w:szCs w:val="16"/>
        </w:rPr>
        <w:t xml:space="preserve"> o kalendá</w:t>
      </w:r>
      <w:r>
        <w:rPr>
          <w:rFonts w:cs="Arial"/>
          <w:color w:val="0D0D0D" w:themeColor="text1" w:themeTint="F2"/>
          <w:spacing w:val="-2"/>
          <w:sz w:val="16"/>
          <w:szCs w:val="16"/>
        </w:rPr>
        <w:t>řní vlivy, mezičtvrtletní též</w:t>
      </w:r>
      <w:r w:rsidRPr="00C94BE8">
        <w:rPr>
          <w:rFonts w:cs="Arial"/>
          <w:color w:val="0D0D0D" w:themeColor="text1" w:themeTint="F2"/>
          <w:spacing w:val="-2"/>
          <w:sz w:val="16"/>
          <w:szCs w:val="16"/>
        </w:rPr>
        <w:t xml:space="preserve"> o vliv sezónnosti.</w:t>
      </w:r>
    </w:p>
  </w:footnote>
  <w:footnote w:id="21">
    <w:p w14:paraId="41938EC6" w14:textId="77777777" w:rsidR="00F77A50" w:rsidRPr="00784ECC" w:rsidRDefault="00F77A50" w:rsidP="00F77A50">
      <w:pPr>
        <w:pStyle w:val="Textpoznpodarou"/>
        <w:jc w:val="both"/>
        <w:rPr>
          <w:sz w:val="16"/>
          <w:szCs w:val="16"/>
        </w:rPr>
      </w:pPr>
      <w:r w:rsidRPr="00784ECC">
        <w:rPr>
          <w:rStyle w:val="Znakapoznpodarou"/>
          <w:sz w:val="16"/>
          <w:szCs w:val="16"/>
        </w:rPr>
        <w:footnoteRef/>
      </w:r>
      <w:r w:rsidRPr="00784ECC">
        <w:rPr>
          <w:sz w:val="16"/>
          <w:szCs w:val="16"/>
        </w:rPr>
        <w:t xml:space="preserve"> Pokračující růst prodejních cen v příštích </w:t>
      </w:r>
      <w:r>
        <w:rPr>
          <w:sz w:val="16"/>
          <w:szCs w:val="16"/>
        </w:rPr>
        <w:t>třech měsících očekávalo v únoru 2022 již 55 %</w:t>
      </w:r>
      <w:r w:rsidRPr="00784ECC">
        <w:rPr>
          <w:sz w:val="16"/>
          <w:szCs w:val="16"/>
        </w:rPr>
        <w:t xml:space="preserve"> podnikatelů ve stavebnictví. To bylo nepatrně více než v dosud rekordním roce 2008.</w:t>
      </w:r>
    </w:p>
  </w:footnote>
  <w:footnote w:id="22">
    <w:p w14:paraId="54D924C2" w14:textId="77777777" w:rsidR="00F77A50" w:rsidRPr="00DE38E6" w:rsidRDefault="00F77A50" w:rsidP="00F77A50">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23">
    <w:p w14:paraId="296416B9" w14:textId="77777777" w:rsidR="00F77A50" w:rsidRPr="007C34C3" w:rsidRDefault="00F77A50" w:rsidP="00F77A50">
      <w:pPr>
        <w:pStyle w:val="Textpoznpodarou"/>
        <w:jc w:val="both"/>
        <w:rPr>
          <w:rFonts w:cs="Arial"/>
          <w:bCs/>
          <w:spacing w:val="-2"/>
          <w:sz w:val="16"/>
          <w:szCs w:val="16"/>
        </w:rPr>
      </w:pPr>
      <w:r w:rsidRPr="00755255">
        <w:rPr>
          <w:rStyle w:val="Znakapoznpodarou"/>
          <w:sz w:val="16"/>
          <w:szCs w:val="16"/>
        </w:rPr>
        <w:footnoteRef/>
      </w:r>
      <w:r w:rsidRPr="00755255">
        <w:rPr>
          <w:sz w:val="16"/>
          <w:szCs w:val="16"/>
        </w:rPr>
        <w:t xml:space="preserve"> </w:t>
      </w:r>
      <w:r>
        <w:rPr>
          <w:sz w:val="16"/>
          <w:szCs w:val="16"/>
        </w:rPr>
        <w:t>V roce 2021</w:t>
      </w:r>
      <w:r w:rsidRPr="00755255">
        <w:rPr>
          <w:rFonts w:cs="Arial"/>
          <w:bCs/>
          <w:spacing w:val="-2"/>
          <w:sz w:val="16"/>
          <w:szCs w:val="16"/>
        </w:rPr>
        <w:t xml:space="preserve"> zavítalo do hromadných </w:t>
      </w:r>
      <w:r>
        <w:rPr>
          <w:rFonts w:cs="Arial"/>
          <w:bCs/>
          <w:spacing w:val="-2"/>
          <w:sz w:val="16"/>
          <w:szCs w:val="16"/>
        </w:rPr>
        <w:t>ubytovacích zařízení v Česku 11,4 mil.</w:t>
      </w:r>
      <w:r w:rsidRPr="00755255">
        <w:rPr>
          <w:rFonts w:cs="Arial"/>
          <w:bCs/>
          <w:spacing w:val="-2"/>
          <w:sz w:val="16"/>
          <w:szCs w:val="16"/>
        </w:rPr>
        <w:t xml:space="preserve"> návštěvníků. </w:t>
      </w:r>
      <w:r>
        <w:rPr>
          <w:rFonts w:cs="Arial"/>
          <w:bCs/>
          <w:spacing w:val="-2"/>
          <w:sz w:val="16"/>
          <w:szCs w:val="16"/>
        </w:rPr>
        <w:t>Počet jejich přenocování se meziročně nepatrně zvýšil (+1,8 %), u hostů ze zahraničí však poklesl o 11,4 % a dosahoval pouze čtvrtiny výše z roku 2019. Polovina všech přenocování nerezidentů připadala loni na hosty ze států sousedících s Českem. Kvůli zhoršené epidemické situaci i administrativním překážkám v cestování přetrval extrémně nízký počet přenocování z Ruska (3 % počtu z roku 2019), Velké Británie (12 %), vzdálených asijských států, zejména Číny (2 %) a Tchaj-wanu (1 %), Jižní Korey (3 %) a Japonska (6 %), či například z USA (16 %). Z významnějších zdrojových zemí propadly počty přenocování nejméně u Slováků (o 50 %), u klientely z ČR činil dvouletý pokles jen 15 %.</w:t>
      </w:r>
    </w:p>
  </w:footnote>
  <w:footnote w:id="24">
    <w:p w14:paraId="7FC86E6D" w14:textId="77777777" w:rsidR="00F77A50" w:rsidRPr="00465453" w:rsidRDefault="00F77A50" w:rsidP="00F77A50">
      <w:pPr>
        <w:pStyle w:val="Textpoznpodarou"/>
        <w:jc w:val="both"/>
        <w:rPr>
          <w:sz w:val="16"/>
          <w:szCs w:val="16"/>
        </w:rPr>
      </w:pPr>
      <w:r w:rsidRPr="00465453">
        <w:rPr>
          <w:rStyle w:val="Znakapoznpodarou"/>
          <w:sz w:val="16"/>
          <w:szCs w:val="16"/>
        </w:rPr>
        <w:footnoteRef/>
      </w:r>
      <w:r w:rsidRPr="00465453">
        <w:rPr>
          <w:sz w:val="16"/>
          <w:szCs w:val="16"/>
        </w:rPr>
        <w:t xml:space="preserve"> Dokládají to i</w:t>
      </w:r>
      <w:r>
        <w:rPr>
          <w:sz w:val="16"/>
          <w:szCs w:val="16"/>
        </w:rPr>
        <w:t> </w:t>
      </w:r>
      <w:r w:rsidRPr="00465453">
        <w:rPr>
          <w:sz w:val="16"/>
          <w:szCs w:val="16"/>
        </w:rPr>
        <w:t xml:space="preserve">údaje ze segmentu filmové distribuce. Provoz kin byl </w:t>
      </w:r>
      <w:r>
        <w:rPr>
          <w:sz w:val="16"/>
          <w:szCs w:val="16"/>
        </w:rPr>
        <w:t xml:space="preserve">loni postupně obnoven </w:t>
      </w:r>
      <w:r w:rsidRPr="00465453">
        <w:rPr>
          <w:sz w:val="16"/>
          <w:szCs w:val="16"/>
        </w:rPr>
        <w:t>na přelomu května a</w:t>
      </w:r>
      <w:r>
        <w:rPr>
          <w:sz w:val="16"/>
          <w:szCs w:val="16"/>
        </w:rPr>
        <w:t> </w:t>
      </w:r>
      <w:r w:rsidRPr="00465453">
        <w:rPr>
          <w:sz w:val="16"/>
          <w:szCs w:val="16"/>
        </w:rPr>
        <w:t>června. Od července, kdy byla povolena i</w:t>
      </w:r>
      <w:r>
        <w:rPr>
          <w:sz w:val="16"/>
          <w:szCs w:val="16"/>
        </w:rPr>
        <w:t> </w:t>
      </w:r>
      <w:r w:rsidRPr="00465453">
        <w:rPr>
          <w:sz w:val="16"/>
          <w:szCs w:val="16"/>
        </w:rPr>
        <w:t xml:space="preserve">možnost občerstvení v sále, </w:t>
      </w:r>
      <w:r>
        <w:rPr>
          <w:sz w:val="16"/>
          <w:szCs w:val="16"/>
        </w:rPr>
        <w:t xml:space="preserve">se </w:t>
      </w:r>
      <w:r w:rsidRPr="00465453">
        <w:rPr>
          <w:sz w:val="16"/>
          <w:szCs w:val="16"/>
        </w:rPr>
        <w:t>počet návštěvníků začal vracet na předpandemickou úroveň. Ve 3.</w:t>
      </w:r>
      <w:r>
        <w:rPr>
          <w:sz w:val="16"/>
          <w:szCs w:val="16"/>
        </w:rPr>
        <w:t> čtvrtlet</w:t>
      </w:r>
      <w:r w:rsidRPr="00465453">
        <w:rPr>
          <w:sz w:val="16"/>
          <w:szCs w:val="16"/>
        </w:rPr>
        <w:t xml:space="preserve">í </w:t>
      </w:r>
      <w:r>
        <w:rPr>
          <w:sz w:val="16"/>
          <w:szCs w:val="16"/>
        </w:rPr>
        <w:t>tak zavítalo do kin v Česku</w:t>
      </w:r>
      <w:r w:rsidRPr="00465453">
        <w:rPr>
          <w:sz w:val="16"/>
          <w:szCs w:val="16"/>
        </w:rPr>
        <w:t xml:space="preserve"> </w:t>
      </w:r>
      <w:r>
        <w:rPr>
          <w:sz w:val="16"/>
          <w:szCs w:val="16"/>
        </w:rPr>
        <w:t xml:space="preserve">již </w:t>
      </w:r>
      <w:r w:rsidRPr="00465453">
        <w:rPr>
          <w:sz w:val="16"/>
          <w:szCs w:val="16"/>
        </w:rPr>
        <w:t>3,5</w:t>
      </w:r>
      <w:r>
        <w:rPr>
          <w:sz w:val="16"/>
          <w:szCs w:val="16"/>
        </w:rPr>
        <w:t> mil.</w:t>
      </w:r>
      <w:r w:rsidRPr="00465453">
        <w:rPr>
          <w:sz w:val="16"/>
          <w:szCs w:val="16"/>
        </w:rPr>
        <w:t xml:space="preserve"> diváků, meziročně o</w:t>
      </w:r>
      <w:r>
        <w:rPr>
          <w:sz w:val="16"/>
          <w:szCs w:val="16"/>
        </w:rPr>
        <w:t> </w:t>
      </w:r>
      <w:r w:rsidRPr="00465453">
        <w:rPr>
          <w:sz w:val="16"/>
          <w:szCs w:val="16"/>
        </w:rPr>
        <w:t>polovinu více a</w:t>
      </w:r>
      <w:r>
        <w:rPr>
          <w:sz w:val="16"/>
          <w:szCs w:val="16"/>
        </w:rPr>
        <w:t> </w:t>
      </w:r>
      <w:r w:rsidRPr="00465453">
        <w:rPr>
          <w:sz w:val="16"/>
          <w:szCs w:val="16"/>
        </w:rPr>
        <w:t>ve srovnání se shodným obdobím v roce 2019 o</w:t>
      </w:r>
      <w:r>
        <w:rPr>
          <w:sz w:val="16"/>
          <w:szCs w:val="16"/>
        </w:rPr>
        <w:t> </w:t>
      </w:r>
      <w:r w:rsidRPr="00465453">
        <w:rPr>
          <w:sz w:val="16"/>
          <w:szCs w:val="16"/>
        </w:rPr>
        <w:t>17</w:t>
      </w:r>
      <w:r>
        <w:rPr>
          <w:sz w:val="16"/>
          <w:szCs w:val="16"/>
        </w:rPr>
        <w:t> % méně. Návrat k normálu zbrzdilo znovuzavedení dílčích restrikcí na konci listopadu (povolení vstupu pouze očkovaným a lidem</w:t>
      </w:r>
      <w:r w:rsidRPr="00054BE0">
        <w:rPr>
          <w:sz w:val="16"/>
          <w:szCs w:val="16"/>
        </w:rPr>
        <w:t xml:space="preserve"> po prodělané nemoci </w:t>
      </w:r>
      <w:r>
        <w:rPr>
          <w:sz w:val="16"/>
          <w:szCs w:val="16"/>
        </w:rPr>
        <w:t>covid-</w:t>
      </w:r>
      <w:r w:rsidRPr="00054BE0">
        <w:rPr>
          <w:sz w:val="16"/>
          <w:szCs w:val="16"/>
        </w:rPr>
        <w:t>19</w:t>
      </w:r>
      <w:r>
        <w:rPr>
          <w:sz w:val="16"/>
          <w:szCs w:val="16"/>
        </w:rPr>
        <w:t>). Za celý loňský rok vystoupala návštěvnost na 7,14 mil. osob, což bylo meziročně o 12 % více, ale proti rekordnímu roku 2019 šlo o pokles o 61 %.</w:t>
      </w:r>
    </w:p>
  </w:footnote>
  <w:footnote w:id="25">
    <w:p w14:paraId="474146C8" w14:textId="77777777" w:rsidR="00F77A50" w:rsidRPr="00BE7370" w:rsidRDefault="00F77A50" w:rsidP="00F77A50">
      <w:pPr>
        <w:spacing w:after="0" w:line="240" w:lineRule="auto"/>
        <w:rPr>
          <w:spacing w:val="-2"/>
        </w:rPr>
      </w:pPr>
      <w:r w:rsidRPr="00BE7370">
        <w:rPr>
          <w:rStyle w:val="Znakapoznpodarou"/>
          <w:color w:val="0D0D0D" w:themeColor="text1" w:themeTint="F2"/>
          <w:spacing w:val="-2"/>
          <w:sz w:val="16"/>
          <w:szCs w:val="16"/>
        </w:rPr>
        <w:footnoteRef/>
      </w:r>
      <w:r w:rsidRPr="00BE7370">
        <w:rPr>
          <w:color w:val="0D0D0D" w:themeColor="text1" w:themeTint="F2"/>
          <w:spacing w:val="-2"/>
          <w:sz w:val="16"/>
          <w:szCs w:val="16"/>
        </w:rPr>
        <w:t xml:space="preserve"> Všechna meziroční tempa tržeb za maloobchod jsou uvedena ve stálých cenách a očištěna o kalendářní vlivy, mezičtvrtletní či meziměsíční tempa jsou očištěna o sezónní vlivy (včetně vlivu počtu pracovních dnů). Maloobchod zahrnuje odvětví CZ-NACE 47.</w:t>
      </w:r>
    </w:p>
  </w:footnote>
  <w:footnote w:id="26">
    <w:p w14:paraId="2E4531D0" w14:textId="77777777" w:rsidR="00F77A50" w:rsidRPr="00BE7370" w:rsidRDefault="00F77A50" w:rsidP="00F77A50">
      <w:pPr>
        <w:pStyle w:val="Textpoznpodarou"/>
        <w:jc w:val="both"/>
        <w:rPr>
          <w:spacing w:val="-4"/>
          <w:sz w:val="16"/>
          <w:szCs w:val="16"/>
        </w:rPr>
      </w:pPr>
      <w:r w:rsidRPr="00BE7370">
        <w:rPr>
          <w:rStyle w:val="Znakapoznpodarou"/>
          <w:spacing w:val="-4"/>
          <w:sz w:val="16"/>
          <w:szCs w:val="16"/>
        </w:rPr>
        <w:footnoteRef/>
      </w:r>
      <w:r>
        <w:rPr>
          <w:spacing w:val="-4"/>
          <w:sz w:val="16"/>
          <w:szCs w:val="16"/>
        </w:rPr>
        <w:t xml:space="preserve"> Z</w:t>
      </w:r>
      <w:r w:rsidRPr="00BE7370">
        <w:rPr>
          <w:spacing w:val="-4"/>
          <w:sz w:val="16"/>
          <w:szCs w:val="16"/>
        </w:rPr>
        <w:t>vy</w:t>
      </w:r>
      <w:r>
        <w:rPr>
          <w:spacing w:val="-4"/>
          <w:sz w:val="16"/>
          <w:szCs w:val="16"/>
        </w:rPr>
        <w:t>šující se důvěra spotřebitelů byla spojena s </w:t>
      </w:r>
      <w:r w:rsidRPr="00BE7370">
        <w:rPr>
          <w:spacing w:val="-4"/>
          <w:sz w:val="16"/>
          <w:szCs w:val="16"/>
        </w:rPr>
        <w:t>nízkou nezaměstnaností i</w:t>
      </w:r>
      <w:r>
        <w:rPr>
          <w:spacing w:val="-4"/>
          <w:sz w:val="16"/>
          <w:szCs w:val="16"/>
        </w:rPr>
        <w:t xml:space="preserve"> po většinu roku </w:t>
      </w:r>
      <w:r w:rsidRPr="00BE7370">
        <w:rPr>
          <w:spacing w:val="-4"/>
          <w:sz w:val="16"/>
          <w:szCs w:val="16"/>
        </w:rPr>
        <w:t>pokračujícím reálným růstem mezd (podpořeným</w:t>
      </w:r>
      <w:r>
        <w:rPr>
          <w:spacing w:val="-4"/>
          <w:sz w:val="16"/>
          <w:szCs w:val="16"/>
        </w:rPr>
        <w:t xml:space="preserve"> vyplacením</w:t>
      </w:r>
      <w:r w:rsidRPr="00BE7370">
        <w:rPr>
          <w:spacing w:val="-4"/>
          <w:sz w:val="16"/>
          <w:szCs w:val="16"/>
        </w:rPr>
        <w:t xml:space="preserve"> </w:t>
      </w:r>
      <w:r>
        <w:rPr>
          <w:spacing w:val="-4"/>
          <w:sz w:val="16"/>
          <w:szCs w:val="16"/>
        </w:rPr>
        <w:t xml:space="preserve">mimořádných </w:t>
      </w:r>
      <w:r w:rsidRPr="00BE7370">
        <w:rPr>
          <w:spacing w:val="-4"/>
          <w:sz w:val="16"/>
          <w:szCs w:val="16"/>
        </w:rPr>
        <w:t>odměn v </w:t>
      </w:r>
      <w:r>
        <w:rPr>
          <w:spacing w:val="-4"/>
          <w:sz w:val="16"/>
          <w:szCs w:val="16"/>
        </w:rPr>
        <w:t>části</w:t>
      </w:r>
      <w:r w:rsidRPr="00BE7370">
        <w:rPr>
          <w:spacing w:val="-4"/>
          <w:sz w:val="16"/>
          <w:szCs w:val="16"/>
        </w:rPr>
        <w:t xml:space="preserve"> veřejného sektoru i</w:t>
      </w:r>
      <w:r>
        <w:rPr>
          <w:spacing w:val="-4"/>
          <w:sz w:val="16"/>
          <w:szCs w:val="16"/>
        </w:rPr>
        <w:t> </w:t>
      </w:r>
      <w:r w:rsidRPr="00BE7370">
        <w:rPr>
          <w:rFonts w:cs="Arial"/>
          <w:color w:val="0D0D0D" w:themeColor="text1" w:themeTint="F2"/>
          <w:spacing w:val="-4"/>
          <w:sz w:val="16"/>
          <w:szCs w:val="16"/>
        </w:rPr>
        <w:t>nižším zdaněním výdělků). Proti rychlejší reali</w:t>
      </w:r>
      <w:r>
        <w:rPr>
          <w:rFonts w:cs="Arial"/>
          <w:color w:val="0D0D0D" w:themeColor="text1" w:themeTint="F2"/>
          <w:spacing w:val="-4"/>
          <w:sz w:val="16"/>
          <w:szCs w:val="16"/>
        </w:rPr>
        <w:t>zaci odložené spotřeby mohly na konci roku</w:t>
      </w:r>
      <w:r w:rsidRPr="00BE7370">
        <w:rPr>
          <w:rFonts w:cs="Arial"/>
          <w:color w:val="0D0D0D" w:themeColor="text1" w:themeTint="F2"/>
          <w:spacing w:val="-4"/>
          <w:sz w:val="16"/>
          <w:szCs w:val="16"/>
        </w:rPr>
        <w:t xml:space="preserve"> působit </w:t>
      </w:r>
      <w:r>
        <w:rPr>
          <w:rFonts w:cs="Arial"/>
          <w:color w:val="0D0D0D" w:themeColor="text1" w:themeTint="F2"/>
          <w:spacing w:val="-4"/>
          <w:sz w:val="16"/>
          <w:szCs w:val="16"/>
        </w:rPr>
        <w:t xml:space="preserve">nebývale </w:t>
      </w:r>
      <w:r w:rsidRPr="00BE7370">
        <w:rPr>
          <w:rFonts w:cs="Arial"/>
          <w:color w:val="0D0D0D" w:themeColor="text1" w:themeTint="F2"/>
          <w:spacing w:val="-4"/>
          <w:sz w:val="16"/>
          <w:szCs w:val="16"/>
        </w:rPr>
        <w:t>vysoké obavy lidí z růstu cen, kter</w:t>
      </w:r>
      <w:r>
        <w:rPr>
          <w:rFonts w:cs="Arial"/>
          <w:color w:val="0D0D0D" w:themeColor="text1" w:themeTint="F2"/>
          <w:spacing w:val="-4"/>
          <w:sz w:val="16"/>
          <w:szCs w:val="16"/>
        </w:rPr>
        <w:t>é měly oporu i v reálné ekonomice</w:t>
      </w:r>
      <w:r w:rsidRPr="00BE7370">
        <w:rPr>
          <w:rFonts w:cs="Arial"/>
          <w:color w:val="0D0D0D" w:themeColor="text1" w:themeTint="F2"/>
          <w:spacing w:val="-4"/>
          <w:sz w:val="16"/>
          <w:szCs w:val="16"/>
        </w:rPr>
        <w:t>.</w:t>
      </w:r>
    </w:p>
  </w:footnote>
  <w:footnote w:id="27">
    <w:p w14:paraId="2F94B328" w14:textId="77777777" w:rsidR="00F77A50" w:rsidRPr="00395B8D" w:rsidRDefault="00F77A50" w:rsidP="00F77A50">
      <w:pPr>
        <w:pStyle w:val="Textpoznpodarou"/>
        <w:jc w:val="both"/>
        <w:rPr>
          <w:spacing w:val="-2"/>
          <w:sz w:val="16"/>
          <w:szCs w:val="16"/>
        </w:rPr>
      </w:pPr>
      <w:r w:rsidRPr="00BE7370">
        <w:rPr>
          <w:rStyle w:val="Znakapoznpodarou"/>
          <w:spacing w:val="-2"/>
          <w:sz w:val="16"/>
          <w:szCs w:val="16"/>
        </w:rPr>
        <w:footnoteRef/>
      </w:r>
      <w:r w:rsidRPr="00BE7370">
        <w:rPr>
          <w:spacing w:val="-2"/>
          <w:sz w:val="16"/>
          <w:szCs w:val="16"/>
        </w:rPr>
        <w:t xml:space="preserve"> </w:t>
      </w:r>
      <w:r>
        <w:rPr>
          <w:spacing w:val="-2"/>
          <w:sz w:val="16"/>
          <w:szCs w:val="16"/>
        </w:rPr>
        <w:t>Podobně jako v roce 2020 tak zaznamenaly mírně slabší tempo než v EU i eurozóně. Loni vzrostly maloobchodní tržby</w:t>
      </w:r>
      <w:r w:rsidRPr="00BE7370">
        <w:rPr>
          <w:spacing w:val="-2"/>
          <w:sz w:val="16"/>
          <w:szCs w:val="16"/>
        </w:rPr>
        <w:t xml:space="preserve"> v EU </w:t>
      </w:r>
      <w:r>
        <w:rPr>
          <w:spacing w:val="-2"/>
          <w:sz w:val="16"/>
          <w:szCs w:val="16"/>
        </w:rPr>
        <w:t>o 5,5 % a</w:t>
      </w:r>
      <w:r>
        <w:rPr>
          <w:sz w:val="16"/>
          <w:szCs w:val="16"/>
        </w:rPr>
        <w:t> </w:t>
      </w:r>
      <w:r>
        <w:rPr>
          <w:spacing w:val="-2"/>
          <w:sz w:val="16"/>
          <w:szCs w:val="16"/>
        </w:rPr>
        <w:t>v</w:t>
      </w:r>
      <w:r>
        <w:rPr>
          <w:sz w:val="16"/>
          <w:szCs w:val="16"/>
        </w:rPr>
        <w:t> </w:t>
      </w:r>
      <w:r>
        <w:rPr>
          <w:spacing w:val="-2"/>
          <w:sz w:val="16"/>
          <w:szCs w:val="16"/>
        </w:rPr>
        <w:t>eurozóně o 5,0 %</w:t>
      </w:r>
      <w:r w:rsidRPr="00BE7370">
        <w:rPr>
          <w:spacing w:val="-2"/>
          <w:sz w:val="16"/>
          <w:szCs w:val="16"/>
        </w:rPr>
        <w:t xml:space="preserve">. </w:t>
      </w:r>
      <w:r>
        <w:rPr>
          <w:spacing w:val="-2"/>
          <w:sz w:val="16"/>
          <w:szCs w:val="16"/>
        </w:rPr>
        <w:t xml:space="preserve">Nejvíce tržby posílily ve Slovinsku (+18,9 %), Litvě (+12,9 %) a Bulharsku (+12,2 %), z větších ekonomik pak ve Francii (+9,7 %), Polsku (+9,3 %) a Itálii (+8,2 %). Méně vzrostly tržby na Slovensku (+1,3 %) a také v Německu (+0,9 %), kde ovšem vykázaly nezvykle silný růst v roce 2020 (+4,4 %) – nejvyšší v celé Unii. </w:t>
      </w:r>
      <w:r w:rsidRPr="00BE7370">
        <w:rPr>
          <w:spacing w:val="-2"/>
          <w:sz w:val="16"/>
          <w:szCs w:val="16"/>
        </w:rPr>
        <w:t xml:space="preserve">Tržby za potraviny klesly </w:t>
      </w:r>
      <w:r>
        <w:rPr>
          <w:spacing w:val="-2"/>
          <w:sz w:val="16"/>
          <w:szCs w:val="16"/>
        </w:rPr>
        <w:t>loni kromě Česka</w:t>
      </w:r>
      <w:r w:rsidRPr="00BE7370">
        <w:rPr>
          <w:spacing w:val="-2"/>
          <w:sz w:val="16"/>
          <w:szCs w:val="16"/>
        </w:rPr>
        <w:t xml:space="preserve"> </w:t>
      </w:r>
      <w:r>
        <w:rPr>
          <w:spacing w:val="-2"/>
          <w:sz w:val="16"/>
          <w:szCs w:val="16"/>
        </w:rPr>
        <w:t xml:space="preserve">již jen v dalších pěti státech </w:t>
      </w:r>
      <w:r w:rsidRPr="00BE7370">
        <w:rPr>
          <w:spacing w:val="-2"/>
          <w:sz w:val="16"/>
          <w:szCs w:val="16"/>
        </w:rPr>
        <w:t>U</w:t>
      </w:r>
      <w:r>
        <w:rPr>
          <w:spacing w:val="-2"/>
          <w:sz w:val="16"/>
          <w:szCs w:val="16"/>
        </w:rPr>
        <w:t>nie (například v Polsku i Německu). N</w:t>
      </w:r>
      <w:r w:rsidRPr="00BE7370">
        <w:rPr>
          <w:spacing w:val="-2"/>
          <w:sz w:val="16"/>
          <w:szCs w:val="16"/>
        </w:rPr>
        <w:t>aopak tuzemský růst tržeb za nepotravi</w:t>
      </w:r>
      <w:r>
        <w:rPr>
          <w:spacing w:val="-2"/>
          <w:sz w:val="16"/>
          <w:szCs w:val="16"/>
        </w:rPr>
        <w:t xml:space="preserve">nářské </w:t>
      </w:r>
      <w:r w:rsidRPr="00360244">
        <w:rPr>
          <w:spacing w:val="-2"/>
          <w:sz w:val="16"/>
          <w:szCs w:val="16"/>
        </w:rPr>
        <w:t>zboží se pohyboval blízko úrovně</w:t>
      </w:r>
      <w:r>
        <w:rPr>
          <w:spacing w:val="-2"/>
          <w:sz w:val="16"/>
          <w:szCs w:val="16"/>
        </w:rPr>
        <w:t> </w:t>
      </w:r>
      <w:r w:rsidRPr="00360244">
        <w:rPr>
          <w:spacing w:val="-2"/>
          <w:sz w:val="16"/>
          <w:szCs w:val="16"/>
        </w:rPr>
        <w:t>EU (8,3</w:t>
      </w:r>
      <w:r>
        <w:rPr>
          <w:spacing w:val="-2"/>
          <w:sz w:val="16"/>
          <w:szCs w:val="16"/>
        </w:rPr>
        <w:t> %</w:t>
      </w:r>
      <w:r w:rsidRPr="00360244">
        <w:rPr>
          <w:spacing w:val="-2"/>
          <w:sz w:val="16"/>
          <w:szCs w:val="16"/>
        </w:rPr>
        <w:t>).</w:t>
      </w:r>
    </w:p>
  </w:footnote>
  <w:footnote w:id="28">
    <w:p w14:paraId="76A9E104" w14:textId="77777777" w:rsidR="00F77A50" w:rsidRPr="00360244" w:rsidRDefault="00F77A50" w:rsidP="00F77A50">
      <w:pPr>
        <w:pStyle w:val="Textpoznpodarou"/>
        <w:jc w:val="both"/>
        <w:rPr>
          <w:sz w:val="16"/>
          <w:szCs w:val="16"/>
        </w:rPr>
      </w:pPr>
      <w:r w:rsidRPr="00360244">
        <w:rPr>
          <w:rStyle w:val="Znakapoznpodarou"/>
          <w:sz w:val="16"/>
          <w:szCs w:val="16"/>
        </w:rPr>
        <w:footnoteRef/>
      </w:r>
      <w:r w:rsidRPr="00360244">
        <w:rPr>
          <w:sz w:val="16"/>
          <w:szCs w:val="16"/>
        </w:rPr>
        <w:t xml:space="preserve"> </w:t>
      </w:r>
      <w:r w:rsidRPr="00360244">
        <w:rPr>
          <w:rFonts w:cs="Arial"/>
          <w:color w:val="0D0D0D" w:themeColor="text1" w:themeTint="F2"/>
          <w:spacing w:val="-4"/>
          <w:sz w:val="16"/>
          <w:szCs w:val="16"/>
        </w:rPr>
        <w:t>Proti růstu spotřeby mohly na konci loňského roku působit i</w:t>
      </w:r>
      <w:r>
        <w:rPr>
          <w:rFonts w:cs="Arial"/>
          <w:color w:val="0D0D0D" w:themeColor="text1" w:themeTint="F2"/>
          <w:spacing w:val="-4"/>
          <w:sz w:val="16"/>
          <w:szCs w:val="16"/>
        </w:rPr>
        <w:t> </w:t>
      </w:r>
      <w:r w:rsidRPr="00360244">
        <w:rPr>
          <w:rFonts w:cs="Arial"/>
          <w:color w:val="0D0D0D" w:themeColor="text1" w:themeTint="F2"/>
          <w:spacing w:val="-4"/>
          <w:sz w:val="16"/>
          <w:szCs w:val="16"/>
        </w:rPr>
        <w:t xml:space="preserve">rostoucí spotřebitelské ceny pohonných hmot. </w:t>
      </w:r>
      <w:r w:rsidRPr="00360244">
        <w:rPr>
          <w:spacing w:val="-2"/>
          <w:sz w:val="16"/>
          <w:szCs w:val="16"/>
        </w:rPr>
        <w:t>Například Natural 95 se v listopadu u čerpacích stanic prodával průměrně za</w:t>
      </w:r>
      <w:r>
        <w:rPr>
          <w:spacing w:val="-2"/>
          <w:sz w:val="16"/>
          <w:szCs w:val="16"/>
        </w:rPr>
        <w:t xml:space="preserve"> </w:t>
      </w:r>
      <w:r w:rsidRPr="00360244">
        <w:rPr>
          <w:spacing w:val="-2"/>
          <w:sz w:val="16"/>
          <w:szCs w:val="16"/>
        </w:rPr>
        <w:t>zhruba 37 korun za</w:t>
      </w:r>
      <w:r>
        <w:rPr>
          <w:spacing w:val="-2"/>
          <w:sz w:val="16"/>
          <w:szCs w:val="16"/>
        </w:rPr>
        <w:t xml:space="preserve"> </w:t>
      </w:r>
      <w:r w:rsidRPr="00360244">
        <w:rPr>
          <w:spacing w:val="-2"/>
          <w:sz w:val="16"/>
          <w:szCs w:val="16"/>
        </w:rPr>
        <w:t>litr, což byla nejvyšší hodnota od</w:t>
      </w:r>
      <w:r>
        <w:rPr>
          <w:spacing w:val="-2"/>
          <w:sz w:val="16"/>
          <w:szCs w:val="16"/>
        </w:rPr>
        <w:t xml:space="preserve"> </w:t>
      </w:r>
      <w:r w:rsidRPr="00360244">
        <w:rPr>
          <w:spacing w:val="-2"/>
          <w:sz w:val="16"/>
          <w:szCs w:val="16"/>
        </w:rPr>
        <w:t>října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CD7E9E" w:rsidRDefault="00CD7E9E" w:rsidP="00937AE2">
    <w:pPr>
      <w:pStyle w:val="Zhlav"/>
    </w:pPr>
    <w:r>
      <w:t>Vývoj ekonomiky České republiky</w:t>
    </w:r>
  </w:p>
  <w:p w14:paraId="3E881AB3" w14:textId="77777777" w:rsidR="00CD7E9E" w:rsidRPr="006F5416" w:rsidRDefault="00CD7E9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CD7E9E" w:rsidRDefault="00CD7E9E" w:rsidP="00937AE2">
    <w:pPr>
      <w:pStyle w:val="Zhlav"/>
    </w:pPr>
    <w:r>
      <w:t>Vývoj ekonomiky České republiky</w:t>
    </w:r>
  </w:p>
  <w:p w14:paraId="57266714" w14:textId="77777777" w:rsidR="00CD7E9E" w:rsidRPr="006F5416" w:rsidRDefault="00CD7E9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A"/>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33F"/>
    <w:rsid w:val="00065348"/>
    <w:rsid w:val="0006551C"/>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753"/>
    <w:rsid w:val="000A6D94"/>
    <w:rsid w:val="000A7377"/>
    <w:rsid w:val="000A74A4"/>
    <w:rsid w:val="000A775A"/>
    <w:rsid w:val="000A7FF4"/>
    <w:rsid w:val="000B03CC"/>
    <w:rsid w:val="000B4212"/>
    <w:rsid w:val="000B67B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D0A26"/>
    <w:rsid w:val="000D13CB"/>
    <w:rsid w:val="000D2196"/>
    <w:rsid w:val="000D3058"/>
    <w:rsid w:val="000D310A"/>
    <w:rsid w:val="000D3EF4"/>
    <w:rsid w:val="000D4761"/>
    <w:rsid w:val="000D4DC0"/>
    <w:rsid w:val="000D55BA"/>
    <w:rsid w:val="000D5637"/>
    <w:rsid w:val="000D5A03"/>
    <w:rsid w:val="000D5ED3"/>
    <w:rsid w:val="000D6F4E"/>
    <w:rsid w:val="000D6FDA"/>
    <w:rsid w:val="000D73BB"/>
    <w:rsid w:val="000E0E96"/>
    <w:rsid w:val="000E298B"/>
    <w:rsid w:val="000E2C7D"/>
    <w:rsid w:val="000E3E56"/>
    <w:rsid w:val="000E440D"/>
    <w:rsid w:val="000E4AC5"/>
    <w:rsid w:val="000E6253"/>
    <w:rsid w:val="000E6AC4"/>
    <w:rsid w:val="000E6E4D"/>
    <w:rsid w:val="000E6FBD"/>
    <w:rsid w:val="000E6FCB"/>
    <w:rsid w:val="000F090B"/>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07124"/>
    <w:rsid w:val="0011038E"/>
    <w:rsid w:val="00111573"/>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ADC"/>
    <w:rsid w:val="00130D9F"/>
    <w:rsid w:val="00132C4D"/>
    <w:rsid w:val="00133FC1"/>
    <w:rsid w:val="00134659"/>
    <w:rsid w:val="00135111"/>
    <w:rsid w:val="00136A6F"/>
    <w:rsid w:val="00136C1A"/>
    <w:rsid w:val="001405FA"/>
    <w:rsid w:val="00140D1A"/>
    <w:rsid w:val="00141184"/>
    <w:rsid w:val="00141315"/>
    <w:rsid w:val="00141AA0"/>
    <w:rsid w:val="001425C3"/>
    <w:rsid w:val="0014262D"/>
    <w:rsid w:val="00142B29"/>
    <w:rsid w:val="00144108"/>
    <w:rsid w:val="00144588"/>
    <w:rsid w:val="001447DD"/>
    <w:rsid w:val="00145358"/>
    <w:rsid w:val="001459BC"/>
    <w:rsid w:val="00150ECA"/>
    <w:rsid w:val="00151707"/>
    <w:rsid w:val="00152C86"/>
    <w:rsid w:val="00152F4F"/>
    <w:rsid w:val="0015329F"/>
    <w:rsid w:val="001544A1"/>
    <w:rsid w:val="001553B8"/>
    <w:rsid w:val="001554C2"/>
    <w:rsid w:val="001571C0"/>
    <w:rsid w:val="0015753D"/>
    <w:rsid w:val="00157984"/>
    <w:rsid w:val="00157CC9"/>
    <w:rsid w:val="00160C21"/>
    <w:rsid w:val="001612F4"/>
    <w:rsid w:val="00161553"/>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158D"/>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1BB5"/>
    <w:rsid w:val="001C2732"/>
    <w:rsid w:val="001C31A2"/>
    <w:rsid w:val="001C351D"/>
    <w:rsid w:val="001C3794"/>
    <w:rsid w:val="001C4B8F"/>
    <w:rsid w:val="001C4BB8"/>
    <w:rsid w:val="001C4FD0"/>
    <w:rsid w:val="001C544D"/>
    <w:rsid w:val="001C5E46"/>
    <w:rsid w:val="001C6B3B"/>
    <w:rsid w:val="001C7A26"/>
    <w:rsid w:val="001C7E3F"/>
    <w:rsid w:val="001D0EF1"/>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CD3"/>
    <w:rsid w:val="001F75DA"/>
    <w:rsid w:val="001F7CE0"/>
    <w:rsid w:val="00200085"/>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F89"/>
    <w:rsid w:val="0035506D"/>
    <w:rsid w:val="0036077F"/>
    <w:rsid w:val="00360C86"/>
    <w:rsid w:val="00360F7A"/>
    <w:rsid w:val="00360FBC"/>
    <w:rsid w:val="00361537"/>
    <w:rsid w:val="00361759"/>
    <w:rsid w:val="00361FB7"/>
    <w:rsid w:val="0036242A"/>
    <w:rsid w:val="00362C23"/>
    <w:rsid w:val="00362DCA"/>
    <w:rsid w:val="00362E90"/>
    <w:rsid w:val="00364FA0"/>
    <w:rsid w:val="003657F3"/>
    <w:rsid w:val="00365844"/>
    <w:rsid w:val="0036624C"/>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E8"/>
    <w:rsid w:val="003C3D2C"/>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1"/>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2470E"/>
    <w:rsid w:val="00425352"/>
    <w:rsid w:val="00426C99"/>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6FE5"/>
    <w:rsid w:val="00457490"/>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A1B"/>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19E2"/>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7C1"/>
    <w:rsid w:val="00601ADE"/>
    <w:rsid w:val="00601EEF"/>
    <w:rsid w:val="0060255A"/>
    <w:rsid w:val="00602998"/>
    <w:rsid w:val="00602EB3"/>
    <w:rsid w:val="00604307"/>
    <w:rsid w:val="0060487F"/>
    <w:rsid w:val="00604EAD"/>
    <w:rsid w:val="0060513F"/>
    <w:rsid w:val="0060523C"/>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34E5"/>
    <w:rsid w:val="0074499B"/>
    <w:rsid w:val="007450BF"/>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348B"/>
    <w:rsid w:val="007743DB"/>
    <w:rsid w:val="00774D2C"/>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0F6B"/>
    <w:rsid w:val="007D14FE"/>
    <w:rsid w:val="007D1A1F"/>
    <w:rsid w:val="007D213B"/>
    <w:rsid w:val="007D2E18"/>
    <w:rsid w:val="007D40DF"/>
    <w:rsid w:val="007D42E5"/>
    <w:rsid w:val="007D4458"/>
    <w:rsid w:val="007D6AF9"/>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E0001"/>
    <w:rsid w:val="008E039E"/>
    <w:rsid w:val="008E292B"/>
    <w:rsid w:val="008E2C57"/>
    <w:rsid w:val="008E31FF"/>
    <w:rsid w:val="008E3287"/>
    <w:rsid w:val="008E38E4"/>
    <w:rsid w:val="008E3DFA"/>
    <w:rsid w:val="008E51EB"/>
    <w:rsid w:val="008E5746"/>
    <w:rsid w:val="008E6DCB"/>
    <w:rsid w:val="008E6F06"/>
    <w:rsid w:val="008E7000"/>
    <w:rsid w:val="008E723E"/>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1D45"/>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530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E4"/>
    <w:rsid w:val="00A06F99"/>
    <w:rsid w:val="00A1053B"/>
    <w:rsid w:val="00A10D66"/>
    <w:rsid w:val="00A113A4"/>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100"/>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21DF"/>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DA1"/>
    <w:rsid w:val="00CA1BD6"/>
    <w:rsid w:val="00CA37FF"/>
    <w:rsid w:val="00CA423A"/>
    <w:rsid w:val="00CA47BC"/>
    <w:rsid w:val="00CA5EAD"/>
    <w:rsid w:val="00CA6AB4"/>
    <w:rsid w:val="00CA7255"/>
    <w:rsid w:val="00CB111E"/>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14EF"/>
    <w:rsid w:val="00D215B0"/>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3C4"/>
    <w:rsid w:val="00D5384E"/>
    <w:rsid w:val="00D544E7"/>
    <w:rsid w:val="00D5499F"/>
    <w:rsid w:val="00D5560A"/>
    <w:rsid w:val="00D56FBF"/>
    <w:rsid w:val="00D57677"/>
    <w:rsid w:val="00D5781F"/>
    <w:rsid w:val="00D60415"/>
    <w:rsid w:val="00D60E3C"/>
    <w:rsid w:val="00D60FA7"/>
    <w:rsid w:val="00D61FAB"/>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CBB"/>
    <w:rsid w:val="00DC17D0"/>
    <w:rsid w:val="00DC1E5D"/>
    <w:rsid w:val="00DC2B41"/>
    <w:rsid w:val="00DC2EA7"/>
    <w:rsid w:val="00DC3128"/>
    <w:rsid w:val="00DC435B"/>
    <w:rsid w:val="00DC4AC4"/>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3E5D"/>
    <w:rsid w:val="00DE450F"/>
    <w:rsid w:val="00DE4865"/>
    <w:rsid w:val="00DE5CA6"/>
    <w:rsid w:val="00DE5E55"/>
    <w:rsid w:val="00DE715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2618"/>
    <w:rsid w:val="00E82A42"/>
    <w:rsid w:val="00E84E09"/>
    <w:rsid w:val="00E87CE2"/>
    <w:rsid w:val="00E90CA8"/>
    <w:rsid w:val="00E911C6"/>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5517"/>
    <w:rsid w:val="00EC6E8C"/>
    <w:rsid w:val="00ED0EF0"/>
    <w:rsid w:val="00ED12B9"/>
    <w:rsid w:val="00ED16B8"/>
    <w:rsid w:val="00ED1959"/>
    <w:rsid w:val="00ED1A00"/>
    <w:rsid w:val="00ED1DF0"/>
    <w:rsid w:val="00ED2386"/>
    <w:rsid w:val="00ED2EA1"/>
    <w:rsid w:val="00ED3851"/>
    <w:rsid w:val="00ED3E51"/>
    <w:rsid w:val="00ED3F10"/>
    <w:rsid w:val="00ED3F9B"/>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A4D"/>
    <w:rsid w:val="00F91B66"/>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1136"/>
    <w:rsid w:val="00FF3D76"/>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36"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ODV&#282;TV&#205;\Odv&#283;tv&#237;%20grafy-celorok-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Q%20makro-2021\celorok%202021\ODV&#282;TV&#205;\Odv&#283;tv&#237;%20grafy-celorok-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ODV&#282;TV&#205;\Odv&#283;tv&#237;%20grafy-celorok-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ODV&#282;TV&#205;\Odv&#283;tv&#237;%20grafy-celorok-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Celorok\ODV&#282;TV&#205;\Odv&#283;tv&#237;%20grafy-celorok-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64570317024053E-2"/>
          <c:y val="1.6203564535994225E-2"/>
          <c:w val="0.93146421518997324"/>
          <c:h val="0.72261665159978317"/>
        </c:manualLayout>
      </c:layout>
      <c:barChart>
        <c:barDir val="col"/>
        <c:grouping val="stacked"/>
        <c:varyColors val="0"/>
        <c:ser>
          <c:idx val="0"/>
          <c:order val="0"/>
          <c:tx>
            <c:strRef>
              <c:f>'GRAF příspěvky IPP'!$AX$27</c:f>
              <c:strCache>
                <c:ptCount val="1"/>
                <c:pt idx="0">
                  <c:v>Výroba dopravních prostředků (29, 30)</c:v>
                </c:pt>
              </c:strCache>
            </c:strRef>
          </c:tx>
          <c:spPr>
            <a:solidFill>
              <a:srgbClr val="E8AFB2"/>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IPP'!$AY$27:$BI$27</c:f>
              <c:numCache>
                <c:formatCode>0.0</c:formatCode>
                <c:ptCount val="11"/>
                <c:pt idx="0">
                  <c:v>4.0187040552281479</c:v>
                </c:pt>
                <c:pt idx="1">
                  <c:v>0.27559267265750659</c:v>
                </c:pt>
                <c:pt idx="2">
                  <c:v>-0.37158555124836035</c:v>
                </c:pt>
                <c:pt idx="3">
                  <c:v>2.2485645301168762</c:v>
                </c:pt>
                <c:pt idx="4">
                  <c:v>2.2460585189047308</c:v>
                </c:pt>
                <c:pt idx="5">
                  <c:v>2.1324764387372728</c:v>
                </c:pt>
                <c:pt idx="6">
                  <c:v>1.7874918438614782</c:v>
                </c:pt>
                <c:pt idx="7">
                  <c:v>0.63356806260005483</c:v>
                </c:pt>
                <c:pt idx="8">
                  <c:v>-1.6681964490201845E-2</c:v>
                </c:pt>
                <c:pt idx="9">
                  <c:v>-2.3389403330391949</c:v>
                </c:pt>
                <c:pt idx="10">
                  <c:v>1.1004281540367753</c:v>
                </c:pt>
              </c:numCache>
            </c:numRef>
          </c:val>
          <c:extLst>
            <c:ext xmlns:c16="http://schemas.microsoft.com/office/drawing/2014/chart" uri="{C3380CC4-5D6E-409C-BE32-E72D297353CC}">
              <c16:uniqueId val="{00000000-BBF1-4FAD-8669-4A4EE11445E6}"/>
            </c:ext>
          </c:extLst>
        </c:ser>
        <c:ser>
          <c:idx val="1"/>
          <c:order val="1"/>
          <c:tx>
            <c:strRef>
              <c:f>'GRAF příspěvky IPP'!$AX$28</c:f>
              <c:strCache>
                <c:ptCount val="1"/>
                <c:pt idx="0">
                  <c:v>Gumárenství, elektrotechnický pr. (22, 27)</c:v>
                </c:pt>
              </c:strCache>
            </c:strRef>
          </c:tx>
          <c:spPr>
            <a:solidFill>
              <a:srgbClr val="BD1B21"/>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IPP'!$AY$28:$BI$28</c:f>
              <c:numCache>
                <c:formatCode>0.0</c:formatCode>
                <c:ptCount val="11"/>
                <c:pt idx="0">
                  <c:v>1.0561338774336075</c:v>
                </c:pt>
                <c:pt idx="1">
                  <c:v>0.51953008943111678</c:v>
                </c:pt>
                <c:pt idx="2">
                  <c:v>8.9765115816348898E-2</c:v>
                </c:pt>
                <c:pt idx="3">
                  <c:v>0.86871515925583642</c:v>
                </c:pt>
                <c:pt idx="4">
                  <c:v>1.0707625358782411</c:v>
                </c:pt>
                <c:pt idx="5">
                  <c:v>0.41910973360039355</c:v>
                </c:pt>
                <c:pt idx="6">
                  <c:v>1.2013053357731418</c:v>
                </c:pt>
                <c:pt idx="7">
                  <c:v>0.4166398902590383</c:v>
                </c:pt>
                <c:pt idx="8">
                  <c:v>0.39132458065509379</c:v>
                </c:pt>
                <c:pt idx="9">
                  <c:v>-1.1404766766641485</c:v>
                </c:pt>
                <c:pt idx="10">
                  <c:v>1.4189264847146648</c:v>
                </c:pt>
              </c:numCache>
            </c:numRef>
          </c:val>
          <c:extLst>
            <c:ext xmlns:c16="http://schemas.microsoft.com/office/drawing/2014/chart" uri="{C3380CC4-5D6E-409C-BE32-E72D297353CC}">
              <c16:uniqueId val="{00000001-BBF1-4FAD-8669-4A4EE11445E6}"/>
            </c:ext>
          </c:extLst>
        </c:ser>
        <c:ser>
          <c:idx val="2"/>
          <c:order val="2"/>
          <c:tx>
            <c:strRef>
              <c:f>'GRAF příspěvky IPP'!$AX$29</c:f>
              <c:strCache>
                <c:ptCount val="1"/>
                <c:pt idx="0">
                  <c:v>Strojírenství (28)</c:v>
                </c:pt>
              </c:strCache>
            </c:strRef>
          </c:tx>
          <c:spPr>
            <a:solidFill>
              <a:srgbClr val="BFE3F7"/>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IPP'!$AY$29:$BI$29</c:f>
              <c:numCache>
                <c:formatCode>0.0</c:formatCode>
                <c:ptCount val="11"/>
                <c:pt idx="0">
                  <c:v>0.8820149645239056</c:v>
                </c:pt>
                <c:pt idx="1">
                  <c:v>0.2125728670028548</c:v>
                </c:pt>
                <c:pt idx="2">
                  <c:v>0.23027863853480524</c:v>
                </c:pt>
                <c:pt idx="3">
                  <c:v>0.29059305239257294</c:v>
                </c:pt>
                <c:pt idx="4">
                  <c:v>0.23933737728389862</c:v>
                </c:pt>
                <c:pt idx="5">
                  <c:v>0.19993549519672627</c:v>
                </c:pt>
                <c:pt idx="6">
                  <c:v>0.77144546321235496</c:v>
                </c:pt>
                <c:pt idx="7">
                  <c:v>0.14757910886737832</c:v>
                </c:pt>
                <c:pt idx="8">
                  <c:v>-6.8544223250247643E-2</c:v>
                </c:pt>
                <c:pt idx="9">
                  <c:v>-1.0549511596336691</c:v>
                </c:pt>
                <c:pt idx="10">
                  <c:v>0.68346484072350966</c:v>
                </c:pt>
              </c:numCache>
            </c:numRef>
          </c:val>
          <c:extLst>
            <c:ext xmlns:c16="http://schemas.microsoft.com/office/drawing/2014/chart" uri="{C3380CC4-5D6E-409C-BE32-E72D297353CC}">
              <c16:uniqueId val="{00000002-BBF1-4FAD-8669-4A4EE11445E6}"/>
            </c:ext>
          </c:extLst>
        </c:ser>
        <c:ser>
          <c:idx val="3"/>
          <c:order val="3"/>
          <c:tx>
            <c:strRef>
              <c:f>'GRAF příspěvky IPP'!$AX$30</c:f>
              <c:strCache>
                <c:ptCount val="1"/>
                <c:pt idx="0">
                  <c:v>Kovodělný průmysl (25)</c:v>
                </c:pt>
              </c:strCache>
            </c:strRef>
          </c:tx>
          <c:spPr>
            <a:solidFill>
              <a:srgbClr val="48AEE7"/>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IPP'!$AY$30:$BI$30</c:f>
              <c:numCache>
                <c:formatCode>0.0</c:formatCode>
                <c:ptCount val="11"/>
                <c:pt idx="0">
                  <c:v>0.47004717942139845</c:v>
                </c:pt>
                <c:pt idx="1">
                  <c:v>-5.3181834799391946E-2</c:v>
                </c:pt>
                <c:pt idx="2">
                  <c:v>0.23405360592326518</c:v>
                </c:pt>
                <c:pt idx="3">
                  <c:v>0.46286075204908445</c:v>
                </c:pt>
                <c:pt idx="4">
                  <c:v>0.76209689214442877</c:v>
                </c:pt>
                <c:pt idx="5">
                  <c:v>0.41678082791308829</c:v>
                </c:pt>
                <c:pt idx="6">
                  <c:v>0.78822249468106176</c:v>
                </c:pt>
                <c:pt idx="7">
                  <c:v>0.41632616980289383</c:v>
                </c:pt>
                <c:pt idx="8">
                  <c:v>-8.2911895741773378E-2</c:v>
                </c:pt>
                <c:pt idx="9">
                  <c:v>-0.78431333347895049</c:v>
                </c:pt>
                <c:pt idx="10">
                  <c:v>0.94371847243509843</c:v>
                </c:pt>
              </c:numCache>
            </c:numRef>
          </c:val>
          <c:extLst>
            <c:ext xmlns:c16="http://schemas.microsoft.com/office/drawing/2014/chart" uri="{C3380CC4-5D6E-409C-BE32-E72D297353CC}">
              <c16:uniqueId val="{00000003-BBF1-4FAD-8669-4A4EE11445E6}"/>
            </c:ext>
          </c:extLst>
        </c:ser>
        <c:ser>
          <c:idx val="4"/>
          <c:order val="4"/>
          <c:tx>
            <c:strRef>
              <c:f>'GRAF příspěvky IPP'!$AX$31</c:f>
              <c:strCache>
                <c:ptCount val="1"/>
                <c:pt idx="0">
                  <c:v>Hutnictví a slévárenství (24)</c:v>
                </c:pt>
              </c:strCache>
            </c:strRef>
          </c:tx>
          <c:spPr>
            <a:solidFill>
              <a:schemeClr val="accent3">
                <a:lumMod val="60000"/>
                <a:lumOff val="40000"/>
              </a:schemeClr>
            </a:solidFill>
            <a:ln>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IPP'!$AY$31:$BI$31</c:f>
              <c:numCache>
                <c:formatCode>0.0</c:formatCode>
                <c:ptCount val="11"/>
                <c:pt idx="0">
                  <c:v>0.2491058058288774</c:v>
                </c:pt>
                <c:pt idx="1">
                  <c:v>-0.33307225245083977</c:v>
                </c:pt>
                <c:pt idx="2">
                  <c:v>-5.2176280362576835E-2</c:v>
                </c:pt>
                <c:pt idx="3">
                  <c:v>9.1339936160471216E-2</c:v>
                </c:pt>
                <c:pt idx="4">
                  <c:v>-2.7582546328035994E-2</c:v>
                </c:pt>
                <c:pt idx="5">
                  <c:v>-3.5044086544851936E-2</c:v>
                </c:pt>
                <c:pt idx="6">
                  <c:v>-1.565550398235557E-2</c:v>
                </c:pt>
                <c:pt idx="7">
                  <c:v>8.0798811896574452E-2</c:v>
                </c:pt>
                <c:pt idx="8">
                  <c:v>-0.1773347710162278</c:v>
                </c:pt>
                <c:pt idx="9">
                  <c:v>-0.19482322473097899</c:v>
                </c:pt>
                <c:pt idx="10">
                  <c:v>0.31711489095879841</c:v>
                </c:pt>
              </c:numCache>
            </c:numRef>
          </c:val>
          <c:extLst>
            <c:ext xmlns:c16="http://schemas.microsoft.com/office/drawing/2014/chart" uri="{C3380CC4-5D6E-409C-BE32-E72D297353CC}">
              <c16:uniqueId val="{00000004-BBF1-4FAD-8669-4A4EE11445E6}"/>
            </c:ext>
          </c:extLst>
        </c:ser>
        <c:ser>
          <c:idx val="5"/>
          <c:order val="5"/>
          <c:tx>
            <c:strRef>
              <c:f>'GRAF příspěvky IPP'!$AX$32</c:f>
              <c:strCache>
                <c:ptCount val="1"/>
                <c:pt idx="0">
                  <c:v>Potravinářství a výroba nápojů (10, 11)</c:v>
                </c:pt>
              </c:strCache>
            </c:strRef>
          </c:tx>
          <c:spPr>
            <a:solidFill>
              <a:srgbClr val="92D050"/>
            </a:solidFill>
            <a:ln>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IPP'!$AY$32:$BI$32</c:f>
              <c:numCache>
                <c:formatCode>0.0</c:formatCode>
                <c:ptCount val="11"/>
                <c:pt idx="0">
                  <c:v>-0.10542549630649267</c:v>
                </c:pt>
                <c:pt idx="1">
                  <c:v>-9.8011923889022134E-2</c:v>
                </c:pt>
                <c:pt idx="2">
                  <c:v>-2.4691684344032211E-2</c:v>
                </c:pt>
                <c:pt idx="3">
                  <c:v>0.22632803152498732</c:v>
                </c:pt>
                <c:pt idx="4">
                  <c:v>0.2993124834917591</c:v>
                </c:pt>
                <c:pt idx="5">
                  <c:v>-1.0074757355259353E-2</c:v>
                </c:pt>
                <c:pt idx="6">
                  <c:v>0.13122571493171567</c:v>
                </c:pt>
                <c:pt idx="7">
                  <c:v>0.24105770459303671</c:v>
                </c:pt>
                <c:pt idx="8">
                  <c:v>4.50431383558988E-2</c:v>
                </c:pt>
                <c:pt idx="9">
                  <c:v>-0.13605811055761927</c:v>
                </c:pt>
                <c:pt idx="10">
                  <c:v>0.28282315383098583</c:v>
                </c:pt>
              </c:numCache>
            </c:numRef>
          </c:val>
          <c:extLst>
            <c:ext xmlns:c16="http://schemas.microsoft.com/office/drawing/2014/chart" uri="{C3380CC4-5D6E-409C-BE32-E72D297353CC}">
              <c16:uniqueId val="{00000005-BBF1-4FAD-8669-4A4EE11445E6}"/>
            </c:ext>
          </c:extLst>
        </c:ser>
        <c:ser>
          <c:idx val="6"/>
          <c:order val="6"/>
          <c:tx>
            <c:strRef>
              <c:f>'GRAF příspěvky IPP'!$AX$33</c:f>
              <c:strCache>
                <c:ptCount val="1"/>
                <c:pt idx="0">
                  <c:v>Výroba PC, elektronic. a optic. přístr. (26)</c:v>
                </c:pt>
              </c:strCache>
            </c:strRef>
          </c:tx>
          <c:spPr>
            <a:solidFill>
              <a:srgbClr val="FDDEB3"/>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IPP'!$AY$33:$BI$33</c:f>
              <c:numCache>
                <c:formatCode>0.0</c:formatCode>
                <c:ptCount val="11"/>
                <c:pt idx="0">
                  <c:v>-0.10359604880800667</c:v>
                </c:pt>
                <c:pt idx="1">
                  <c:v>-0.62775348873755987</c:v>
                </c:pt>
                <c:pt idx="2">
                  <c:v>0.25889985415802419</c:v>
                </c:pt>
                <c:pt idx="3">
                  <c:v>0.32500511993232978</c:v>
                </c:pt>
                <c:pt idx="4">
                  <c:v>1.9444712497032453E-2</c:v>
                </c:pt>
                <c:pt idx="5">
                  <c:v>6.9340308725786684E-2</c:v>
                </c:pt>
                <c:pt idx="6">
                  <c:v>0.24174726973565361</c:v>
                </c:pt>
                <c:pt idx="7">
                  <c:v>0.36797464154264958</c:v>
                </c:pt>
                <c:pt idx="8">
                  <c:v>-0.27300478009256213</c:v>
                </c:pt>
                <c:pt idx="9">
                  <c:v>-9.5520413536078555E-2</c:v>
                </c:pt>
                <c:pt idx="10">
                  <c:v>6.1349404829024776E-2</c:v>
                </c:pt>
              </c:numCache>
            </c:numRef>
          </c:val>
          <c:extLst>
            <c:ext xmlns:c16="http://schemas.microsoft.com/office/drawing/2014/chart" uri="{C3380CC4-5D6E-409C-BE32-E72D297353CC}">
              <c16:uniqueId val="{00000006-BBF1-4FAD-8669-4A4EE11445E6}"/>
            </c:ext>
          </c:extLst>
        </c:ser>
        <c:ser>
          <c:idx val="7"/>
          <c:order val="7"/>
          <c:tx>
            <c:strRef>
              <c:f>'GRAF příspěvky IPP'!$AX$34</c:f>
              <c:strCache>
                <c:ptCount val="1"/>
                <c:pt idx="0">
                  <c:v>Chemický a farmaceutický pr. (20, 21)</c:v>
                </c:pt>
              </c:strCache>
            </c:strRef>
          </c:tx>
          <c:spPr>
            <a:solidFill>
              <a:srgbClr val="F8A124"/>
            </a:solidFill>
            <a:ln>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IPP'!$AY$34:$BI$34</c:f>
              <c:numCache>
                <c:formatCode>0.0</c:formatCode>
                <c:ptCount val="11"/>
                <c:pt idx="0">
                  <c:v>-0.16156575585733979</c:v>
                </c:pt>
                <c:pt idx="1">
                  <c:v>8.6682655638041811E-2</c:v>
                </c:pt>
                <c:pt idx="2">
                  <c:v>-2.7149440767918046E-2</c:v>
                </c:pt>
                <c:pt idx="3">
                  <c:v>0.29845988497299419</c:v>
                </c:pt>
                <c:pt idx="4">
                  <c:v>-4.8215366302412521E-2</c:v>
                </c:pt>
                <c:pt idx="5">
                  <c:v>-0.17668220570989085</c:v>
                </c:pt>
                <c:pt idx="6">
                  <c:v>0.62602466997723716</c:v>
                </c:pt>
                <c:pt idx="7">
                  <c:v>8.9846852688779275E-2</c:v>
                </c:pt>
                <c:pt idx="8">
                  <c:v>0.10046501968954087</c:v>
                </c:pt>
                <c:pt idx="9">
                  <c:v>-9.0999749509208028E-2</c:v>
                </c:pt>
                <c:pt idx="10">
                  <c:v>0.34310143113188724</c:v>
                </c:pt>
              </c:numCache>
            </c:numRef>
          </c:val>
          <c:extLst>
            <c:ext xmlns:c16="http://schemas.microsoft.com/office/drawing/2014/chart" uri="{C3380CC4-5D6E-409C-BE32-E72D297353CC}">
              <c16:uniqueId val="{00000007-BBF1-4FAD-8669-4A4EE11445E6}"/>
            </c:ext>
          </c:extLst>
        </c:ser>
        <c:ser>
          <c:idx val="8"/>
          <c:order val="8"/>
          <c:tx>
            <c:strRef>
              <c:f>'GRAF příspěvky IPP'!$AX$35</c:f>
              <c:strCache>
                <c:ptCount val="1"/>
                <c:pt idx="0">
                  <c:v>Zbývající zpracovatelský průmysl</c:v>
                </c:pt>
              </c:strCache>
            </c:strRef>
          </c:tx>
          <c:spPr>
            <a:solidFill>
              <a:schemeClr val="bg1">
                <a:lumMod val="85000"/>
              </a:schemeClr>
            </a:solidFill>
            <a:ln w="19050">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IPP'!$AY$35:$BI$35</c:f>
              <c:numCache>
                <c:formatCode>0.0</c:formatCode>
                <c:ptCount val="11"/>
                <c:pt idx="0">
                  <c:v>-0.56916406339645897</c:v>
                </c:pt>
                <c:pt idx="1">
                  <c:v>-0.67742779643732831</c:v>
                </c:pt>
                <c:pt idx="2">
                  <c:v>0.49387110283879532</c:v>
                </c:pt>
                <c:pt idx="3">
                  <c:v>0.79463437886935173</c:v>
                </c:pt>
                <c:pt idx="4">
                  <c:v>0.38090270740310611</c:v>
                </c:pt>
                <c:pt idx="5">
                  <c:v>0.17970615335130233</c:v>
                </c:pt>
                <c:pt idx="6">
                  <c:v>0.72069777432432625</c:v>
                </c:pt>
                <c:pt idx="7">
                  <c:v>0.5297068811203568</c:v>
                </c:pt>
                <c:pt idx="8">
                  <c:v>-8.3812887789100177E-2</c:v>
                </c:pt>
                <c:pt idx="9">
                  <c:v>-0.35135335252020361</c:v>
                </c:pt>
                <c:pt idx="10">
                  <c:v>0.98876363368527698</c:v>
                </c:pt>
              </c:numCache>
            </c:numRef>
          </c:val>
          <c:extLst>
            <c:ext xmlns:c16="http://schemas.microsoft.com/office/drawing/2014/chart" uri="{C3380CC4-5D6E-409C-BE32-E72D297353CC}">
              <c16:uniqueId val="{00000008-BBF1-4FAD-8669-4A4EE11445E6}"/>
            </c:ext>
          </c:extLst>
        </c:ser>
        <c:ser>
          <c:idx val="9"/>
          <c:order val="9"/>
          <c:tx>
            <c:strRef>
              <c:f>'GRAF příspěvky IPP'!$AX$36</c:f>
              <c:strCache>
                <c:ptCount val="1"/>
                <c:pt idx="0">
                  <c:v>Těžba a energetika (B, D)</c:v>
                </c:pt>
              </c:strCache>
            </c:strRef>
          </c:tx>
          <c:spPr>
            <a:solidFill>
              <a:srgbClr val="808080"/>
            </a:solidFill>
            <a:ln w="28575">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IPP'!$AY$36:$BI$36</c:f>
              <c:numCache>
                <c:formatCode>0.0</c:formatCode>
                <c:ptCount val="11"/>
                <c:pt idx="0">
                  <c:v>-9.607120546763695E-2</c:v>
                </c:pt>
                <c:pt idx="1">
                  <c:v>-0.2109667662153778</c:v>
                </c:pt>
                <c:pt idx="2">
                  <c:v>-0.66791465814835604</c:v>
                </c:pt>
                <c:pt idx="3">
                  <c:v>-0.50641695797450248</c:v>
                </c:pt>
                <c:pt idx="4">
                  <c:v>-0.4354627250727533</c:v>
                </c:pt>
                <c:pt idx="5">
                  <c:v>-0.11818229951456684</c:v>
                </c:pt>
                <c:pt idx="6">
                  <c:v>0.48507387148538372</c:v>
                </c:pt>
                <c:pt idx="7">
                  <c:v>0.13857733752924239</c:v>
                </c:pt>
                <c:pt idx="8">
                  <c:v>-0.17877596012042432</c:v>
                </c:pt>
                <c:pt idx="9">
                  <c:v>-1.0008706198299531</c:v>
                </c:pt>
                <c:pt idx="10">
                  <c:v>0.50424113315397279</c:v>
                </c:pt>
              </c:numCache>
            </c:numRef>
          </c:val>
          <c:extLst>
            <c:ext xmlns:c16="http://schemas.microsoft.com/office/drawing/2014/chart" uri="{C3380CC4-5D6E-409C-BE32-E72D297353CC}">
              <c16:uniqueId val="{00000009-BBF1-4FAD-8669-4A4EE11445E6}"/>
            </c:ext>
          </c:extLst>
        </c:ser>
        <c:dLbls>
          <c:showLegendKey val="0"/>
          <c:showVal val="0"/>
          <c:showCatName val="0"/>
          <c:showSerName val="0"/>
          <c:showPercent val="0"/>
          <c:showBubbleSize val="0"/>
        </c:dLbls>
        <c:gapWidth val="70"/>
        <c:overlap val="100"/>
        <c:axId val="112768128"/>
        <c:axId val="112769664"/>
      </c:barChart>
      <c:lineChart>
        <c:grouping val="standard"/>
        <c:varyColors val="0"/>
        <c:ser>
          <c:idx val="10"/>
          <c:order val="10"/>
          <c:tx>
            <c:strRef>
              <c:f>'GRAF příspěvky IPP'!$AX$37</c:f>
              <c:strCache>
                <c:ptCount val="1"/>
                <c:pt idx="0">
                  <c:v>Produkce: průmysl celkem (NACE B až D)</c:v>
                </c:pt>
              </c:strCache>
            </c:strRef>
          </c:tx>
          <c:spPr>
            <a:ln w="19050">
              <a:noFill/>
              <a:prstDash val="sysDash"/>
            </a:ln>
          </c:spPr>
          <c:marker>
            <c:symbol val="circle"/>
            <c:size val="6"/>
            <c:spPr>
              <a:solidFill>
                <a:schemeClr val="bg1"/>
              </a:solidFill>
              <a:ln>
                <a:solidFill>
                  <a:schemeClr val="tx1">
                    <a:lumMod val="95000"/>
                    <a:lumOff val="5000"/>
                  </a:schemeClr>
                </a:solidFill>
              </a:ln>
            </c:spPr>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IPP'!$AY$37:$BI$37</c:f>
              <c:numCache>
                <c:formatCode>0.0</c:formatCode>
                <c:ptCount val="11"/>
                <c:pt idx="0">
                  <c:v>5.6401833126000014</c:v>
                </c:pt>
                <c:pt idx="1">
                  <c:v>-0.90603577779999966</c:v>
                </c:pt>
                <c:pt idx="2">
                  <c:v>0.16335070239999538</c:v>
                </c:pt>
                <c:pt idx="3">
                  <c:v>5.1000838873000021</c:v>
                </c:pt>
                <c:pt idx="4">
                  <c:v>4.5066545898999948</c:v>
                </c:pt>
                <c:pt idx="5">
                  <c:v>3.077365608400001</c:v>
                </c:pt>
                <c:pt idx="6">
                  <c:v>6.7375789339999983</c:v>
                </c:pt>
                <c:pt idx="7">
                  <c:v>3.0620754609000045</c:v>
                </c:pt>
                <c:pt idx="8">
                  <c:v>-0.34423374380000382</c:v>
                </c:pt>
                <c:pt idx="9">
                  <c:v>-7.1883069735000049</c:v>
                </c:pt>
                <c:pt idx="10">
                  <c:v>6.643931599499993</c:v>
                </c:pt>
              </c:numCache>
            </c:numRef>
          </c:val>
          <c:smooth val="0"/>
          <c:extLst>
            <c:ext xmlns:c16="http://schemas.microsoft.com/office/drawing/2014/chart" uri="{C3380CC4-5D6E-409C-BE32-E72D297353CC}">
              <c16:uniqueId val="{0000000A-BBF1-4FAD-8669-4A4EE11445E6}"/>
            </c:ext>
          </c:extLst>
        </c:ser>
        <c:ser>
          <c:idx val="11"/>
          <c:order val="11"/>
          <c:tx>
            <c:strRef>
              <c:f>'GRAF příspěvky IPP'!$AX$38</c:f>
              <c:strCache>
                <c:ptCount val="1"/>
              </c:strCache>
            </c:strRef>
          </c:tx>
          <c:spPr>
            <a:ln w="19050">
              <a:noFill/>
              <a:prstDash val="dash"/>
            </a:ln>
          </c:spPr>
          <c:marker>
            <c:symbol val="none"/>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IPP'!$AY$38:$BI$38</c:f>
              <c:numCache>
                <c:formatCode>General</c:formatCode>
                <c:ptCount val="11"/>
              </c:numCache>
            </c:numRef>
          </c:val>
          <c:smooth val="0"/>
          <c:extLst>
            <c:ext xmlns:c16="http://schemas.microsoft.com/office/drawing/2014/chart" uri="{C3380CC4-5D6E-409C-BE32-E72D297353CC}">
              <c16:uniqueId val="{0000000B-BBF1-4FAD-8669-4A4EE11445E6}"/>
            </c:ext>
          </c:extLst>
        </c:ser>
        <c:ser>
          <c:idx val="12"/>
          <c:order val="12"/>
          <c:tx>
            <c:strRef>
              <c:f>'GRAF příspěvky IPP'!$AX$39</c:f>
              <c:strCache>
                <c:ptCount val="1"/>
                <c:pt idx="0">
                  <c:v>Tržby: průmysl celkem</c:v>
                </c:pt>
              </c:strCache>
            </c:strRef>
          </c:tx>
          <c:spPr>
            <a:ln w="19050">
              <a:solidFill>
                <a:prstClr val="black">
                  <a:lumMod val="95000"/>
                  <a:lumOff val="5000"/>
                </a:prstClr>
              </a:solidFill>
              <a:prstDash val="sysDash"/>
            </a:ln>
          </c:spPr>
          <c:marker>
            <c:symbol val="none"/>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IPP'!$AY$39:$BI$39</c:f>
              <c:numCache>
                <c:formatCode>0.0</c:formatCode>
                <c:ptCount val="11"/>
                <c:pt idx="0">
                  <c:v>7.5249559659000056</c:v>
                </c:pt>
                <c:pt idx="1">
                  <c:v>2.0202466914000041</c:v>
                </c:pt>
                <c:pt idx="2">
                  <c:v>1.5219869785999975</c:v>
                </c:pt>
                <c:pt idx="3">
                  <c:v>9.1294819820000015</c:v>
                </c:pt>
                <c:pt idx="4">
                  <c:v>2.2410048244999956</c:v>
                </c:pt>
                <c:pt idx="5">
                  <c:v>0.82079141740000239</c:v>
                </c:pt>
                <c:pt idx="6">
                  <c:v>7.4675904977000016</c:v>
                </c:pt>
                <c:pt idx="7">
                  <c:v>3.519910568100002</c:v>
                </c:pt>
                <c:pt idx="8">
                  <c:v>0.89447335159999852</c:v>
                </c:pt>
                <c:pt idx="9">
                  <c:v>-6.1210800392999971</c:v>
                </c:pt>
                <c:pt idx="10">
                  <c:v>10.816976392399994</c:v>
                </c:pt>
              </c:numCache>
            </c:numRef>
          </c:val>
          <c:smooth val="0"/>
          <c:extLst>
            <c:ext xmlns:c16="http://schemas.microsoft.com/office/drawing/2014/chart" uri="{C3380CC4-5D6E-409C-BE32-E72D297353CC}">
              <c16:uniqueId val="{0000000C-BBF1-4FAD-8669-4A4EE11445E6}"/>
            </c:ext>
          </c:extLst>
        </c:ser>
        <c:ser>
          <c:idx val="13"/>
          <c:order val="13"/>
          <c:tx>
            <c:strRef>
              <c:f>'GRAF příspěvky IPP'!$AX$40</c:f>
              <c:strCache>
                <c:ptCount val="1"/>
                <c:pt idx="0">
                  <c:v>z toho z přímého vývozu</c:v>
                </c:pt>
              </c:strCache>
            </c:strRef>
          </c:tx>
          <c:spPr>
            <a:ln w="19050">
              <a:solidFill>
                <a:schemeClr val="bg1">
                  <a:lumMod val="65000"/>
                </a:schemeClr>
              </a:solidFill>
              <a:prstDash val="dash"/>
            </a:ln>
          </c:spPr>
          <c:marker>
            <c:symbol val="none"/>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IPP'!$AY$40:$BI$40</c:f>
              <c:numCache>
                <c:formatCode>0.0</c:formatCode>
                <c:ptCount val="11"/>
                <c:pt idx="0">
                  <c:v>15.469535951200001</c:v>
                </c:pt>
                <c:pt idx="1">
                  <c:v>3.247135339899998</c:v>
                </c:pt>
                <c:pt idx="2">
                  <c:v>4.0495693422000016</c:v>
                </c:pt>
                <c:pt idx="3">
                  <c:v>16.800712510500006</c:v>
                </c:pt>
                <c:pt idx="4">
                  <c:v>4.9151457015999966</c:v>
                </c:pt>
                <c:pt idx="5">
                  <c:v>2.2374406922999981</c:v>
                </c:pt>
                <c:pt idx="6">
                  <c:v>5.6719233272000054</c:v>
                </c:pt>
                <c:pt idx="7">
                  <c:v>2.8234489278000012</c:v>
                </c:pt>
                <c:pt idx="8">
                  <c:v>4.9321756000040295E-3</c:v>
                </c:pt>
                <c:pt idx="9">
                  <c:v>-6.0676591449000057</c:v>
                </c:pt>
                <c:pt idx="10">
                  <c:v>10.953112416799996</c:v>
                </c:pt>
              </c:numCache>
            </c:numRef>
          </c:val>
          <c:smooth val="0"/>
          <c:extLst>
            <c:ext xmlns:c16="http://schemas.microsoft.com/office/drawing/2014/chart" uri="{C3380CC4-5D6E-409C-BE32-E72D297353CC}">
              <c16:uniqueId val="{0000000D-BBF1-4FAD-8669-4A4EE11445E6}"/>
            </c:ext>
          </c:extLst>
        </c:ser>
        <c:dLbls>
          <c:showLegendKey val="0"/>
          <c:showVal val="0"/>
          <c:showCatName val="0"/>
          <c:showSerName val="0"/>
          <c:showPercent val="0"/>
          <c:showBubbleSize val="0"/>
        </c:dLbls>
        <c:marker val="1"/>
        <c:smooth val="0"/>
        <c:axId val="112768128"/>
        <c:axId val="11276966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8"/>
          <c:min val="-8"/>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2"/>
      </c:valAx>
      <c:spPr>
        <a:noFill/>
        <a:ln w="6350">
          <a:solidFill>
            <a:prstClr val="black">
              <a:lumMod val="95000"/>
              <a:lumOff val="5000"/>
            </a:prstClr>
          </a:solidFill>
        </a:ln>
      </c:spPr>
    </c:plotArea>
    <c:legend>
      <c:legendPos val="r"/>
      <c:layout>
        <c:manualLayout>
          <c:xMode val="edge"/>
          <c:yMode val="edge"/>
          <c:x val="1.5823805509097771E-2"/>
          <c:y val="0.78581593103687919"/>
          <c:w val="0.97626833906393407"/>
          <c:h val="0.20017434930643618"/>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764088390324136"/>
        </c:manualLayout>
      </c:layout>
      <c:barChart>
        <c:barDir val="col"/>
        <c:grouping val="clustered"/>
        <c:varyColors val="0"/>
        <c:ser>
          <c:idx val="0"/>
          <c:order val="0"/>
          <c:tx>
            <c:strRef>
              <c:f>'výkonnost odvětví 2'!$A$32</c:f>
              <c:strCache>
                <c:ptCount val="1"/>
                <c:pt idx="0">
                  <c:v>Průmyslové zakázky celkem</c:v>
                </c:pt>
              </c:strCache>
            </c:strRef>
          </c:tx>
          <c:spPr>
            <a:solidFill>
              <a:schemeClr val="bg1">
                <a:lumMod val="65000"/>
              </a:schemeClr>
            </a:solidFill>
            <a:ln>
              <a:noFill/>
            </a:ln>
          </c:spPr>
          <c:invertIfNegative val="0"/>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2'!$R$32:$AT$32</c:f>
              <c:numCache>
                <c:formatCode>##0.0</c:formatCode>
                <c:ptCount val="29"/>
                <c:pt idx="0">
                  <c:v>8.5341066790000042</c:v>
                </c:pt>
                <c:pt idx="1">
                  <c:v>6.3751337507000017</c:v>
                </c:pt>
                <c:pt idx="2">
                  <c:v>6.0389152520999971</c:v>
                </c:pt>
                <c:pt idx="3">
                  <c:v>5.2688806407000044</c:v>
                </c:pt>
                <c:pt idx="4">
                  <c:v>2.6303368083000009</c:v>
                </c:pt>
                <c:pt idx="5">
                  <c:v>7.5468571480000008</c:v>
                </c:pt>
                <c:pt idx="6">
                  <c:v>2.3582562295000002</c:v>
                </c:pt>
                <c:pt idx="7">
                  <c:v>6.6387502374000036</c:v>
                </c:pt>
                <c:pt idx="8">
                  <c:v>7.2930461770999955</c:v>
                </c:pt>
                <c:pt idx="9">
                  <c:v>8.1858416139999974</c:v>
                </c:pt>
                <c:pt idx="10">
                  <c:v>7.9475457356000021</c:v>
                </c:pt>
                <c:pt idx="11">
                  <c:v>7.3525292791999988</c:v>
                </c:pt>
                <c:pt idx="12">
                  <c:v>3.4332835439000036</c:v>
                </c:pt>
                <c:pt idx="13">
                  <c:v>3.7186041536999994</c:v>
                </c:pt>
                <c:pt idx="14">
                  <c:v>3.8026421203999945</c:v>
                </c:pt>
                <c:pt idx="15">
                  <c:v>3.106459229500004</c:v>
                </c:pt>
                <c:pt idx="16">
                  <c:v>3.2183595436000019</c:v>
                </c:pt>
                <c:pt idx="17">
                  <c:v>1.4149495925999958</c:v>
                </c:pt>
                <c:pt idx="18">
                  <c:v>-0.22815532609999423</c:v>
                </c:pt>
                <c:pt idx="19">
                  <c:v>-3.810834207100001</c:v>
                </c:pt>
                <c:pt idx="20">
                  <c:v>-2.0840873764000065</c:v>
                </c:pt>
                <c:pt idx="21">
                  <c:v>-27.668452791999997</c:v>
                </c:pt>
                <c:pt idx="22">
                  <c:v>-1.3192166399000058</c:v>
                </c:pt>
                <c:pt idx="23">
                  <c:v>7.1511733200999998</c:v>
                </c:pt>
                <c:pt idx="24">
                  <c:v>8.3933103138000007</c:v>
                </c:pt>
                <c:pt idx="25">
                  <c:v>47.920282285599995</c:v>
                </c:pt>
                <c:pt idx="26">
                  <c:v>7.3037126863000026</c:v>
                </c:pt>
                <c:pt idx="27">
                  <c:v>3.5943563839000063</c:v>
                </c:pt>
              </c:numCache>
            </c:numRef>
          </c:val>
          <c:extLst>
            <c:ext xmlns:c16="http://schemas.microsoft.com/office/drawing/2014/chart" uri="{C3380CC4-5D6E-409C-BE32-E72D297353CC}">
              <c16:uniqueId val="{00000000-6474-430D-B816-B3F40804216D}"/>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2'!$A$33</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2'!$R$33:$AT$33</c:f>
              <c:numCache>
                <c:formatCode>##0.0</c:formatCode>
                <c:ptCount val="29"/>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6.9102540989999994</c:v>
                </c:pt>
                <c:pt idx="24">
                  <c:v>-2.8240111939999935</c:v>
                </c:pt>
                <c:pt idx="25">
                  <c:v>43.485654564800001</c:v>
                </c:pt>
                <c:pt idx="26">
                  <c:v>9.2738562507000069</c:v>
                </c:pt>
                <c:pt idx="27">
                  <c:v>5.3992358315999951</c:v>
                </c:pt>
              </c:numCache>
            </c:numRef>
          </c:val>
          <c:smooth val="0"/>
          <c:extLst>
            <c:ext xmlns:c16="http://schemas.microsoft.com/office/drawing/2014/chart" uri="{C3380CC4-5D6E-409C-BE32-E72D297353CC}">
              <c16:uniqueId val="{00000001-6474-430D-B816-B3F40804216D}"/>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2'!$A$34</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2'!$R$34:$AT$34</c:f>
              <c:numCache>
                <c:formatCode>##0.0</c:formatCode>
                <c:ptCount val="29"/>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pt idx="25">
                  <c:v>87.5</c:v>
                </c:pt>
                <c:pt idx="26">
                  <c:v>88.1</c:v>
                </c:pt>
                <c:pt idx="27">
                  <c:v>77.3</c:v>
                </c:pt>
                <c:pt idx="28">
                  <c:v>81.7</c:v>
                </c:pt>
              </c:numCache>
            </c:numRef>
          </c:val>
          <c:smooth val="0"/>
          <c:extLst>
            <c:ext xmlns:c16="http://schemas.microsoft.com/office/drawing/2014/chart" uri="{C3380CC4-5D6E-409C-BE32-E72D297353CC}">
              <c16:uniqueId val="{00000002-6474-430D-B816-B3F40804216D}"/>
            </c:ext>
          </c:extLst>
        </c:ser>
        <c:ser>
          <c:idx val="3"/>
          <c:order val="3"/>
          <c:tx>
            <c:strRef>
              <c:f>'výkonnost odvětví 2'!$A$35</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2'!$R$35:$AT$35</c:f>
              <c:numCache>
                <c:formatCode>0.0</c:formatCode>
                <c:ptCount val="29"/>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pt idx="25" formatCode="General">
                  <c:v>99.1</c:v>
                </c:pt>
                <c:pt idx="26" formatCode="General">
                  <c:v>94.7</c:v>
                </c:pt>
                <c:pt idx="27" formatCode="General">
                  <c:v>56.5</c:v>
                </c:pt>
                <c:pt idx="28" formatCode="General">
                  <c:v>79.3</c:v>
                </c:pt>
              </c:numCache>
            </c:numRef>
          </c:val>
          <c:smooth val="0"/>
          <c:extLst>
            <c:ext xmlns:c16="http://schemas.microsoft.com/office/drawing/2014/chart" uri="{C3380CC4-5D6E-409C-BE32-E72D297353CC}">
              <c16:uniqueId val="{00000003-6474-430D-B816-B3F40804216D}"/>
            </c:ext>
          </c:extLst>
        </c:ser>
        <c:ser>
          <c:idx val="4"/>
          <c:order val="4"/>
          <c:tx>
            <c:strRef>
              <c:f>'výkonnost odvětví 2'!$A$36</c:f>
              <c:strCache>
                <c:ptCount val="1"/>
                <c:pt idx="0">
                  <c:v>Bariéra růstu: nedostatečná poptávka</c:v>
                </c:pt>
              </c:strCache>
            </c:strRef>
          </c:tx>
          <c:spPr>
            <a:ln w="15875">
              <a:solidFill>
                <a:srgbClr val="00B050"/>
              </a:solidFill>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2'!$R$36:$AT$36</c:f>
              <c:numCache>
                <c:formatCode>#\ ##0.0</c:formatCode>
                <c:ptCount val="29"/>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pt idx="25">
                  <c:v>38.5</c:v>
                </c:pt>
                <c:pt idx="26">
                  <c:v>24.5</c:v>
                </c:pt>
                <c:pt idx="27">
                  <c:v>28.2</c:v>
                </c:pt>
                <c:pt idx="28">
                  <c:v>28</c:v>
                </c:pt>
              </c:numCache>
            </c:numRef>
          </c:val>
          <c:smooth val="0"/>
          <c:extLst>
            <c:ext xmlns:c16="http://schemas.microsoft.com/office/drawing/2014/chart" uri="{C3380CC4-5D6E-409C-BE32-E72D297353CC}">
              <c16:uniqueId val="{00000004-6474-430D-B816-B3F40804216D}"/>
            </c:ext>
          </c:extLst>
        </c:ser>
        <c:ser>
          <c:idx val="5"/>
          <c:order val="5"/>
          <c:tx>
            <c:strRef>
              <c:f>'výkonnost odvětví 2'!$A$37</c:f>
              <c:strCache>
                <c:ptCount val="1"/>
                <c:pt idx="0">
                  <c:v>Bariéra růstu: nedostatek pracovníků</c:v>
                </c:pt>
              </c:strCache>
            </c:strRef>
          </c:tx>
          <c:spPr>
            <a:ln w="15875">
              <a:solidFill>
                <a:srgbClr val="00B050"/>
              </a:solidFill>
              <a:prstDash val="dash"/>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2'!$R$37:$AT$37</c:f>
              <c:numCache>
                <c:formatCode>#\ ##0.0</c:formatCode>
                <c:ptCount val="29"/>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pt idx="25">
                  <c:v>21.5</c:v>
                </c:pt>
                <c:pt idx="26">
                  <c:v>26.2</c:v>
                </c:pt>
                <c:pt idx="27">
                  <c:v>21</c:v>
                </c:pt>
                <c:pt idx="28">
                  <c:v>25</c:v>
                </c:pt>
              </c:numCache>
            </c:numRef>
          </c:val>
          <c:smooth val="0"/>
          <c:extLst>
            <c:ext xmlns:c16="http://schemas.microsoft.com/office/drawing/2014/chart" uri="{C3380CC4-5D6E-409C-BE32-E72D297353CC}">
              <c16:uniqueId val="{00000005-6474-430D-B816-B3F40804216D}"/>
            </c:ext>
          </c:extLst>
        </c:ser>
        <c:ser>
          <c:idx val="6"/>
          <c:order val="6"/>
          <c:tx>
            <c:strRef>
              <c:f>'výkonnost odvětví 2'!$A$38</c:f>
              <c:strCache>
                <c:ptCount val="1"/>
                <c:pt idx="0">
                  <c:v>Bariéra růstu: nedost. materiálu a zařízení</c:v>
                </c:pt>
              </c:strCache>
            </c:strRef>
          </c:tx>
          <c:spPr>
            <a:ln w="15875">
              <a:solidFill>
                <a:srgbClr val="92D050"/>
              </a:solidFill>
              <a:prstDash val="sysDash"/>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2'!$R$38:$AT$38</c:f>
              <c:numCache>
                <c:formatCode>#\ ##0.0</c:formatCode>
                <c:ptCount val="29"/>
                <c:pt idx="0">
                  <c:v>7.8</c:v>
                </c:pt>
                <c:pt idx="1">
                  <c:v>10.1</c:v>
                </c:pt>
                <c:pt idx="2">
                  <c:v>10.5</c:v>
                </c:pt>
                <c:pt idx="3">
                  <c:v>10</c:v>
                </c:pt>
                <c:pt idx="4">
                  <c:v>11.1</c:v>
                </c:pt>
                <c:pt idx="5">
                  <c:v>7.1</c:v>
                </c:pt>
                <c:pt idx="6">
                  <c:v>8.5</c:v>
                </c:pt>
                <c:pt idx="7">
                  <c:v>7.8</c:v>
                </c:pt>
                <c:pt idx="8">
                  <c:v>9.9</c:v>
                </c:pt>
                <c:pt idx="9">
                  <c:v>7.8</c:v>
                </c:pt>
                <c:pt idx="10">
                  <c:v>10</c:v>
                </c:pt>
                <c:pt idx="11">
                  <c:v>20.8</c:v>
                </c:pt>
                <c:pt idx="12">
                  <c:v>13.9</c:v>
                </c:pt>
                <c:pt idx="13">
                  <c:v>12.8</c:v>
                </c:pt>
                <c:pt idx="14">
                  <c:v>14.1</c:v>
                </c:pt>
                <c:pt idx="15">
                  <c:v>20</c:v>
                </c:pt>
                <c:pt idx="16">
                  <c:v>27.1</c:v>
                </c:pt>
                <c:pt idx="17">
                  <c:v>26.8</c:v>
                </c:pt>
                <c:pt idx="18">
                  <c:v>23.8</c:v>
                </c:pt>
                <c:pt idx="19">
                  <c:v>9.4</c:v>
                </c:pt>
                <c:pt idx="20">
                  <c:v>17.399999999999999</c:v>
                </c:pt>
                <c:pt idx="21">
                  <c:v>11.5</c:v>
                </c:pt>
                <c:pt idx="22">
                  <c:v>7.6</c:v>
                </c:pt>
                <c:pt idx="23">
                  <c:v>8.6</c:v>
                </c:pt>
                <c:pt idx="24">
                  <c:v>19</c:v>
                </c:pt>
                <c:pt idx="25">
                  <c:v>31.2</c:v>
                </c:pt>
                <c:pt idx="26">
                  <c:v>46</c:v>
                </c:pt>
                <c:pt idx="27">
                  <c:v>44.1</c:v>
                </c:pt>
                <c:pt idx="28">
                  <c:v>39.6</c:v>
                </c:pt>
              </c:numCache>
            </c:numRef>
          </c:val>
          <c:smooth val="0"/>
          <c:extLst>
            <c:ext xmlns:c16="http://schemas.microsoft.com/office/drawing/2014/chart" uri="{C3380CC4-5D6E-409C-BE32-E72D297353CC}">
              <c16:uniqueId val="{00000006-6474-430D-B816-B3F40804216D}"/>
            </c:ext>
          </c:extLst>
        </c:ser>
        <c:ser>
          <c:idx val="7"/>
          <c:order val="7"/>
          <c:tx>
            <c:strRef>
              <c:f>'výkonnost odvětví 2'!$A$39</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2'!$R$39:$AT$39</c:f>
              <c:numCache>
                <c:formatCode>#\ ##0.0</c:formatCode>
                <c:ptCount val="29"/>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numCache>
            </c:numRef>
          </c:val>
          <c:smooth val="0"/>
          <c:extLst>
            <c:ext xmlns:c16="http://schemas.microsoft.com/office/drawing/2014/chart" uri="{C3380CC4-5D6E-409C-BE32-E72D297353CC}">
              <c16:uniqueId val="{00000007-6474-430D-B816-B3F40804216D}"/>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6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8.0033308468213139E-3"/>
          <c:y val="0.85586448957034"/>
          <c:w val="0.98749355022027863"/>
          <c:h val="0.13713064866950375"/>
        </c:manualLayout>
      </c:layout>
      <c:overlay val="0"/>
      <c:spPr>
        <a:ln w="6350">
          <a:solidFill>
            <a:prstClr val="black">
              <a:lumMod val="95000"/>
              <a:lumOff val="5000"/>
            </a:prstClr>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1623297994974E-2"/>
          <c:y val="2.1373653391166647E-2"/>
          <c:w val="0.85765756453827047"/>
          <c:h val="0.74711966440217237"/>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a:noFill/>
            </a:ln>
          </c:spPr>
          <c:invertIfNegative val="0"/>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3'!$Y$31:$Y$59</c:f>
              <c:numCache>
                <c:formatCode>0.0</c:formatCode>
                <c:ptCount val="29"/>
                <c:pt idx="0">
                  <c:v>6.1332628878020472</c:v>
                </c:pt>
                <c:pt idx="1">
                  <c:v>5.1611029387020881</c:v>
                </c:pt>
                <c:pt idx="2">
                  <c:v>0.82789337777956651</c:v>
                </c:pt>
                <c:pt idx="3">
                  <c:v>-1.792443206462254</c:v>
                </c:pt>
                <c:pt idx="4">
                  <c:v>-5.0624228474210264</c:v>
                </c:pt>
                <c:pt idx="5">
                  <c:v>-5.0837956877529207</c:v>
                </c:pt>
                <c:pt idx="6">
                  <c:v>0.80068413098652258</c:v>
                </c:pt>
                <c:pt idx="7">
                  <c:v>4.0229578720745067</c:v>
                </c:pt>
                <c:pt idx="8">
                  <c:v>2.3707415602985482</c:v>
                </c:pt>
                <c:pt idx="9">
                  <c:v>10.127474072202558</c:v>
                </c:pt>
                <c:pt idx="10">
                  <c:v>3.4985302779650396</c:v>
                </c:pt>
                <c:pt idx="11">
                  <c:v>2.7010793303841334</c:v>
                </c:pt>
                <c:pt idx="12">
                  <c:v>13.58981677167807</c:v>
                </c:pt>
                <c:pt idx="13">
                  <c:v>6.2954664988362632</c:v>
                </c:pt>
                <c:pt idx="14">
                  <c:v>7.7040894172433472</c:v>
                </c:pt>
                <c:pt idx="15">
                  <c:v>2.6018478445540052</c:v>
                </c:pt>
                <c:pt idx="16">
                  <c:v>2.902580138628347</c:v>
                </c:pt>
                <c:pt idx="17">
                  <c:v>2.4244946978317015</c:v>
                </c:pt>
                <c:pt idx="18">
                  <c:v>-0.69452357804114084</c:v>
                </c:pt>
                <c:pt idx="19">
                  <c:v>2.4262746292667692</c:v>
                </c:pt>
                <c:pt idx="20">
                  <c:v>-0.3509850836675944</c:v>
                </c:pt>
                <c:pt idx="21">
                  <c:v>-7.4196046801003988</c:v>
                </c:pt>
                <c:pt idx="22">
                  <c:v>-7.1685933920563025</c:v>
                </c:pt>
                <c:pt idx="23">
                  <c:v>-8.6185225202649214</c:v>
                </c:pt>
                <c:pt idx="24">
                  <c:v>-5.1411661804072324</c:v>
                </c:pt>
                <c:pt idx="25">
                  <c:v>3.2684432641148571</c:v>
                </c:pt>
                <c:pt idx="26">
                  <c:v>2.982124117225045</c:v>
                </c:pt>
                <c:pt idx="27">
                  <c:v>6.0632264260203561</c:v>
                </c:pt>
              </c:numCache>
            </c:numRef>
          </c:val>
          <c:extLst>
            <c:ext xmlns:c16="http://schemas.microsoft.com/office/drawing/2014/chart" uri="{C3380CC4-5D6E-409C-BE32-E72D297353CC}">
              <c16:uniqueId val="{00000000-B84C-4C96-AC96-B57268D9C420}"/>
            </c:ext>
          </c:extLst>
        </c:ser>
        <c:ser>
          <c:idx val="2"/>
          <c:order val="2"/>
          <c:tx>
            <c:strRef>
              <c:f>'výkonnost odvětví 3'!$Z$10</c:f>
              <c:strCache>
                <c:ptCount val="1"/>
                <c:pt idx="0">
                  <c:v>Inženýrské stavitelství (příspěvek v p. b.)</c:v>
                </c:pt>
              </c:strCache>
            </c:strRef>
          </c:tx>
          <c:spPr>
            <a:solidFill>
              <a:srgbClr val="E8AFB2"/>
            </a:solidFill>
            <a:ln>
              <a:noFill/>
            </a:ln>
          </c:spPr>
          <c:invertIfNegative val="0"/>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3'!$Z$31:$Z$59</c:f>
              <c:numCache>
                <c:formatCode>0.0</c:formatCode>
                <c:ptCount val="29"/>
                <c:pt idx="0">
                  <c:v>3.0644338505720308</c:v>
                </c:pt>
                <c:pt idx="1">
                  <c:v>6.8180179259183973</c:v>
                </c:pt>
                <c:pt idx="2">
                  <c:v>7.0179431775016399</c:v>
                </c:pt>
                <c:pt idx="3">
                  <c:v>2.730611648088177</c:v>
                </c:pt>
                <c:pt idx="4">
                  <c:v>-1.2082218219742173</c:v>
                </c:pt>
                <c:pt idx="5">
                  <c:v>-5.1375373424938786</c:v>
                </c:pt>
                <c:pt idx="6">
                  <c:v>-6.7128245144582364</c:v>
                </c:pt>
                <c:pt idx="7">
                  <c:v>-5.672093550500878</c:v>
                </c:pt>
                <c:pt idx="8">
                  <c:v>-3.2052093816174203</c:v>
                </c:pt>
                <c:pt idx="9">
                  <c:v>-1.1403993727014583</c:v>
                </c:pt>
                <c:pt idx="10">
                  <c:v>-1.4444952024671565</c:v>
                </c:pt>
                <c:pt idx="11">
                  <c:v>0.23728682710972981</c:v>
                </c:pt>
                <c:pt idx="12">
                  <c:v>1.7538255902919127</c:v>
                </c:pt>
                <c:pt idx="13">
                  <c:v>1.2042218152710626</c:v>
                </c:pt>
                <c:pt idx="14">
                  <c:v>4.7031010298825633</c:v>
                </c:pt>
                <c:pt idx="15">
                  <c:v>1.7060394592294705</c:v>
                </c:pt>
                <c:pt idx="16">
                  <c:v>0.73329395346685111</c:v>
                </c:pt>
                <c:pt idx="17">
                  <c:v>1.8741086038878019</c:v>
                </c:pt>
                <c:pt idx="18">
                  <c:v>0.7564974358767329</c:v>
                </c:pt>
                <c:pt idx="19">
                  <c:v>0.84455333356029649</c:v>
                </c:pt>
                <c:pt idx="20">
                  <c:v>3.2039225261120103</c:v>
                </c:pt>
                <c:pt idx="21">
                  <c:v>1.2159283677885731</c:v>
                </c:pt>
                <c:pt idx="22">
                  <c:v>-1.8702967995115634</c:v>
                </c:pt>
                <c:pt idx="23">
                  <c:v>0.34456386356438634</c:v>
                </c:pt>
                <c:pt idx="24">
                  <c:v>-4.149342813092647E-2</c:v>
                </c:pt>
                <c:pt idx="25">
                  <c:v>1.0291755083189913</c:v>
                </c:pt>
                <c:pt idx="26">
                  <c:v>-0.24413521365457616</c:v>
                </c:pt>
                <c:pt idx="27">
                  <c:v>-0.88219102636033031</c:v>
                </c:pt>
              </c:numCache>
            </c:numRef>
          </c:val>
          <c:extLst>
            <c:ext xmlns:c16="http://schemas.microsoft.com/office/drawing/2014/chart" uri="{C3380CC4-5D6E-409C-BE32-E72D297353CC}">
              <c16:uniqueId val="{00000001-B84C-4C96-AC96-B57268D9C420}"/>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3'!$X$31:$X$59</c:f>
              <c:numCache>
                <c:formatCode>0.0</c:formatCode>
                <c:ptCount val="29"/>
                <c:pt idx="0">
                  <c:v>9.1976967383740771</c:v>
                </c:pt>
                <c:pt idx="1">
                  <c:v>11.979120864620469</c:v>
                </c:pt>
                <c:pt idx="2">
                  <c:v>7.8458365552812097</c:v>
                </c:pt>
                <c:pt idx="3">
                  <c:v>0.93816844162589064</c:v>
                </c:pt>
                <c:pt idx="4">
                  <c:v>-6.2706446693952387</c:v>
                </c:pt>
                <c:pt idx="5">
                  <c:v>-10.221333030246782</c:v>
                </c:pt>
                <c:pt idx="6">
                  <c:v>-5.9121403834717228</c:v>
                </c:pt>
                <c:pt idx="7">
                  <c:v>-1.6491356784263616</c:v>
                </c:pt>
                <c:pt idx="8">
                  <c:v>-0.83446782131888142</c:v>
                </c:pt>
                <c:pt idx="9">
                  <c:v>8.9870746995010791</c:v>
                </c:pt>
                <c:pt idx="10">
                  <c:v>2.0540350754978789</c:v>
                </c:pt>
                <c:pt idx="11">
                  <c:v>2.93836615749386</c:v>
                </c:pt>
                <c:pt idx="12">
                  <c:v>15.343642361969984</c:v>
                </c:pt>
                <c:pt idx="13">
                  <c:v>7.4996883141073454</c:v>
                </c:pt>
                <c:pt idx="14">
                  <c:v>12.407190447125899</c:v>
                </c:pt>
                <c:pt idx="15">
                  <c:v>4.3078873037834882</c:v>
                </c:pt>
                <c:pt idx="16">
                  <c:v>3.6358740920951789</c:v>
                </c:pt>
                <c:pt idx="17">
                  <c:v>4.2986033017194956</c:v>
                </c:pt>
                <c:pt idx="18">
                  <c:v>6.1973857835596391E-2</c:v>
                </c:pt>
                <c:pt idx="19">
                  <c:v>3.2708279628270702</c:v>
                </c:pt>
                <c:pt idx="20">
                  <c:v>2.8529374424444143</c:v>
                </c:pt>
                <c:pt idx="21">
                  <c:v>-6.2036763123118277</c:v>
                </c:pt>
                <c:pt idx="22">
                  <c:v>-9.0388901915678588</c:v>
                </c:pt>
                <c:pt idx="23">
                  <c:v>-8.2739586567005432</c:v>
                </c:pt>
                <c:pt idx="24">
                  <c:v>-5.1826596085381595</c:v>
                </c:pt>
                <c:pt idx="25">
                  <c:v>4.2976187724338644</c:v>
                </c:pt>
                <c:pt idx="26">
                  <c:v>2.7379889035704394</c:v>
                </c:pt>
                <c:pt idx="27">
                  <c:v>5.1810353996600185</c:v>
                </c:pt>
              </c:numCache>
            </c:numRef>
          </c:val>
          <c:smooth val="0"/>
          <c:extLst>
            <c:ext xmlns:c16="http://schemas.microsoft.com/office/drawing/2014/chart" uri="{C3380CC4-5D6E-409C-BE32-E72D297353CC}">
              <c16:uniqueId val="{00000002-B84C-4C96-AC96-B57268D9C420}"/>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3'!$AA$31:$AA$59</c:f>
              <c:numCache>
                <c:formatCode>0.0</c:formatCode>
                <c:ptCount val="29"/>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28.188227371706034</c:v>
                </c:pt>
                <c:pt idx="25">
                  <c:v>21.356647205514562</c:v>
                </c:pt>
                <c:pt idx="26">
                  <c:v>10.238212063911533</c:v>
                </c:pt>
                <c:pt idx="27">
                  <c:v>2.0582698922261216</c:v>
                </c:pt>
              </c:numCache>
            </c:numRef>
          </c:val>
          <c:smooth val="0"/>
          <c:extLst>
            <c:ext xmlns:c16="http://schemas.microsoft.com/office/drawing/2014/chart" uri="{C3380CC4-5D6E-409C-BE32-E72D297353CC}">
              <c16:uniqueId val="{00000003-B84C-4C96-AC96-B57268D9C420}"/>
            </c:ext>
          </c:extLst>
        </c:ser>
        <c:ser>
          <c:idx val="4"/>
          <c:order val="4"/>
          <c:tx>
            <c:strRef>
              <c:f>'výkonnost odvětví 3'!$AB$10</c:f>
              <c:strCache>
                <c:ptCount val="1"/>
                <c:pt idx="0">
                  <c:v>Bariéra růstu: nedostatečná poptávka</c:v>
                </c:pt>
              </c:strCache>
            </c:strRef>
          </c:tx>
          <c:spPr>
            <a:ln w="15875">
              <a:solidFill>
                <a:srgbClr val="00B050"/>
              </a:solidFill>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3'!$AB$31:$AB$59</c:f>
              <c:numCache>
                <c:formatCode>#\ ##0.0</c:formatCode>
                <c:ptCount val="29"/>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pt idx="25">
                  <c:v>34.200000000000003</c:v>
                </c:pt>
                <c:pt idx="26">
                  <c:v>23.8</c:v>
                </c:pt>
                <c:pt idx="27">
                  <c:v>20.5</c:v>
                </c:pt>
                <c:pt idx="28">
                  <c:v>19</c:v>
                </c:pt>
              </c:numCache>
            </c:numRef>
          </c:val>
          <c:smooth val="0"/>
          <c:extLst>
            <c:ext xmlns:c16="http://schemas.microsoft.com/office/drawing/2014/chart" uri="{C3380CC4-5D6E-409C-BE32-E72D297353CC}">
              <c16:uniqueId val="{00000004-B84C-4C96-AC96-B57268D9C420}"/>
            </c:ext>
          </c:extLst>
        </c:ser>
        <c:ser>
          <c:idx val="5"/>
          <c:order val="5"/>
          <c:tx>
            <c:strRef>
              <c:f>'výkonnost odvětví 3'!$AC$10</c:f>
              <c:strCache>
                <c:ptCount val="1"/>
                <c:pt idx="0">
                  <c:v>Bariéra růstu: nedostatek pracovníků</c:v>
                </c:pt>
              </c:strCache>
            </c:strRef>
          </c:tx>
          <c:spPr>
            <a:ln w="15875">
              <a:solidFill>
                <a:srgbClr val="00B050"/>
              </a:solidFill>
              <a:prstDash val="dash"/>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3'!$AC$31:$AC$59</c:f>
              <c:numCache>
                <c:formatCode>#\ ##0.0</c:formatCode>
                <c:ptCount val="29"/>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pt idx="25">
                  <c:v>32</c:v>
                </c:pt>
                <c:pt idx="26">
                  <c:v>42.6</c:v>
                </c:pt>
                <c:pt idx="27">
                  <c:v>45.2</c:v>
                </c:pt>
                <c:pt idx="28">
                  <c:v>51.7</c:v>
                </c:pt>
              </c:numCache>
            </c:numRef>
          </c:val>
          <c:smooth val="0"/>
          <c:extLst>
            <c:ext xmlns:c16="http://schemas.microsoft.com/office/drawing/2014/chart" uri="{C3380CC4-5D6E-409C-BE32-E72D297353CC}">
              <c16:uniqueId val="{00000005-B84C-4C96-AC96-B57268D9C420}"/>
            </c:ext>
          </c:extLst>
        </c:ser>
        <c:ser>
          <c:idx val="6"/>
          <c:order val="6"/>
          <c:tx>
            <c:strRef>
              <c:f>'výkonnost odvětví 3'!$AD$10</c:f>
              <c:strCache>
                <c:ptCount val="1"/>
                <c:pt idx="0">
                  <c:v>Bariéra růstu: nedost. materiálu a vybavení</c:v>
                </c:pt>
              </c:strCache>
            </c:strRef>
          </c:tx>
          <c:spPr>
            <a:ln w="15875">
              <a:solidFill>
                <a:srgbClr val="00B050"/>
              </a:solidFill>
              <a:prstDash val="sysDash"/>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3'!$AD$31:$AD$59</c:f>
              <c:numCache>
                <c:formatCode>#\ ##0.0</c:formatCode>
                <c:ptCount val="29"/>
                <c:pt idx="0">
                  <c:v>0.2</c:v>
                </c:pt>
                <c:pt idx="1">
                  <c:v>0.5</c:v>
                </c:pt>
                <c:pt idx="2">
                  <c:v>3.7</c:v>
                </c:pt>
                <c:pt idx="3">
                  <c:v>0.3</c:v>
                </c:pt>
                <c:pt idx="4">
                  <c:v>0.9</c:v>
                </c:pt>
                <c:pt idx="5">
                  <c:v>0.8</c:v>
                </c:pt>
                <c:pt idx="6">
                  <c:v>0.1</c:v>
                </c:pt>
                <c:pt idx="7">
                  <c:v>1</c:v>
                </c:pt>
                <c:pt idx="8">
                  <c:v>0.6</c:v>
                </c:pt>
                <c:pt idx="9">
                  <c:v>0.5</c:v>
                </c:pt>
                <c:pt idx="10">
                  <c:v>2.4</c:v>
                </c:pt>
                <c:pt idx="11">
                  <c:v>3.5</c:v>
                </c:pt>
                <c:pt idx="12">
                  <c:v>5.7</c:v>
                </c:pt>
                <c:pt idx="13">
                  <c:v>2.4</c:v>
                </c:pt>
                <c:pt idx="14">
                  <c:v>5.6</c:v>
                </c:pt>
                <c:pt idx="15">
                  <c:v>3.3</c:v>
                </c:pt>
                <c:pt idx="16">
                  <c:v>4.5</c:v>
                </c:pt>
                <c:pt idx="17">
                  <c:v>6.7</c:v>
                </c:pt>
                <c:pt idx="18">
                  <c:v>4.3</c:v>
                </c:pt>
                <c:pt idx="19">
                  <c:v>4</c:v>
                </c:pt>
                <c:pt idx="20">
                  <c:v>2.1</c:v>
                </c:pt>
                <c:pt idx="21">
                  <c:v>4</c:v>
                </c:pt>
                <c:pt idx="22">
                  <c:v>0.3</c:v>
                </c:pt>
                <c:pt idx="23">
                  <c:v>0.7</c:v>
                </c:pt>
                <c:pt idx="24">
                  <c:v>1</c:v>
                </c:pt>
                <c:pt idx="25">
                  <c:v>3.9</c:v>
                </c:pt>
                <c:pt idx="26">
                  <c:v>14</c:v>
                </c:pt>
                <c:pt idx="27">
                  <c:v>22.3</c:v>
                </c:pt>
                <c:pt idx="28">
                  <c:v>26.3</c:v>
                </c:pt>
              </c:numCache>
            </c:numRef>
          </c:val>
          <c:smooth val="0"/>
          <c:extLst>
            <c:ext xmlns:c16="http://schemas.microsoft.com/office/drawing/2014/chart" uri="{C3380CC4-5D6E-409C-BE32-E72D297353CC}">
              <c16:uniqueId val="{00000006-B84C-4C96-AC96-B57268D9C420}"/>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3'!$AE$31:$AE$59</c:f>
              <c:numCache>
                <c:formatCode>0.0</c:formatCode>
                <c:ptCount val="29"/>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numCache>
            </c:numRef>
          </c:val>
          <c:smooth val="0"/>
          <c:extLst>
            <c:ext xmlns:c16="http://schemas.microsoft.com/office/drawing/2014/chart" uri="{C3380CC4-5D6E-409C-BE32-E72D297353CC}">
              <c16:uniqueId val="{00000007-B84C-4C96-AC96-B57268D9C420}"/>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118080463"/>
        <c:scaling>
          <c:orientation val="minMax"/>
          <c:max val="90"/>
          <c:min val="-6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15"/>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9.2069300125758653E-5"/>
          <c:y val="0.85936692045041818"/>
          <c:w val="0.99540838138221588"/>
          <c:h val="0.13362821778942557"/>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103501120970378"/>
        </c:manualLayout>
      </c:layout>
      <c:barChart>
        <c:barDir val="col"/>
        <c:grouping val="stacked"/>
        <c:varyColors val="0"/>
        <c:ser>
          <c:idx val="0"/>
          <c:order val="1"/>
          <c:tx>
            <c:strRef>
              <c:f>'Služby-příspěvkyk růstu-4'!$D$25</c:f>
              <c:strCache>
                <c:ptCount val="1"/>
                <c:pt idx="0">
                  <c:v>Doprava a skladování</c:v>
                </c:pt>
              </c:strCache>
            </c:strRef>
          </c:tx>
          <c:spPr>
            <a:solidFill>
              <a:srgbClr val="92D050"/>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růstu-4'!$D$38:$D$66</c:f>
              <c:numCache>
                <c:formatCode>0.0</c:formatCode>
                <c:ptCount val="29"/>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-0.1569416952537</c:v>
                </c:pt>
                <c:pt idx="25">
                  <c:v>6.9452061820127984</c:v>
                </c:pt>
                <c:pt idx="26">
                  <c:v>4.1021141164383979</c:v>
                </c:pt>
                <c:pt idx="27">
                  <c:v>4.5411081672439781</c:v>
                </c:pt>
              </c:numCache>
            </c:numRef>
          </c:val>
          <c:extLst>
            <c:ext xmlns:c16="http://schemas.microsoft.com/office/drawing/2014/chart" uri="{C3380CC4-5D6E-409C-BE32-E72D297353CC}">
              <c16:uniqueId val="{00000000-D1C5-4EBC-ABD9-F40B78A4CFA9}"/>
            </c:ext>
          </c:extLst>
        </c:ser>
        <c:ser>
          <c:idx val="1"/>
          <c:order val="2"/>
          <c:tx>
            <c:strRef>
              <c:f>'Služby-příspěvkyk růstu-4'!$E$25</c:f>
              <c:strCache>
                <c:ptCount val="1"/>
                <c:pt idx="0">
                  <c:v>Ubytování, stravování a pohostinství</c:v>
                </c:pt>
              </c:strCache>
            </c:strRef>
          </c:tx>
          <c:spPr>
            <a:solidFill>
              <a:srgbClr val="00B0F0"/>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růstu-4'!$E$38:$E$66</c:f>
              <c:numCache>
                <c:formatCode>0.0</c:formatCode>
                <c:ptCount val="29"/>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-3.6938923324187498</c:v>
                </c:pt>
                <c:pt idx="25">
                  <c:v>1.3740162264831814</c:v>
                </c:pt>
                <c:pt idx="26">
                  <c:v>0.63496524511919994</c:v>
                </c:pt>
                <c:pt idx="27">
                  <c:v>2.8400409946004515</c:v>
                </c:pt>
              </c:numCache>
            </c:numRef>
          </c:val>
          <c:extLst>
            <c:ext xmlns:c16="http://schemas.microsoft.com/office/drawing/2014/chart" uri="{C3380CC4-5D6E-409C-BE32-E72D297353CC}">
              <c16:uniqueId val="{00000001-D1C5-4EBC-ABD9-F40B78A4CFA9}"/>
            </c:ext>
          </c:extLst>
        </c:ser>
        <c:ser>
          <c:idx val="2"/>
          <c:order val="3"/>
          <c:tx>
            <c:strRef>
              <c:f>'Služby-příspěvkyk růstu-4'!$F$25</c:f>
              <c:strCache>
                <c:ptCount val="1"/>
                <c:pt idx="0">
                  <c:v>Informační a komunikační činnosti</c:v>
                </c:pt>
              </c:strCache>
            </c:strRef>
          </c:tx>
          <c:spPr>
            <a:solidFill>
              <a:srgbClr val="E6E100"/>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růstu-4'!$F$38:$F$66</c:f>
              <c:numCache>
                <c:formatCode>0.0</c:formatCode>
                <c:ptCount val="29"/>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0.71345327861799956</c:v>
                </c:pt>
                <c:pt idx="25">
                  <c:v>1.5468236089918046</c:v>
                </c:pt>
                <c:pt idx="26">
                  <c:v>1.4415115757943988</c:v>
                </c:pt>
                <c:pt idx="27">
                  <c:v>1.9056402188684927</c:v>
                </c:pt>
              </c:numCache>
            </c:numRef>
          </c:val>
          <c:extLst>
            <c:ext xmlns:c16="http://schemas.microsoft.com/office/drawing/2014/chart" uri="{C3380CC4-5D6E-409C-BE32-E72D297353CC}">
              <c16:uniqueId val="{00000002-D1C5-4EBC-ABD9-F40B78A4CFA9}"/>
            </c:ext>
          </c:extLst>
        </c:ser>
        <c:ser>
          <c:idx val="4"/>
          <c:order val="4"/>
          <c:tx>
            <c:strRef>
              <c:f>'Služby-příspěvkyk růstu-4'!$G$25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růstu-4'!$G$38:$G$66</c:f>
              <c:numCache>
                <c:formatCode>0.0</c:formatCode>
                <c:ptCount val="29"/>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-0.20088632198500025</c:v>
                </c:pt>
                <c:pt idx="25">
                  <c:v>0.43472502460904949</c:v>
                </c:pt>
                <c:pt idx="26">
                  <c:v>2.7135230949999569E-3</c:v>
                </c:pt>
                <c:pt idx="27">
                  <c:v>0.23850631303799988</c:v>
                </c:pt>
              </c:numCache>
            </c:numRef>
          </c:val>
          <c:extLst>
            <c:ext xmlns:c16="http://schemas.microsoft.com/office/drawing/2014/chart" uri="{C3380CC4-5D6E-409C-BE32-E72D297353CC}">
              <c16:uniqueId val="{00000003-D1C5-4EBC-ABD9-F40B78A4CFA9}"/>
            </c:ext>
          </c:extLst>
        </c:ser>
        <c:ser>
          <c:idx val="5"/>
          <c:order val="5"/>
          <c:tx>
            <c:strRef>
              <c:f>'Služby-příspěvkyk růstu-4'!$H$25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růstu-4'!$H$38:$H$66</c:f>
              <c:numCache>
                <c:formatCode>0.0</c:formatCode>
                <c:ptCount val="29"/>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-1.5895367811931036</c:v>
                </c:pt>
                <c:pt idx="25">
                  <c:v>2.7169285281228999</c:v>
                </c:pt>
                <c:pt idx="26">
                  <c:v>1.7632854739205988</c:v>
                </c:pt>
                <c:pt idx="27">
                  <c:v>2.0934710358268047</c:v>
                </c:pt>
              </c:numCache>
            </c:numRef>
          </c:val>
          <c:extLst>
            <c:ext xmlns:c16="http://schemas.microsoft.com/office/drawing/2014/chart" uri="{C3380CC4-5D6E-409C-BE32-E72D297353CC}">
              <c16:uniqueId val="{00000004-D1C5-4EBC-ABD9-F40B78A4CFA9}"/>
            </c:ext>
          </c:extLst>
        </c:ser>
        <c:ser>
          <c:idx val="6"/>
          <c:order val="6"/>
          <c:tx>
            <c:strRef>
              <c:f>'Služby-příspěvkyk růstu-4'!$I$25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růstu-4'!$I$38:$I$66</c:f>
              <c:numCache>
                <c:formatCode>0.0</c:formatCode>
                <c:ptCount val="29"/>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-1.4736020338190001</c:v>
                </c:pt>
                <c:pt idx="25">
                  <c:v>1.7704532307217178</c:v>
                </c:pt>
                <c:pt idx="26">
                  <c:v>1.8501751321200004</c:v>
                </c:pt>
                <c:pt idx="27">
                  <c:v>1.0500907454198474</c:v>
                </c:pt>
              </c:numCache>
            </c:numRef>
          </c:val>
          <c:extLst>
            <c:ext xmlns:c16="http://schemas.microsoft.com/office/drawing/2014/chart" uri="{C3380CC4-5D6E-409C-BE32-E72D297353CC}">
              <c16:uniqueId val="{00000005-D1C5-4EBC-ABD9-F40B78A4CFA9}"/>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růstu-4'!$C$38:$C$66</c:f>
              <c:numCache>
                <c:formatCode>0.0</c:formatCode>
                <c:ptCount val="29"/>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-6.4084553470000003</c:v>
                </c:pt>
                <c:pt idx="25">
                  <c:v>14.780549300900006</c:v>
                </c:pt>
                <c:pt idx="26">
                  <c:v>9.8381160276999964</c:v>
                </c:pt>
                <c:pt idx="27">
                  <c:v>12.662339231000004</c:v>
                </c:pt>
              </c:numCache>
            </c:numRef>
          </c:val>
          <c:smooth val="0"/>
          <c:extLst>
            <c:ext xmlns:c16="http://schemas.microsoft.com/office/drawing/2014/chart" uri="{C3380CC4-5D6E-409C-BE32-E72D297353CC}">
              <c16:uniqueId val="{00000006-D1C5-4EBC-ABD9-F40B78A4CFA9}"/>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růstu-4'!$J$25</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růstu-4'!$J$38:$J$66</c:f>
              <c:numCache>
                <c:formatCode>0.0</c:formatCode>
                <c:ptCount val="29"/>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numCache>
            </c:numRef>
          </c:val>
          <c:smooth val="0"/>
          <c:extLst>
            <c:ext xmlns:c16="http://schemas.microsoft.com/office/drawing/2014/chart" uri="{C3380CC4-5D6E-409C-BE32-E72D297353CC}">
              <c16:uniqueId val="{00000007-D1C5-4EBC-ABD9-F40B78A4CFA9}"/>
            </c:ext>
          </c:extLst>
        </c:ser>
        <c:ser>
          <c:idx val="8"/>
          <c:order val="8"/>
          <c:tx>
            <c:strRef>
              <c:f>'Služby-příspěvkyk růstu-4'!$K$25</c:f>
              <c:strCache>
                <c:ptCount val="1"/>
                <c:pt idx="0">
                  <c:v>Bariéra růstu: nedostatečná poptávka</c:v>
                </c:pt>
              </c:strCache>
            </c:strRef>
          </c:tx>
          <c:spPr>
            <a:ln w="15875">
              <a:solidFill>
                <a:schemeClr val="bg2">
                  <a:lumMod val="25000"/>
                </a:schemeClr>
              </a:solidFill>
            </a:ln>
          </c:spPr>
          <c:marker>
            <c:symbol val="none"/>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růstu-4'!$K$38:$K$66</c:f>
              <c:numCache>
                <c:formatCode>#\ ##0.0</c:formatCode>
                <c:ptCount val="29"/>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pt idx="25">
                  <c:v>37.1</c:v>
                </c:pt>
                <c:pt idx="26">
                  <c:v>30.9</c:v>
                </c:pt>
                <c:pt idx="27">
                  <c:v>26.8</c:v>
                </c:pt>
                <c:pt idx="28">
                  <c:v>30.4</c:v>
                </c:pt>
              </c:numCache>
            </c:numRef>
          </c:val>
          <c:smooth val="0"/>
          <c:extLst>
            <c:ext xmlns:c16="http://schemas.microsoft.com/office/drawing/2014/chart" uri="{C3380CC4-5D6E-409C-BE32-E72D297353CC}">
              <c16:uniqueId val="{00000008-D1C5-4EBC-ABD9-F40B78A4CFA9}"/>
            </c:ext>
          </c:extLst>
        </c:ser>
        <c:ser>
          <c:idx val="9"/>
          <c:order val="9"/>
          <c:tx>
            <c:strRef>
              <c:f>'Služby-příspěvkyk růstu-4'!$L$25</c:f>
              <c:strCache>
                <c:ptCount val="1"/>
                <c:pt idx="0">
                  <c:v>Bariéra růstu: nedostatek pracovníků</c:v>
                </c:pt>
              </c:strCache>
            </c:strRef>
          </c:tx>
          <c:spPr>
            <a:ln w="15875">
              <a:solidFill>
                <a:schemeClr val="bg2">
                  <a:lumMod val="25000"/>
                </a:schemeClr>
              </a:solidFill>
              <a:prstDash val="sysDash"/>
            </a:ln>
          </c:spPr>
          <c:marker>
            <c:symbol val="none"/>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růstu-4'!$L$38:$L$66</c:f>
              <c:numCache>
                <c:formatCode>#\ ##0.0</c:formatCode>
                <c:ptCount val="29"/>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pt idx="25">
                  <c:v>10.8</c:v>
                </c:pt>
                <c:pt idx="26">
                  <c:v>16.3</c:v>
                </c:pt>
                <c:pt idx="27">
                  <c:v>18.899999999999999</c:v>
                </c:pt>
                <c:pt idx="28">
                  <c:v>19.3</c:v>
                </c:pt>
              </c:numCache>
            </c:numRef>
          </c:val>
          <c:smooth val="0"/>
          <c:extLst>
            <c:ext xmlns:c16="http://schemas.microsoft.com/office/drawing/2014/chart" uri="{C3380CC4-5D6E-409C-BE32-E72D297353CC}">
              <c16:uniqueId val="{00000009-D1C5-4EBC-ABD9-F40B78A4CFA9}"/>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Saldo důvěry, bariéry růstu</a:t>
                </a:r>
              </a:p>
            </c:rich>
          </c:tx>
          <c:layout>
            <c:manualLayout>
              <c:xMode val="edge"/>
              <c:yMode val="edge"/>
              <c:x val="0.97060568193100361"/>
              <c:y val="0.20830133644625787"/>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7402356920644666"/>
        </c:manualLayout>
      </c:layout>
      <c:barChart>
        <c:barDir val="col"/>
        <c:grouping val="clustered"/>
        <c:varyColors val="0"/>
        <c:ser>
          <c:idx val="3"/>
          <c:order val="0"/>
          <c:tx>
            <c:strRef>
              <c:f>'výkonnost odvětví 5'!$C$10</c:f>
              <c:strCache>
                <c:ptCount val="1"/>
                <c:pt idx="0">
                  <c:v>Maloobchod (bez motor. segmentu)</c:v>
                </c:pt>
              </c:strCache>
            </c:strRef>
          </c:tx>
          <c:spPr>
            <a:solidFill>
              <a:srgbClr val="BEBEBE"/>
            </a:solidFill>
            <a:ln>
              <a:noFill/>
            </a:ln>
          </c:spPr>
          <c:invertIfNegative val="0"/>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5'!$C$31:$C$59</c:f>
              <c:numCache>
                <c:formatCode>##0.0</c:formatCode>
                <c:ptCount val="29"/>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5.6584053785000066</c:v>
                </c:pt>
                <c:pt idx="17">
                  <c:v>4.8300705571000009</c:v>
                </c:pt>
                <c:pt idx="18">
                  <c:v>4.5406581594999977</c:v>
                </c:pt>
                <c:pt idx="19">
                  <c:v>4.196988668399996</c:v>
                </c:pt>
                <c:pt idx="20">
                  <c:v>0.12908217749999551</c:v>
                </c:pt>
                <c:pt idx="21">
                  <c:v>-2.8976566630000065</c:v>
                </c:pt>
                <c:pt idx="22">
                  <c:v>1.3167079119999983</c:v>
                </c:pt>
                <c:pt idx="23">
                  <c:v>-2.0214892853999942</c:v>
                </c:pt>
                <c:pt idx="24">
                  <c:v>-0.25450931490000528</c:v>
                </c:pt>
                <c:pt idx="25">
                  <c:v>7.2758830861999968</c:v>
                </c:pt>
                <c:pt idx="26">
                  <c:v>3.9166814666999983</c:v>
                </c:pt>
                <c:pt idx="27">
                  <c:v>6.1668547292999989</c:v>
                </c:pt>
              </c:numCache>
            </c:numRef>
          </c:val>
          <c:extLst>
            <c:ext xmlns:c16="http://schemas.microsoft.com/office/drawing/2014/chart" uri="{C3380CC4-5D6E-409C-BE32-E72D297353CC}">
              <c16:uniqueId val="{00000000-B194-4A2A-AD3E-3194DB7D0EAE}"/>
            </c:ext>
          </c:extLst>
        </c:ser>
        <c:dLbls>
          <c:showLegendKey val="0"/>
          <c:showVal val="0"/>
          <c:showCatName val="0"/>
          <c:showSerName val="0"/>
          <c:showPercent val="0"/>
          <c:showBubbleSize val="0"/>
        </c:dLbls>
        <c:gapWidth val="31"/>
        <c:axId val="156100864"/>
        <c:axId val="156573696"/>
      </c:barChart>
      <c:lineChart>
        <c:grouping val="standard"/>
        <c:varyColors val="0"/>
        <c:ser>
          <c:idx val="0"/>
          <c:order val="1"/>
          <c:tx>
            <c:strRef>
              <c:f>'výkonnost odvětví 5'!$D$10</c:f>
              <c:strCache>
                <c:ptCount val="1"/>
                <c:pt idx="0">
                  <c:v>Maloobchod s nepotravinářským zbožím</c:v>
                </c:pt>
              </c:strCache>
            </c:strRef>
          </c:tx>
          <c:spPr>
            <a:ln w="15875">
              <a:solidFill>
                <a:srgbClr val="00B050"/>
              </a:solidFill>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5'!$D$31:$D$59</c:f>
              <c:numCache>
                <c:formatCode>0.0</c:formatCode>
                <c:ptCount val="29"/>
                <c:pt idx="0">
                  <c:v>7.2715196739000021</c:v>
                </c:pt>
                <c:pt idx="1">
                  <c:v>8.3670083482000024</c:v>
                </c:pt>
                <c:pt idx="2">
                  <c:v>5.8714962675999942</c:v>
                </c:pt>
                <c:pt idx="3">
                  <c:v>7.1796031766999988</c:v>
                </c:pt>
                <c:pt idx="4">
                  <c:v>5.992849787099999</c:v>
                </c:pt>
                <c:pt idx="5">
                  <c:v>5.3652608760999954</c:v>
                </c:pt>
                <c:pt idx="6">
                  <c:v>6.9198240850000019</c:v>
                </c:pt>
                <c:pt idx="7">
                  <c:v>7.0074928439999979</c:v>
                </c:pt>
                <c:pt idx="8">
                  <c:v>8.6852873061999958</c:v>
                </c:pt>
                <c:pt idx="9">
                  <c:v>9.2363312134999944</c:v>
                </c:pt>
                <c:pt idx="10">
                  <c:v>8.5628601745000026</c:v>
                </c:pt>
                <c:pt idx="11">
                  <c:v>8.8840041140000068</c:v>
                </c:pt>
                <c:pt idx="12">
                  <c:v>8.9088398325000071</c:v>
                </c:pt>
                <c:pt idx="13">
                  <c:v>7.5663649659999948</c:v>
                </c:pt>
                <c:pt idx="14">
                  <c:v>6.1198352104999998</c:v>
                </c:pt>
                <c:pt idx="15">
                  <c:v>7.7062771978000058</c:v>
                </c:pt>
                <c:pt idx="16">
                  <c:v>9.2922875281000046</c:v>
                </c:pt>
                <c:pt idx="17">
                  <c:v>7.0020782769999954</c:v>
                </c:pt>
                <c:pt idx="18">
                  <c:v>7.8244667778999997</c:v>
                </c:pt>
                <c:pt idx="19">
                  <c:v>6.6837416494000053</c:v>
                </c:pt>
                <c:pt idx="20">
                  <c:v>8.1510700699993777E-2</c:v>
                </c:pt>
                <c:pt idx="21">
                  <c:v>0.7559899058999946</c:v>
                </c:pt>
                <c:pt idx="22">
                  <c:v>3.6224656044999932</c:v>
                </c:pt>
                <c:pt idx="23">
                  <c:v>-1.9911408056999989</c:v>
                </c:pt>
                <c:pt idx="24">
                  <c:v>2.1065596202000023</c:v>
                </c:pt>
                <c:pt idx="25">
                  <c:v>11.361493757299996</c:v>
                </c:pt>
                <c:pt idx="26">
                  <c:v>7.6021912932999953</c:v>
                </c:pt>
                <c:pt idx="27">
                  <c:v>9.9294145094000044</c:v>
                </c:pt>
              </c:numCache>
            </c:numRef>
          </c:val>
          <c:smooth val="0"/>
          <c:extLst>
            <c:ext xmlns:c16="http://schemas.microsoft.com/office/drawing/2014/chart" uri="{C3380CC4-5D6E-409C-BE32-E72D297353CC}">
              <c16:uniqueId val="{00000001-B194-4A2A-AD3E-3194DB7D0EAE}"/>
            </c:ext>
          </c:extLst>
        </c:ser>
        <c:ser>
          <c:idx val="1"/>
          <c:order val="2"/>
          <c:tx>
            <c:strRef>
              <c:f>'výkonnost odvětví 5'!$E$10</c:f>
              <c:strCache>
                <c:ptCount val="1"/>
                <c:pt idx="0">
                  <c:v>Maloobchod s potravinami celkem </c:v>
                </c:pt>
              </c:strCache>
            </c:strRef>
          </c:tx>
          <c:spPr>
            <a:ln w="15875">
              <a:solidFill>
                <a:srgbClr val="0070C0"/>
              </a:solidFill>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5'!$E$31:$E$59</c:f>
              <c:numCache>
                <c:formatCode>0.0</c:formatCode>
                <c:ptCount val="29"/>
                <c:pt idx="0">
                  <c:v>4.5876844758000033</c:v>
                </c:pt>
                <c:pt idx="1">
                  <c:v>3.0424029370999932</c:v>
                </c:pt>
                <c:pt idx="2">
                  <c:v>4.9263563212000037</c:v>
                </c:pt>
                <c:pt idx="3">
                  <c:v>3.9150013738999974</c:v>
                </c:pt>
                <c:pt idx="4">
                  <c:v>4.5995763954000068</c:v>
                </c:pt>
                <c:pt idx="5">
                  <c:v>3.9376332190000056</c:v>
                </c:pt>
                <c:pt idx="6">
                  <c:v>2.591765420599998</c:v>
                </c:pt>
                <c:pt idx="7">
                  <c:v>-0.23256164999999385</c:v>
                </c:pt>
                <c:pt idx="8">
                  <c:v>1.8918609717999999</c:v>
                </c:pt>
                <c:pt idx="9">
                  <c:v>3.6041123518999996</c:v>
                </c:pt>
                <c:pt idx="10">
                  <c:v>3.0516559300999972</c:v>
                </c:pt>
                <c:pt idx="11">
                  <c:v>2.5811256036000003</c:v>
                </c:pt>
                <c:pt idx="12">
                  <c:v>3.7066780967000028</c:v>
                </c:pt>
                <c:pt idx="13">
                  <c:v>1.323651567400006</c:v>
                </c:pt>
                <c:pt idx="14">
                  <c:v>2.362942357600005</c:v>
                </c:pt>
                <c:pt idx="15">
                  <c:v>1.3214242518999981</c:v>
                </c:pt>
                <c:pt idx="16">
                  <c:v>1.6645836688999935</c:v>
                </c:pt>
                <c:pt idx="17">
                  <c:v>2.9944110046999981</c:v>
                </c:pt>
                <c:pt idx="18">
                  <c:v>1.5968521353999989</c:v>
                </c:pt>
                <c:pt idx="19">
                  <c:v>1.6366635083000034</c:v>
                </c:pt>
                <c:pt idx="20">
                  <c:v>2.4117608905000054</c:v>
                </c:pt>
                <c:pt idx="21">
                  <c:v>-3.0566916679999991</c:v>
                </c:pt>
                <c:pt idx="22">
                  <c:v>-1.0441902567999932</c:v>
                </c:pt>
                <c:pt idx="23">
                  <c:v>0.69822811010000407</c:v>
                </c:pt>
                <c:pt idx="24">
                  <c:v>-1.1475745756000038</c:v>
                </c:pt>
                <c:pt idx="25">
                  <c:v>1.1151025701999941</c:v>
                </c:pt>
                <c:pt idx="26">
                  <c:v>-0.78127660490000039</c:v>
                </c:pt>
                <c:pt idx="27">
                  <c:v>-0.50252165039999852</c:v>
                </c:pt>
              </c:numCache>
            </c:numRef>
          </c:val>
          <c:smooth val="0"/>
          <c:extLst>
            <c:ext xmlns:c16="http://schemas.microsoft.com/office/drawing/2014/chart" uri="{C3380CC4-5D6E-409C-BE32-E72D297353CC}">
              <c16:uniqueId val="{00000002-B194-4A2A-AD3E-3194DB7D0EAE}"/>
            </c:ext>
          </c:extLst>
        </c:ser>
        <c:ser>
          <c:idx val="2"/>
          <c:order val="3"/>
          <c:tx>
            <c:strRef>
              <c:f>'výkonnost odvětví 5'!$F$10</c:f>
              <c:strCache>
                <c:ptCount val="1"/>
                <c:pt idx="0">
                  <c:v>Mal. s potravinami ve special. prodejnách</c:v>
                </c:pt>
              </c:strCache>
            </c:strRef>
          </c:tx>
          <c:spPr>
            <a:ln w="15875">
              <a:solidFill>
                <a:srgbClr val="00B0F0"/>
              </a:solidFill>
              <a:prstDash val="sysDash"/>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5'!$F$31:$F$59</c:f>
              <c:numCache>
                <c:formatCode>0.0</c:formatCode>
                <c:ptCount val="29"/>
                <c:pt idx="0">
                  <c:v>2.6690178399999951</c:v>
                </c:pt>
                <c:pt idx="1">
                  <c:v>2.2128227439000057</c:v>
                </c:pt>
                <c:pt idx="2">
                  <c:v>1.9202398683000013</c:v>
                </c:pt>
                <c:pt idx="3">
                  <c:v>2.7073259998000054</c:v>
                </c:pt>
                <c:pt idx="4">
                  <c:v>4.1610559200999973</c:v>
                </c:pt>
                <c:pt idx="5">
                  <c:v>1.8660943609999947</c:v>
                </c:pt>
                <c:pt idx="6">
                  <c:v>4.7366658035000029</c:v>
                </c:pt>
                <c:pt idx="7">
                  <c:v>2.0187861211000069</c:v>
                </c:pt>
                <c:pt idx="8">
                  <c:v>3.4615535926999996</c:v>
                </c:pt>
                <c:pt idx="9">
                  <c:v>3.916856426199999</c:v>
                </c:pt>
                <c:pt idx="10">
                  <c:v>1.1265036291000001</c:v>
                </c:pt>
                <c:pt idx="11">
                  <c:v>3.3543429389000039</c:v>
                </c:pt>
                <c:pt idx="12">
                  <c:v>2.3535225098000012</c:v>
                </c:pt>
                <c:pt idx="13">
                  <c:v>0.45949150689999385</c:v>
                </c:pt>
                <c:pt idx="14">
                  <c:v>-0.3179062024999979</c:v>
                </c:pt>
                <c:pt idx="15">
                  <c:v>-2.0474008079000043</c:v>
                </c:pt>
                <c:pt idx="16">
                  <c:v>-0.49759468509999749</c:v>
                </c:pt>
                <c:pt idx="17">
                  <c:v>-1.2062333295999963</c:v>
                </c:pt>
                <c:pt idx="18">
                  <c:v>-2.1788461824999956</c:v>
                </c:pt>
                <c:pt idx="19">
                  <c:v>-1.4449130142999991</c:v>
                </c:pt>
                <c:pt idx="20">
                  <c:v>-5.2832493653999961</c:v>
                </c:pt>
                <c:pt idx="21">
                  <c:v>-21.630136793999995</c:v>
                </c:pt>
                <c:pt idx="22">
                  <c:v>-2.9377238973000033</c:v>
                </c:pt>
                <c:pt idx="23">
                  <c:v>-19.2276622901</c:v>
                </c:pt>
                <c:pt idx="24">
                  <c:v>-6.5251495061000071</c:v>
                </c:pt>
                <c:pt idx="25">
                  <c:v>4.0799849115999933</c:v>
                </c:pt>
                <c:pt idx="26">
                  <c:v>8.7569142999996075E-2</c:v>
                </c:pt>
                <c:pt idx="27">
                  <c:v>6.8164131789999942</c:v>
                </c:pt>
              </c:numCache>
            </c:numRef>
          </c:val>
          <c:smooth val="0"/>
          <c:extLst>
            <c:ext xmlns:c16="http://schemas.microsoft.com/office/drawing/2014/chart" uri="{C3380CC4-5D6E-409C-BE32-E72D297353CC}">
              <c16:uniqueId val="{00000003-B194-4A2A-AD3E-3194DB7D0EAE}"/>
            </c:ext>
          </c:extLst>
        </c:ser>
        <c:ser>
          <c:idx val="4"/>
          <c:order val="4"/>
          <c:tx>
            <c:strRef>
              <c:f>'výkonnost odvětví 5'!$G$10</c:f>
              <c:strCache>
                <c:ptCount val="1"/>
                <c:pt idx="0">
                  <c:v>Maloobchodní prodej PHM</c:v>
                </c:pt>
              </c:strCache>
            </c:strRef>
          </c:tx>
          <c:spPr>
            <a:ln w="15875">
              <a:solidFill>
                <a:schemeClr val="accent6">
                  <a:lumMod val="75000"/>
                </a:schemeClr>
              </a:solidFill>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5'!$G$31:$G$59</c:f>
              <c:numCache>
                <c:formatCode>0.0</c:formatCode>
                <c:ptCount val="29"/>
                <c:pt idx="0">
                  <c:v>6.1518283433999983</c:v>
                </c:pt>
                <c:pt idx="1">
                  <c:v>4.5607610110999985</c:v>
                </c:pt>
                <c:pt idx="2">
                  <c:v>6.1322263153000023</c:v>
                </c:pt>
                <c:pt idx="3">
                  <c:v>8.9560664269999961</c:v>
                </c:pt>
                <c:pt idx="4">
                  <c:v>5.1322984467000055</c:v>
                </c:pt>
                <c:pt idx="5">
                  <c:v>5.3476340171000061</c:v>
                </c:pt>
                <c:pt idx="6">
                  <c:v>4.6018851928999993</c:v>
                </c:pt>
                <c:pt idx="7">
                  <c:v>5.1791474957999952</c:v>
                </c:pt>
                <c:pt idx="8">
                  <c:v>4.2377818723000047</c:v>
                </c:pt>
                <c:pt idx="9">
                  <c:v>5.9231834445999993</c:v>
                </c:pt>
                <c:pt idx="10">
                  <c:v>6.277465477800007</c:v>
                </c:pt>
                <c:pt idx="11">
                  <c:v>6.3286157347999961</c:v>
                </c:pt>
                <c:pt idx="12">
                  <c:v>5.527956407800005</c:v>
                </c:pt>
                <c:pt idx="13">
                  <c:v>4.6539179964999988</c:v>
                </c:pt>
                <c:pt idx="14">
                  <c:v>3.0533633685000012</c:v>
                </c:pt>
                <c:pt idx="15">
                  <c:v>3.1034954821000014</c:v>
                </c:pt>
                <c:pt idx="16">
                  <c:v>4.7294051002999993</c:v>
                </c:pt>
                <c:pt idx="17">
                  <c:v>2.2193073045000062</c:v>
                </c:pt>
                <c:pt idx="18">
                  <c:v>1.5346987166000048</c:v>
                </c:pt>
                <c:pt idx="19">
                  <c:v>0.54012315949999845</c:v>
                </c:pt>
                <c:pt idx="20">
                  <c:v>-7.0431704789999969</c:v>
                </c:pt>
                <c:pt idx="21">
                  <c:v>-17.114932415300004</c:v>
                </c:pt>
                <c:pt idx="22">
                  <c:v>-0.40724422739999966</c:v>
                </c:pt>
                <c:pt idx="23">
                  <c:v>-11.329794839300007</c:v>
                </c:pt>
                <c:pt idx="24">
                  <c:v>-7.4498472892999956</c:v>
                </c:pt>
                <c:pt idx="25">
                  <c:v>10.003209825100001</c:v>
                </c:pt>
                <c:pt idx="26">
                  <c:v>3.3450686440999959</c:v>
                </c:pt>
                <c:pt idx="27">
                  <c:v>10.038771875400002</c:v>
                </c:pt>
              </c:numCache>
            </c:numRef>
          </c:val>
          <c:smooth val="0"/>
          <c:extLst>
            <c:ext xmlns:c16="http://schemas.microsoft.com/office/drawing/2014/chart" uri="{C3380CC4-5D6E-409C-BE32-E72D297353CC}">
              <c16:uniqueId val="{00000004-B194-4A2A-AD3E-3194DB7D0EAE}"/>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5"/>
          <c:tx>
            <c:strRef>
              <c:f>'výkonnost odvětví 5'!$H$10</c:f>
              <c:strCache>
                <c:ptCount val="1"/>
                <c:pt idx="0">
                  <c:v>Saldo indikátoru důvěry spotřebitelů</c:v>
                </c:pt>
              </c:strCache>
            </c:strRef>
          </c:tx>
          <c:spPr>
            <a:ln w="15875">
              <a:solidFill>
                <a:schemeClr val="bg1">
                  <a:lumMod val="75000"/>
                </a:schemeClr>
              </a:solidFill>
              <a:prstDash val="sysDash"/>
            </a:ln>
          </c:spPr>
          <c:marker>
            <c:symbol val="diamond"/>
            <c:size val="6"/>
            <c:spPr>
              <a:solidFill>
                <a:srgbClr val="FFFF00"/>
              </a:solidFill>
              <a:ln>
                <a:solidFill>
                  <a:schemeClr val="tx1">
                    <a:lumMod val="95000"/>
                    <a:lumOff val="5000"/>
                  </a:schemeClr>
                </a:solidFill>
              </a:ln>
            </c:spPr>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5'!$H$31:$H$59</c:f>
              <c:numCache>
                <c:formatCode>0.0</c:formatCode>
                <c:ptCount val="29"/>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numCache>
            </c:numRef>
          </c:val>
          <c:smooth val="0"/>
          <c:extLst>
            <c:ext xmlns:c16="http://schemas.microsoft.com/office/drawing/2014/chart" uri="{C3380CC4-5D6E-409C-BE32-E72D297353CC}">
              <c16:uniqueId val="{00000005-B194-4A2A-AD3E-3194DB7D0EAE}"/>
            </c:ext>
          </c:extLst>
        </c:ser>
        <c:dLbls>
          <c:showLegendKey val="0"/>
          <c:showVal val="0"/>
          <c:showCatName val="0"/>
          <c:showSerName val="0"/>
          <c:showPercent val="0"/>
          <c:showBubbleSize val="0"/>
        </c:dLbls>
        <c:marker val="1"/>
        <c:smooth val="0"/>
        <c:axId val="1300100448"/>
        <c:axId val="1300099616"/>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35"/>
        </c:scaling>
        <c:delete val="0"/>
        <c:axPos val="l"/>
        <c:majorGridlines>
          <c:spPr>
            <a:ln w="6350">
              <a:solidFill>
                <a:schemeClr val="bg1">
                  <a:lumMod val="75000"/>
                </a:schemeClr>
              </a:solidFill>
            </a:ln>
          </c:spPr>
        </c:majorGridlines>
        <c:title>
          <c:tx>
            <c:rich>
              <a:bodyPr/>
              <a:lstStyle/>
              <a:p>
                <a:pPr>
                  <a:defRPr sz="700" b="0" i="1"/>
                </a:pPr>
                <a:r>
                  <a:rPr lang="cs-CZ" sz="700" b="0" i="1"/>
                  <a:t>Tržby</a:t>
                </a:r>
              </a:p>
            </c:rich>
          </c:tx>
          <c:layout>
            <c:manualLayout>
              <c:xMode val="edge"/>
              <c:yMode val="edge"/>
              <c:x val="0"/>
              <c:y val="0.2922709169117092"/>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300099616"/>
        <c:scaling>
          <c:orientation val="minMax"/>
          <c:max val="3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Saldo důvěry spotřebitelů</a:t>
                </a:r>
                <a:endParaRPr lang="cs-CZ" sz="700">
                  <a:effectLst/>
                </a:endParaRPr>
              </a:p>
            </c:rich>
          </c:tx>
          <c:layout>
            <c:manualLayout>
              <c:xMode val="edge"/>
              <c:yMode val="edge"/>
              <c:x val="0.97060568193100361"/>
              <c:y val="0.25775438813456547"/>
            </c:manualLayout>
          </c:layout>
          <c:overlay val="0"/>
        </c:title>
        <c:numFmt formatCode="0" sourceLinked="0"/>
        <c:majorTickMark val="out"/>
        <c:minorTickMark val="none"/>
        <c:tickLblPos val="nextTo"/>
        <c:txPr>
          <a:bodyPr/>
          <a:lstStyle/>
          <a:p>
            <a:pPr>
              <a:defRPr sz="800"/>
            </a:pPr>
            <a:endParaRPr lang="cs-CZ"/>
          </a:p>
        </c:txPr>
        <c:crossAx val="1300100448"/>
        <c:crosses val="max"/>
        <c:crossBetween val="between"/>
        <c:majorUnit val="5"/>
      </c:valAx>
      <c:catAx>
        <c:axId val="1300100448"/>
        <c:scaling>
          <c:orientation val="minMax"/>
        </c:scaling>
        <c:delete val="1"/>
        <c:axPos val="b"/>
        <c:numFmt formatCode="General" sourceLinked="1"/>
        <c:majorTickMark val="out"/>
        <c:minorTickMark val="none"/>
        <c:tickLblPos val="nextTo"/>
        <c:crossAx val="1300099616"/>
        <c:crosses val="autoZero"/>
        <c:auto val="1"/>
        <c:lblAlgn val="ctr"/>
        <c:lblOffset val="100"/>
        <c:noMultiLvlLbl val="0"/>
      </c:catAx>
      <c:spPr>
        <a:ln>
          <a:solidFill>
            <a:schemeClr val="tx1"/>
          </a:solidFill>
        </a:ln>
      </c:spPr>
    </c:plotArea>
    <c:legend>
      <c:legendPos val="r"/>
      <c:layout>
        <c:manualLayout>
          <c:xMode val="edge"/>
          <c:yMode val="edge"/>
          <c:x val="6.4094212627732858E-5"/>
          <c:y val="0.87481369385991214"/>
          <c:w val="0.98649823440865303"/>
          <c:h val="0.11811147757237564"/>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0BC4-3134-4468-83FF-E394578FD45F}">
  <ds:schemaRefs>
    <ds:schemaRef ds:uri="http://schemas.openxmlformats.org/officeDocument/2006/bibliography"/>
  </ds:schemaRefs>
</ds:datastoreItem>
</file>

<file path=customXml/itemProps2.xml><?xml version="1.0" encoding="utf-8"?>
<ds:datastoreItem xmlns:ds="http://schemas.openxmlformats.org/officeDocument/2006/customXml" ds:itemID="{80051051-1E6F-4052-87E9-093DBC74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8</Pages>
  <Words>3557</Words>
  <Characters>20987</Characters>
  <Application>Microsoft Office Word</Application>
  <DocSecurity>0</DocSecurity>
  <Lines>174</Lines>
  <Paragraphs>48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24496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2022-03-21T10:52:00Z</dcterms:created>
  <dcterms:modified xsi:type="dcterms:W3CDTF">2022-03-21T10:58:00Z</dcterms:modified>
</cp:coreProperties>
</file>